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75077" w14:textId="7DC9D30A" w:rsidR="00FD0D07" w:rsidRPr="00DE015D" w:rsidRDefault="00FD0D07" w:rsidP="00FD0D07">
      <w:pPr>
        <w:spacing w:line="360" w:lineRule="auto"/>
        <w:jc w:val="center"/>
        <w:rPr>
          <w:caps/>
          <w:sz w:val="28"/>
          <w:szCs w:val="28"/>
        </w:rPr>
      </w:pPr>
      <w:bookmarkStart w:id="0" w:name="_GoBack"/>
      <w:bookmarkEnd w:id="0"/>
      <w:r w:rsidRPr="00354C71">
        <w:rPr>
          <w:sz w:val="28"/>
          <w:szCs w:val="28"/>
          <w:lang w:val="uk-UA"/>
        </w:rPr>
        <w:t>МІНІСТЕРСТВО ОСВІТИ ТА НАУКИ УКРАЇНИ</w:t>
      </w:r>
    </w:p>
    <w:p w14:paraId="3086E330" w14:textId="77777777" w:rsidR="00FD0D07" w:rsidRDefault="00FD0D07" w:rsidP="00FD0D07">
      <w:pPr>
        <w:spacing w:line="360" w:lineRule="auto"/>
        <w:jc w:val="center"/>
        <w:rPr>
          <w:color w:val="000000"/>
          <w:sz w:val="28"/>
          <w:szCs w:val="28"/>
          <w:lang w:val="uk-UA"/>
        </w:rPr>
      </w:pPr>
      <w:r>
        <w:rPr>
          <w:color w:val="000000"/>
          <w:sz w:val="28"/>
          <w:szCs w:val="28"/>
          <w:lang w:val="uk-UA"/>
        </w:rPr>
        <w:t>ОДЕСЬКИЙ НАЦІОНАЛЬНИЙ ПОЛІТЕХНІЧНИЙ УНІВЕРСИТЕТ</w:t>
      </w:r>
    </w:p>
    <w:p w14:paraId="41C668E0" w14:textId="77777777" w:rsidR="00FD0D07" w:rsidRDefault="00FD0D07" w:rsidP="00FD0D07">
      <w:pPr>
        <w:pStyle w:val="a4"/>
        <w:ind w:firstLine="709"/>
        <w:rPr>
          <w:b w:val="0"/>
          <w:szCs w:val="28"/>
          <w:lang w:val="ru-RU" w:eastAsia="uk-UA"/>
        </w:rPr>
      </w:pPr>
      <w:r w:rsidRPr="0063484F">
        <w:rPr>
          <w:b w:val="0"/>
          <w:szCs w:val="28"/>
          <w:lang w:val="uk-UA" w:eastAsia="uk-UA"/>
        </w:rPr>
        <w:t>ДЕРЖАВНА УСТАНОВА «ІНСТИТУТ ФАРМАКОЛОГІЇ ТА ТОКСИКОЛОГІЇ НАМН УКРАЇНИ»</w:t>
      </w:r>
      <w:r w:rsidRPr="0063484F">
        <w:rPr>
          <w:b w:val="0"/>
          <w:szCs w:val="28"/>
          <w:lang w:val="ru-RU" w:eastAsia="uk-UA"/>
        </w:rPr>
        <w:t xml:space="preserve">     </w:t>
      </w:r>
    </w:p>
    <w:p w14:paraId="73B23B4E" w14:textId="77777777" w:rsidR="00FD0D07" w:rsidRPr="00354C71" w:rsidRDefault="00FD0D07" w:rsidP="00FD0D07">
      <w:pPr>
        <w:pStyle w:val="a4"/>
        <w:ind w:firstLine="709"/>
        <w:rPr>
          <w:b w:val="0"/>
          <w:szCs w:val="28"/>
          <w:lang w:val="ru-RU" w:eastAsia="uk-UA"/>
        </w:rPr>
      </w:pPr>
    </w:p>
    <w:p w14:paraId="179A08B0" w14:textId="77777777" w:rsidR="00FD0D07" w:rsidRDefault="00FD0D07" w:rsidP="00FD0D07">
      <w:pPr>
        <w:spacing w:line="360" w:lineRule="auto"/>
        <w:jc w:val="right"/>
        <w:rPr>
          <w:sz w:val="28"/>
          <w:szCs w:val="28"/>
          <w:lang w:val="uk-UA"/>
        </w:rPr>
      </w:pPr>
      <w:r>
        <w:rPr>
          <w:sz w:val="28"/>
          <w:szCs w:val="28"/>
          <w:lang w:val="uk-UA"/>
        </w:rPr>
        <w:t>Кваліфікаційна наукова</w:t>
      </w:r>
      <w:r>
        <w:rPr>
          <w:sz w:val="28"/>
          <w:szCs w:val="28"/>
          <w:lang w:val="uk-UA"/>
        </w:rPr>
        <w:br/>
        <w:t>праця на правах рукопису</w:t>
      </w:r>
    </w:p>
    <w:p w14:paraId="0B4C0A67" w14:textId="77777777" w:rsidR="00FD0D07" w:rsidRDefault="00FD0D07" w:rsidP="00FD0D07">
      <w:pPr>
        <w:spacing w:line="360" w:lineRule="auto"/>
        <w:rPr>
          <w:b/>
          <w:caps/>
          <w:sz w:val="28"/>
          <w:szCs w:val="28"/>
          <w:lang w:val="uk-UA"/>
        </w:rPr>
      </w:pPr>
    </w:p>
    <w:p w14:paraId="7F37C950" w14:textId="77777777" w:rsidR="00FD0D07" w:rsidRPr="00354C71" w:rsidRDefault="00FD0D07" w:rsidP="00FD0D07">
      <w:pPr>
        <w:spacing w:line="360" w:lineRule="auto"/>
        <w:jc w:val="center"/>
        <w:rPr>
          <w:b/>
          <w:sz w:val="28"/>
          <w:szCs w:val="28"/>
          <w:lang w:val="uk-UA"/>
        </w:rPr>
      </w:pPr>
      <w:r>
        <w:rPr>
          <w:b/>
          <w:sz w:val="28"/>
          <w:szCs w:val="28"/>
          <w:lang w:val="uk-UA"/>
        </w:rPr>
        <w:t>ПРОКОПЧУК ОЛЕНА ГЕННАДІЇВНА</w:t>
      </w:r>
    </w:p>
    <w:p w14:paraId="1A32EF3C" w14:textId="77777777" w:rsidR="00FD0D07" w:rsidRPr="00354C71" w:rsidRDefault="00FD0D07" w:rsidP="00FD0D07">
      <w:pPr>
        <w:spacing w:line="360" w:lineRule="auto"/>
        <w:jc w:val="right"/>
        <w:rPr>
          <w:rFonts w:cs="Calibri"/>
          <w:b/>
          <w:color w:val="000000"/>
          <w:sz w:val="28"/>
          <w:szCs w:val="28"/>
          <w:lang w:eastAsia="uk-UA"/>
        </w:rPr>
      </w:pPr>
      <w:r w:rsidRPr="00354C71">
        <w:rPr>
          <w:rFonts w:eastAsia="Calibri"/>
          <w:color w:val="000000"/>
          <w:sz w:val="28"/>
          <w:szCs w:val="28"/>
        </w:rPr>
        <w:t>Гриф</w:t>
      </w:r>
    </w:p>
    <w:p w14:paraId="2F109D4D" w14:textId="77777777" w:rsidR="00FD0D07" w:rsidRPr="00354C71" w:rsidRDefault="00FD0D07" w:rsidP="00FD0D07">
      <w:pPr>
        <w:spacing w:line="360" w:lineRule="auto"/>
        <w:jc w:val="right"/>
        <w:rPr>
          <w:rFonts w:cs="Calibri"/>
          <w:color w:val="000000"/>
          <w:sz w:val="28"/>
          <w:szCs w:val="28"/>
          <w:lang w:eastAsia="uk-UA"/>
        </w:rPr>
      </w:pPr>
      <w:r w:rsidRPr="00354C71">
        <w:rPr>
          <w:rFonts w:cs="Calibri"/>
          <w:color w:val="000000"/>
          <w:sz w:val="28"/>
          <w:szCs w:val="28"/>
          <w:lang w:eastAsia="uk-UA"/>
        </w:rPr>
        <w:t xml:space="preserve">                                                                              Прим. №______</w:t>
      </w:r>
    </w:p>
    <w:p w14:paraId="2B6F57E9" w14:textId="77777777" w:rsidR="00FD0D07" w:rsidRPr="00354C71" w:rsidRDefault="00FD0D07" w:rsidP="00FD0D07">
      <w:pPr>
        <w:spacing w:line="360" w:lineRule="auto"/>
        <w:jc w:val="right"/>
        <w:rPr>
          <w:caps/>
          <w:sz w:val="28"/>
          <w:szCs w:val="28"/>
          <w:lang w:val="uk-UA"/>
        </w:rPr>
      </w:pPr>
      <w:r w:rsidRPr="00354C71">
        <w:rPr>
          <w:sz w:val="28"/>
          <w:szCs w:val="28"/>
          <w:lang w:val="uk-UA"/>
        </w:rPr>
        <w:t>УДК</w:t>
      </w:r>
      <w:r w:rsidRPr="00354C71">
        <w:rPr>
          <w:caps/>
          <w:sz w:val="28"/>
          <w:szCs w:val="28"/>
          <w:lang w:val="uk-UA"/>
        </w:rPr>
        <w:t xml:space="preserve"> 615.214:615.032</w:t>
      </w:r>
    </w:p>
    <w:p w14:paraId="698C3D50" w14:textId="77777777" w:rsidR="00FD0D07" w:rsidRDefault="00FD0D07" w:rsidP="00FD0D07">
      <w:pPr>
        <w:spacing w:line="360" w:lineRule="auto"/>
        <w:jc w:val="center"/>
        <w:rPr>
          <w:b/>
          <w:caps/>
          <w:sz w:val="28"/>
          <w:szCs w:val="28"/>
          <w:lang w:val="uk-UA"/>
        </w:rPr>
      </w:pPr>
    </w:p>
    <w:p w14:paraId="441924B1" w14:textId="77777777" w:rsidR="00FD0D07" w:rsidRPr="00A21380" w:rsidRDefault="00FD0D07" w:rsidP="00FD0D07">
      <w:pPr>
        <w:spacing w:line="360" w:lineRule="auto"/>
        <w:jc w:val="center"/>
        <w:rPr>
          <w:b/>
          <w:bCs/>
          <w:caps/>
          <w:sz w:val="28"/>
          <w:szCs w:val="28"/>
          <w:lang w:val="uk-UA"/>
        </w:rPr>
      </w:pPr>
      <w:r>
        <w:rPr>
          <w:b/>
          <w:caps/>
          <w:sz w:val="28"/>
          <w:szCs w:val="28"/>
          <w:lang w:val="uk-UA"/>
        </w:rPr>
        <w:t>Дисертація</w:t>
      </w:r>
    </w:p>
    <w:p w14:paraId="13A17318" w14:textId="77777777" w:rsidR="00FD0D07" w:rsidRPr="007354FA" w:rsidRDefault="00FD0D07" w:rsidP="00FD0D07">
      <w:pPr>
        <w:jc w:val="center"/>
        <w:rPr>
          <w:b/>
          <w:bCs/>
          <w:sz w:val="28"/>
          <w:szCs w:val="28"/>
          <w:lang w:val="uk-UA"/>
        </w:rPr>
      </w:pPr>
      <w:r>
        <w:rPr>
          <w:b/>
          <w:sz w:val="28"/>
          <w:szCs w:val="28"/>
          <w:lang w:val="uk-UA"/>
        </w:rPr>
        <w:t xml:space="preserve">КОМПЛЕКСНІ СПОЛУКИ </w:t>
      </w:r>
      <w:r>
        <w:rPr>
          <w:b/>
          <w:sz w:val="28"/>
          <w:szCs w:val="28"/>
          <w:lang w:val="en-US"/>
        </w:rPr>
        <w:t>Sn</w:t>
      </w:r>
      <w:r>
        <w:rPr>
          <w:b/>
          <w:sz w:val="28"/>
          <w:szCs w:val="28"/>
          <w:lang w:val="uk-UA"/>
        </w:rPr>
        <w:t>(</w:t>
      </w:r>
      <w:r>
        <w:rPr>
          <w:b/>
          <w:sz w:val="28"/>
          <w:szCs w:val="28"/>
          <w:lang w:val="en-US"/>
        </w:rPr>
        <w:t>IV</w:t>
      </w:r>
      <w:r>
        <w:rPr>
          <w:b/>
          <w:sz w:val="28"/>
          <w:szCs w:val="28"/>
          <w:lang w:val="uk-UA"/>
        </w:rPr>
        <w:t>) З САЛІЦИЛОЇЛГІДРАЗОНАМИ БЕНЗАЛЬДЕГІДІВ ЯК ПОТЕНЦІЙНІ БІОЛОГІЧНО АКТИВНІ РЕЧОВИНИ З ПРОТИЗАПАЛЬНОЮ, АНАЛГЕТИЧНОЮ ТА СУПУТНЬОЮ ФАРМАКОЛОГІЧНОЮ ДІЄЮ</w:t>
      </w:r>
    </w:p>
    <w:p w14:paraId="33C91C90" w14:textId="77777777" w:rsidR="00FD0D07" w:rsidRDefault="00FD0D07" w:rsidP="00FD0D07">
      <w:pPr>
        <w:spacing w:line="360" w:lineRule="auto"/>
        <w:jc w:val="center"/>
        <w:rPr>
          <w:sz w:val="28"/>
          <w:szCs w:val="28"/>
          <w:lang w:val="uk-UA"/>
        </w:rPr>
      </w:pPr>
      <w:r>
        <w:rPr>
          <w:caps/>
          <w:sz w:val="28"/>
          <w:szCs w:val="28"/>
          <w:lang w:val="uk-UA"/>
        </w:rPr>
        <w:t xml:space="preserve">14.03.05 – </w:t>
      </w:r>
      <w:r>
        <w:rPr>
          <w:sz w:val="28"/>
          <w:szCs w:val="28"/>
          <w:lang w:val="uk-UA"/>
        </w:rPr>
        <w:t>фармакологія</w:t>
      </w:r>
      <w:r>
        <w:rPr>
          <w:sz w:val="28"/>
          <w:szCs w:val="28"/>
          <w:lang w:val="uk-UA"/>
        </w:rPr>
        <w:br/>
      </w:r>
    </w:p>
    <w:p w14:paraId="455986AC" w14:textId="77777777" w:rsidR="00FD0D07" w:rsidRDefault="00FD0D07" w:rsidP="00FD0D07">
      <w:pPr>
        <w:spacing w:line="360" w:lineRule="auto"/>
        <w:jc w:val="center"/>
        <w:rPr>
          <w:sz w:val="28"/>
          <w:szCs w:val="28"/>
          <w:lang w:val="uk-UA"/>
        </w:rPr>
      </w:pPr>
    </w:p>
    <w:p w14:paraId="16903D78" w14:textId="77777777" w:rsidR="00FD0D07" w:rsidRDefault="00FD0D07" w:rsidP="00FD0D07">
      <w:pPr>
        <w:spacing w:line="360" w:lineRule="auto"/>
        <w:jc w:val="center"/>
        <w:rPr>
          <w:sz w:val="28"/>
          <w:szCs w:val="28"/>
          <w:lang w:val="uk-UA"/>
        </w:rPr>
      </w:pPr>
      <w:r>
        <w:rPr>
          <w:sz w:val="28"/>
          <w:szCs w:val="28"/>
          <w:lang w:val="uk-UA"/>
        </w:rPr>
        <w:t>Подається на здобуття наукового ступеня кандидата біологічних наук.</w:t>
      </w:r>
    </w:p>
    <w:p w14:paraId="3692D4EC" w14:textId="77777777" w:rsidR="00FD0D07" w:rsidRDefault="00FD0D07" w:rsidP="00FD0D07">
      <w:pPr>
        <w:spacing w:line="360" w:lineRule="auto"/>
        <w:ind w:right="140"/>
        <w:jc w:val="both"/>
        <w:rPr>
          <w:color w:val="000000"/>
          <w:sz w:val="28"/>
          <w:szCs w:val="28"/>
          <w:lang w:val="uk-UA" w:eastAsia="uk-UA"/>
        </w:rPr>
      </w:pPr>
      <w:r>
        <w:rPr>
          <w:color w:val="000000"/>
          <w:sz w:val="28"/>
          <w:szCs w:val="28"/>
          <w:lang w:val="uk-UA" w:eastAsia="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14:paraId="39FF41A5" w14:textId="77777777" w:rsidR="00FD0D07" w:rsidRPr="00631365" w:rsidRDefault="00FD0D07" w:rsidP="00FD0D07">
      <w:pPr>
        <w:spacing w:line="360" w:lineRule="auto"/>
        <w:ind w:firstLine="709"/>
        <w:jc w:val="both"/>
        <w:rPr>
          <w:sz w:val="28"/>
          <w:szCs w:val="28"/>
          <w:lang w:val="uk-UA"/>
        </w:rPr>
      </w:pPr>
      <w:r w:rsidRPr="00631365">
        <w:rPr>
          <w:sz w:val="28"/>
          <w:szCs w:val="28"/>
        </w:rPr>
        <w:t>________________ Прокопчук Олена Геннад</w:t>
      </w:r>
      <w:r w:rsidRPr="00631365">
        <w:rPr>
          <w:sz w:val="28"/>
          <w:szCs w:val="28"/>
          <w:lang w:val="uk-UA"/>
        </w:rPr>
        <w:t>іївна</w:t>
      </w:r>
    </w:p>
    <w:p w14:paraId="10861D9A" w14:textId="77777777" w:rsidR="00FD0D07" w:rsidRPr="00631365" w:rsidRDefault="00FD0D07" w:rsidP="00FD0D07">
      <w:pPr>
        <w:spacing w:line="360" w:lineRule="auto"/>
        <w:ind w:right="140" w:firstLine="720"/>
        <w:jc w:val="both"/>
        <w:rPr>
          <w:color w:val="000000"/>
          <w:sz w:val="28"/>
          <w:szCs w:val="28"/>
          <w:u w:val="single"/>
          <w:lang w:eastAsia="uk-UA"/>
        </w:rPr>
      </w:pPr>
    </w:p>
    <w:p w14:paraId="042A5B71" w14:textId="77777777" w:rsidR="00FD0D07" w:rsidRDefault="00FD0D07" w:rsidP="00FD0D07">
      <w:pPr>
        <w:spacing w:line="360" w:lineRule="auto"/>
        <w:rPr>
          <w:sz w:val="28"/>
          <w:szCs w:val="28"/>
          <w:lang w:val="uk-UA"/>
        </w:rPr>
      </w:pPr>
      <w:r>
        <w:rPr>
          <w:color w:val="000000"/>
          <w:sz w:val="28"/>
          <w:szCs w:val="28"/>
          <w:lang w:val="uk-UA" w:eastAsia="uk-UA"/>
        </w:rPr>
        <w:t xml:space="preserve">Науковий керівник: </w:t>
      </w:r>
      <w:r>
        <w:rPr>
          <w:sz w:val="28"/>
          <w:szCs w:val="28"/>
          <w:lang w:val="uk-UA"/>
        </w:rPr>
        <w:t>Кравченко Ірина Анатоліївна, доктор біологічних наук, професор</w:t>
      </w:r>
    </w:p>
    <w:p w14:paraId="68029DE5" w14:textId="77777777" w:rsidR="00FD0D07" w:rsidRDefault="00FD0D07" w:rsidP="00FD0D07">
      <w:pPr>
        <w:spacing w:line="360" w:lineRule="auto"/>
        <w:rPr>
          <w:sz w:val="28"/>
          <w:szCs w:val="28"/>
          <w:lang w:val="uk-UA"/>
        </w:rPr>
      </w:pPr>
    </w:p>
    <w:p w14:paraId="47703B99" w14:textId="77777777" w:rsidR="00FD0D07" w:rsidRDefault="00FD0D07" w:rsidP="00FD0D07">
      <w:pPr>
        <w:spacing w:line="360" w:lineRule="auto"/>
        <w:jc w:val="center"/>
        <w:rPr>
          <w:sz w:val="28"/>
          <w:szCs w:val="28"/>
          <w:lang w:val="uk-UA"/>
        </w:rPr>
      </w:pPr>
    </w:p>
    <w:p w14:paraId="37AB3B84" w14:textId="77777777" w:rsidR="00FD0D07" w:rsidRPr="00A21380" w:rsidRDefault="00FD0D07" w:rsidP="00FD0D07">
      <w:pPr>
        <w:spacing w:line="360" w:lineRule="auto"/>
        <w:jc w:val="center"/>
        <w:rPr>
          <w:sz w:val="28"/>
          <w:szCs w:val="28"/>
          <w:lang w:val="uk-UA"/>
        </w:rPr>
      </w:pPr>
      <w:r>
        <w:rPr>
          <w:sz w:val="28"/>
          <w:szCs w:val="28"/>
          <w:lang w:val="uk-UA"/>
        </w:rPr>
        <w:t>Одеса – 2021</w:t>
      </w:r>
    </w:p>
    <w:p w14:paraId="3F17161D" w14:textId="77777777" w:rsidR="00FD0D07" w:rsidRDefault="00FD0D07" w:rsidP="00FD0D07">
      <w:pPr>
        <w:spacing w:line="360" w:lineRule="auto"/>
        <w:jc w:val="center"/>
        <w:rPr>
          <w:b/>
          <w:color w:val="000000"/>
          <w:sz w:val="28"/>
          <w:szCs w:val="28"/>
          <w:lang w:val="uk-UA"/>
        </w:rPr>
      </w:pPr>
      <w:r>
        <w:rPr>
          <w:b/>
          <w:color w:val="000000"/>
          <w:sz w:val="28"/>
          <w:szCs w:val="28"/>
          <w:lang w:val="uk-UA"/>
        </w:rPr>
        <w:br w:type="page"/>
      </w:r>
      <w:r>
        <w:rPr>
          <w:b/>
          <w:color w:val="000000"/>
          <w:sz w:val="28"/>
          <w:szCs w:val="28"/>
          <w:lang w:val="uk-UA"/>
        </w:rPr>
        <w:lastRenderedPageBreak/>
        <w:t>АНОТАЦІЯ</w:t>
      </w:r>
    </w:p>
    <w:p w14:paraId="73B8243C" w14:textId="77777777" w:rsidR="00FD0D07" w:rsidRPr="00FD0D07" w:rsidRDefault="00FD0D07" w:rsidP="00FD0D07">
      <w:pPr>
        <w:spacing w:line="360" w:lineRule="auto"/>
        <w:jc w:val="both"/>
        <w:rPr>
          <w:b/>
          <w:bCs/>
          <w:sz w:val="28"/>
          <w:szCs w:val="28"/>
          <w:lang w:val="uk-UA"/>
        </w:rPr>
      </w:pPr>
      <w:r w:rsidRPr="00631365">
        <w:rPr>
          <w:i/>
          <w:sz w:val="28"/>
          <w:szCs w:val="28"/>
          <w:lang w:val="uk-UA"/>
        </w:rPr>
        <w:t>Прокопчук О.Г.</w:t>
      </w:r>
      <w:r>
        <w:rPr>
          <w:b/>
          <w:sz w:val="28"/>
          <w:szCs w:val="28"/>
          <w:lang w:val="uk-UA"/>
        </w:rPr>
        <w:t xml:space="preserve"> </w:t>
      </w:r>
      <w:r>
        <w:rPr>
          <w:sz w:val="28"/>
          <w:szCs w:val="28"/>
          <w:lang w:val="uk-UA"/>
        </w:rPr>
        <w:t>К</w:t>
      </w:r>
      <w:r w:rsidRPr="00FD0D07">
        <w:rPr>
          <w:sz w:val="28"/>
          <w:szCs w:val="28"/>
          <w:lang w:val="uk-UA"/>
        </w:rPr>
        <w:t xml:space="preserve">омплексні сполуки </w:t>
      </w:r>
      <w:r>
        <w:rPr>
          <w:sz w:val="28"/>
          <w:szCs w:val="28"/>
          <w:lang w:val="en-US"/>
        </w:rPr>
        <w:t>S</w:t>
      </w:r>
      <w:r w:rsidRPr="00FD0D07">
        <w:rPr>
          <w:sz w:val="28"/>
          <w:szCs w:val="28"/>
          <w:lang w:val="en-US"/>
        </w:rPr>
        <w:t>n</w:t>
      </w:r>
      <w:r w:rsidRPr="00FD0D07">
        <w:rPr>
          <w:sz w:val="28"/>
          <w:szCs w:val="28"/>
          <w:lang w:val="uk-UA"/>
        </w:rPr>
        <w:t>(</w:t>
      </w:r>
      <w:r>
        <w:rPr>
          <w:sz w:val="28"/>
          <w:szCs w:val="28"/>
          <w:lang w:val="en-US"/>
        </w:rPr>
        <w:t>IV</w:t>
      </w:r>
      <w:r w:rsidRPr="00FD0D07">
        <w:rPr>
          <w:sz w:val="28"/>
          <w:szCs w:val="28"/>
          <w:lang w:val="uk-UA"/>
        </w:rPr>
        <w:t>) з саліцилоїлгідразонами бензальдегідів як потенційні біологічно активні речовини з протизапальною, аналгетичною та супутньою фармакологічною дією</w:t>
      </w:r>
      <w:r w:rsidRPr="00631365">
        <w:rPr>
          <w:sz w:val="28"/>
          <w:szCs w:val="28"/>
          <w:lang w:val="uk-UA"/>
        </w:rPr>
        <w:t xml:space="preserve">.  </w:t>
      </w:r>
      <w:r w:rsidRPr="00631365">
        <w:rPr>
          <w:sz w:val="28"/>
          <w:szCs w:val="28"/>
        </w:rPr>
        <w:t xml:space="preserve">– Кваліфікаційна наукова праця на правах рукопису.  </w:t>
      </w:r>
    </w:p>
    <w:p w14:paraId="7A52F97F" w14:textId="77777777" w:rsidR="00FD0D07" w:rsidRDefault="00FD0D07" w:rsidP="00FD0D07">
      <w:pPr>
        <w:spacing w:line="360" w:lineRule="auto"/>
        <w:ind w:firstLine="709"/>
        <w:jc w:val="both"/>
        <w:rPr>
          <w:sz w:val="28"/>
          <w:szCs w:val="28"/>
          <w:lang w:val="uk-UA"/>
        </w:rPr>
      </w:pPr>
      <w:r w:rsidRPr="000A03AF">
        <w:rPr>
          <w:sz w:val="28"/>
          <w:szCs w:val="28"/>
          <w:lang w:val="uk-UA"/>
        </w:rPr>
        <w:t>Дисертація на здобуття наукового ступеня кандидата біологічних наук</w:t>
      </w:r>
      <w:r>
        <w:rPr>
          <w:sz w:val="28"/>
          <w:szCs w:val="28"/>
          <w:lang w:val="uk-UA"/>
        </w:rPr>
        <w:t xml:space="preserve"> </w:t>
      </w:r>
      <w:r w:rsidRPr="000A03AF">
        <w:rPr>
          <w:sz w:val="28"/>
          <w:szCs w:val="28"/>
          <w:lang w:val="uk-UA"/>
        </w:rPr>
        <w:t>за спеціальністю 14.03.05 – фармакологія</w:t>
      </w:r>
      <w:r>
        <w:rPr>
          <w:sz w:val="28"/>
          <w:szCs w:val="28"/>
          <w:lang w:val="uk-UA"/>
        </w:rPr>
        <w:t>.</w:t>
      </w:r>
      <w:r w:rsidRPr="000A03AF">
        <w:rPr>
          <w:sz w:val="28"/>
          <w:szCs w:val="28"/>
          <w:lang w:val="uk-UA"/>
        </w:rPr>
        <w:t xml:space="preserve"> </w:t>
      </w:r>
      <w:r>
        <w:rPr>
          <w:sz w:val="28"/>
          <w:szCs w:val="28"/>
          <w:lang w:val="uk-UA"/>
        </w:rPr>
        <w:t xml:space="preserve">- </w:t>
      </w:r>
      <w:r w:rsidRPr="000A03AF">
        <w:rPr>
          <w:sz w:val="28"/>
          <w:szCs w:val="28"/>
          <w:lang w:val="uk-UA"/>
        </w:rPr>
        <w:t>Одеський національний політехнічний університет МОН України (виконання роботи), Одеса</w:t>
      </w:r>
      <w:r>
        <w:rPr>
          <w:sz w:val="28"/>
          <w:szCs w:val="28"/>
          <w:lang w:val="uk-UA"/>
        </w:rPr>
        <w:t xml:space="preserve"> -</w:t>
      </w:r>
      <w:r w:rsidRPr="000A03AF">
        <w:rPr>
          <w:sz w:val="28"/>
          <w:szCs w:val="28"/>
          <w:lang w:val="uk-UA"/>
        </w:rPr>
        <w:t xml:space="preserve"> 2021.</w:t>
      </w:r>
    </w:p>
    <w:p w14:paraId="5C3A65F6" w14:textId="77777777" w:rsidR="00FD0D07" w:rsidRDefault="00FD0D07" w:rsidP="00FD0D07">
      <w:pPr>
        <w:spacing w:line="360" w:lineRule="auto"/>
        <w:ind w:firstLine="709"/>
        <w:jc w:val="both"/>
        <w:rPr>
          <w:sz w:val="28"/>
          <w:szCs w:val="28"/>
          <w:lang w:val="uk-UA"/>
        </w:rPr>
      </w:pPr>
      <w:r w:rsidRPr="000A03AF">
        <w:rPr>
          <w:sz w:val="28"/>
          <w:szCs w:val="28"/>
          <w:lang w:val="uk-UA"/>
        </w:rPr>
        <w:t>ДУ «Інститут фармакології та токсикології НАМН України» (захист), Київ – 2021</w:t>
      </w:r>
    </w:p>
    <w:p w14:paraId="47666CB4" w14:textId="77777777" w:rsidR="00FD0D07" w:rsidRDefault="00FD0D07" w:rsidP="00FD0D07">
      <w:pPr>
        <w:spacing w:line="360" w:lineRule="auto"/>
        <w:ind w:firstLine="709"/>
        <w:jc w:val="both"/>
        <w:rPr>
          <w:sz w:val="28"/>
          <w:szCs w:val="28"/>
          <w:lang w:val="uk-UA"/>
        </w:rPr>
      </w:pPr>
      <w:r w:rsidRPr="000A03AF">
        <w:rPr>
          <w:sz w:val="28"/>
          <w:szCs w:val="28"/>
          <w:lang w:val="uk-UA"/>
        </w:rPr>
        <w:t>Дисертацію присвячено вивченню протизапальної, аналгетичної</w:t>
      </w:r>
      <w:r w:rsidRPr="00FD0D07">
        <w:rPr>
          <w:sz w:val="28"/>
          <w:szCs w:val="28"/>
          <w:lang w:val="uk-UA"/>
        </w:rPr>
        <w:t xml:space="preserve">, </w:t>
      </w:r>
      <w:r w:rsidRPr="000A03AF">
        <w:rPr>
          <w:color w:val="000000"/>
          <w:sz w:val="28"/>
          <w:szCs w:val="28"/>
          <w:lang w:val="uk-UA"/>
        </w:rPr>
        <w:t>антидепрес</w:t>
      </w:r>
      <w:r>
        <w:rPr>
          <w:color w:val="000000"/>
          <w:sz w:val="28"/>
          <w:szCs w:val="28"/>
          <w:lang w:val="uk-UA"/>
        </w:rPr>
        <w:t>антної</w:t>
      </w:r>
      <w:r w:rsidRPr="000A03AF">
        <w:rPr>
          <w:sz w:val="28"/>
          <w:szCs w:val="28"/>
          <w:lang w:val="uk-UA"/>
        </w:rPr>
        <w:t xml:space="preserve">, анксиолітичної </w:t>
      </w:r>
      <w:r>
        <w:rPr>
          <w:sz w:val="28"/>
          <w:szCs w:val="28"/>
          <w:lang w:val="uk-UA"/>
        </w:rPr>
        <w:t>та</w:t>
      </w:r>
      <w:r w:rsidRPr="000A03AF">
        <w:rPr>
          <w:sz w:val="28"/>
          <w:szCs w:val="28"/>
          <w:lang w:val="uk-UA"/>
        </w:rPr>
        <w:t xml:space="preserve"> протисудомної дії нових комплексних сполук SnCl</w:t>
      </w:r>
      <w:r w:rsidRPr="000A03AF">
        <w:rPr>
          <w:sz w:val="28"/>
          <w:szCs w:val="28"/>
          <w:vertAlign w:val="subscript"/>
          <w:lang w:val="uk-UA"/>
        </w:rPr>
        <w:t>4</w:t>
      </w:r>
      <w:r w:rsidRPr="000A03AF">
        <w:rPr>
          <w:sz w:val="28"/>
          <w:szCs w:val="28"/>
          <w:lang w:val="uk-UA"/>
        </w:rPr>
        <w:t xml:space="preserve"> з саліцилоїлгідразонами бензальдегіду та 4-бромбензальдегіду при пероральному введенні.</w:t>
      </w:r>
    </w:p>
    <w:p w14:paraId="3F65032B" w14:textId="77777777" w:rsidR="00FD0D07" w:rsidRDefault="00FD0D07" w:rsidP="00FD0D07">
      <w:pPr>
        <w:spacing w:line="360" w:lineRule="auto"/>
        <w:ind w:firstLine="709"/>
        <w:jc w:val="both"/>
        <w:rPr>
          <w:sz w:val="28"/>
          <w:szCs w:val="28"/>
          <w:lang w:val="uk-UA"/>
        </w:rPr>
      </w:pPr>
      <w:r w:rsidRPr="000A03AF">
        <w:rPr>
          <w:sz w:val="28"/>
          <w:szCs w:val="28"/>
          <w:lang w:val="uk-UA"/>
        </w:rPr>
        <w:t xml:space="preserve">Було встановлено оптимальну дозу комплексних сполук, яка може забезпечити максимальний та безпечний фармакологічний ефект. </w:t>
      </w:r>
    </w:p>
    <w:p w14:paraId="213750EE" w14:textId="77777777" w:rsidR="00FD0D07" w:rsidRDefault="00FD0D07" w:rsidP="00FD0D07">
      <w:pPr>
        <w:spacing w:line="360" w:lineRule="auto"/>
        <w:ind w:firstLine="709"/>
        <w:jc w:val="both"/>
        <w:rPr>
          <w:sz w:val="28"/>
          <w:szCs w:val="28"/>
          <w:lang w:val="uk-UA"/>
        </w:rPr>
      </w:pPr>
      <w:r w:rsidRPr="000A03AF">
        <w:rPr>
          <w:sz w:val="28"/>
          <w:szCs w:val="28"/>
          <w:lang w:val="uk-UA"/>
        </w:rPr>
        <w:t>Дослідження протизапальної активності нових комплексних сполук SnCl</w:t>
      </w:r>
      <w:r w:rsidRPr="000A03AF">
        <w:rPr>
          <w:sz w:val="28"/>
          <w:szCs w:val="28"/>
          <w:vertAlign w:val="subscript"/>
          <w:lang w:val="uk-UA"/>
        </w:rPr>
        <w:t>4</w:t>
      </w:r>
      <w:r w:rsidRPr="000A03AF">
        <w:rPr>
          <w:sz w:val="28"/>
          <w:szCs w:val="28"/>
          <w:lang w:val="uk-UA"/>
        </w:rPr>
        <w:t xml:space="preserve"> з саліцилоїлгідразонами бензальдегіду та 4-бромбензальдегіду при пероральному введенні було проведено на різних моделях запален</w:t>
      </w:r>
      <w:r>
        <w:rPr>
          <w:sz w:val="28"/>
          <w:szCs w:val="28"/>
          <w:lang w:val="uk-UA"/>
        </w:rPr>
        <w:t>ня</w:t>
      </w:r>
      <w:r w:rsidRPr="000A03AF">
        <w:rPr>
          <w:sz w:val="28"/>
          <w:szCs w:val="28"/>
          <w:lang w:val="uk-UA"/>
        </w:rPr>
        <w:t xml:space="preserve"> (трипсинове, гістамінове, каррагінанове та формалінове). </w:t>
      </w:r>
      <w:r>
        <w:rPr>
          <w:sz w:val="28"/>
          <w:szCs w:val="28"/>
          <w:lang w:val="uk-UA"/>
        </w:rPr>
        <w:t>Д</w:t>
      </w:r>
      <w:r w:rsidRPr="000A03AF">
        <w:rPr>
          <w:sz w:val="28"/>
          <w:szCs w:val="28"/>
          <w:lang w:val="uk-UA"/>
        </w:rPr>
        <w:t>ослідженн</w:t>
      </w:r>
      <w:r>
        <w:rPr>
          <w:sz w:val="28"/>
          <w:szCs w:val="28"/>
          <w:lang w:val="uk-UA"/>
        </w:rPr>
        <w:t>я</w:t>
      </w:r>
      <w:r w:rsidRPr="000A03AF">
        <w:rPr>
          <w:sz w:val="28"/>
          <w:szCs w:val="28"/>
          <w:lang w:val="uk-UA"/>
        </w:rPr>
        <w:t xml:space="preserve"> протизапальної активності </w:t>
      </w:r>
      <w:r>
        <w:rPr>
          <w:sz w:val="28"/>
          <w:szCs w:val="28"/>
          <w:lang w:val="uk-UA"/>
        </w:rPr>
        <w:t xml:space="preserve">комплексних сполук І і ІІ </w:t>
      </w:r>
      <w:r w:rsidRPr="000A03AF">
        <w:rPr>
          <w:sz w:val="28"/>
          <w:szCs w:val="28"/>
          <w:lang w:val="uk-UA"/>
        </w:rPr>
        <w:t>на моделі гістамінового запалення показало, що через годину після початку експерименту приріст об’єму запаленої кінцівки склав лише 15%, а через три години показники об’єму сягнули контрольних значень. Протизапальна активність обох комплексів на моделі гістамін-індукованого запалення не має достовірних статистичних відмінностей, а через 6 годин після початку експерименту показники об’єму запалених кінцівок досягли контрольних.</w:t>
      </w:r>
      <w:r>
        <w:rPr>
          <w:sz w:val="28"/>
          <w:szCs w:val="28"/>
          <w:lang w:val="uk-UA"/>
        </w:rPr>
        <w:t xml:space="preserve"> </w:t>
      </w:r>
      <w:r w:rsidRPr="000A03AF">
        <w:rPr>
          <w:sz w:val="28"/>
          <w:szCs w:val="28"/>
          <w:lang w:val="uk-UA"/>
        </w:rPr>
        <w:t xml:space="preserve">Саліцилова кислота проявляє протизапальну активність на усіх моделях запалення, але найбільш виразний ефект спостерігався на моделях формалін- та трипсин-індукованого запалення. </w:t>
      </w:r>
    </w:p>
    <w:p w14:paraId="622878CD" w14:textId="77777777" w:rsidR="00FD0D07" w:rsidRDefault="00FD0D07" w:rsidP="00FD0D07">
      <w:pPr>
        <w:spacing w:line="360" w:lineRule="auto"/>
        <w:ind w:firstLine="709"/>
        <w:jc w:val="both"/>
        <w:rPr>
          <w:sz w:val="28"/>
          <w:szCs w:val="28"/>
          <w:lang w:val="uk-UA"/>
        </w:rPr>
      </w:pPr>
      <w:r w:rsidRPr="000A03AF">
        <w:rPr>
          <w:sz w:val="28"/>
          <w:szCs w:val="28"/>
          <w:lang w:val="uk-UA"/>
        </w:rPr>
        <w:lastRenderedPageBreak/>
        <w:t>Обидві комплексні сполуки показали високий рівень протизапальної дії на моделі формалін-індукованого запалення за рахунок зниження морфологічних показників на 65% і 80%, відповідно, у порівнянні із контролем. Імовірно, що висока ефективність комплексної сполуки SnCl</w:t>
      </w:r>
      <w:r w:rsidRPr="000A03AF">
        <w:rPr>
          <w:sz w:val="28"/>
          <w:szCs w:val="28"/>
          <w:vertAlign w:val="subscript"/>
          <w:lang w:val="uk-UA"/>
        </w:rPr>
        <w:t>4</w:t>
      </w:r>
      <w:r w:rsidRPr="000A03AF">
        <w:rPr>
          <w:sz w:val="28"/>
          <w:szCs w:val="28"/>
          <w:lang w:val="uk-UA"/>
        </w:rPr>
        <w:t xml:space="preserve"> з саліцилоїлгідразоном 4-бромбензальдегіду обумовлена синергізмом дії 4-бромбензальдегіду і саліцилової кислоти, які входять до його структури</w:t>
      </w:r>
      <w:r>
        <w:rPr>
          <w:sz w:val="28"/>
          <w:szCs w:val="28"/>
          <w:lang w:val="uk-UA"/>
        </w:rPr>
        <w:t>.</w:t>
      </w:r>
    </w:p>
    <w:p w14:paraId="45AF2F1B" w14:textId="77777777" w:rsidR="00FD0D07" w:rsidRDefault="00FD0D07" w:rsidP="00FD0D07">
      <w:pPr>
        <w:spacing w:line="360" w:lineRule="auto"/>
        <w:ind w:firstLine="706"/>
        <w:jc w:val="both"/>
        <w:rPr>
          <w:sz w:val="28"/>
          <w:szCs w:val="28"/>
          <w:lang w:val="uk-UA"/>
        </w:rPr>
      </w:pPr>
      <w:r w:rsidRPr="000A03AF">
        <w:rPr>
          <w:sz w:val="28"/>
          <w:szCs w:val="28"/>
          <w:lang w:val="uk-UA"/>
        </w:rPr>
        <w:t>На моделі каррагінан-індукованого запалення було встановлено, що через добу після початку експерименту приріст об'єму запаленої кінцівки для комплексної сполуки SnCl</w:t>
      </w:r>
      <w:r w:rsidRPr="000A03AF">
        <w:rPr>
          <w:sz w:val="28"/>
          <w:szCs w:val="28"/>
          <w:vertAlign w:val="subscript"/>
          <w:lang w:val="uk-UA"/>
        </w:rPr>
        <w:t>4</w:t>
      </w:r>
      <w:r w:rsidRPr="000A03AF">
        <w:rPr>
          <w:sz w:val="28"/>
          <w:szCs w:val="28"/>
          <w:lang w:val="uk-UA"/>
        </w:rPr>
        <w:t xml:space="preserve"> з саліцилоїлгідразоном 4-бромбензальдегіду склав всього 13%, у той час як для комплексної сполуки SnCl</w:t>
      </w:r>
      <w:r w:rsidRPr="000A03AF">
        <w:rPr>
          <w:sz w:val="28"/>
          <w:szCs w:val="28"/>
          <w:vertAlign w:val="subscript"/>
          <w:lang w:val="uk-UA"/>
        </w:rPr>
        <w:t>4</w:t>
      </w:r>
      <w:r w:rsidRPr="000A03AF">
        <w:rPr>
          <w:sz w:val="28"/>
          <w:szCs w:val="28"/>
          <w:lang w:val="uk-UA"/>
        </w:rPr>
        <w:t xml:space="preserve"> з саліцилоїлгідразоном бензальдегіду дані приросту становили 24,2%. Надалі спостерігалося поступове зменшення об'єму запаленої кінцівки протягом п'яти діб після початку лікування і досягнення показників об'єму інтактних тварин. </w:t>
      </w:r>
    </w:p>
    <w:p w14:paraId="6CAF0875" w14:textId="6B8E98B0" w:rsidR="00FD0D07" w:rsidRDefault="00FD0D07" w:rsidP="00FD0D07">
      <w:pPr>
        <w:pStyle w:val="a6"/>
        <w:spacing w:before="0" w:beforeAutospacing="0" w:after="0" w:afterAutospacing="0" w:line="360" w:lineRule="auto"/>
        <w:ind w:firstLine="709"/>
        <w:jc w:val="both"/>
        <w:rPr>
          <w:sz w:val="28"/>
          <w:szCs w:val="28"/>
          <w:lang w:val="uk-UA"/>
        </w:rPr>
      </w:pPr>
      <w:r w:rsidRPr="00631365">
        <w:rPr>
          <w:sz w:val="28"/>
          <w:szCs w:val="28"/>
          <w:lang w:val="uk-UA"/>
        </w:rPr>
        <w:t>На різних моделях індукції больової реакції було доведено, що пероральне введення нових комплексних сполук SnCl</w:t>
      </w:r>
      <w:r w:rsidRPr="00631365">
        <w:rPr>
          <w:sz w:val="28"/>
          <w:szCs w:val="28"/>
          <w:vertAlign w:val="subscript"/>
          <w:lang w:val="uk-UA"/>
        </w:rPr>
        <w:t>4</w:t>
      </w:r>
      <w:r w:rsidRPr="00631365">
        <w:rPr>
          <w:sz w:val="28"/>
          <w:szCs w:val="28"/>
          <w:lang w:val="uk-UA"/>
        </w:rPr>
        <w:t xml:space="preserve"> з саліцилоїлгідразонами бензальдегіду та 4-бромбензальдегіду проявляють виразну активність на моделях хімічно- і термічно-індукованого болю. У якості референс-препарату було обрано </w:t>
      </w:r>
      <w:r w:rsidR="00AF759D">
        <w:rPr>
          <w:sz w:val="28"/>
          <w:szCs w:val="28"/>
          <w:lang w:val="uk-UA"/>
        </w:rPr>
        <w:t>і</w:t>
      </w:r>
      <w:r w:rsidRPr="00631365">
        <w:rPr>
          <w:sz w:val="28"/>
          <w:szCs w:val="28"/>
          <w:lang w:val="uk-UA"/>
        </w:rPr>
        <w:t>бупрофен у дозі 15 мг/кг</w:t>
      </w:r>
      <w:r>
        <w:rPr>
          <w:sz w:val="28"/>
          <w:szCs w:val="28"/>
          <w:lang w:val="uk-UA"/>
        </w:rPr>
        <w:t xml:space="preserve">. </w:t>
      </w:r>
    </w:p>
    <w:p w14:paraId="11E44EB1" w14:textId="77777777" w:rsidR="00FD0D07" w:rsidRDefault="00FD0D07" w:rsidP="00FD0D07">
      <w:pPr>
        <w:spacing w:line="360" w:lineRule="auto"/>
        <w:ind w:firstLine="706"/>
        <w:jc w:val="both"/>
        <w:rPr>
          <w:sz w:val="28"/>
          <w:szCs w:val="28"/>
          <w:lang w:val="uk-UA"/>
        </w:rPr>
      </w:pPr>
      <w:r w:rsidRPr="0069159F">
        <w:rPr>
          <w:sz w:val="28"/>
          <w:szCs w:val="28"/>
          <w:lang w:val="uk-UA"/>
        </w:rPr>
        <w:t>Було доведено, що пероральне введення нових комплексн</w:t>
      </w:r>
      <w:r w:rsidRPr="000A03AF">
        <w:rPr>
          <w:sz w:val="28"/>
          <w:szCs w:val="28"/>
          <w:lang w:val="uk-UA"/>
        </w:rPr>
        <w:t>их сполук SnCl</w:t>
      </w:r>
      <w:r w:rsidRPr="000A03AF">
        <w:rPr>
          <w:sz w:val="28"/>
          <w:szCs w:val="28"/>
          <w:vertAlign w:val="subscript"/>
          <w:lang w:val="uk-UA"/>
        </w:rPr>
        <w:t>4</w:t>
      </w:r>
      <w:r w:rsidRPr="000A03AF">
        <w:rPr>
          <w:sz w:val="28"/>
          <w:szCs w:val="28"/>
          <w:lang w:val="uk-UA"/>
        </w:rPr>
        <w:t xml:space="preserve"> з саліцилоїлгідразонами бензальдегіду та 4-бромбензальдегіду</w:t>
      </w:r>
      <w:r>
        <w:rPr>
          <w:sz w:val="28"/>
          <w:szCs w:val="28"/>
          <w:lang w:val="uk-UA"/>
        </w:rPr>
        <w:t xml:space="preserve"> </w:t>
      </w:r>
      <w:r w:rsidRPr="000A03AF">
        <w:rPr>
          <w:sz w:val="28"/>
          <w:szCs w:val="28"/>
          <w:lang w:val="uk-UA"/>
        </w:rPr>
        <w:t xml:space="preserve">проявляють виразну </w:t>
      </w:r>
      <w:r>
        <w:rPr>
          <w:sz w:val="28"/>
          <w:szCs w:val="28"/>
          <w:lang w:val="uk-UA"/>
        </w:rPr>
        <w:t xml:space="preserve">аналгетичну </w:t>
      </w:r>
      <w:r w:rsidRPr="000A03AF">
        <w:rPr>
          <w:sz w:val="28"/>
          <w:szCs w:val="28"/>
          <w:lang w:val="uk-UA"/>
        </w:rPr>
        <w:t xml:space="preserve">активність на моделях хімічно- і термічно-індукованого болю. </w:t>
      </w:r>
    </w:p>
    <w:p w14:paraId="6F770D86" w14:textId="77777777" w:rsidR="00821BED" w:rsidRDefault="00FD0D07" w:rsidP="00FD0D07">
      <w:pPr>
        <w:spacing w:line="360" w:lineRule="auto"/>
        <w:ind w:firstLine="709"/>
        <w:jc w:val="both"/>
        <w:rPr>
          <w:sz w:val="28"/>
          <w:szCs w:val="28"/>
          <w:lang w:val="uk-UA"/>
        </w:rPr>
      </w:pPr>
      <w:r w:rsidRPr="000A03AF">
        <w:rPr>
          <w:sz w:val="28"/>
          <w:szCs w:val="28"/>
          <w:lang w:val="uk-UA"/>
        </w:rPr>
        <w:t xml:space="preserve">Вперше було встановлено наявність </w:t>
      </w:r>
      <w:r w:rsidRPr="000A03AF">
        <w:rPr>
          <w:color w:val="000000"/>
          <w:sz w:val="28"/>
          <w:szCs w:val="28"/>
          <w:lang w:val="uk-UA"/>
        </w:rPr>
        <w:t>антид</w:t>
      </w:r>
      <w:r>
        <w:rPr>
          <w:color w:val="000000"/>
          <w:sz w:val="28"/>
          <w:szCs w:val="28"/>
          <w:lang w:val="uk-UA"/>
        </w:rPr>
        <w:t xml:space="preserve">епресантної </w:t>
      </w:r>
      <w:r w:rsidRPr="000A03AF">
        <w:rPr>
          <w:sz w:val="28"/>
          <w:szCs w:val="28"/>
          <w:lang w:val="uk-UA"/>
        </w:rPr>
        <w:t>активності нових комплексних сполук SnCl</w:t>
      </w:r>
      <w:r w:rsidRPr="000A03AF">
        <w:rPr>
          <w:sz w:val="28"/>
          <w:szCs w:val="28"/>
          <w:vertAlign w:val="subscript"/>
          <w:lang w:val="uk-UA"/>
        </w:rPr>
        <w:t>4</w:t>
      </w:r>
      <w:r w:rsidRPr="000A03AF">
        <w:rPr>
          <w:sz w:val="28"/>
          <w:szCs w:val="28"/>
          <w:lang w:val="uk-UA"/>
        </w:rPr>
        <w:t xml:space="preserve"> з саліцилоїлгідразонами бензальдегіду та 4-бромбензальдегіду на моделі вимушеного плавання (тест Порсолта). Результати досліджень показали, що у тесті </w:t>
      </w:r>
      <w:r>
        <w:rPr>
          <w:sz w:val="28"/>
          <w:szCs w:val="28"/>
          <w:lang w:val="uk-UA"/>
        </w:rPr>
        <w:t>Порсолта</w:t>
      </w:r>
      <w:r w:rsidRPr="000A03AF">
        <w:rPr>
          <w:sz w:val="28"/>
          <w:szCs w:val="28"/>
          <w:lang w:val="uk-UA"/>
        </w:rPr>
        <w:t xml:space="preserve"> пероральне введення сполук I та II у дозі 147 мг/кг і 168 мг/кг</w:t>
      </w:r>
      <w:r>
        <w:rPr>
          <w:sz w:val="28"/>
          <w:szCs w:val="28"/>
          <w:lang w:val="uk-UA"/>
        </w:rPr>
        <w:t xml:space="preserve">, </w:t>
      </w:r>
      <w:r w:rsidRPr="000A03AF">
        <w:rPr>
          <w:sz w:val="28"/>
          <w:szCs w:val="28"/>
          <w:lang w:val="uk-UA"/>
        </w:rPr>
        <w:t xml:space="preserve">відповідно, достовірно збільшувало час активного плавання. Через 1 годину після перорального введення комплексів І і ІІ спостерігалася повна відсутність іммобільності мишей упродовж 3 хв. вимірювання у порівнянні з контрольною групою. </w:t>
      </w:r>
    </w:p>
    <w:p w14:paraId="1894C180" w14:textId="05AD9699" w:rsidR="00FD0D07" w:rsidRPr="0069159F" w:rsidRDefault="00FD0D07" w:rsidP="00FD0D07">
      <w:pPr>
        <w:spacing w:line="360" w:lineRule="auto"/>
        <w:ind w:firstLine="709"/>
        <w:jc w:val="both"/>
        <w:rPr>
          <w:sz w:val="28"/>
          <w:szCs w:val="28"/>
          <w:lang w:val="uk-UA"/>
        </w:rPr>
      </w:pPr>
      <w:r w:rsidRPr="000A03AF">
        <w:rPr>
          <w:sz w:val="28"/>
          <w:szCs w:val="28"/>
          <w:lang w:val="uk-UA"/>
        </w:rPr>
        <w:lastRenderedPageBreak/>
        <w:t>Показники активного плавання істотно перевищували дані референ</w:t>
      </w:r>
      <w:r>
        <w:rPr>
          <w:sz w:val="28"/>
          <w:szCs w:val="28"/>
          <w:lang w:val="uk-UA"/>
        </w:rPr>
        <w:t>с</w:t>
      </w:r>
      <w:r w:rsidRPr="000A03AF">
        <w:rPr>
          <w:sz w:val="28"/>
          <w:szCs w:val="28"/>
          <w:lang w:val="uk-UA"/>
        </w:rPr>
        <w:t xml:space="preserve"> препарату амітриптиліну. Через три години після початку експерименту комплексні сполуки І і ІІ викликали зниження часу іммобільності, так дані склали </w:t>
      </w:r>
      <w:r>
        <w:rPr>
          <w:sz w:val="28"/>
          <w:szCs w:val="28"/>
          <w:lang w:val="uk-UA"/>
        </w:rPr>
        <w:t xml:space="preserve">6 с. </w:t>
      </w:r>
      <w:r w:rsidRPr="000A03AF">
        <w:rPr>
          <w:sz w:val="28"/>
          <w:szCs w:val="28"/>
          <w:lang w:val="uk-UA"/>
        </w:rPr>
        <w:t xml:space="preserve">та </w:t>
      </w:r>
      <w:r>
        <w:rPr>
          <w:sz w:val="28"/>
          <w:szCs w:val="28"/>
          <w:lang w:val="uk-UA"/>
        </w:rPr>
        <w:t>10 с.</w:t>
      </w:r>
      <w:r w:rsidRPr="000A03AF">
        <w:rPr>
          <w:sz w:val="28"/>
          <w:szCs w:val="28"/>
          <w:lang w:val="uk-UA"/>
        </w:rPr>
        <w:t xml:space="preserve"> для комплексних сполук І і ІІ, відповідно. Протягом п’яти годин спостерігалася </w:t>
      </w:r>
      <w:r w:rsidRPr="000A03AF">
        <w:rPr>
          <w:color w:val="000000"/>
          <w:sz w:val="28"/>
          <w:szCs w:val="28"/>
          <w:lang w:val="uk-UA"/>
        </w:rPr>
        <w:t xml:space="preserve">антидепресивна </w:t>
      </w:r>
      <w:r w:rsidRPr="000A03AF">
        <w:rPr>
          <w:sz w:val="28"/>
          <w:szCs w:val="28"/>
          <w:lang w:val="uk-UA"/>
        </w:rPr>
        <w:t xml:space="preserve">дія досліджуваних сполук, які в середньому зменшували час іммобільності тварин </w:t>
      </w:r>
      <w:r>
        <w:rPr>
          <w:sz w:val="28"/>
          <w:szCs w:val="28"/>
          <w:lang w:val="uk-UA"/>
        </w:rPr>
        <w:t>до 6 с.</w:t>
      </w:r>
      <w:r w:rsidRPr="000A03AF">
        <w:rPr>
          <w:sz w:val="28"/>
          <w:szCs w:val="28"/>
          <w:lang w:val="uk-UA"/>
        </w:rPr>
        <w:t xml:space="preserve"> і</w:t>
      </w:r>
      <w:r>
        <w:rPr>
          <w:sz w:val="28"/>
          <w:szCs w:val="28"/>
          <w:lang w:val="uk-UA"/>
        </w:rPr>
        <w:t xml:space="preserve"> 2 с.</w:t>
      </w:r>
      <w:r w:rsidRPr="000A03AF">
        <w:rPr>
          <w:sz w:val="28"/>
          <w:szCs w:val="28"/>
          <w:lang w:val="uk-UA"/>
        </w:rPr>
        <w:t xml:space="preserve">, відповідно. Введення бензальдегіду та саліцилоїлгідразону бензальдегіду впродовж першої години зменшувало час іммобільності тварин </w:t>
      </w:r>
      <w:r>
        <w:rPr>
          <w:sz w:val="28"/>
          <w:szCs w:val="28"/>
          <w:lang w:val="uk-UA"/>
        </w:rPr>
        <w:t>до 2 с.</w:t>
      </w:r>
      <w:r w:rsidRPr="000A03AF">
        <w:rPr>
          <w:sz w:val="28"/>
          <w:szCs w:val="28"/>
          <w:lang w:val="uk-UA"/>
        </w:rPr>
        <w:t xml:space="preserve"> і</w:t>
      </w:r>
      <w:r>
        <w:rPr>
          <w:sz w:val="28"/>
          <w:szCs w:val="28"/>
          <w:lang w:val="uk-UA"/>
        </w:rPr>
        <w:t xml:space="preserve"> 24 с</w:t>
      </w:r>
      <w:r w:rsidRPr="000A03AF">
        <w:rPr>
          <w:sz w:val="28"/>
          <w:szCs w:val="28"/>
          <w:lang w:val="uk-UA"/>
        </w:rPr>
        <w:t xml:space="preserve">, відповідно. Встановлено, що комплексна сполука ІІ, що містить у своїй структурі атом брому, проявляла виразний </w:t>
      </w:r>
      <w:r w:rsidRPr="000A03AF">
        <w:rPr>
          <w:color w:val="000000"/>
          <w:sz w:val="28"/>
          <w:szCs w:val="28"/>
          <w:lang w:val="uk-UA"/>
        </w:rPr>
        <w:t>антидепрес</w:t>
      </w:r>
      <w:r>
        <w:rPr>
          <w:color w:val="000000"/>
          <w:sz w:val="28"/>
          <w:szCs w:val="28"/>
          <w:lang w:val="uk-UA"/>
        </w:rPr>
        <w:t xml:space="preserve">антний </w:t>
      </w:r>
      <w:r w:rsidRPr="000A03AF">
        <w:rPr>
          <w:sz w:val="28"/>
          <w:szCs w:val="28"/>
          <w:lang w:val="uk-UA"/>
        </w:rPr>
        <w:t xml:space="preserve">ефект, протягом експерименту час іммобільності тварин не перевищував </w:t>
      </w:r>
      <w:r>
        <w:rPr>
          <w:sz w:val="28"/>
          <w:szCs w:val="28"/>
          <w:lang w:val="uk-UA"/>
        </w:rPr>
        <w:t>10 с</w:t>
      </w:r>
      <w:r w:rsidRPr="000A03AF">
        <w:rPr>
          <w:sz w:val="28"/>
          <w:szCs w:val="28"/>
          <w:lang w:val="uk-UA"/>
        </w:rPr>
        <w:t xml:space="preserve">. Через 24 години експерименту </w:t>
      </w:r>
      <w:r w:rsidRPr="000A03AF">
        <w:rPr>
          <w:color w:val="000000"/>
          <w:sz w:val="28"/>
          <w:szCs w:val="28"/>
          <w:lang w:val="uk-UA"/>
        </w:rPr>
        <w:t>антидепре</w:t>
      </w:r>
      <w:r>
        <w:rPr>
          <w:color w:val="000000"/>
          <w:sz w:val="28"/>
          <w:szCs w:val="28"/>
          <w:lang w:val="uk-UA"/>
        </w:rPr>
        <w:t xml:space="preserve">сантний </w:t>
      </w:r>
      <w:r w:rsidRPr="000A03AF">
        <w:rPr>
          <w:sz w:val="28"/>
          <w:szCs w:val="28"/>
          <w:lang w:val="uk-UA"/>
        </w:rPr>
        <w:t xml:space="preserve">ефект амітриптиліну був практично відсутній, у той час, як </w:t>
      </w:r>
      <w:r w:rsidRPr="000A03AF">
        <w:rPr>
          <w:color w:val="000000"/>
          <w:sz w:val="28"/>
          <w:szCs w:val="28"/>
          <w:lang w:val="uk-UA"/>
        </w:rPr>
        <w:t>антидепре</w:t>
      </w:r>
      <w:r>
        <w:rPr>
          <w:color w:val="000000"/>
          <w:sz w:val="28"/>
          <w:szCs w:val="28"/>
          <w:lang w:val="uk-UA"/>
        </w:rPr>
        <w:t>сантна</w:t>
      </w:r>
      <w:r w:rsidRPr="000A03AF">
        <w:rPr>
          <w:color w:val="000000"/>
          <w:sz w:val="28"/>
          <w:szCs w:val="28"/>
          <w:lang w:val="uk-UA"/>
        </w:rPr>
        <w:t xml:space="preserve"> </w:t>
      </w:r>
      <w:r w:rsidRPr="000A03AF">
        <w:rPr>
          <w:sz w:val="28"/>
          <w:szCs w:val="28"/>
          <w:lang w:val="uk-UA"/>
        </w:rPr>
        <w:t xml:space="preserve">дія комплексних сполук залишалась на досить високому рівні, час активного </w:t>
      </w:r>
      <w:r w:rsidRPr="0069159F">
        <w:rPr>
          <w:sz w:val="28"/>
          <w:szCs w:val="28"/>
          <w:lang w:val="uk-UA"/>
        </w:rPr>
        <w:t>плавання складав 20 с та 2,5 с. відносно контролю для комплексної сполуки І і ІІ, відповідно, що свідчить про пролонгованість їх дії.</w:t>
      </w:r>
    </w:p>
    <w:p w14:paraId="1DD004F9" w14:textId="77777777" w:rsidR="00FD0D07" w:rsidRPr="00631365" w:rsidRDefault="00FD0D07" w:rsidP="00FD0D07">
      <w:pPr>
        <w:spacing w:line="360" w:lineRule="auto"/>
        <w:ind w:firstLine="709"/>
        <w:jc w:val="both"/>
        <w:rPr>
          <w:sz w:val="28"/>
          <w:szCs w:val="28"/>
          <w:highlight w:val="yellow"/>
          <w:lang w:val="uk-UA"/>
        </w:rPr>
      </w:pPr>
      <w:r w:rsidRPr="0069159F">
        <w:rPr>
          <w:sz w:val="28"/>
          <w:szCs w:val="28"/>
          <w:lang w:val="uk-UA"/>
        </w:rPr>
        <w:t xml:space="preserve">Можна припустити, що свій вклад у прояв </w:t>
      </w:r>
      <w:r w:rsidRPr="0069159F">
        <w:rPr>
          <w:color w:val="000000"/>
          <w:sz w:val="28"/>
          <w:szCs w:val="28"/>
          <w:lang w:val="uk-UA"/>
        </w:rPr>
        <w:t>антидепрес</w:t>
      </w:r>
      <w:r>
        <w:rPr>
          <w:color w:val="000000"/>
          <w:sz w:val="28"/>
          <w:szCs w:val="28"/>
          <w:lang w:val="uk-UA"/>
        </w:rPr>
        <w:t>антного</w:t>
      </w:r>
      <w:r w:rsidRPr="0069159F">
        <w:rPr>
          <w:color w:val="000000"/>
          <w:sz w:val="28"/>
          <w:szCs w:val="28"/>
          <w:lang w:val="uk-UA"/>
        </w:rPr>
        <w:t xml:space="preserve"> </w:t>
      </w:r>
      <w:r w:rsidRPr="0069159F">
        <w:rPr>
          <w:sz w:val="28"/>
          <w:szCs w:val="28"/>
          <w:lang w:val="uk-UA"/>
        </w:rPr>
        <w:t>ефекту вносить залишок саліцилової кислоти, що підтверджується зниженням часу іммобільності тварин протягом усього експерименту. У свою чергу саліцилоїлгідразони бензальдегіду та 4-бромбензальдегіду показали</w:t>
      </w:r>
      <w:r w:rsidRPr="000A03AF">
        <w:rPr>
          <w:sz w:val="28"/>
          <w:szCs w:val="28"/>
          <w:lang w:val="uk-UA"/>
        </w:rPr>
        <w:t xml:space="preserve"> виразний пролонгований ефект протягом 24 годин експерименту.</w:t>
      </w:r>
      <w:r>
        <w:rPr>
          <w:sz w:val="28"/>
          <w:szCs w:val="28"/>
          <w:lang w:val="uk-UA"/>
        </w:rPr>
        <w:t xml:space="preserve"> </w:t>
      </w:r>
    </w:p>
    <w:p w14:paraId="505B8425" w14:textId="77777777" w:rsidR="00FD0D07" w:rsidRDefault="00FD0D07" w:rsidP="00FD0D07">
      <w:pPr>
        <w:pStyle w:val="a6"/>
        <w:spacing w:before="0" w:beforeAutospacing="0" w:after="0" w:afterAutospacing="0" w:line="360" w:lineRule="auto"/>
        <w:ind w:firstLine="709"/>
        <w:jc w:val="both"/>
        <w:rPr>
          <w:sz w:val="28"/>
          <w:szCs w:val="28"/>
          <w:lang w:val="uk-UA"/>
        </w:rPr>
      </w:pPr>
      <w:r w:rsidRPr="00631365">
        <w:rPr>
          <w:sz w:val="28"/>
          <w:szCs w:val="28"/>
          <w:lang w:val="uk-UA"/>
        </w:rPr>
        <w:t xml:space="preserve">Дослідження міорелаксантної дії комплексів І і ІІ показало, що дані сполуки не проявляють міорелаксантної активності у тесті «обертового стиржня» у дозах 147 мг/кг і 168 мг/кг, відповідно. </w:t>
      </w:r>
    </w:p>
    <w:p w14:paraId="61E9686A" w14:textId="2C48260C" w:rsidR="00FD0D07" w:rsidRDefault="00FD0D07" w:rsidP="00FD0D07">
      <w:pPr>
        <w:pStyle w:val="a6"/>
        <w:spacing w:before="0" w:beforeAutospacing="0" w:after="0" w:afterAutospacing="0" w:line="360" w:lineRule="auto"/>
        <w:ind w:firstLine="709"/>
        <w:jc w:val="both"/>
        <w:rPr>
          <w:sz w:val="28"/>
          <w:szCs w:val="28"/>
          <w:lang w:val="uk-UA"/>
        </w:rPr>
      </w:pPr>
      <w:r w:rsidRPr="00631365">
        <w:rPr>
          <w:sz w:val="28"/>
          <w:szCs w:val="28"/>
          <w:lang w:val="uk-UA"/>
        </w:rPr>
        <w:t>Вперше було встановлено протисудомну дію комплексних сполук SnCl</w:t>
      </w:r>
      <w:r w:rsidRPr="00631365">
        <w:rPr>
          <w:sz w:val="28"/>
          <w:szCs w:val="28"/>
          <w:vertAlign w:val="subscript"/>
          <w:lang w:val="uk-UA"/>
        </w:rPr>
        <w:t>4</w:t>
      </w:r>
      <w:r w:rsidRPr="00631365">
        <w:rPr>
          <w:sz w:val="28"/>
          <w:szCs w:val="28"/>
          <w:lang w:val="uk-UA"/>
        </w:rPr>
        <w:t xml:space="preserve"> з саліцилоїлгідразонами бензальдегіду та 4-бромбензальдегіду на моделі коразол-індукованих судом. Доведено, що дані комплексні сполуки проявляли протисудомну дію </w:t>
      </w:r>
      <w:r>
        <w:rPr>
          <w:sz w:val="28"/>
          <w:szCs w:val="28"/>
          <w:lang w:val="uk-UA"/>
        </w:rPr>
        <w:t xml:space="preserve">співставну </w:t>
      </w:r>
      <w:r w:rsidRPr="00631365">
        <w:rPr>
          <w:sz w:val="28"/>
          <w:szCs w:val="28"/>
          <w:lang w:val="uk-UA"/>
        </w:rPr>
        <w:t xml:space="preserve">за своєю ефективністю </w:t>
      </w:r>
      <w:r>
        <w:rPr>
          <w:sz w:val="28"/>
          <w:szCs w:val="28"/>
          <w:lang w:val="uk-UA"/>
        </w:rPr>
        <w:t>з</w:t>
      </w:r>
      <w:r w:rsidRPr="00631365">
        <w:rPr>
          <w:sz w:val="28"/>
          <w:szCs w:val="28"/>
          <w:lang w:val="uk-UA"/>
        </w:rPr>
        <w:t xml:space="preserve"> референс-препарат</w:t>
      </w:r>
      <w:r>
        <w:rPr>
          <w:sz w:val="28"/>
          <w:szCs w:val="28"/>
          <w:lang w:val="uk-UA"/>
        </w:rPr>
        <w:t>ом</w:t>
      </w:r>
      <w:r w:rsidRPr="00631365">
        <w:rPr>
          <w:sz w:val="28"/>
          <w:szCs w:val="28"/>
          <w:lang w:val="uk-UA"/>
        </w:rPr>
        <w:t xml:space="preserve"> вальпроєво</w:t>
      </w:r>
      <w:r>
        <w:rPr>
          <w:sz w:val="28"/>
          <w:szCs w:val="28"/>
          <w:lang w:val="uk-UA"/>
        </w:rPr>
        <w:t>ю</w:t>
      </w:r>
      <w:r w:rsidRPr="00631365">
        <w:rPr>
          <w:sz w:val="28"/>
          <w:szCs w:val="28"/>
          <w:lang w:val="uk-UA"/>
        </w:rPr>
        <w:t xml:space="preserve"> кислот</w:t>
      </w:r>
      <w:r>
        <w:rPr>
          <w:sz w:val="28"/>
          <w:szCs w:val="28"/>
          <w:lang w:val="uk-UA"/>
        </w:rPr>
        <w:t>ою</w:t>
      </w:r>
      <w:r w:rsidRPr="00631365">
        <w:rPr>
          <w:sz w:val="28"/>
          <w:szCs w:val="28"/>
          <w:lang w:val="uk-UA"/>
        </w:rPr>
        <w:t xml:space="preserve"> впродовж перших 3 годин експерименту. Надалі протисудомна активність комплексних сполук знижувалась і поступалась за ефективністю референс-препарату. У свою чергу саліцилоїлгідразон </w:t>
      </w:r>
      <w:r w:rsidRPr="00631365">
        <w:rPr>
          <w:sz w:val="28"/>
          <w:szCs w:val="28"/>
          <w:lang w:val="uk-UA"/>
        </w:rPr>
        <w:lastRenderedPageBreak/>
        <w:t>бензальдегіду, саліцилова кислота та хлорид станнуму (ІІ) за показниками ДКТС і ДТЕ впродовж 3 та 24 годин не поступалися за ефективністю референс-препарату вальпроєвій кислоті.</w:t>
      </w:r>
    </w:p>
    <w:p w14:paraId="525796B4" w14:textId="4790EAC1" w:rsidR="00FD0D07" w:rsidRDefault="00FD0D07" w:rsidP="00FD0D07">
      <w:pPr>
        <w:pStyle w:val="a6"/>
        <w:spacing w:before="0" w:beforeAutospacing="0" w:after="0" w:afterAutospacing="0" w:line="360" w:lineRule="auto"/>
        <w:ind w:firstLine="709"/>
        <w:jc w:val="both"/>
        <w:rPr>
          <w:sz w:val="28"/>
          <w:szCs w:val="28"/>
          <w:lang w:val="uk-UA"/>
        </w:rPr>
      </w:pPr>
      <w:r w:rsidRPr="00631365">
        <w:rPr>
          <w:sz w:val="28"/>
          <w:szCs w:val="28"/>
          <w:lang w:val="uk-UA"/>
        </w:rPr>
        <w:t>Таким чином, досліджені комплексні сполуки є перс</w:t>
      </w:r>
      <w:r>
        <w:rPr>
          <w:sz w:val="28"/>
          <w:szCs w:val="28"/>
          <w:lang w:val="uk-UA"/>
        </w:rPr>
        <w:t>п</w:t>
      </w:r>
      <w:r w:rsidRPr="00631365">
        <w:rPr>
          <w:sz w:val="28"/>
          <w:szCs w:val="28"/>
          <w:lang w:val="uk-UA"/>
        </w:rPr>
        <w:t xml:space="preserve">ективними </w:t>
      </w:r>
      <w:r>
        <w:rPr>
          <w:sz w:val="28"/>
          <w:szCs w:val="28"/>
          <w:lang w:val="uk-UA"/>
        </w:rPr>
        <w:t>протизапальними і аналгетичними засобами</w:t>
      </w:r>
      <w:r w:rsidRPr="00631365">
        <w:rPr>
          <w:sz w:val="28"/>
          <w:szCs w:val="28"/>
          <w:lang w:val="uk-UA"/>
        </w:rPr>
        <w:t xml:space="preserve">, що проявляють </w:t>
      </w:r>
      <w:r>
        <w:rPr>
          <w:sz w:val="28"/>
          <w:szCs w:val="28"/>
          <w:lang w:val="uk-UA"/>
        </w:rPr>
        <w:t xml:space="preserve">додатковий </w:t>
      </w:r>
      <w:r w:rsidRPr="00631365">
        <w:rPr>
          <w:sz w:val="28"/>
          <w:szCs w:val="28"/>
          <w:lang w:val="uk-UA"/>
        </w:rPr>
        <w:t xml:space="preserve">виразний </w:t>
      </w:r>
      <w:r>
        <w:rPr>
          <w:sz w:val="28"/>
          <w:szCs w:val="28"/>
          <w:lang w:val="uk-UA"/>
        </w:rPr>
        <w:t>антидепресантий</w:t>
      </w:r>
      <w:r w:rsidRPr="00631365">
        <w:rPr>
          <w:sz w:val="28"/>
          <w:szCs w:val="28"/>
          <w:lang w:val="uk-UA"/>
        </w:rPr>
        <w:t>, протисудомни</w:t>
      </w:r>
      <w:r>
        <w:rPr>
          <w:sz w:val="28"/>
          <w:szCs w:val="28"/>
          <w:lang w:val="uk-UA"/>
        </w:rPr>
        <w:t>й, седативний та анксиолітичний</w:t>
      </w:r>
      <w:r w:rsidRPr="00631365">
        <w:rPr>
          <w:sz w:val="28"/>
          <w:szCs w:val="28"/>
          <w:lang w:val="uk-UA"/>
        </w:rPr>
        <w:t xml:space="preserve"> ефекти. Результати роботи впроваджено в учбовий процес кафедри органічних і фармацевтичних технологій Одеського національного політехнічного університету, кафедри фармакології та фармакогнозії Одеського національного медичного університету та наукову роботу Фізико-хімічного інституту ім О.В.</w:t>
      </w:r>
      <w:r w:rsidR="00F05F4E">
        <w:rPr>
          <w:sz w:val="28"/>
          <w:szCs w:val="28"/>
          <w:lang w:val="uk-UA"/>
        </w:rPr>
        <w:t xml:space="preserve"> </w:t>
      </w:r>
      <w:r w:rsidRPr="00631365">
        <w:rPr>
          <w:sz w:val="28"/>
          <w:szCs w:val="28"/>
          <w:lang w:val="uk-UA"/>
        </w:rPr>
        <w:t xml:space="preserve">Богатського НАН України. </w:t>
      </w:r>
    </w:p>
    <w:p w14:paraId="053D5C53" w14:textId="77777777" w:rsidR="00FD0D07" w:rsidRPr="00631365" w:rsidRDefault="00FD0D07" w:rsidP="00FD0D07">
      <w:pPr>
        <w:pStyle w:val="a6"/>
        <w:spacing w:before="0" w:beforeAutospacing="0" w:after="0" w:afterAutospacing="0" w:line="360" w:lineRule="auto"/>
        <w:ind w:firstLine="709"/>
        <w:jc w:val="both"/>
        <w:rPr>
          <w:sz w:val="28"/>
          <w:szCs w:val="28"/>
          <w:lang w:val="uk-UA"/>
        </w:rPr>
      </w:pPr>
      <w:r w:rsidRPr="00631365">
        <w:rPr>
          <w:sz w:val="28"/>
          <w:szCs w:val="28"/>
        </w:rPr>
        <w:t xml:space="preserve">Ключові слова: комплексні сполуки, </w:t>
      </w:r>
      <w:r w:rsidRPr="00631365">
        <w:rPr>
          <w:color w:val="000000"/>
          <w:sz w:val="28"/>
          <w:szCs w:val="28"/>
          <w:lang w:val="uk-UA"/>
        </w:rPr>
        <w:t xml:space="preserve">антидепресивна </w:t>
      </w:r>
      <w:r w:rsidRPr="00631365">
        <w:rPr>
          <w:sz w:val="28"/>
          <w:szCs w:val="28"/>
        </w:rPr>
        <w:t xml:space="preserve">активність, пероральне введення, протизапальна активність, </w:t>
      </w:r>
      <w:r w:rsidRPr="00631365">
        <w:rPr>
          <w:sz w:val="28"/>
          <w:szCs w:val="28"/>
          <w:lang w:val="uk-UA"/>
        </w:rPr>
        <w:t>анальгетичн</w:t>
      </w:r>
      <w:r w:rsidRPr="00631365">
        <w:rPr>
          <w:sz w:val="28"/>
          <w:szCs w:val="28"/>
        </w:rPr>
        <w:t>а дія</w:t>
      </w:r>
      <w:r>
        <w:rPr>
          <w:sz w:val="28"/>
          <w:szCs w:val="28"/>
          <w:lang w:val="uk-UA"/>
        </w:rPr>
        <w:t>.</w:t>
      </w:r>
    </w:p>
    <w:p w14:paraId="1E0B82F8" w14:textId="77777777" w:rsidR="00FD0D07" w:rsidRPr="00112A09" w:rsidRDefault="00FD0D07" w:rsidP="00FD0D07">
      <w:pPr>
        <w:widowControl w:val="0"/>
        <w:autoSpaceDE w:val="0"/>
        <w:autoSpaceDN w:val="0"/>
        <w:adjustRightInd w:val="0"/>
        <w:spacing w:line="360" w:lineRule="auto"/>
        <w:jc w:val="center"/>
        <w:rPr>
          <w:b/>
          <w:sz w:val="28"/>
          <w:szCs w:val="28"/>
        </w:rPr>
      </w:pPr>
    </w:p>
    <w:p w14:paraId="3AAC1B04" w14:textId="77777777" w:rsidR="00FD0D07" w:rsidRPr="00112A09" w:rsidRDefault="00FD0D07" w:rsidP="00FD0D07">
      <w:pPr>
        <w:widowControl w:val="0"/>
        <w:autoSpaceDE w:val="0"/>
        <w:autoSpaceDN w:val="0"/>
        <w:adjustRightInd w:val="0"/>
        <w:spacing w:line="360" w:lineRule="auto"/>
        <w:jc w:val="center"/>
        <w:rPr>
          <w:sz w:val="28"/>
          <w:szCs w:val="28"/>
          <w:lang w:val="en-US"/>
        </w:rPr>
      </w:pPr>
      <w:r w:rsidRPr="00112A09">
        <w:rPr>
          <w:b/>
          <w:sz w:val="28"/>
          <w:szCs w:val="28"/>
          <w:lang w:val="en-US"/>
        </w:rPr>
        <w:t>SUMMARY</w:t>
      </w:r>
    </w:p>
    <w:p w14:paraId="779547C2" w14:textId="77777777" w:rsidR="00FD0D07" w:rsidRPr="00112A09" w:rsidRDefault="00FD0D07" w:rsidP="00FD0D07">
      <w:pPr>
        <w:pStyle w:val="af0"/>
        <w:spacing w:line="360" w:lineRule="auto"/>
        <w:ind w:left="0" w:firstLine="709"/>
        <w:jc w:val="both"/>
        <w:rPr>
          <w:sz w:val="28"/>
          <w:szCs w:val="28"/>
          <w:lang w:val="en-US"/>
        </w:rPr>
      </w:pPr>
      <w:r w:rsidRPr="00112A09">
        <w:rPr>
          <w:rFonts w:eastAsia="Calibri"/>
          <w:i/>
          <w:sz w:val="28"/>
          <w:szCs w:val="28"/>
          <w:lang w:val="en-US" w:eastAsia="en-US"/>
        </w:rPr>
        <w:t>Prokopchuk O.H</w:t>
      </w:r>
      <w:r w:rsidRPr="00112A09">
        <w:rPr>
          <w:sz w:val="28"/>
          <w:szCs w:val="28"/>
          <w:lang w:val="en-US"/>
        </w:rPr>
        <w:t xml:space="preserve"> </w:t>
      </w:r>
      <w:r w:rsidRPr="00112A09">
        <w:rPr>
          <w:rFonts w:eastAsia="Calibri"/>
          <w:sz w:val="28"/>
          <w:szCs w:val="28"/>
          <w:lang w:val="en-US" w:eastAsia="en-US"/>
        </w:rPr>
        <w:t>Complex compounds of Sn (IV) with salicyloylhydrazones of benzaldehydes as potential biologically active substances with anti-inflammatory, analgesic and concomitant pharmacological action</w:t>
      </w:r>
      <w:r w:rsidRPr="00112A09">
        <w:rPr>
          <w:sz w:val="28"/>
          <w:szCs w:val="28"/>
          <w:lang w:val="en-US"/>
        </w:rPr>
        <w:t>.</w:t>
      </w:r>
      <w:r w:rsidRPr="00112A09">
        <w:rPr>
          <w:sz w:val="28"/>
          <w:szCs w:val="28"/>
          <w:lang w:val="uk-UA"/>
        </w:rPr>
        <w:t xml:space="preserve"> </w:t>
      </w:r>
      <w:r w:rsidRPr="00112A09">
        <w:rPr>
          <w:sz w:val="28"/>
          <w:szCs w:val="28"/>
          <w:lang w:val="en-US"/>
        </w:rPr>
        <w:t>– Qualification scientific work with the manuscript copyright.</w:t>
      </w:r>
    </w:p>
    <w:p w14:paraId="34EEDF7A" w14:textId="77777777" w:rsidR="00FD0D07" w:rsidRPr="00112A09" w:rsidRDefault="00FD0D07" w:rsidP="00FD0D07">
      <w:pPr>
        <w:pStyle w:val="af0"/>
        <w:spacing w:line="360" w:lineRule="auto"/>
        <w:ind w:left="0" w:firstLine="709"/>
        <w:jc w:val="both"/>
        <w:rPr>
          <w:sz w:val="28"/>
          <w:szCs w:val="28"/>
          <w:lang w:val="en-US"/>
        </w:rPr>
      </w:pPr>
      <w:r w:rsidRPr="00112A09">
        <w:rPr>
          <w:sz w:val="28"/>
          <w:szCs w:val="28"/>
          <w:lang w:val="en-US"/>
        </w:rPr>
        <w:t>The thesis for obtaining scientific degree of Candidate of biological sciences (Doctor of Philosophy) by speciality 14.03.05 – “Pharmacology” (09 – Biology). - Odesa national polytechnic university MES Ukraine (implementation of the thesis), Odesa</w:t>
      </w:r>
      <w:r w:rsidRPr="00112A09">
        <w:rPr>
          <w:sz w:val="28"/>
          <w:szCs w:val="28"/>
          <w:lang w:val="uk-UA"/>
        </w:rPr>
        <w:t xml:space="preserve"> -</w:t>
      </w:r>
      <w:r w:rsidRPr="00112A09">
        <w:rPr>
          <w:sz w:val="28"/>
          <w:szCs w:val="28"/>
          <w:lang w:val="en-US"/>
        </w:rPr>
        <w:t xml:space="preserve"> 2021.</w:t>
      </w:r>
    </w:p>
    <w:p w14:paraId="4B002ADB" w14:textId="77777777" w:rsidR="00FD0D07" w:rsidRPr="00112A09" w:rsidRDefault="00FD0D07" w:rsidP="00FD0D07">
      <w:pPr>
        <w:pStyle w:val="a6"/>
        <w:spacing w:before="0" w:beforeAutospacing="0" w:after="0" w:afterAutospacing="0" w:line="360" w:lineRule="auto"/>
        <w:ind w:firstLine="709"/>
        <w:jc w:val="both"/>
        <w:rPr>
          <w:sz w:val="28"/>
          <w:szCs w:val="28"/>
          <w:lang w:val="en-US"/>
        </w:rPr>
      </w:pPr>
      <w:r w:rsidRPr="00112A09">
        <w:rPr>
          <w:sz w:val="28"/>
          <w:szCs w:val="28"/>
          <w:lang w:val="en-US"/>
        </w:rPr>
        <w:t xml:space="preserve">State Institution «Institute of Pharmacology and Toxicology of the National Academy of Medical Sciences of Ukraine» (defense), Kyiv – 2021.  </w:t>
      </w:r>
    </w:p>
    <w:p w14:paraId="6078DDBC" w14:textId="77777777" w:rsidR="00FD0D07" w:rsidRPr="00112A09" w:rsidRDefault="00FD0D07" w:rsidP="00FD0D07">
      <w:pPr>
        <w:pStyle w:val="a6"/>
        <w:spacing w:before="0" w:beforeAutospacing="0" w:after="0" w:afterAutospacing="0" w:line="360" w:lineRule="auto"/>
        <w:ind w:firstLine="709"/>
        <w:jc w:val="both"/>
        <w:rPr>
          <w:sz w:val="28"/>
          <w:szCs w:val="28"/>
          <w:lang w:val="en-US"/>
        </w:rPr>
      </w:pPr>
      <w:r w:rsidRPr="00112A09">
        <w:rPr>
          <w:sz w:val="28"/>
          <w:szCs w:val="28"/>
          <w:lang w:val="en-US"/>
        </w:rPr>
        <w:t>The thesis is focused on the investigation of the anti-inflammatory, analgesic, anti-depressive, anxiolytic, and anti-convulsive effects of new complex compounds SnCl</w:t>
      </w:r>
      <w:r w:rsidRPr="00112A09">
        <w:rPr>
          <w:sz w:val="28"/>
          <w:szCs w:val="28"/>
          <w:vertAlign w:val="subscript"/>
          <w:lang w:val="en-US"/>
        </w:rPr>
        <w:t>4</w:t>
      </w:r>
      <w:r w:rsidRPr="00112A09">
        <w:rPr>
          <w:sz w:val="28"/>
          <w:szCs w:val="28"/>
          <w:lang w:val="en-US"/>
        </w:rPr>
        <w:t xml:space="preserve"> with salicyloylhydrazones benzaldehyde and 4-bromobenzaldehyde when administrated orally. </w:t>
      </w:r>
    </w:p>
    <w:p w14:paraId="17DF6EC2" w14:textId="77777777" w:rsidR="00FD0D07" w:rsidRPr="00112A09" w:rsidRDefault="00FD0D07" w:rsidP="00FD0D07">
      <w:pPr>
        <w:pStyle w:val="a6"/>
        <w:spacing w:before="0" w:beforeAutospacing="0" w:after="0" w:afterAutospacing="0" w:line="360" w:lineRule="auto"/>
        <w:ind w:firstLine="709"/>
        <w:jc w:val="both"/>
        <w:rPr>
          <w:sz w:val="28"/>
          <w:szCs w:val="28"/>
          <w:lang w:val="en-US"/>
        </w:rPr>
      </w:pPr>
      <w:r w:rsidRPr="00112A09">
        <w:rPr>
          <w:sz w:val="28"/>
          <w:szCs w:val="28"/>
          <w:lang w:val="en-US"/>
        </w:rPr>
        <w:lastRenderedPageBreak/>
        <w:t xml:space="preserve">Optimal dosage of complex compounds was ascertained to maintain maximum and safe pharmacology effect. </w:t>
      </w:r>
    </w:p>
    <w:p w14:paraId="71A8CCCF" w14:textId="77777777" w:rsidR="00FD0D07" w:rsidRPr="00112A09" w:rsidRDefault="00FD0D07" w:rsidP="00FD0D07">
      <w:pPr>
        <w:pStyle w:val="a6"/>
        <w:spacing w:before="0" w:beforeAutospacing="0" w:after="0" w:afterAutospacing="0" w:line="360" w:lineRule="auto"/>
        <w:ind w:firstLine="709"/>
        <w:jc w:val="both"/>
        <w:rPr>
          <w:sz w:val="28"/>
          <w:szCs w:val="28"/>
          <w:lang w:val="en-US"/>
        </w:rPr>
      </w:pPr>
      <w:r w:rsidRPr="00112A09">
        <w:rPr>
          <w:sz w:val="28"/>
          <w:szCs w:val="28"/>
          <w:lang w:val="en-US"/>
        </w:rPr>
        <w:t>Anti-inflammatory activity</w:t>
      </w:r>
      <w:r w:rsidRPr="00112A09">
        <w:rPr>
          <w:color w:val="000000"/>
          <w:sz w:val="28"/>
          <w:szCs w:val="28"/>
          <w:lang w:val="en-US" w:eastAsia="en-US"/>
        </w:rPr>
        <w:t xml:space="preserve"> of new complex compounds </w:t>
      </w:r>
      <w:r w:rsidRPr="00112A09">
        <w:rPr>
          <w:color w:val="000000"/>
          <w:sz w:val="28"/>
          <w:szCs w:val="28"/>
          <w:lang w:val="en-US"/>
        </w:rPr>
        <w:t>SnCl</w:t>
      </w:r>
      <w:r w:rsidRPr="00112A09">
        <w:rPr>
          <w:color w:val="000000"/>
          <w:sz w:val="28"/>
          <w:szCs w:val="28"/>
          <w:vertAlign w:val="subscript"/>
          <w:lang w:val="en-US"/>
        </w:rPr>
        <w:t>4</w:t>
      </w:r>
      <w:r w:rsidRPr="00112A09">
        <w:rPr>
          <w:color w:val="000000"/>
          <w:sz w:val="28"/>
          <w:szCs w:val="28"/>
          <w:lang w:val="en-US"/>
        </w:rPr>
        <w:t xml:space="preserve"> with salicyloylhydrazones benzaldehyde and 4-bromobenzaldehyde </w:t>
      </w:r>
      <w:r w:rsidRPr="00112A09">
        <w:rPr>
          <w:sz w:val="28"/>
          <w:szCs w:val="28"/>
          <w:lang w:val="en-US"/>
        </w:rPr>
        <w:t>when administrated orally</w:t>
      </w:r>
      <w:r w:rsidRPr="00112A09">
        <w:rPr>
          <w:color w:val="000000"/>
          <w:sz w:val="28"/>
          <w:szCs w:val="28"/>
          <w:lang w:val="en-US"/>
        </w:rPr>
        <w:t xml:space="preserve"> was ascertained on different models of inflammation (tripsin, histamine, </w:t>
      </w:r>
      <w:r w:rsidRPr="00112A09">
        <w:rPr>
          <w:sz w:val="28"/>
          <w:szCs w:val="28"/>
          <w:lang w:val="en-US"/>
        </w:rPr>
        <w:br/>
      </w:r>
      <w:r w:rsidRPr="00112A09">
        <w:rPr>
          <w:color w:val="202124"/>
          <w:sz w:val="28"/>
          <w:szCs w:val="28"/>
          <w:shd w:val="clear" w:color="auto" w:fill="F8F9FA"/>
          <w:lang w:val="en-US"/>
        </w:rPr>
        <w:t xml:space="preserve">carrageenan and formalin).  </w:t>
      </w:r>
      <w:r w:rsidRPr="00112A09">
        <w:rPr>
          <w:sz w:val="28"/>
          <w:szCs w:val="28"/>
          <w:lang w:val="en-US"/>
        </w:rPr>
        <w:t xml:space="preserve">For treatment of inflammatory process investigated compounds were administered orally as emulsive solution in tween-80. Oral administration of benzaldehyde during investigation of anti-inflammatory activity on hystamin inflammation models showed that 1 hour after commencement of study volume increase of injured paw was only 15% and 3 hours afterwards volume indicators reached the control indicators.  Anti-inflammatory activity of both complexes on histamine-induced inflammation model has no reliable statistic discrepancies and 6 hours after commencement of study volume indicators of injured paws reached control indicators. </w:t>
      </w:r>
    </w:p>
    <w:p w14:paraId="73C61436" w14:textId="77777777" w:rsidR="00FD0D07" w:rsidRPr="00112A09" w:rsidRDefault="00FD0D07" w:rsidP="00FD0D07">
      <w:pPr>
        <w:pStyle w:val="a6"/>
        <w:spacing w:before="0" w:beforeAutospacing="0" w:after="0" w:afterAutospacing="0" w:line="360" w:lineRule="auto"/>
        <w:ind w:firstLine="709"/>
        <w:jc w:val="both"/>
        <w:rPr>
          <w:sz w:val="28"/>
          <w:szCs w:val="28"/>
          <w:lang w:val="en-US"/>
        </w:rPr>
      </w:pPr>
      <w:r w:rsidRPr="00112A09">
        <w:rPr>
          <w:sz w:val="28"/>
          <w:szCs w:val="28"/>
          <w:lang w:val="en-US"/>
        </w:rPr>
        <w:t xml:space="preserve">Salicylic acid showed anti-inflammatory activity on all models of inflammation, but most prominent effect was observed on formalin- and tripsin- induced inflammatory models. </w:t>
      </w:r>
    </w:p>
    <w:p w14:paraId="110254EE" w14:textId="77777777" w:rsidR="00FD0D07" w:rsidRPr="00112A09" w:rsidRDefault="00FD0D07" w:rsidP="00FD0D07">
      <w:pPr>
        <w:pStyle w:val="a6"/>
        <w:spacing w:before="0" w:beforeAutospacing="0" w:after="0" w:afterAutospacing="0" w:line="360" w:lineRule="auto"/>
        <w:ind w:firstLine="709"/>
        <w:jc w:val="both"/>
        <w:rPr>
          <w:sz w:val="28"/>
          <w:szCs w:val="28"/>
          <w:lang w:val="en-US"/>
        </w:rPr>
      </w:pPr>
      <w:r w:rsidRPr="00112A09">
        <w:rPr>
          <w:sz w:val="28"/>
          <w:szCs w:val="28"/>
          <w:lang w:val="en-US"/>
        </w:rPr>
        <w:t>Both complex compounds showed high level of anti-inflammatory activity on formalin-induced inflammatory model due to decrease of morphological indicators by 65% and 80%, accordingly, comparing to control. Probably, that high efficiency of complex compound SnCl</w:t>
      </w:r>
      <w:r w:rsidRPr="00112A09">
        <w:rPr>
          <w:sz w:val="28"/>
          <w:szCs w:val="28"/>
          <w:vertAlign w:val="subscript"/>
          <w:lang w:val="en-US"/>
        </w:rPr>
        <w:t>4</w:t>
      </w:r>
      <w:r w:rsidRPr="00112A09">
        <w:rPr>
          <w:sz w:val="28"/>
          <w:szCs w:val="28"/>
          <w:lang w:val="en-US"/>
        </w:rPr>
        <w:t xml:space="preserve"> </w:t>
      </w:r>
      <w:r w:rsidRPr="00112A09">
        <w:rPr>
          <w:color w:val="222222"/>
          <w:sz w:val="28"/>
          <w:szCs w:val="28"/>
          <w:lang w:val="en-US"/>
        </w:rPr>
        <w:t>with salicyloylhydrazone 4-bromobenzaldehyde</w:t>
      </w:r>
      <w:r w:rsidRPr="00112A09">
        <w:rPr>
          <w:sz w:val="28"/>
          <w:szCs w:val="28"/>
          <w:lang w:val="en-US"/>
        </w:rPr>
        <w:t xml:space="preserve"> stipulated by synergy action of </w:t>
      </w:r>
      <w:r w:rsidRPr="00112A09">
        <w:rPr>
          <w:color w:val="222222"/>
          <w:sz w:val="28"/>
          <w:szCs w:val="28"/>
          <w:lang w:val="en-US"/>
        </w:rPr>
        <w:t>4-bromobenzaldehyde</w:t>
      </w:r>
      <w:r w:rsidRPr="00112A09">
        <w:rPr>
          <w:sz w:val="28"/>
          <w:szCs w:val="28"/>
          <w:lang w:val="en-US"/>
        </w:rPr>
        <w:t xml:space="preserve"> and salicylic acid which forms its structure. </w:t>
      </w:r>
    </w:p>
    <w:p w14:paraId="2180E4F0" w14:textId="77777777" w:rsidR="00FD0D07" w:rsidRPr="00112A09" w:rsidRDefault="00FD0D07" w:rsidP="00FD0D07">
      <w:pPr>
        <w:spacing w:line="360" w:lineRule="auto"/>
        <w:ind w:firstLine="567"/>
        <w:jc w:val="both"/>
        <w:rPr>
          <w:sz w:val="28"/>
          <w:szCs w:val="28"/>
          <w:lang w:val="en-US"/>
        </w:rPr>
      </w:pPr>
      <w:r w:rsidRPr="00112A09">
        <w:rPr>
          <w:sz w:val="28"/>
          <w:szCs w:val="28"/>
          <w:lang w:val="en-US"/>
        </w:rPr>
        <w:t>It was ascertained on model of carrageenan-induced inflammation that after 24</w:t>
      </w:r>
      <w:r w:rsidRPr="00112A09">
        <w:rPr>
          <w:sz w:val="28"/>
          <w:szCs w:val="28"/>
          <w:lang w:val="uk-UA"/>
        </w:rPr>
        <w:t xml:space="preserve"> </w:t>
      </w:r>
      <w:r w:rsidRPr="00112A09">
        <w:rPr>
          <w:sz w:val="28"/>
          <w:szCs w:val="28"/>
          <w:lang w:val="en-US"/>
        </w:rPr>
        <w:t>hrs after commencement of study there was only 13% volume rise on injured paw with complex compound SnCl</w:t>
      </w:r>
      <w:r w:rsidRPr="00112A09">
        <w:rPr>
          <w:sz w:val="28"/>
          <w:szCs w:val="28"/>
          <w:vertAlign w:val="subscript"/>
          <w:lang w:val="en-US"/>
        </w:rPr>
        <w:t>4</w:t>
      </w:r>
      <w:r w:rsidRPr="00112A09">
        <w:rPr>
          <w:sz w:val="28"/>
          <w:szCs w:val="28"/>
          <w:lang w:val="en-US"/>
        </w:rPr>
        <w:t xml:space="preserve"> </w:t>
      </w:r>
      <w:r w:rsidRPr="00112A09">
        <w:rPr>
          <w:color w:val="222222"/>
          <w:sz w:val="28"/>
          <w:szCs w:val="28"/>
          <w:lang w:val="en-US"/>
        </w:rPr>
        <w:t>with salicyloylhydrazone 4-bromobenzaldehyde</w:t>
      </w:r>
      <w:r w:rsidRPr="00112A09">
        <w:rPr>
          <w:sz w:val="28"/>
          <w:szCs w:val="28"/>
          <w:lang w:val="en-US"/>
        </w:rPr>
        <w:t xml:space="preserve"> and 24,2% volume rise with complex compound  SnCl</w:t>
      </w:r>
      <w:r w:rsidRPr="00112A09">
        <w:rPr>
          <w:sz w:val="28"/>
          <w:szCs w:val="28"/>
          <w:vertAlign w:val="subscript"/>
          <w:lang w:val="en-US"/>
        </w:rPr>
        <w:t>4</w:t>
      </w:r>
      <w:r w:rsidRPr="00112A09">
        <w:rPr>
          <w:sz w:val="28"/>
          <w:szCs w:val="28"/>
          <w:lang w:val="en-US"/>
        </w:rPr>
        <w:t xml:space="preserve"> </w:t>
      </w:r>
      <w:r w:rsidRPr="00112A09">
        <w:rPr>
          <w:color w:val="222222"/>
          <w:sz w:val="28"/>
          <w:szCs w:val="28"/>
          <w:lang w:val="en-US"/>
        </w:rPr>
        <w:t>with salicyloylhydrazone benzaldehyde</w:t>
      </w:r>
      <w:r w:rsidRPr="00112A09">
        <w:rPr>
          <w:sz w:val="28"/>
          <w:szCs w:val="28"/>
          <w:lang w:val="en-US"/>
        </w:rPr>
        <w:t xml:space="preserve"> at the same time. Gradual volume decrease of injured paw was observed during next five days after commencement of treatment until achieving indicators of the volume of intact animals.</w:t>
      </w:r>
    </w:p>
    <w:p w14:paraId="68DB80AF" w14:textId="77777777" w:rsidR="00FD0D07" w:rsidRPr="00112A09" w:rsidRDefault="00FD0D07" w:rsidP="00FD0D07">
      <w:pPr>
        <w:pStyle w:val="a6"/>
        <w:spacing w:before="0" w:beforeAutospacing="0" w:after="0" w:afterAutospacing="0" w:line="360" w:lineRule="auto"/>
        <w:ind w:firstLine="709"/>
        <w:jc w:val="both"/>
        <w:rPr>
          <w:sz w:val="28"/>
          <w:szCs w:val="28"/>
          <w:vertAlign w:val="subscript"/>
          <w:lang w:val="en-US"/>
        </w:rPr>
      </w:pPr>
      <w:r w:rsidRPr="00112A09">
        <w:rPr>
          <w:sz w:val="28"/>
          <w:szCs w:val="28"/>
          <w:lang w:val="en-US"/>
        </w:rPr>
        <w:lastRenderedPageBreak/>
        <w:t xml:space="preserve">Investigation of analgetic activity of new complex compounds </w:t>
      </w:r>
      <w:r w:rsidRPr="00112A09">
        <w:rPr>
          <w:sz w:val="28"/>
          <w:szCs w:val="28"/>
          <w:lang w:val="uk-UA"/>
        </w:rPr>
        <w:t>SnCl</w:t>
      </w:r>
      <w:r w:rsidRPr="00112A09">
        <w:rPr>
          <w:sz w:val="28"/>
          <w:szCs w:val="28"/>
          <w:vertAlign w:val="subscript"/>
          <w:lang w:val="uk-UA"/>
        </w:rPr>
        <w:t>4</w:t>
      </w:r>
      <w:r w:rsidRPr="00112A09">
        <w:rPr>
          <w:sz w:val="28"/>
          <w:szCs w:val="28"/>
          <w:vertAlign w:val="subscript"/>
          <w:lang w:val="en-US"/>
        </w:rPr>
        <w:t xml:space="preserve"> </w:t>
      </w:r>
      <w:r w:rsidRPr="00112A09">
        <w:rPr>
          <w:sz w:val="28"/>
          <w:szCs w:val="28"/>
          <w:lang w:val="en-US"/>
        </w:rPr>
        <w:t>with salicyloylhydrazones of benzaldehyde and 4-bromobenzaldehyde showed that both complex compounds are effective analgetic remedy</w:t>
      </w:r>
      <w:r w:rsidRPr="00112A09">
        <w:rPr>
          <w:sz w:val="28"/>
          <w:szCs w:val="28"/>
          <w:lang w:val="uk-UA"/>
        </w:rPr>
        <w:t xml:space="preserve"> </w:t>
      </w:r>
      <w:r w:rsidRPr="00112A09">
        <w:rPr>
          <w:sz w:val="28"/>
          <w:szCs w:val="28"/>
          <w:lang w:val="en-US"/>
        </w:rPr>
        <w:t>with mixed type of receptor</w:t>
      </w:r>
      <w:r w:rsidRPr="00112A09">
        <w:rPr>
          <w:sz w:val="28"/>
          <w:szCs w:val="28"/>
          <w:lang w:val="uk-UA"/>
        </w:rPr>
        <w:t xml:space="preserve"> </w:t>
      </w:r>
      <w:r w:rsidRPr="00112A09">
        <w:rPr>
          <w:sz w:val="28"/>
          <w:szCs w:val="28"/>
          <w:lang w:val="en-US"/>
        </w:rPr>
        <w:t xml:space="preserve">interaction. Also components which were investigated for its contribution to functional groups pharmacological activity of complexes  also contribute to its analgetic effect. Major contribution to analgetic activity of complex compounds on chemical model of algesia (capsaicin) is done by salicylic acid, indicators of nociceptive reaction statistically was not different from indicators  of groups which were receiving reference-drug Ibuprofen. </w:t>
      </w:r>
    </w:p>
    <w:p w14:paraId="2AF1AD66" w14:textId="147CD867" w:rsidR="00FD0D07" w:rsidRPr="00112A09" w:rsidRDefault="00FD0D07" w:rsidP="00C57D1F">
      <w:pPr>
        <w:pStyle w:val="a6"/>
        <w:spacing w:before="0" w:beforeAutospacing="0" w:after="0" w:afterAutospacing="0" w:line="360" w:lineRule="auto"/>
        <w:ind w:firstLine="709"/>
        <w:jc w:val="both"/>
        <w:rPr>
          <w:sz w:val="28"/>
          <w:szCs w:val="28"/>
          <w:lang w:val="en-US"/>
        </w:rPr>
      </w:pPr>
      <w:r w:rsidRPr="00112A09">
        <w:rPr>
          <w:sz w:val="28"/>
          <w:szCs w:val="28"/>
          <w:lang w:val="en-US"/>
        </w:rPr>
        <w:t xml:space="preserve">It was ascertained on different induction models of pain reaction that oral administration of new complex compounds </w:t>
      </w:r>
      <w:r w:rsidRPr="00112A09">
        <w:rPr>
          <w:sz w:val="28"/>
          <w:szCs w:val="28"/>
          <w:lang w:val="uk-UA"/>
        </w:rPr>
        <w:t>SnCl</w:t>
      </w:r>
      <w:r w:rsidRPr="00112A09">
        <w:rPr>
          <w:sz w:val="28"/>
          <w:szCs w:val="28"/>
          <w:vertAlign w:val="subscript"/>
          <w:lang w:val="uk-UA"/>
        </w:rPr>
        <w:t>4</w:t>
      </w:r>
      <w:r w:rsidRPr="00112A09">
        <w:rPr>
          <w:sz w:val="28"/>
          <w:szCs w:val="28"/>
          <w:vertAlign w:val="subscript"/>
          <w:lang w:val="en-US"/>
        </w:rPr>
        <w:t xml:space="preserve"> </w:t>
      </w:r>
      <w:r w:rsidRPr="00112A09">
        <w:rPr>
          <w:sz w:val="28"/>
          <w:szCs w:val="28"/>
          <w:lang w:val="en-US"/>
        </w:rPr>
        <w:t xml:space="preserve">with salicyloylhydrazones of benzaldehyde and 4-bromobenzaldehyde demonstrate significant activity on models of chemical and thermal – induced pain. It was proved on different models of pain induction reaction that oral administration of new </w:t>
      </w:r>
      <w:r w:rsidRPr="00112A09">
        <w:rPr>
          <w:sz w:val="28"/>
          <w:szCs w:val="28"/>
          <w:lang w:val="en-US" w:eastAsia="en-US"/>
        </w:rPr>
        <w:t xml:space="preserve">complex compounds </w:t>
      </w:r>
      <w:r w:rsidRPr="00112A09">
        <w:rPr>
          <w:sz w:val="28"/>
          <w:szCs w:val="28"/>
          <w:lang w:val="en-US"/>
        </w:rPr>
        <w:t>SnCl</w:t>
      </w:r>
      <w:r w:rsidRPr="00112A09">
        <w:rPr>
          <w:sz w:val="28"/>
          <w:szCs w:val="28"/>
          <w:vertAlign w:val="subscript"/>
          <w:lang w:val="en-US"/>
        </w:rPr>
        <w:t>4</w:t>
      </w:r>
      <w:r w:rsidRPr="00112A09">
        <w:rPr>
          <w:sz w:val="28"/>
          <w:szCs w:val="28"/>
          <w:lang w:val="en-US"/>
        </w:rPr>
        <w:t xml:space="preserve"> with </w:t>
      </w:r>
      <w:r w:rsidRPr="00112A09">
        <w:rPr>
          <w:color w:val="222222"/>
          <w:sz w:val="28"/>
          <w:szCs w:val="28"/>
          <w:lang w:val="en-US"/>
        </w:rPr>
        <w:t>salicyloylhydrazones benzaldehyde and 4-bromobenzaldehyde show significant activity on models of chemical and thermal-induced pain. Ibuprofen was chosen as a reference drug with dosage of 15 mg/kg.</w:t>
      </w:r>
    </w:p>
    <w:p w14:paraId="1495FA66" w14:textId="77777777" w:rsidR="00FD0D07" w:rsidRPr="00112A09" w:rsidRDefault="00FD0D07" w:rsidP="00FD0D07">
      <w:pPr>
        <w:pStyle w:val="a6"/>
        <w:spacing w:before="0" w:beforeAutospacing="0" w:after="0" w:afterAutospacing="0" w:line="360" w:lineRule="auto"/>
        <w:ind w:firstLine="709"/>
        <w:jc w:val="both"/>
        <w:rPr>
          <w:color w:val="000000"/>
          <w:sz w:val="28"/>
          <w:szCs w:val="28"/>
          <w:lang w:val="en-US"/>
        </w:rPr>
      </w:pPr>
      <w:r w:rsidRPr="00112A09">
        <w:rPr>
          <w:sz w:val="28"/>
          <w:szCs w:val="28"/>
          <w:lang w:val="en-US"/>
        </w:rPr>
        <w:t>For the first time, the presence of antidepressant activity was found in new complex compounds of SnCl4 with salicyloylhydrazones of benzaldehyde and 4-bromobenzaldehyde</w:t>
      </w:r>
      <w:r w:rsidRPr="00112A09">
        <w:rPr>
          <w:color w:val="000000"/>
          <w:sz w:val="28"/>
          <w:szCs w:val="28"/>
          <w:lang w:val="uk-UA"/>
        </w:rPr>
        <w:t xml:space="preserve"> in the model of forced swimming (Porsolt test). The results showed that in the test of "despair" oral administration of compounds I and II at a dose of 147 mg / kg and 168 mg / kg, respectively, </w:t>
      </w:r>
      <w:r w:rsidRPr="00112A09">
        <w:rPr>
          <w:color w:val="000000"/>
          <w:sz w:val="28"/>
          <w:szCs w:val="28"/>
          <w:lang w:val="en-US"/>
        </w:rPr>
        <w:t>certain</w:t>
      </w:r>
      <w:r w:rsidRPr="00112A09">
        <w:rPr>
          <w:color w:val="000000"/>
          <w:sz w:val="28"/>
          <w:szCs w:val="28"/>
          <w:lang w:val="uk-UA"/>
        </w:rPr>
        <w:t xml:space="preserve">ly increased time of active swimming. </w:t>
      </w:r>
    </w:p>
    <w:p w14:paraId="58B3D473" w14:textId="77777777" w:rsidR="00FD0D07" w:rsidRPr="00112A09" w:rsidRDefault="00FD0D07" w:rsidP="00FD0D07">
      <w:pPr>
        <w:pStyle w:val="a0"/>
        <w:spacing w:after="0" w:line="360" w:lineRule="auto"/>
        <w:ind w:left="0" w:firstLine="709"/>
        <w:jc w:val="both"/>
        <w:rPr>
          <w:color w:val="000000"/>
          <w:sz w:val="28"/>
          <w:szCs w:val="28"/>
          <w:lang w:val="en-US"/>
        </w:rPr>
      </w:pPr>
      <w:r w:rsidRPr="00112A09">
        <w:rPr>
          <w:color w:val="000000"/>
          <w:sz w:val="28"/>
          <w:szCs w:val="28"/>
          <w:lang w:val="uk-UA"/>
        </w:rPr>
        <w:t xml:space="preserve">Аfter 1 hour </w:t>
      </w:r>
      <w:r w:rsidRPr="00112A09">
        <w:rPr>
          <w:color w:val="000000"/>
          <w:sz w:val="28"/>
          <w:szCs w:val="28"/>
          <w:lang w:val="en-US"/>
        </w:rPr>
        <w:t>of</w:t>
      </w:r>
      <w:r w:rsidRPr="00112A09">
        <w:rPr>
          <w:color w:val="000000"/>
          <w:sz w:val="28"/>
          <w:szCs w:val="28"/>
          <w:lang w:val="uk-UA"/>
        </w:rPr>
        <w:t xml:space="preserve"> oral administration of complexes I and II, there was a complete absence of immobility of mice for 3 minutes measurement in comparison with the control group. Indicators of active swimming significantly exceeded the data of the reference drug amitriptyline. Three hours after the start of the </w:t>
      </w:r>
      <w:r w:rsidRPr="00112A09">
        <w:rPr>
          <w:color w:val="000000"/>
          <w:sz w:val="28"/>
          <w:szCs w:val="28"/>
          <w:lang w:val="en-US"/>
        </w:rPr>
        <w:t>study</w:t>
      </w:r>
      <w:r w:rsidRPr="00112A09">
        <w:rPr>
          <w:color w:val="000000"/>
          <w:sz w:val="28"/>
          <w:szCs w:val="28"/>
          <w:lang w:val="uk-UA"/>
        </w:rPr>
        <w:t xml:space="preserve">, complexes I and II caused a decrease in the immobility time, so the data were </w:t>
      </w:r>
      <w:r w:rsidRPr="00112A09">
        <w:rPr>
          <w:color w:val="000000"/>
          <w:sz w:val="28"/>
          <w:szCs w:val="28"/>
          <w:lang w:val="en-US"/>
        </w:rPr>
        <w:t>6sec.</w:t>
      </w:r>
      <w:r w:rsidRPr="00112A09">
        <w:rPr>
          <w:color w:val="000000"/>
          <w:sz w:val="28"/>
          <w:szCs w:val="28"/>
          <w:lang w:val="uk-UA"/>
        </w:rPr>
        <w:t xml:space="preserve"> and 10sec. for complex compounds I and II, respectively. The antidepressant effects of the test compounds were observed for five hours, reducing the immobilization time of the </w:t>
      </w:r>
      <w:r w:rsidRPr="00112A09">
        <w:rPr>
          <w:color w:val="000000"/>
          <w:sz w:val="28"/>
          <w:szCs w:val="28"/>
          <w:lang w:val="uk-UA"/>
        </w:rPr>
        <w:lastRenderedPageBreak/>
        <w:t xml:space="preserve">animals by </w:t>
      </w:r>
      <w:r w:rsidRPr="00112A09">
        <w:rPr>
          <w:color w:val="000000"/>
          <w:sz w:val="28"/>
          <w:szCs w:val="28"/>
          <w:lang w:val="en-US"/>
        </w:rPr>
        <w:t>6sec.</w:t>
      </w:r>
      <w:r w:rsidRPr="00112A09">
        <w:rPr>
          <w:color w:val="000000"/>
          <w:sz w:val="28"/>
          <w:szCs w:val="28"/>
          <w:lang w:val="uk-UA"/>
        </w:rPr>
        <w:t xml:space="preserve"> and </w:t>
      </w:r>
      <w:r w:rsidRPr="00112A09">
        <w:rPr>
          <w:color w:val="000000"/>
          <w:sz w:val="28"/>
          <w:szCs w:val="28"/>
          <w:lang w:val="en-US"/>
        </w:rPr>
        <w:t>2sec.,</w:t>
      </w:r>
      <w:r w:rsidRPr="00112A09">
        <w:rPr>
          <w:color w:val="000000"/>
          <w:sz w:val="28"/>
          <w:szCs w:val="28"/>
          <w:lang w:val="uk-UA"/>
        </w:rPr>
        <w:t xml:space="preserve"> respectively. Administration of benzaldehyde and salicyloylhydrazone benzaldehyde during the first hour reduced animal immobilization time and depression by </w:t>
      </w:r>
      <w:r w:rsidRPr="00112A09">
        <w:rPr>
          <w:color w:val="000000"/>
          <w:sz w:val="28"/>
          <w:szCs w:val="28"/>
          <w:lang w:val="en-US"/>
        </w:rPr>
        <w:t>2sec.</w:t>
      </w:r>
      <w:r w:rsidRPr="00112A09">
        <w:rPr>
          <w:color w:val="000000"/>
          <w:sz w:val="28"/>
          <w:szCs w:val="28"/>
          <w:lang w:val="uk-UA"/>
        </w:rPr>
        <w:t xml:space="preserve"> and </w:t>
      </w:r>
      <w:r w:rsidRPr="00112A09">
        <w:rPr>
          <w:color w:val="000000"/>
          <w:sz w:val="28"/>
          <w:szCs w:val="28"/>
          <w:lang w:val="en-US"/>
        </w:rPr>
        <w:t>24sec.</w:t>
      </w:r>
      <w:r w:rsidRPr="00112A09">
        <w:rPr>
          <w:color w:val="000000"/>
          <w:sz w:val="28"/>
          <w:szCs w:val="28"/>
          <w:lang w:val="uk-UA"/>
        </w:rPr>
        <w:t>, respectively.</w:t>
      </w:r>
      <w:r w:rsidRPr="00112A09">
        <w:rPr>
          <w:color w:val="000000"/>
          <w:sz w:val="28"/>
          <w:szCs w:val="28"/>
          <w:lang w:val="en-US"/>
        </w:rPr>
        <w:t xml:space="preserve"> </w:t>
      </w:r>
    </w:p>
    <w:p w14:paraId="05EA1EDD" w14:textId="77777777" w:rsidR="00FD0D07" w:rsidRPr="00112A09" w:rsidRDefault="00FD0D07" w:rsidP="00FD0D07">
      <w:pPr>
        <w:pStyle w:val="a6"/>
        <w:spacing w:before="0" w:beforeAutospacing="0" w:after="0" w:afterAutospacing="0" w:line="360" w:lineRule="auto"/>
        <w:ind w:firstLine="709"/>
        <w:jc w:val="both"/>
        <w:rPr>
          <w:sz w:val="28"/>
          <w:szCs w:val="28"/>
          <w:lang w:val="en-US"/>
        </w:rPr>
      </w:pPr>
      <w:r w:rsidRPr="00112A09">
        <w:rPr>
          <w:sz w:val="28"/>
          <w:szCs w:val="28"/>
          <w:lang w:val="uk-UA"/>
        </w:rPr>
        <w:t xml:space="preserve">It was found that complex compound II, which contains a bromine atom in its structure, showed a pronounced antidepressant effect, during the </w:t>
      </w:r>
      <w:r w:rsidRPr="00112A09">
        <w:rPr>
          <w:sz w:val="28"/>
          <w:szCs w:val="28"/>
          <w:lang w:val="en-US"/>
        </w:rPr>
        <w:t xml:space="preserve">study </w:t>
      </w:r>
      <w:r w:rsidRPr="00112A09">
        <w:rPr>
          <w:sz w:val="28"/>
          <w:szCs w:val="28"/>
          <w:lang w:val="uk-UA"/>
        </w:rPr>
        <w:t xml:space="preserve">the immobilization time of the animals did not exceed 10sec. After 24 hours of </w:t>
      </w:r>
      <w:r w:rsidRPr="00112A09">
        <w:rPr>
          <w:sz w:val="28"/>
          <w:szCs w:val="28"/>
          <w:lang w:val="en-US"/>
        </w:rPr>
        <w:t>study</w:t>
      </w:r>
      <w:r w:rsidRPr="00112A09">
        <w:rPr>
          <w:sz w:val="28"/>
          <w:szCs w:val="28"/>
          <w:lang w:val="uk-UA"/>
        </w:rPr>
        <w:t xml:space="preserve">, the antidepressant effect of amitriptyline was virtually absent, while the antidepressant effect of complex compounds remained at a fairly high level, active swimming time was 20sec. </w:t>
      </w:r>
      <w:r w:rsidRPr="00112A09">
        <w:rPr>
          <w:sz w:val="28"/>
          <w:szCs w:val="28"/>
          <w:lang w:val="en-US"/>
        </w:rPr>
        <w:t>and 2.5sec relative to control for complex compounds I and II, respectively.</w:t>
      </w:r>
    </w:p>
    <w:p w14:paraId="01AECB06" w14:textId="77777777" w:rsidR="00FD0D07" w:rsidRPr="00112A09" w:rsidRDefault="00FD0D07" w:rsidP="00FD0D07">
      <w:pPr>
        <w:pStyle w:val="a6"/>
        <w:spacing w:before="0" w:beforeAutospacing="0" w:after="0" w:afterAutospacing="0" w:line="360" w:lineRule="auto"/>
        <w:ind w:firstLine="709"/>
        <w:jc w:val="both"/>
        <w:rPr>
          <w:sz w:val="28"/>
          <w:szCs w:val="28"/>
          <w:lang w:val="en-US"/>
        </w:rPr>
      </w:pPr>
      <w:r w:rsidRPr="00112A09">
        <w:rPr>
          <w:sz w:val="28"/>
          <w:szCs w:val="28"/>
          <w:lang w:val="en-US"/>
        </w:rPr>
        <w:t xml:space="preserve">It can be assumed that contribution in anti-depressive effect is done by remnants of salicylic acid which confirmed by decrease of time of animals immobility during whole time of experiment. </w:t>
      </w:r>
      <w:r w:rsidRPr="00112A09">
        <w:rPr>
          <w:color w:val="000000"/>
          <w:sz w:val="28"/>
          <w:szCs w:val="28"/>
          <w:lang w:val="uk-UA"/>
        </w:rPr>
        <w:t>Salicyloylhydrazone benzaldehyde</w:t>
      </w:r>
      <w:r w:rsidRPr="00112A09">
        <w:rPr>
          <w:color w:val="000000"/>
          <w:sz w:val="28"/>
          <w:szCs w:val="28"/>
          <w:lang w:val="en-US"/>
        </w:rPr>
        <w:t xml:space="preserve"> and </w:t>
      </w:r>
      <w:r w:rsidRPr="00112A09">
        <w:rPr>
          <w:sz w:val="28"/>
          <w:szCs w:val="28"/>
          <w:lang w:val="en-US"/>
        </w:rPr>
        <w:t xml:space="preserve">4-bromobenzaldehyde shown significant prolonged effect during 24hrs of experiment. </w:t>
      </w:r>
    </w:p>
    <w:p w14:paraId="29AF4447" w14:textId="77777777" w:rsidR="00FD0D07" w:rsidRPr="00112A09" w:rsidRDefault="00FD0D07" w:rsidP="00FD0D07">
      <w:pPr>
        <w:pStyle w:val="a6"/>
        <w:spacing w:before="0" w:beforeAutospacing="0" w:after="0" w:afterAutospacing="0" w:line="360" w:lineRule="auto"/>
        <w:ind w:firstLine="709"/>
        <w:jc w:val="both"/>
        <w:rPr>
          <w:sz w:val="28"/>
          <w:szCs w:val="28"/>
          <w:lang w:val="en-US"/>
        </w:rPr>
      </w:pPr>
      <w:r w:rsidRPr="00112A09">
        <w:rPr>
          <w:sz w:val="28"/>
          <w:szCs w:val="28"/>
          <w:lang w:val="en-US"/>
        </w:rPr>
        <w:t xml:space="preserve">Investigation of </w:t>
      </w:r>
      <w:r w:rsidRPr="00112A09">
        <w:rPr>
          <w:sz w:val="28"/>
          <w:szCs w:val="28"/>
          <w:lang w:val="en-US" w:eastAsia="en-US"/>
        </w:rPr>
        <w:t>muscle relaxant activity of complexes</w:t>
      </w:r>
      <w:r w:rsidRPr="00112A09">
        <w:rPr>
          <w:sz w:val="28"/>
          <w:szCs w:val="28"/>
          <w:lang w:val="uk-UA" w:eastAsia="en-US"/>
        </w:rPr>
        <w:t xml:space="preserve"> </w:t>
      </w:r>
      <w:r w:rsidRPr="00112A09">
        <w:rPr>
          <w:sz w:val="28"/>
          <w:szCs w:val="28"/>
          <w:lang w:val="en-US" w:eastAsia="en-US"/>
        </w:rPr>
        <w:t xml:space="preserve">I and II showed that these compounds do not display muscle relaxant activity in in </w:t>
      </w:r>
      <w:r w:rsidRPr="00112A09">
        <w:rPr>
          <w:sz w:val="28"/>
          <w:szCs w:val="28"/>
          <w:lang w:val="en-US"/>
        </w:rPr>
        <w:t>R</w:t>
      </w:r>
      <w:r w:rsidRPr="00112A09">
        <w:rPr>
          <w:sz w:val="28"/>
          <w:szCs w:val="28"/>
          <w:lang w:val="uk-UA"/>
        </w:rPr>
        <w:t>otarod</w:t>
      </w:r>
      <w:r w:rsidRPr="00112A09">
        <w:rPr>
          <w:sz w:val="28"/>
          <w:szCs w:val="28"/>
          <w:lang w:val="en-US"/>
        </w:rPr>
        <w:t xml:space="preserve">-test when dosage is 147 mg/kg and 168 mg/kg, respectively. </w:t>
      </w:r>
    </w:p>
    <w:p w14:paraId="43DB19E2" w14:textId="77777777" w:rsidR="00FD0D07" w:rsidRPr="00112A09" w:rsidRDefault="00FD0D07" w:rsidP="00FD0D07">
      <w:pPr>
        <w:pStyle w:val="a6"/>
        <w:spacing w:before="0" w:beforeAutospacing="0" w:after="0" w:afterAutospacing="0" w:line="360" w:lineRule="auto"/>
        <w:ind w:firstLine="709"/>
        <w:jc w:val="both"/>
        <w:rPr>
          <w:sz w:val="28"/>
          <w:szCs w:val="28"/>
          <w:lang w:val="en-US"/>
        </w:rPr>
      </w:pPr>
      <w:r w:rsidRPr="00112A09">
        <w:rPr>
          <w:sz w:val="28"/>
          <w:szCs w:val="28"/>
          <w:lang w:val="en-US"/>
        </w:rPr>
        <w:t>It was first ascertained anti-convulsive</w:t>
      </w:r>
      <w:r w:rsidRPr="00112A09">
        <w:rPr>
          <w:sz w:val="28"/>
          <w:szCs w:val="28"/>
          <w:lang w:val="en-US" w:eastAsia="en-US"/>
        </w:rPr>
        <w:t xml:space="preserve"> action of complex compounds </w:t>
      </w:r>
      <w:r w:rsidRPr="00112A09">
        <w:rPr>
          <w:sz w:val="28"/>
          <w:szCs w:val="28"/>
          <w:lang w:val="en-US"/>
        </w:rPr>
        <w:t>SnCl</w:t>
      </w:r>
      <w:r w:rsidRPr="00112A09">
        <w:rPr>
          <w:sz w:val="28"/>
          <w:szCs w:val="28"/>
          <w:vertAlign w:val="subscript"/>
          <w:lang w:val="en-US"/>
        </w:rPr>
        <w:t>4</w:t>
      </w:r>
      <w:r w:rsidRPr="00112A09">
        <w:rPr>
          <w:sz w:val="28"/>
          <w:szCs w:val="28"/>
          <w:lang w:val="en-US"/>
        </w:rPr>
        <w:t xml:space="preserve"> with </w:t>
      </w:r>
      <w:r w:rsidRPr="00112A09">
        <w:rPr>
          <w:color w:val="222222"/>
          <w:sz w:val="28"/>
          <w:szCs w:val="28"/>
          <w:lang w:val="en-US"/>
        </w:rPr>
        <w:t>salicyloylhydrazones benzaldehyde and 4-bromobenzaldehyde</w:t>
      </w:r>
      <w:r w:rsidRPr="00112A09">
        <w:rPr>
          <w:sz w:val="28"/>
          <w:szCs w:val="28"/>
          <w:lang w:val="en-US"/>
        </w:rPr>
        <w:t xml:space="preserve"> on model of pentylenetetrazol-induced convulsions. It was proved that these complex compounds were showing prominent anti-convulsive action and was not different statistically from reference medicine-drug valproic acid during first 3 hours of study. Further anti-convulsive activity of complex compounds was decreasing and conceded by activity to reference medicine. We are referring decrease of anti-convulsive action with processes of elimination compounds from organism of experimental mice, but this process is slow. S</w:t>
      </w:r>
      <w:r w:rsidRPr="00112A09">
        <w:rPr>
          <w:color w:val="222222"/>
          <w:sz w:val="28"/>
          <w:szCs w:val="28"/>
          <w:lang w:val="en-US"/>
        </w:rPr>
        <w:t>alicioloylhydrazone benzaldehyde</w:t>
      </w:r>
      <w:r w:rsidRPr="00112A09">
        <w:rPr>
          <w:sz w:val="28"/>
          <w:szCs w:val="28"/>
          <w:lang w:val="en-US"/>
        </w:rPr>
        <w:t>, salicylic acid and stannum chloride (II) by DCTS and DTE indicators didn’t concede by efficiency in its turn to reference-drug valproic acid during 3 to 24 hours of study.</w:t>
      </w:r>
    </w:p>
    <w:p w14:paraId="477CC586" w14:textId="77777777" w:rsidR="00FD0D07" w:rsidRPr="00112A09" w:rsidRDefault="00FD0D07" w:rsidP="00FD0D07">
      <w:pPr>
        <w:pStyle w:val="a6"/>
        <w:spacing w:before="0" w:beforeAutospacing="0" w:after="0" w:afterAutospacing="0" w:line="360" w:lineRule="auto"/>
        <w:ind w:firstLine="709"/>
        <w:jc w:val="both"/>
        <w:rPr>
          <w:sz w:val="28"/>
          <w:szCs w:val="28"/>
          <w:lang w:val="uk-UA"/>
        </w:rPr>
      </w:pPr>
      <w:r w:rsidRPr="00112A09">
        <w:rPr>
          <w:sz w:val="28"/>
          <w:szCs w:val="28"/>
          <w:lang w:val="en-US"/>
        </w:rPr>
        <w:lastRenderedPageBreak/>
        <w:t>Study of anti-pyrogenic activity on new complex compounds SnCl</w:t>
      </w:r>
      <w:r w:rsidRPr="00112A09">
        <w:rPr>
          <w:sz w:val="28"/>
          <w:szCs w:val="28"/>
          <w:vertAlign w:val="subscript"/>
          <w:lang w:val="en-US"/>
        </w:rPr>
        <w:t>4</w:t>
      </w:r>
      <w:r w:rsidRPr="00112A09">
        <w:rPr>
          <w:sz w:val="28"/>
          <w:szCs w:val="28"/>
          <w:lang w:val="en-US"/>
        </w:rPr>
        <w:t xml:space="preserve"> with </w:t>
      </w:r>
      <w:r w:rsidRPr="00112A09">
        <w:rPr>
          <w:color w:val="222222"/>
          <w:sz w:val="28"/>
          <w:szCs w:val="28"/>
          <w:lang w:val="en-US"/>
        </w:rPr>
        <w:t>salicyloylhydrazones benzaldehyde and 4-bromobenzaldehyde</w:t>
      </w:r>
      <w:r w:rsidRPr="00112A09">
        <w:rPr>
          <w:sz w:val="28"/>
          <w:szCs w:val="28"/>
          <w:lang w:val="en-US"/>
        </w:rPr>
        <w:t xml:space="preserve"> has demonstrated it’s anti-pyrogenic efficiency which was not different statistically from reference drug ibuprofen.</w:t>
      </w:r>
    </w:p>
    <w:p w14:paraId="18B27807" w14:textId="77777777" w:rsidR="00FD0D07" w:rsidRPr="00112A09" w:rsidRDefault="00FD0D07" w:rsidP="00FD0D07">
      <w:pPr>
        <w:pStyle w:val="a6"/>
        <w:spacing w:before="0" w:beforeAutospacing="0" w:after="0" w:afterAutospacing="0" w:line="360" w:lineRule="auto"/>
        <w:ind w:firstLine="709"/>
        <w:jc w:val="both"/>
        <w:rPr>
          <w:sz w:val="28"/>
          <w:szCs w:val="28"/>
          <w:lang w:val="en-US"/>
        </w:rPr>
      </w:pPr>
      <w:r w:rsidRPr="00112A09">
        <w:rPr>
          <w:sz w:val="28"/>
          <w:szCs w:val="28"/>
          <w:lang w:val="en-US"/>
        </w:rPr>
        <w:t xml:space="preserve">Thus, the study of complex compounds showed that they are promising antidepressants that exhibit pronounced anti-inflammatory, anticonvulsant and analgesic effects. </w:t>
      </w:r>
    </w:p>
    <w:p w14:paraId="11B36FED" w14:textId="77777777" w:rsidR="00FD0D07" w:rsidRPr="00112A09" w:rsidRDefault="00FD0D07" w:rsidP="00FD0D07">
      <w:pPr>
        <w:pStyle w:val="a6"/>
        <w:spacing w:before="0" w:beforeAutospacing="0" w:after="0" w:afterAutospacing="0" w:line="360" w:lineRule="auto"/>
        <w:ind w:firstLine="709"/>
        <w:jc w:val="both"/>
        <w:rPr>
          <w:sz w:val="28"/>
          <w:szCs w:val="28"/>
          <w:lang w:val="en-US"/>
        </w:rPr>
      </w:pPr>
      <w:r w:rsidRPr="00112A09">
        <w:rPr>
          <w:sz w:val="28"/>
          <w:szCs w:val="28"/>
          <w:lang w:val="en-US"/>
        </w:rPr>
        <w:t xml:space="preserve">The results are implemented in the educational process of the Department of Organic and Pharmaceutical Technologies of Odessa National Polytechnic University, of the Department of Pharmacology and Pharmacognosy of Odessa National Medical University and </w:t>
      </w:r>
      <w:r w:rsidRPr="00112A09">
        <w:rPr>
          <w:sz w:val="28"/>
          <w:szCs w:val="28"/>
          <w:lang w:val="uk-UA"/>
        </w:rPr>
        <w:t xml:space="preserve"> </w:t>
      </w:r>
      <w:r w:rsidRPr="00112A09">
        <w:rPr>
          <w:sz w:val="28"/>
          <w:szCs w:val="28"/>
          <w:lang w:val="en-US"/>
        </w:rPr>
        <w:t>in the scientific work of the Bogatsky Institute of Physics and Chemistry of the NAS of Ukraine.</w:t>
      </w:r>
    </w:p>
    <w:p w14:paraId="2BD9803C" w14:textId="77777777" w:rsidR="00FD0D07" w:rsidRPr="00112A09" w:rsidRDefault="00FD0D07" w:rsidP="00FD0D07">
      <w:pPr>
        <w:pStyle w:val="a6"/>
        <w:spacing w:before="0" w:beforeAutospacing="0" w:after="0" w:afterAutospacing="0" w:line="360" w:lineRule="auto"/>
        <w:ind w:firstLine="709"/>
        <w:jc w:val="both"/>
        <w:rPr>
          <w:sz w:val="28"/>
          <w:szCs w:val="28"/>
          <w:lang w:val="en-US"/>
        </w:rPr>
      </w:pPr>
      <w:r w:rsidRPr="00112A09">
        <w:rPr>
          <w:sz w:val="28"/>
          <w:szCs w:val="28"/>
          <w:lang w:val="en-US"/>
        </w:rPr>
        <w:t xml:space="preserve">Key words: complex compounds, anti-inflammatory activity, analgesic effect, anti-depressive activity, oral administration. </w:t>
      </w:r>
    </w:p>
    <w:p w14:paraId="52194CEC" w14:textId="77777777" w:rsidR="00FD0D07" w:rsidRPr="00112A09" w:rsidRDefault="00FD0D07" w:rsidP="00FD0D07">
      <w:pPr>
        <w:rPr>
          <w:rFonts w:eastAsia="Calibri"/>
          <w:sz w:val="28"/>
          <w:szCs w:val="28"/>
          <w:lang w:val="en-US"/>
        </w:rPr>
      </w:pPr>
      <w:r w:rsidRPr="00112A09">
        <w:rPr>
          <w:sz w:val="28"/>
          <w:szCs w:val="28"/>
          <w:lang w:val="en-US"/>
        </w:rPr>
        <w:br w:type="page"/>
      </w:r>
    </w:p>
    <w:p w14:paraId="54C6AF80" w14:textId="77777777" w:rsidR="00FD0D07" w:rsidRPr="00112A09" w:rsidRDefault="00FD0D07" w:rsidP="00FD0D07">
      <w:pPr>
        <w:spacing w:line="360" w:lineRule="auto"/>
        <w:jc w:val="center"/>
        <w:rPr>
          <w:b/>
          <w:sz w:val="28"/>
          <w:szCs w:val="28"/>
        </w:rPr>
      </w:pPr>
      <w:r w:rsidRPr="00112A09">
        <w:rPr>
          <w:b/>
          <w:sz w:val="28"/>
          <w:szCs w:val="28"/>
        </w:rPr>
        <w:lastRenderedPageBreak/>
        <w:t>ЗМІСТ</w:t>
      </w:r>
    </w:p>
    <w:p w14:paraId="65479C3C" w14:textId="61D4829A" w:rsidR="00FD0D07" w:rsidRPr="00112A09" w:rsidRDefault="00FD0D07" w:rsidP="00FD0D07">
      <w:pPr>
        <w:tabs>
          <w:tab w:val="right" w:pos="9354"/>
        </w:tabs>
        <w:spacing w:line="360" w:lineRule="auto"/>
        <w:rPr>
          <w:sz w:val="28"/>
          <w:szCs w:val="28"/>
          <w:lang w:val="uk-UA"/>
        </w:rPr>
      </w:pPr>
      <w:r w:rsidRPr="00112A09">
        <w:rPr>
          <w:b/>
          <w:sz w:val="28"/>
          <w:szCs w:val="28"/>
        </w:rPr>
        <w:t>ПЕРЕЛІК УМОВНИХ ПОЗНАЧЕНЬ, СКОРОЧЕНЬ І ТЕРМІНІВ</w:t>
      </w:r>
      <w:r w:rsidRPr="00112A09">
        <w:rPr>
          <w:sz w:val="28"/>
          <w:szCs w:val="28"/>
          <w:u w:val="dotted"/>
        </w:rPr>
        <w:tab/>
        <w:t>1</w:t>
      </w:r>
      <w:r w:rsidR="001759D5">
        <w:rPr>
          <w:sz w:val="28"/>
          <w:szCs w:val="28"/>
          <w:u w:val="dotted"/>
          <w:lang w:val="uk-UA"/>
        </w:rPr>
        <w:t>3</w:t>
      </w:r>
    </w:p>
    <w:p w14:paraId="59FD956F" w14:textId="7B0992B5" w:rsidR="00390008" w:rsidRPr="00112A09" w:rsidRDefault="00FD0D07" w:rsidP="00390008">
      <w:pPr>
        <w:tabs>
          <w:tab w:val="right" w:pos="9354"/>
        </w:tabs>
        <w:spacing w:line="360" w:lineRule="auto"/>
        <w:rPr>
          <w:sz w:val="28"/>
          <w:szCs w:val="28"/>
          <w:u w:val="dotted"/>
          <w:lang w:val="uk-UA"/>
        </w:rPr>
      </w:pPr>
      <w:r w:rsidRPr="00B85935">
        <w:rPr>
          <w:b/>
          <w:sz w:val="28"/>
          <w:szCs w:val="28"/>
          <w:lang w:val="uk-UA"/>
        </w:rPr>
        <w:t>ВСТУП</w:t>
      </w:r>
      <w:r w:rsidRPr="00B85935">
        <w:rPr>
          <w:sz w:val="28"/>
          <w:szCs w:val="28"/>
          <w:u w:val="dotted"/>
          <w:lang w:val="uk-UA"/>
        </w:rPr>
        <w:tab/>
      </w:r>
      <w:r w:rsidRPr="00112A09">
        <w:rPr>
          <w:sz w:val="28"/>
          <w:szCs w:val="28"/>
          <w:u w:val="dotted"/>
          <w:lang w:val="uk-UA"/>
        </w:rPr>
        <w:t>1</w:t>
      </w:r>
      <w:r w:rsidR="001759D5">
        <w:rPr>
          <w:sz w:val="28"/>
          <w:szCs w:val="28"/>
          <w:u w:val="dotted"/>
          <w:lang w:val="uk-UA"/>
        </w:rPr>
        <w:t>4</w:t>
      </w:r>
    </w:p>
    <w:p w14:paraId="7CF2B5DE" w14:textId="072D5431" w:rsidR="00FD0D07" w:rsidRPr="00112A09" w:rsidRDefault="00FD0D07" w:rsidP="00390008">
      <w:pPr>
        <w:tabs>
          <w:tab w:val="right" w:pos="9354"/>
        </w:tabs>
        <w:spacing w:line="360" w:lineRule="auto"/>
        <w:rPr>
          <w:sz w:val="28"/>
          <w:szCs w:val="28"/>
          <w:lang w:val="uk-UA"/>
        </w:rPr>
      </w:pPr>
      <w:r w:rsidRPr="00B85935">
        <w:rPr>
          <w:b/>
          <w:color w:val="000000" w:themeColor="text1"/>
          <w:sz w:val="28"/>
          <w:szCs w:val="28"/>
          <w:lang w:val="uk-UA"/>
        </w:rPr>
        <w:t xml:space="preserve">РОЗДІЛ 1. </w:t>
      </w:r>
      <w:r w:rsidR="00461A45" w:rsidRPr="00112A09">
        <w:rPr>
          <w:b/>
          <w:color w:val="000000" w:themeColor="text1"/>
          <w:sz w:val="28"/>
          <w:szCs w:val="28"/>
          <w:lang w:val="uk-UA"/>
        </w:rPr>
        <w:t xml:space="preserve">ГІДРАЗОНИ ЯК ПОТЕНЦІЙНІ ПРОТИЗАПАЛЬНІ ТА АНАЛГЕЗУЮЧІ ЗАСОБИ </w:t>
      </w:r>
      <w:r w:rsidRPr="00B85935">
        <w:rPr>
          <w:b/>
          <w:color w:val="000000" w:themeColor="text1"/>
          <w:sz w:val="28"/>
          <w:szCs w:val="28"/>
          <w:lang w:val="uk-UA"/>
        </w:rPr>
        <w:t>(Огляд літератури)</w:t>
      </w:r>
      <w:r w:rsidR="00DC4FD4" w:rsidRPr="00B85935">
        <w:rPr>
          <w:sz w:val="28"/>
          <w:szCs w:val="28"/>
          <w:u w:val="dotted"/>
          <w:lang w:val="uk-UA"/>
        </w:rPr>
        <w:tab/>
      </w:r>
      <w:r w:rsidR="00DC4FD4" w:rsidRPr="00112A09">
        <w:rPr>
          <w:sz w:val="28"/>
          <w:szCs w:val="28"/>
          <w:u w:val="dotted"/>
          <w:lang w:val="uk-UA"/>
        </w:rPr>
        <w:t xml:space="preserve">        </w:t>
      </w:r>
      <w:r w:rsidRPr="00B85935">
        <w:rPr>
          <w:sz w:val="28"/>
          <w:szCs w:val="28"/>
          <w:u w:val="dotted"/>
          <w:lang w:val="uk-UA"/>
        </w:rPr>
        <w:t>2</w:t>
      </w:r>
      <w:r w:rsidR="001759D5">
        <w:rPr>
          <w:sz w:val="28"/>
          <w:szCs w:val="28"/>
          <w:u w:val="dotted"/>
          <w:lang w:val="uk-UA"/>
        </w:rPr>
        <w:t>0</w:t>
      </w:r>
    </w:p>
    <w:p w14:paraId="0637FEBD" w14:textId="4B4768C3" w:rsidR="00FD0D07" w:rsidRPr="00112A09" w:rsidRDefault="00C57D1F" w:rsidP="00FD0D07">
      <w:pPr>
        <w:numPr>
          <w:ilvl w:val="1"/>
          <w:numId w:val="2"/>
        </w:numPr>
        <w:tabs>
          <w:tab w:val="left" w:pos="709"/>
          <w:tab w:val="right" w:pos="9354"/>
        </w:tabs>
        <w:spacing w:line="360" w:lineRule="auto"/>
        <w:ind w:left="709" w:hanging="708"/>
        <w:jc w:val="both"/>
        <w:rPr>
          <w:sz w:val="28"/>
          <w:szCs w:val="28"/>
        </w:rPr>
      </w:pPr>
      <w:r w:rsidRPr="00112A09">
        <w:rPr>
          <w:sz w:val="28"/>
          <w:szCs w:val="28"/>
          <w:lang w:val="uk-UA"/>
        </w:rPr>
        <w:t>Механізм дії знеболювальних засобів</w:t>
      </w:r>
      <w:r w:rsidR="00FD0D07" w:rsidRPr="00112A09">
        <w:rPr>
          <w:sz w:val="28"/>
          <w:szCs w:val="28"/>
          <w:u w:val="dotted"/>
        </w:rPr>
        <w:tab/>
        <w:t>2</w:t>
      </w:r>
      <w:r w:rsidR="001759D5">
        <w:rPr>
          <w:sz w:val="28"/>
          <w:szCs w:val="28"/>
          <w:u w:val="dotted"/>
          <w:lang w:val="uk-UA"/>
        </w:rPr>
        <w:t>1</w:t>
      </w:r>
    </w:p>
    <w:p w14:paraId="2D343A28" w14:textId="403375D4" w:rsidR="00FD0D07" w:rsidRPr="00112A09" w:rsidRDefault="00C57D1F" w:rsidP="00C57D1F">
      <w:pPr>
        <w:tabs>
          <w:tab w:val="left" w:pos="709"/>
          <w:tab w:val="right" w:pos="9354"/>
        </w:tabs>
        <w:spacing w:line="360" w:lineRule="auto"/>
        <w:ind w:left="540" w:right="-11" w:hanging="270"/>
        <w:jc w:val="both"/>
        <w:rPr>
          <w:sz w:val="28"/>
          <w:szCs w:val="28"/>
        </w:rPr>
      </w:pPr>
      <w:r w:rsidRPr="00112A09">
        <w:rPr>
          <w:sz w:val="28"/>
          <w:szCs w:val="28"/>
          <w:lang w:val="uk-UA"/>
        </w:rPr>
        <w:t>1.1.1 Опіоїдні засоби у лікуванні болю</w:t>
      </w:r>
      <w:r w:rsidR="00FD0D07" w:rsidRPr="00112A09">
        <w:rPr>
          <w:sz w:val="28"/>
          <w:szCs w:val="28"/>
          <w:u w:val="dotted"/>
        </w:rPr>
        <w:tab/>
      </w:r>
      <w:r w:rsidR="00FD0D07" w:rsidRPr="00112A09">
        <w:rPr>
          <w:sz w:val="28"/>
          <w:szCs w:val="28"/>
          <w:u w:val="dotted"/>
          <w:lang w:val="uk-UA"/>
        </w:rPr>
        <w:t>2</w:t>
      </w:r>
      <w:r w:rsidR="001759D5">
        <w:rPr>
          <w:sz w:val="28"/>
          <w:szCs w:val="28"/>
          <w:u w:val="dotted"/>
          <w:lang w:val="uk-UA"/>
        </w:rPr>
        <w:t>2</w:t>
      </w:r>
    </w:p>
    <w:p w14:paraId="47A7CB6D" w14:textId="3A9B4BFC" w:rsidR="00FD0D07" w:rsidRPr="00112A09" w:rsidRDefault="00C57D1F" w:rsidP="00C57D1F">
      <w:pPr>
        <w:tabs>
          <w:tab w:val="left" w:pos="90"/>
          <w:tab w:val="right" w:pos="9354"/>
        </w:tabs>
        <w:spacing w:line="360" w:lineRule="auto"/>
        <w:ind w:left="540" w:hanging="270"/>
        <w:jc w:val="both"/>
        <w:rPr>
          <w:sz w:val="28"/>
          <w:szCs w:val="28"/>
        </w:rPr>
      </w:pPr>
      <w:r w:rsidRPr="00112A09">
        <w:rPr>
          <w:sz w:val="28"/>
          <w:szCs w:val="28"/>
          <w:lang w:val="uk-UA"/>
        </w:rPr>
        <w:t>1.1.2 НПЗП у лікуванні болю та запалення</w:t>
      </w:r>
      <w:r w:rsidR="00FD0D07" w:rsidRPr="00112A09">
        <w:rPr>
          <w:sz w:val="28"/>
          <w:szCs w:val="28"/>
          <w:u w:val="dotted"/>
        </w:rPr>
        <w:tab/>
      </w:r>
      <w:r w:rsidRPr="00112A09">
        <w:rPr>
          <w:sz w:val="28"/>
          <w:szCs w:val="28"/>
          <w:u w:val="dotted"/>
          <w:lang w:val="uk-UA"/>
        </w:rPr>
        <w:t>2</w:t>
      </w:r>
      <w:r w:rsidR="001759D5">
        <w:rPr>
          <w:sz w:val="28"/>
          <w:szCs w:val="28"/>
          <w:u w:val="dotted"/>
          <w:lang w:val="uk-UA"/>
        </w:rPr>
        <w:t>4</w:t>
      </w:r>
    </w:p>
    <w:p w14:paraId="0B33E599" w14:textId="0DE18231" w:rsidR="00FD0D07" w:rsidRPr="00112A09" w:rsidRDefault="00C57D1F" w:rsidP="00C57D1F">
      <w:pPr>
        <w:tabs>
          <w:tab w:val="left" w:pos="0"/>
          <w:tab w:val="right" w:pos="9354"/>
        </w:tabs>
        <w:spacing w:line="360" w:lineRule="auto"/>
        <w:ind w:left="540" w:hanging="270"/>
        <w:jc w:val="both"/>
        <w:rPr>
          <w:sz w:val="28"/>
          <w:szCs w:val="28"/>
        </w:rPr>
      </w:pPr>
      <w:r w:rsidRPr="00112A09">
        <w:rPr>
          <w:sz w:val="28"/>
          <w:szCs w:val="28"/>
          <w:lang w:val="uk-UA"/>
        </w:rPr>
        <w:t>1.1.3 Ад’ювантні анальгетики у лікуванні болю і запалення</w:t>
      </w:r>
      <w:r w:rsidR="00FD0D07" w:rsidRPr="00112A09">
        <w:rPr>
          <w:sz w:val="28"/>
          <w:szCs w:val="28"/>
          <w:u w:val="dotted"/>
        </w:rPr>
        <w:tab/>
      </w:r>
      <w:r w:rsidR="001759D5">
        <w:rPr>
          <w:sz w:val="28"/>
          <w:szCs w:val="28"/>
          <w:u w:val="dotted"/>
          <w:lang w:val="uk-UA"/>
        </w:rPr>
        <w:t>27</w:t>
      </w:r>
    </w:p>
    <w:p w14:paraId="60FBDF9E" w14:textId="40499AED" w:rsidR="00FD0D07" w:rsidRPr="00112A09" w:rsidRDefault="00C57D1F" w:rsidP="00FD0D07">
      <w:pPr>
        <w:numPr>
          <w:ilvl w:val="1"/>
          <w:numId w:val="2"/>
        </w:numPr>
        <w:tabs>
          <w:tab w:val="left" w:pos="709"/>
          <w:tab w:val="right" w:pos="9354"/>
        </w:tabs>
        <w:spacing w:line="360" w:lineRule="auto"/>
        <w:ind w:left="709" w:hanging="708"/>
        <w:jc w:val="both"/>
        <w:rPr>
          <w:sz w:val="28"/>
          <w:szCs w:val="28"/>
        </w:rPr>
      </w:pPr>
      <w:r w:rsidRPr="00112A09">
        <w:rPr>
          <w:sz w:val="28"/>
          <w:szCs w:val="28"/>
          <w:lang w:val="uk-UA"/>
        </w:rPr>
        <w:t>Терапевтичний потенціал гідразонів</w:t>
      </w:r>
      <w:r w:rsidR="00FD0D07" w:rsidRPr="00112A09">
        <w:rPr>
          <w:sz w:val="28"/>
          <w:szCs w:val="28"/>
          <w:u w:val="dotted"/>
        </w:rPr>
        <w:tab/>
      </w:r>
      <w:r w:rsidR="00FD0D07" w:rsidRPr="00112A09">
        <w:rPr>
          <w:sz w:val="28"/>
          <w:szCs w:val="28"/>
          <w:u w:val="dotted"/>
          <w:lang w:val="uk-UA"/>
        </w:rPr>
        <w:t>3</w:t>
      </w:r>
      <w:r w:rsidR="001759D5">
        <w:rPr>
          <w:sz w:val="28"/>
          <w:szCs w:val="28"/>
          <w:u w:val="dotted"/>
          <w:lang w:val="uk-UA"/>
        </w:rPr>
        <w:t>1</w:t>
      </w:r>
    </w:p>
    <w:p w14:paraId="39BEA3B7" w14:textId="67514675" w:rsidR="00FD0D07" w:rsidRPr="00112A09" w:rsidRDefault="00C57D1F" w:rsidP="00C57D1F">
      <w:pPr>
        <w:tabs>
          <w:tab w:val="left" w:pos="630"/>
          <w:tab w:val="right" w:pos="9354"/>
        </w:tabs>
        <w:spacing w:line="360" w:lineRule="auto"/>
        <w:ind w:left="709" w:hanging="439"/>
        <w:jc w:val="both"/>
        <w:rPr>
          <w:sz w:val="28"/>
          <w:szCs w:val="28"/>
          <w:lang w:val="uk-UA"/>
        </w:rPr>
      </w:pPr>
      <w:r w:rsidRPr="00112A09">
        <w:rPr>
          <w:sz w:val="28"/>
          <w:szCs w:val="28"/>
          <w:lang w:val="uk-UA"/>
        </w:rPr>
        <w:t>1.2.1 Фармакологічна активність гідразонів</w:t>
      </w:r>
      <w:r w:rsidR="00FD0D07" w:rsidRPr="00112A09">
        <w:rPr>
          <w:sz w:val="28"/>
          <w:szCs w:val="28"/>
          <w:u w:val="dotted"/>
        </w:rPr>
        <w:tab/>
      </w:r>
      <w:r w:rsidR="00FD0D07" w:rsidRPr="00112A09">
        <w:rPr>
          <w:sz w:val="28"/>
          <w:szCs w:val="28"/>
          <w:u w:val="dotted"/>
          <w:lang w:val="uk-UA"/>
        </w:rPr>
        <w:t>3</w:t>
      </w:r>
      <w:r w:rsidR="001759D5">
        <w:rPr>
          <w:sz w:val="28"/>
          <w:szCs w:val="28"/>
          <w:u w:val="dotted"/>
          <w:lang w:val="uk-UA"/>
        </w:rPr>
        <w:t>2</w:t>
      </w:r>
    </w:p>
    <w:p w14:paraId="619B6BDC" w14:textId="735D418D" w:rsidR="00FD0D07" w:rsidRPr="00112A09" w:rsidRDefault="00C57D1F" w:rsidP="00FD0D07">
      <w:pPr>
        <w:numPr>
          <w:ilvl w:val="1"/>
          <w:numId w:val="2"/>
        </w:numPr>
        <w:tabs>
          <w:tab w:val="left" w:pos="709"/>
          <w:tab w:val="right" w:pos="9354"/>
        </w:tabs>
        <w:spacing w:line="360" w:lineRule="auto"/>
        <w:ind w:left="709" w:hanging="708"/>
        <w:jc w:val="both"/>
        <w:rPr>
          <w:sz w:val="28"/>
          <w:szCs w:val="28"/>
        </w:rPr>
      </w:pPr>
      <w:r w:rsidRPr="00112A09">
        <w:rPr>
          <w:sz w:val="28"/>
          <w:szCs w:val="28"/>
          <w:lang w:val="uk-UA"/>
        </w:rPr>
        <w:t>Продукти комплексоутворення саліцилоїлгідразонів</w:t>
      </w:r>
      <w:r w:rsidR="00FD0D07" w:rsidRPr="00112A09">
        <w:rPr>
          <w:sz w:val="28"/>
          <w:szCs w:val="28"/>
          <w:u w:val="dotted"/>
        </w:rPr>
        <w:tab/>
      </w:r>
      <w:r w:rsidR="001759D5">
        <w:rPr>
          <w:sz w:val="28"/>
          <w:szCs w:val="28"/>
          <w:u w:val="dotted"/>
          <w:lang w:val="uk-UA"/>
        </w:rPr>
        <w:t>37</w:t>
      </w:r>
    </w:p>
    <w:p w14:paraId="2285C299" w14:textId="25CAE1E6" w:rsidR="00FD0D07" w:rsidRPr="00112A09" w:rsidRDefault="00FD0D07" w:rsidP="00FD0D07">
      <w:pPr>
        <w:tabs>
          <w:tab w:val="left" w:pos="1134"/>
          <w:tab w:val="right" w:pos="9354"/>
        </w:tabs>
        <w:spacing w:line="360" w:lineRule="auto"/>
        <w:rPr>
          <w:sz w:val="28"/>
          <w:szCs w:val="28"/>
          <w:u w:val="dotted"/>
          <w:lang w:val="uk-UA"/>
        </w:rPr>
      </w:pPr>
      <w:r w:rsidRPr="00112A09">
        <w:rPr>
          <w:b/>
          <w:sz w:val="28"/>
          <w:szCs w:val="28"/>
        </w:rPr>
        <w:t>РОЗДІЛ 2. МАТЕРІАЛИ ТА МЕТОДИ ДОСЛІДЖЕННЯ</w:t>
      </w:r>
      <w:r w:rsidRPr="00112A09">
        <w:rPr>
          <w:sz w:val="28"/>
          <w:szCs w:val="28"/>
          <w:u w:val="dotted"/>
        </w:rPr>
        <w:tab/>
      </w:r>
      <w:r w:rsidRPr="00112A09">
        <w:rPr>
          <w:sz w:val="28"/>
          <w:szCs w:val="28"/>
          <w:u w:val="dotted"/>
          <w:lang w:val="uk-UA"/>
        </w:rPr>
        <w:t>4</w:t>
      </w:r>
      <w:r w:rsidR="001759D5">
        <w:rPr>
          <w:sz w:val="28"/>
          <w:szCs w:val="28"/>
          <w:u w:val="dotted"/>
          <w:lang w:val="uk-UA"/>
        </w:rPr>
        <w:t>1</w:t>
      </w:r>
    </w:p>
    <w:p w14:paraId="4893524F" w14:textId="50B7D888" w:rsidR="00C57D1F" w:rsidRPr="00112A09" w:rsidRDefault="00C57D1F" w:rsidP="00C57D1F">
      <w:pPr>
        <w:tabs>
          <w:tab w:val="left" w:pos="0"/>
          <w:tab w:val="right" w:pos="9354"/>
        </w:tabs>
        <w:spacing w:line="360" w:lineRule="auto"/>
        <w:ind w:left="709" w:hanging="709"/>
        <w:jc w:val="both"/>
        <w:rPr>
          <w:sz w:val="28"/>
          <w:szCs w:val="28"/>
          <w:lang w:val="uk-UA"/>
        </w:rPr>
      </w:pPr>
      <w:r w:rsidRPr="00112A09">
        <w:rPr>
          <w:sz w:val="28"/>
          <w:szCs w:val="28"/>
          <w:lang w:val="uk-UA"/>
        </w:rPr>
        <w:t>2.1 Дизайн дослідження</w:t>
      </w:r>
      <w:r w:rsidRPr="00112A09">
        <w:rPr>
          <w:sz w:val="28"/>
          <w:szCs w:val="28"/>
          <w:u w:val="dotted"/>
        </w:rPr>
        <w:tab/>
      </w:r>
      <w:r w:rsidRPr="00112A09">
        <w:rPr>
          <w:sz w:val="28"/>
          <w:szCs w:val="28"/>
          <w:u w:val="dotted"/>
          <w:lang w:val="uk-UA"/>
        </w:rPr>
        <w:t>4</w:t>
      </w:r>
      <w:r w:rsidR="001759D5">
        <w:rPr>
          <w:sz w:val="28"/>
          <w:szCs w:val="28"/>
          <w:u w:val="dotted"/>
          <w:lang w:val="uk-UA"/>
        </w:rPr>
        <w:t>1</w:t>
      </w:r>
    </w:p>
    <w:p w14:paraId="56C98F5E" w14:textId="674F3D28" w:rsidR="00C57D1F" w:rsidRPr="00112A09" w:rsidRDefault="00C57D1F" w:rsidP="00C57D1F">
      <w:pPr>
        <w:tabs>
          <w:tab w:val="left" w:pos="709"/>
          <w:tab w:val="right" w:pos="9354"/>
        </w:tabs>
        <w:spacing w:line="360" w:lineRule="auto"/>
        <w:ind w:left="425" w:hanging="425"/>
        <w:jc w:val="both"/>
        <w:rPr>
          <w:sz w:val="28"/>
          <w:szCs w:val="28"/>
        </w:rPr>
      </w:pPr>
      <w:r w:rsidRPr="00112A09">
        <w:rPr>
          <w:sz w:val="28"/>
          <w:szCs w:val="28"/>
          <w:lang w:val="uk-UA"/>
        </w:rPr>
        <w:t xml:space="preserve">2.2 </w:t>
      </w:r>
      <w:r w:rsidR="001759D5" w:rsidRPr="001759D5">
        <w:rPr>
          <w:sz w:val="28"/>
          <w:szCs w:val="28"/>
          <w:lang w:val="uk-UA"/>
        </w:rPr>
        <w:t>Матеріали та реактиви</w:t>
      </w:r>
      <w:r w:rsidRPr="00112A09">
        <w:rPr>
          <w:sz w:val="28"/>
          <w:szCs w:val="28"/>
          <w:u w:val="dotted"/>
        </w:rPr>
        <w:tab/>
        <w:t>4</w:t>
      </w:r>
      <w:r w:rsidR="001759D5">
        <w:rPr>
          <w:sz w:val="28"/>
          <w:szCs w:val="28"/>
          <w:u w:val="dotted"/>
          <w:lang w:val="uk-UA"/>
        </w:rPr>
        <w:t>2</w:t>
      </w:r>
    </w:p>
    <w:p w14:paraId="77C81A2F" w14:textId="0F3F52D5" w:rsidR="00C57D1F" w:rsidRPr="00112A09" w:rsidRDefault="00C57D1F" w:rsidP="00C57D1F">
      <w:pPr>
        <w:tabs>
          <w:tab w:val="left" w:pos="709"/>
          <w:tab w:val="right" w:pos="9354"/>
        </w:tabs>
        <w:spacing w:line="360" w:lineRule="auto"/>
        <w:ind w:left="425" w:hanging="425"/>
        <w:jc w:val="both"/>
        <w:rPr>
          <w:sz w:val="28"/>
          <w:szCs w:val="28"/>
          <w:lang w:val="uk-UA"/>
        </w:rPr>
      </w:pPr>
      <w:r w:rsidRPr="00112A09">
        <w:rPr>
          <w:sz w:val="28"/>
          <w:szCs w:val="28"/>
          <w:lang w:val="uk-UA"/>
        </w:rPr>
        <w:t xml:space="preserve">2.3 </w:t>
      </w:r>
      <w:r w:rsidR="001759D5" w:rsidRPr="001759D5">
        <w:rPr>
          <w:sz w:val="28"/>
          <w:szCs w:val="28"/>
          <w:lang w:val="uk-UA"/>
        </w:rPr>
        <w:t>Методи  дослідження фармакологічної активності сполук</w:t>
      </w:r>
      <w:r w:rsidRPr="00112A09">
        <w:rPr>
          <w:sz w:val="28"/>
          <w:szCs w:val="28"/>
          <w:u w:val="dotted"/>
        </w:rPr>
        <w:tab/>
      </w:r>
      <w:r w:rsidR="001759D5">
        <w:rPr>
          <w:sz w:val="28"/>
          <w:szCs w:val="28"/>
          <w:u w:val="dotted"/>
          <w:lang w:val="uk-UA"/>
        </w:rPr>
        <w:t>45</w:t>
      </w:r>
    </w:p>
    <w:p w14:paraId="00871BBC" w14:textId="3FB5B370" w:rsidR="00FD0D07" w:rsidRPr="00112A09" w:rsidRDefault="00FD0D07" w:rsidP="00FD0D07">
      <w:pPr>
        <w:tabs>
          <w:tab w:val="right" w:pos="9354"/>
        </w:tabs>
        <w:spacing w:line="360" w:lineRule="auto"/>
        <w:rPr>
          <w:sz w:val="28"/>
          <w:szCs w:val="28"/>
          <w:lang w:val="uk-UA"/>
        </w:rPr>
      </w:pPr>
      <w:r w:rsidRPr="00112A09">
        <w:rPr>
          <w:b/>
          <w:sz w:val="28"/>
          <w:szCs w:val="28"/>
          <w:lang w:val="uk-UA"/>
        </w:rPr>
        <w:t>РОЗДІЛ 3</w:t>
      </w:r>
      <w:r w:rsidRPr="00112A09">
        <w:rPr>
          <w:sz w:val="28"/>
          <w:szCs w:val="28"/>
          <w:lang w:val="uk-UA"/>
        </w:rPr>
        <w:t xml:space="preserve">. </w:t>
      </w:r>
      <w:r w:rsidRPr="00112A09">
        <w:rPr>
          <w:b/>
          <w:sz w:val="28"/>
          <w:szCs w:val="28"/>
          <w:lang w:val="uk-UA"/>
        </w:rPr>
        <w:t xml:space="preserve">КОМП'ЮТЕРНИЙ ПРОГНОЗ БІОЛОГІЧНОЇ АКТИВНОСТІ </w:t>
      </w:r>
      <w:r w:rsidRPr="00112A09">
        <w:rPr>
          <w:b/>
          <w:bCs/>
          <w:sz w:val="28"/>
          <w:szCs w:val="28"/>
          <w:lang w:val="uk-UA"/>
        </w:rPr>
        <w:t xml:space="preserve">КОМПЛЕКСНИХ СПОЛУК </w:t>
      </w:r>
      <w:r w:rsidRPr="00112A09">
        <w:rPr>
          <w:b/>
          <w:bCs/>
          <w:sz w:val="28"/>
          <w:szCs w:val="28"/>
          <w:lang w:val="en-US"/>
        </w:rPr>
        <w:t>Sn</w:t>
      </w:r>
      <w:r w:rsidR="00C57D1F" w:rsidRPr="00112A09">
        <w:rPr>
          <w:b/>
          <w:bCs/>
          <w:sz w:val="28"/>
          <w:szCs w:val="28"/>
          <w:lang w:val="uk-UA"/>
        </w:rPr>
        <w:t xml:space="preserve"> (</w:t>
      </w:r>
      <w:r w:rsidR="00C57D1F" w:rsidRPr="00112A09">
        <w:rPr>
          <w:b/>
          <w:bCs/>
          <w:sz w:val="28"/>
          <w:szCs w:val="28"/>
          <w:lang w:val="en-US"/>
        </w:rPr>
        <w:t>IV</w:t>
      </w:r>
      <w:r w:rsidR="00C57D1F" w:rsidRPr="00112A09">
        <w:rPr>
          <w:b/>
          <w:bCs/>
          <w:sz w:val="28"/>
          <w:szCs w:val="28"/>
          <w:lang w:val="uk-UA"/>
        </w:rPr>
        <w:t>)</w:t>
      </w:r>
      <w:r w:rsidRPr="00112A09">
        <w:rPr>
          <w:b/>
          <w:bCs/>
          <w:sz w:val="28"/>
          <w:szCs w:val="28"/>
          <w:lang w:val="uk-UA"/>
        </w:rPr>
        <w:t xml:space="preserve"> З САЛІЦИЛОЇЛГІДРАЗОНАМИ БЕНЗАЛЬДЕГІ</w:t>
      </w:r>
      <w:r w:rsidR="00C57D1F" w:rsidRPr="00112A09">
        <w:rPr>
          <w:b/>
          <w:bCs/>
          <w:sz w:val="28"/>
          <w:szCs w:val="28"/>
          <w:lang w:val="uk-UA"/>
        </w:rPr>
        <w:t>ДІВ</w:t>
      </w:r>
      <w:r w:rsidRPr="00112A09">
        <w:rPr>
          <w:sz w:val="28"/>
          <w:szCs w:val="28"/>
          <w:u w:val="dotted"/>
          <w:lang w:val="uk-UA"/>
        </w:rPr>
        <w:tab/>
      </w:r>
      <w:r w:rsidR="001759D5">
        <w:rPr>
          <w:sz w:val="28"/>
          <w:szCs w:val="28"/>
          <w:u w:val="dotted"/>
          <w:lang w:val="uk-UA"/>
        </w:rPr>
        <w:t>58</w:t>
      </w:r>
    </w:p>
    <w:p w14:paraId="5A3FBEF5" w14:textId="65A94DB4" w:rsidR="00FD0D07" w:rsidRPr="00112A09" w:rsidRDefault="00FD0D07" w:rsidP="00C57D1F">
      <w:pPr>
        <w:numPr>
          <w:ilvl w:val="1"/>
          <w:numId w:val="3"/>
        </w:numPr>
        <w:tabs>
          <w:tab w:val="left" w:pos="709"/>
          <w:tab w:val="right" w:pos="9354"/>
        </w:tabs>
        <w:spacing w:line="360" w:lineRule="auto"/>
        <w:ind w:left="709" w:right="-11" w:hanging="709"/>
        <w:jc w:val="both"/>
        <w:rPr>
          <w:sz w:val="28"/>
          <w:szCs w:val="28"/>
          <w:lang w:val="uk-UA"/>
        </w:rPr>
      </w:pPr>
      <w:r w:rsidRPr="00112A09">
        <w:rPr>
          <w:bCs/>
          <w:sz w:val="28"/>
          <w:szCs w:val="28"/>
          <w:lang w:val="uk-UA"/>
        </w:rPr>
        <w:t>Прогноз біологічної активності</w:t>
      </w:r>
      <w:r w:rsidR="00C57D1F" w:rsidRPr="00112A09">
        <w:rPr>
          <w:bCs/>
          <w:sz w:val="28"/>
          <w:szCs w:val="28"/>
          <w:lang w:val="uk-UA"/>
        </w:rPr>
        <w:t xml:space="preserve"> сполук</w:t>
      </w:r>
      <w:r w:rsidRPr="00112A09">
        <w:rPr>
          <w:sz w:val="28"/>
          <w:szCs w:val="28"/>
          <w:u w:val="dotted"/>
          <w:lang w:val="uk-UA"/>
        </w:rPr>
        <w:tab/>
      </w:r>
      <w:r w:rsidR="001759D5">
        <w:rPr>
          <w:sz w:val="28"/>
          <w:szCs w:val="28"/>
          <w:u w:val="dotted"/>
          <w:lang w:val="uk-UA"/>
        </w:rPr>
        <w:t>58</w:t>
      </w:r>
    </w:p>
    <w:p w14:paraId="5B9E007E" w14:textId="4E296AC8" w:rsidR="00C57D1F" w:rsidRPr="00112A09" w:rsidRDefault="00C57D1F" w:rsidP="00C57D1F">
      <w:pPr>
        <w:numPr>
          <w:ilvl w:val="1"/>
          <w:numId w:val="3"/>
        </w:numPr>
        <w:tabs>
          <w:tab w:val="left" w:pos="709"/>
          <w:tab w:val="right" w:pos="9354"/>
        </w:tabs>
        <w:spacing w:line="360" w:lineRule="auto"/>
        <w:ind w:left="709" w:right="-11" w:hanging="709"/>
        <w:jc w:val="both"/>
        <w:rPr>
          <w:sz w:val="28"/>
          <w:szCs w:val="28"/>
          <w:lang w:val="uk-UA"/>
        </w:rPr>
      </w:pPr>
      <w:r w:rsidRPr="00112A09">
        <w:rPr>
          <w:sz w:val="28"/>
          <w:szCs w:val="28"/>
          <w:lang w:val="uk-UA"/>
        </w:rPr>
        <w:t>Гостра токсичність</w:t>
      </w:r>
      <w:r w:rsidRPr="00112A09">
        <w:rPr>
          <w:sz w:val="28"/>
          <w:szCs w:val="28"/>
          <w:u w:val="dotted"/>
          <w:lang w:val="uk-UA"/>
        </w:rPr>
        <w:tab/>
        <w:t>6</w:t>
      </w:r>
      <w:r w:rsidR="001759D5">
        <w:rPr>
          <w:sz w:val="28"/>
          <w:szCs w:val="28"/>
          <w:u w:val="dotted"/>
          <w:lang w:val="uk-UA"/>
        </w:rPr>
        <w:t>2</w:t>
      </w:r>
    </w:p>
    <w:p w14:paraId="05005830" w14:textId="0882B892" w:rsidR="00FD0D07" w:rsidRPr="00112A09" w:rsidRDefault="00FD0D07" w:rsidP="00C57D1F">
      <w:pPr>
        <w:tabs>
          <w:tab w:val="right" w:pos="9354"/>
        </w:tabs>
        <w:spacing w:line="360" w:lineRule="auto"/>
        <w:ind w:right="-11"/>
        <w:rPr>
          <w:sz w:val="28"/>
          <w:szCs w:val="28"/>
          <w:lang w:val="uk-UA"/>
        </w:rPr>
      </w:pPr>
      <w:r w:rsidRPr="00112A09">
        <w:rPr>
          <w:b/>
          <w:sz w:val="28"/>
          <w:szCs w:val="28"/>
          <w:lang w:val="uk-UA"/>
        </w:rPr>
        <w:t xml:space="preserve">РОЗДІЛ 4. </w:t>
      </w:r>
      <w:r w:rsidRPr="00112A09">
        <w:rPr>
          <w:b/>
          <w:bCs/>
          <w:sz w:val="28"/>
          <w:szCs w:val="28"/>
          <w:lang w:val="uk-UA"/>
        </w:rPr>
        <w:t xml:space="preserve">ДОСЛІДЖЕННЯ ПРОТИЗАПАЛЬНОЇ АКТИВНОСТІ КОМПЛЕКСНИХ СПОЛУК </w:t>
      </w:r>
      <w:r w:rsidR="00C57D1F" w:rsidRPr="00112A09">
        <w:rPr>
          <w:b/>
          <w:bCs/>
          <w:sz w:val="28"/>
          <w:szCs w:val="28"/>
          <w:lang w:val="en-US"/>
        </w:rPr>
        <w:t>Sn</w:t>
      </w:r>
      <w:r w:rsidR="00C57D1F" w:rsidRPr="00112A09">
        <w:rPr>
          <w:b/>
          <w:bCs/>
          <w:sz w:val="28"/>
          <w:szCs w:val="28"/>
          <w:lang w:val="uk-UA"/>
        </w:rPr>
        <w:t xml:space="preserve"> (</w:t>
      </w:r>
      <w:r w:rsidR="00C57D1F" w:rsidRPr="00112A09">
        <w:rPr>
          <w:b/>
          <w:bCs/>
          <w:sz w:val="28"/>
          <w:szCs w:val="28"/>
          <w:lang w:val="en-US"/>
        </w:rPr>
        <w:t>IV</w:t>
      </w:r>
      <w:r w:rsidR="00C57D1F" w:rsidRPr="00112A09">
        <w:rPr>
          <w:b/>
          <w:bCs/>
          <w:sz w:val="28"/>
          <w:szCs w:val="28"/>
          <w:lang w:val="uk-UA"/>
        </w:rPr>
        <w:t>) З САЛІЦИЛОЇЛГІДРАЗОНАМИ БЕНЗАЛЬДЕГІДІВ</w:t>
      </w:r>
      <w:r w:rsidRPr="00112A09">
        <w:rPr>
          <w:b/>
          <w:bCs/>
          <w:sz w:val="28"/>
          <w:szCs w:val="28"/>
          <w:lang w:val="uk-UA"/>
        </w:rPr>
        <w:t xml:space="preserve"> НА РІЗНИХ МОДЕЛЯХ ЗАПАЛЕННЯ</w:t>
      </w:r>
      <w:r w:rsidRPr="00112A09">
        <w:rPr>
          <w:sz w:val="28"/>
          <w:szCs w:val="28"/>
          <w:u w:val="dotted"/>
          <w:lang w:val="uk-UA"/>
        </w:rPr>
        <w:tab/>
      </w:r>
      <w:r w:rsidR="001759D5">
        <w:rPr>
          <w:sz w:val="28"/>
          <w:szCs w:val="28"/>
          <w:u w:val="dotted"/>
          <w:lang w:val="uk-UA"/>
        </w:rPr>
        <w:t>65</w:t>
      </w:r>
    </w:p>
    <w:p w14:paraId="7943CD7A" w14:textId="756DF224" w:rsidR="00FD0D07" w:rsidRPr="00112A09" w:rsidRDefault="00FD0D07" w:rsidP="00C57D1F">
      <w:pPr>
        <w:pStyle w:val="af0"/>
        <w:numPr>
          <w:ilvl w:val="1"/>
          <w:numId w:val="7"/>
        </w:numPr>
        <w:tabs>
          <w:tab w:val="left" w:pos="709"/>
          <w:tab w:val="right" w:pos="9360"/>
        </w:tabs>
        <w:spacing w:line="360" w:lineRule="auto"/>
        <w:ind w:left="709" w:right="-11" w:hanging="709"/>
        <w:jc w:val="both"/>
        <w:rPr>
          <w:sz w:val="28"/>
          <w:szCs w:val="28"/>
          <w:u w:val="dotted"/>
          <w:lang w:val="uk-UA"/>
        </w:rPr>
      </w:pPr>
      <w:r w:rsidRPr="00112A09">
        <w:rPr>
          <w:bCs/>
          <w:sz w:val="28"/>
          <w:szCs w:val="28"/>
          <w:lang w:val="uk-UA"/>
        </w:rPr>
        <w:t xml:space="preserve">Дослідження протизапальної дії комплексних сполук </w:t>
      </w:r>
      <w:r w:rsidRPr="00112A09">
        <w:rPr>
          <w:bCs/>
          <w:sz w:val="28"/>
          <w:szCs w:val="28"/>
        </w:rPr>
        <w:t>Sn</w:t>
      </w:r>
      <w:r w:rsidR="00C57D1F" w:rsidRPr="00112A09">
        <w:rPr>
          <w:bCs/>
          <w:sz w:val="28"/>
          <w:szCs w:val="28"/>
          <w:lang w:val="uk-UA"/>
        </w:rPr>
        <w:t xml:space="preserve"> (</w:t>
      </w:r>
      <w:r w:rsidR="00C57D1F" w:rsidRPr="00112A09">
        <w:rPr>
          <w:bCs/>
          <w:sz w:val="28"/>
          <w:szCs w:val="28"/>
          <w:lang w:val="en-US"/>
        </w:rPr>
        <w:t>IV</w:t>
      </w:r>
      <w:r w:rsidR="00C57D1F" w:rsidRPr="00112A09">
        <w:rPr>
          <w:bCs/>
          <w:sz w:val="28"/>
          <w:szCs w:val="28"/>
          <w:lang w:val="uk-UA"/>
        </w:rPr>
        <w:t>)</w:t>
      </w:r>
      <w:r w:rsidRPr="00112A09">
        <w:rPr>
          <w:bCs/>
          <w:sz w:val="28"/>
          <w:szCs w:val="28"/>
          <w:lang w:val="uk-UA"/>
        </w:rPr>
        <w:t xml:space="preserve"> з саліцилоїлгідразонами бензальдегід</w:t>
      </w:r>
      <w:r w:rsidR="00C57D1F" w:rsidRPr="00112A09">
        <w:rPr>
          <w:bCs/>
          <w:sz w:val="28"/>
          <w:szCs w:val="28"/>
          <w:lang w:val="uk-UA"/>
        </w:rPr>
        <w:t xml:space="preserve">ів </w:t>
      </w:r>
      <w:r w:rsidRPr="00112A09">
        <w:rPr>
          <w:bCs/>
          <w:sz w:val="28"/>
          <w:szCs w:val="28"/>
          <w:lang w:val="uk-UA"/>
        </w:rPr>
        <w:t xml:space="preserve">на моделі </w:t>
      </w:r>
      <w:r w:rsidR="00C57D1F" w:rsidRPr="00112A09">
        <w:rPr>
          <w:bCs/>
          <w:sz w:val="28"/>
          <w:szCs w:val="28"/>
          <w:lang w:val="uk-UA"/>
        </w:rPr>
        <w:t>каррагінанового</w:t>
      </w:r>
      <w:r w:rsidRPr="00112A09">
        <w:rPr>
          <w:bCs/>
          <w:sz w:val="28"/>
          <w:szCs w:val="28"/>
          <w:lang w:val="uk-UA"/>
        </w:rPr>
        <w:t xml:space="preserve"> запалення</w:t>
      </w:r>
      <w:r w:rsidRPr="00112A09">
        <w:rPr>
          <w:sz w:val="28"/>
          <w:szCs w:val="28"/>
          <w:u w:val="dotted"/>
          <w:lang w:val="uk-UA"/>
        </w:rPr>
        <w:tab/>
      </w:r>
      <w:r w:rsidR="001759D5">
        <w:rPr>
          <w:sz w:val="28"/>
          <w:szCs w:val="28"/>
          <w:u w:val="dotted"/>
          <w:lang w:val="uk-UA"/>
        </w:rPr>
        <w:t>66</w:t>
      </w:r>
    </w:p>
    <w:p w14:paraId="392EA952" w14:textId="1FB257AD" w:rsidR="00FD0D07" w:rsidRPr="00112A09" w:rsidRDefault="00FD0D07" w:rsidP="00C57D1F">
      <w:pPr>
        <w:pStyle w:val="af0"/>
        <w:numPr>
          <w:ilvl w:val="1"/>
          <w:numId w:val="7"/>
        </w:numPr>
        <w:tabs>
          <w:tab w:val="left" w:pos="709"/>
          <w:tab w:val="right" w:pos="9360"/>
        </w:tabs>
        <w:spacing w:line="360" w:lineRule="auto"/>
        <w:ind w:left="709" w:right="-11" w:hanging="709"/>
        <w:jc w:val="both"/>
        <w:rPr>
          <w:sz w:val="28"/>
          <w:szCs w:val="28"/>
          <w:u w:val="dotted"/>
          <w:lang w:val="uk-UA"/>
        </w:rPr>
      </w:pPr>
      <w:r w:rsidRPr="00112A09">
        <w:rPr>
          <w:bCs/>
          <w:sz w:val="28"/>
          <w:szCs w:val="28"/>
          <w:lang w:val="uk-UA"/>
        </w:rPr>
        <w:t xml:space="preserve">Дослідження протизапальної дії комплексних сполук </w:t>
      </w:r>
      <w:r w:rsidR="00C57D1F" w:rsidRPr="00112A09">
        <w:rPr>
          <w:bCs/>
          <w:sz w:val="28"/>
          <w:szCs w:val="28"/>
        </w:rPr>
        <w:t>Sn</w:t>
      </w:r>
      <w:r w:rsidR="00C57D1F" w:rsidRPr="00112A09">
        <w:rPr>
          <w:bCs/>
          <w:sz w:val="28"/>
          <w:szCs w:val="28"/>
          <w:lang w:val="uk-UA"/>
        </w:rPr>
        <w:t xml:space="preserve"> (</w:t>
      </w:r>
      <w:r w:rsidR="00C57D1F" w:rsidRPr="00112A09">
        <w:rPr>
          <w:bCs/>
          <w:sz w:val="28"/>
          <w:szCs w:val="28"/>
          <w:lang w:val="en-US"/>
        </w:rPr>
        <w:t>IV</w:t>
      </w:r>
      <w:r w:rsidR="00C57D1F" w:rsidRPr="00112A09">
        <w:rPr>
          <w:bCs/>
          <w:sz w:val="28"/>
          <w:szCs w:val="28"/>
          <w:lang w:val="uk-UA"/>
        </w:rPr>
        <w:t>) з саліцилоїлгідразонами бензальдегідів</w:t>
      </w:r>
      <w:r w:rsidRPr="00112A09">
        <w:rPr>
          <w:bCs/>
          <w:sz w:val="28"/>
          <w:szCs w:val="28"/>
          <w:lang w:val="uk-UA"/>
        </w:rPr>
        <w:t xml:space="preserve"> на моделі гістамінового запалення</w:t>
      </w:r>
      <w:r w:rsidRPr="00112A09">
        <w:rPr>
          <w:sz w:val="28"/>
          <w:szCs w:val="28"/>
          <w:u w:val="dotted"/>
          <w:lang w:val="uk-UA"/>
        </w:rPr>
        <w:tab/>
        <w:t xml:space="preserve">    </w:t>
      </w:r>
      <w:r w:rsidR="00C57D1F" w:rsidRPr="00112A09">
        <w:rPr>
          <w:sz w:val="28"/>
          <w:szCs w:val="28"/>
          <w:u w:val="dotted"/>
          <w:lang w:val="uk-UA"/>
        </w:rPr>
        <w:t>7</w:t>
      </w:r>
      <w:r w:rsidR="001759D5">
        <w:rPr>
          <w:sz w:val="28"/>
          <w:szCs w:val="28"/>
          <w:u w:val="dotted"/>
          <w:lang w:val="uk-UA"/>
        </w:rPr>
        <w:t>0</w:t>
      </w:r>
      <w:r w:rsidRPr="00112A09">
        <w:rPr>
          <w:sz w:val="28"/>
          <w:szCs w:val="28"/>
          <w:u w:val="dotted"/>
          <w:lang w:val="uk-UA"/>
        </w:rPr>
        <w:t xml:space="preserve">                                                                                                                                                                            </w:t>
      </w:r>
    </w:p>
    <w:p w14:paraId="61208D87" w14:textId="6F526210" w:rsidR="00C57D1F" w:rsidRPr="00112A09" w:rsidRDefault="00FD0D07" w:rsidP="00C57D1F">
      <w:pPr>
        <w:pStyle w:val="af0"/>
        <w:numPr>
          <w:ilvl w:val="1"/>
          <w:numId w:val="7"/>
        </w:numPr>
        <w:tabs>
          <w:tab w:val="left" w:pos="709"/>
          <w:tab w:val="right" w:pos="9360"/>
        </w:tabs>
        <w:spacing w:line="360" w:lineRule="auto"/>
        <w:ind w:left="709" w:right="79" w:hanging="709"/>
        <w:jc w:val="both"/>
        <w:rPr>
          <w:sz w:val="28"/>
          <w:szCs w:val="28"/>
          <w:u w:val="dotted"/>
          <w:lang w:val="uk-UA"/>
        </w:rPr>
      </w:pPr>
      <w:r w:rsidRPr="00112A09">
        <w:rPr>
          <w:bCs/>
          <w:sz w:val="28"/>
          <w:szCs w:val="28"/>
          <w:lang w:val="uk-UA"/>
        </w:rPr>
        <w:lastRenderedPageBreak/>
        <w:t xml:space="preserve">Визначення протизапальної дії комплексних сполук </w:t>
      </w:r>
      <w:r w:rsidR="00C57D1F" w:rsidRPr="00112A09">
        <w:rPr>
          <w:bCs/>
          <w:sz w:val="28"/>
          <w:szCs w:val="28"/>
        </w:rPr>
        <w:t>Sn</w:t>
      </w:r>
      <w:r w:rsidR="00C57D1F" w:rsidRPr="00112A09">
        <w:rPr>
          <w:bCs/>
          <w:sz w:val="28"/>
          <w:szCs w:val="28"/>
          <w:lang w:val="uk-UA"/>
        </w:rPr>
        <w:t xml:space="preserve"> (</w:t>
      </w:r>
      <w:r w:rsidR="00C57D1F" w:rsidRPr="00112A09">
        <w:rPr>
          <w:bCs/>
          <w:sz w:val="28"/>
          <w:szCs w:val="28"/>
          <w:lang w:val="en-US"/>
        </w:rPr>
        <w:t>IV</w:t>
      </w:r>
      <w:r w:rsidR="00C57D1F" w:rsidRPr="00112A09">
        <w:rPr>
          <w:bCs/>
          <w:sz w:val="28"/>
          <w:szCs w:val="28"/>
          <w:lang w:val="uk-UA"/>
        </w:rPr>
        <w:t>) з саліцилоїлгідразонами бензальдегідів</w:t>
      </w:r>
      <w:r w:rsidRPr="00112A09">
        <w:rPr>
          <w:bCs/>
          <w:sz w:val="28"/>
          <w:szCs w:val="28"/>
          <w:lang w:val="uk-UA"/>
        </w:rPr>
        <w:t xml:space="preserve"> на моделі формалінового запалення</w:t>
      </w:r>
      <w:r w:rsidRPr="00112A09">
        <w:rPr>
          <w:sz w:val="28"/>
          <w:szCs w:val="28"/>
          <w:u w:val="dotted"/>
          <w:lang w:val="uk-UA"/>
        </w:rPr>
        <w:tab/>
        <w:t xml:space="preserve">                                  </w:t>
      </w:r>
      <w:r w:rsidR="001759D5">
        <w:rPr>
          <w:sz w:val="28"/>
          <w:szCs w:val="28"/>
          <w:u w:val="dotted"/>
          <w:lang w:val="uk-UA"/>
        </w:rPr>
        <w:t>73</w:t>
      </w:r>
    </w:p>
    <w:p w14:paraId="1E8CD267" w14:textId="2C77C679" w:rsidR="00FD0D07" w:rsidRPr="00112A09" w:rsidRDefault="00C57D1F" w:rsidP="00C57D1F">
      <w:pPr>
        <w:pStyle w:val="af0"/>
        <w:numPr>
          <w:ilvl w:val="1"/>
          <w:numId w:val="7"/>
        </w:numPr>
        <w:tabs>
          <w:tab w:val="left" w:pos="709"/>
          <w:tab w:val="right" w:pos="9360"/>
        </w:tabs>
        <w:spacing w:line="360" w:lineRule="auto"/>
        <w:ind w:left="709" w:right="-11" w:hanging="709"/>
        <w:jc w:val="both"/>
        <w:rPr>
          <w:sz w:val="28"/>
          <w:szCs w:val="28"/>
          <w:u w:val="dotted"/>
          <w:lang w:val="uk-UA"/>
        </w:rPr>
      </w:pPr>
      <w:r w:rsidRPr="00112A09">
        <w:rPr>
          <w:bCs/>
          <w:sz w:val="28"/>
          <w:szCs w:val="28"/>
          <w:lang w:val="uk-UA"/>
        </w:rPr>
        <w:t xml:space="preserve">Дослідження протизапальної дії комплексних сполук </w:t>
      </w:r>
      <w:r w:rsidRPr="00112A09">
        <w:rPr>
          <w:bCs/>
          <w:sz w:val="28"/>
          <w:szCs w:val="28"/>
        </w:rPr>
        <w:t>Sn</w:t>
      </w:r>
      <w:r w:rsidRPr="00112A09">
        <w:rPr>
          <w:bCs/>
          <w:sz w:val="28"/>
          <w:szCs w:val="28"/>
          <w:lang w:val="uk-UA"/>
        </w:rPr>
        <w:t xml:space="preserve"> (</w:t>
      </w:r>
      <w:r w:rsidRPr="00112A09">
        <w:rPr>
          <w:bCs/>
          <w:sz w:val="28"/>
          <w:szCs w:val="28"/>
          <w:lang w:val="en-US"/>
        </w:rPr>
        <w:t>IV</w:t>
      </w:r>
      <w:r w:rsidRPr="00112A09">
        <w:rPr>
          <w:bCs/>
          <w:sz w:val="28"/>
          <w:szCs w:val="28"/>
          <w:lang w:val="uk-UA"/>
        </w:rPr>
        <w:t>) з саліцилоїлгідразонами бензальдегідів на моделі трипсинового запалення</w:t>
      </w:r>
      <w:r w:rsidRPr="00112A09">
        <w:rPr>
          <w:sz w:val="28"/>
          <w:szCs w:val="28"/>
          <w:u w:val="dotted"/>
          <w:lang w:val="uk-UA"/>
        </w:rPr>
        <w:tab/>
      </w:r>
      <w:r w:rsidR="001759D5">
        <w:rPr>
          <w:sz w:val="28"/>
          <w:szCs w:val="28"/>
          <w:u w:val="dotted"/>
          <w:lang w:val="uk-UA"/>
        </w:rPr>
        <w:t>78</w:t>
      </w:r>
    </w:p>
    <w:p w14:paraId="1B7081BA" w14:textId="6D627CC9" w:rsidR="00FD0D07" w:rsidRPr="00112A09" w:rsidRDefault="00FD0D07" w:rsidP="00C57D1F">
      <w:pPr>
        <w:pStyle w:val="af0"/>
        <w:numPr>
          <w:ilvl w:val="1"/>
          <w:numId w:val="7"/>
        </w:numPr>
        <w:tabs>
          <w:tab w:val="left" w:pos="709"/>
          <w:tab w:val="right" w:pos="9450"/>
        </w:tabs>
        <w:spacing w:line="360" w:lineRule="auto"/>
        <w:ind w:left="709" w:right="-11" w:hanging="709"/>
        <w:jc w:val="both"/>
        <w:rPr>
          <w:sz w:val="28"/>
          <w:szCs w:val="28"/>
          <w:u w:val="dotted"/>
          <w:lang w:val="uk-UA"/>
        </w:rPr>
      </w:pPr>
      <w:r w:rsidRPr="00112A09">
        <w:rPr>
          <w:sz w:val="28"/>
          <w:szCs w:val="28"/>
          <w:lang w:val="uk-UA"/>
        </w:rPr>
        <w:t xml:space="preserve">Визначення антипірогенної активності комплексних сполук </w:t>
      </w:r>
      <w:r w:rsidR="00C57D1F" w:rsidRPr="00112A09">
        <w:rPr>
          <w:bCs/>
          <w:sz w:val="28"/>
          <w:szCs w:val="28"/>
        </w:rPr>
        <w:t>Sn</w:t>
      </w:r>
      <w:r w:rsidR="00C57D1F" w:rsidRPr="00112A09">
        <w:rPr>
          <w:bCs/>
          <w:sz w:val="28"/>
          <w:szCs w:val="28"/>
          <w:lang w:val="uk-UA"/>
        </w:rPr>
        <w:t xml:space="preserve"> (</w:t>
      </w:r>
      <w:r w:rsidR="00C57D1F" w:rsidRPr="00112A09">
        <w:rPr>
          <w:bCs/>
          <w:sz w:val="28"/>
          <w:szCs w:val="28"/>
          <w:lang w:val="en-US"/>
        </w:rPr>
        <w:t>IV</w:t>
      </w:r>
      <w:r w:rsidR="00C57D1F" w:rsidRPr="00112A09">
        <w:rPr>
          <w:bCs/>
          <w:sz w:val="28"/>
          <w:szCs w:val="28"/>
          <w:lang w:val="uk-UA"/>
        </w:rPr>
        <w:t>) з саліцилоїлгідразонами бензальдегідів</w:t>
      </w:r>
      <w:r w:rsidR="00C57D1F" w:rsidRPr="00112A09">
        <w:rPr>
          <w:sz w:val="28"/>
          <w:szCs w:val="28"/>
          <w:u w:val="dotted"/>
          <w:lang w:val="uk-UA"/>
        </w:rPr>
        <w:t xml:space="preserve">                                                       8</w:t>
      </w:r>
      <w:r w:rsidR="001759D5">
        <w:rPr>
          <w:sz w:val="28"/>
          <w:szCs w:val="28"/>
          <w:u w:val="dotted"/>
          <w:lang w:val="uk-UA"/>
        </w:rPr>
        <w:t>2</w:t>
      </w:r>
    </w:p>
    <w:p w14:paraId="4ABE3327" w14:textId="77777777" w:rsidR="00C57D1F" w:rsidRPr="00112A09" w:rsidRDefault="00C57D1F" w:rsidP="00C57D1F">
      <w:pPr>
        <w:pStyle w:val="af0"/>
        <w:tabs>
          <w:tab w:val="left" w:pos="709"/>
          <w:tab w:val="right" w:pos="9450"/>
        </w:tabs>
        <w:spacing w:line="360" w:lineRule="auto"/>
        <w:ind w:left="709" w:right="-11"/>
        <w:jc w:val="both"/>
        <w:rPr>
          <w:sz w:val="28"/>
          <w:szCs w:val="28"/>
          <w:u w:val="dotted"/>
          <w:lang w:val="uk-UA"/>
        </w:rPr>
      </w:pPr>
    </w:p>
    <w:p w14:paraId="2DE1A11D" w14:textId="4B0C3E21" w:rsidR="00C57D1F" w:rsidRPr="00112A09" w:rsidRDefault="00C57D1F" w:rsidP="00C57D1F">
      <w:pPr>
        <w:tabs>
          <w:tab w:val="right" w:pos="9360"/>
        </w:tabs>
        <w:spacing w:line="360" w:lineRule="auto"/>
        <w:ind w:right="-11"/>
        <w:rPr>
          <w:sz w:val="28"/>
          <w:szCs w:val="28"/>
          <w:u w:val="dotted"/>
          <w:lang w:val="uk-UA"/>
        </w:rPr>
      </w:pPr>
      <w:r w:rsidRPr="00112A09">
        <w:rPr>
          <w:b/>
          <w:sz w:val="28"/>
          <w:szCs w:val="28"/>
          <w:lang w:val="uk-UA"/>
        </w:rPr>
        <w:t xml:space="preserve">РОЗДІЛ 5. ОЦІНКА АНАЛЬГЕТИЧНОЇ АКТИВНОСТІ </w:t>
      </w:r>
      <w:r w:rsidRPr="00112A09">
        <w:rPr>
          <w:b/>
          <w:caps/>
          <w:sz w:val="28"/>
          <w:szCs w:val="28"/>
          <w:lang w:val="uk-UA"/>
        </w:rPr>
        <w:t xml:space="preserve">комплекснИх </w:t>
      </w:r>
      <w:r w:rsidRPr="00112A09">
        <w:rPr>
          <w:b/>
          <w:bCs/>
          <w:sz w:val="28"/>
          <w:szCs w:val="28"/>
          <w:lang w:val="uk-UA"/>
        </w:rPr>
        <w:t xml:space="preserve">СПОЛУК </w:t>
      </w:r>
      <w:r w:rsidRPr="00112A09">
        <w:rPr>
          <w:b/>
          <w:bCs/>
          <w:sz w:val="28"/>
          <w:szCs w:val="28"/>
          <w:lang w:val="en-US"/>
        </w:rPr>
        <w:t>Sn</w:t>
      </w:r>
      <w:r w:rsidRPr="00112A09">
        <w:rPr>
          <w:b/>
          <w:bCs/>
          <w:sz w:val="28"/>
          <w:szCs w:val="28"/>
          <w:lang w:val="uk-UA"/>
        </w:rPr>
        <w:t xml:space="preserve"> (</w:t>
      </w:r>
      <w:r w:rsidRPr="00112A09">
        <w:rPr>
          <w:b/>
          <w:bCs/>
          <w:sz w:val="28"/>
          <w:szCs w:val="28"/>
          <w:lang w:val="en-US"/>
        </w:rPr>
        <w:t>IV</w:t>
      </w:r>
      <w:r w:rsidRPr="00112A09">
        <w:rPr>
          <w:b/>
          <w:bCs/>
          <w:sz w:val="28"/>
          <w:szCs w:val="28"/>
          <w:lang w:val="uk-UA"/>
        </w:rPr>
        <w:t xml:space="preserve">) З САЛІЦИЛОЇЛГІДРАЗОНАМИ БЕНЗАЛЬДЕГІДІВ </w:t>
      </w:r>
      <w:r w:rsidRPr="00112A09">
        <w:rPr>
          <w:b/>
          <w:sz w:val="28"/>
          <w:szCs w:val="28"/>
          <w:lang w:val="uk-UA"/>
        </w:rPr>
        <w:t xml:space="preserve">НА РІЗНИХ МОДЕЛЯХ </w:t>
      </w:r>
      <w:r w:rsidRPr="00112A09">
        <w:rPr>
          <w:rFonts w:eastAsia="MS Mincho"/>
          <w:b/>
          <w:sz w:val="28"/>
          <w:szCs w:val="28"/>
          <w:lang w:val="uk-UA"/>
        </w:rPr>
        <w:t>ІНДУКОВАНОГО БОЛЮ</w:t>
      </w:r>
      <w:r w:rsidRPr="00112A09">
        <w:rPr>
          <w:sz w:val="28"/>
          <w:szCs w:val="28"/>
          <w:u w:val="dotted"/>
          <w:lang w:val="uk-UA"/>
        </w:rPr>
        <w:tab/>
      </w:r>
      <w:r w:rsidR="001759D5">
        <w:rPr>
          <w:sz w:val="28"/>
          <w:szCs w:val="28"/>
          <w:u w:val="dotted"/>
          <w:lang w:val="uk-UA"/>
        </w:rPr>
        <w:t>86</w:t>
      </w:r>
    </w:p>
    <w:p w14:paraId="43EEABC7" w14:textId="6D8BF4A0" w:rsidR="00C57D1F" w:rsidRPr="00112A09" w:rsidRDefault="00C57D1F" w:rsidP="00C57D1F">
      <w:pPr>
        <w:tabs>
          <w:tab w:val="right" w:pos="9360"/>
        </w:tabs>
        <w:spacing w:line="360" w:lineRule="auto"/>
        <w:ind w:left="720" w:right="-11" w:hanging="720"/>
        <w:rPr>
          <w:sz w:val="28"/>
          <w:szCs w:val="28"/>
          <w:u w:val="dotted"/>
          <w:lang w:val="uk-UA"/>
        </w:rPr>
      </w:pPr>
      <w:r w:rsidRPr="00112A09">
        <w:rPr>
          <w:sz w:val="28"/>
          <w:szCs w:val="28"/>
          <w:lang w:val="uk-UA"/>
        </w:rPr>
        <w:t>5.1</w:t>
      </w:r>
      <w:r w:rsidRPr="00112A09">
        <w:rPr>
          <w:sz w:val="28"/>
          <w:szCs w:val="28"/>
          <w:lang w:val="uk-UA"/>
        </w:rPr>
        <w:tab/>
        <w:t xml:space="preserve">Дослідження анальгетичної активності у тесті «імерсія хвоста» комплексних сполук </w:t>
      </w:r>
      <w:r w:rsidRPr="00112A09">
        <w:rPr>
          <w:bCs/>
          <w:sz w:val="28"/>
          <w:szCs w:val="28"/>
        </w:rPr>
        <w:t>Sn</w:t>
      </w:r>
      <w:r w:rsidRPr="00112A09">
        <w:rPr>
          <w:bCs/>
          <w:sz w:val="28"/>
          <w:szCs w:val="28"/>
          <w:lang w:val="uk-UA"/>
        </w:rPr>
        <w:t xml:space="preserve"> (</w:t>
      </w:r>
      <w:r w:rsidRPr="00112A09">
        <w:rPr>
          <w:bCs/>
          <w:sz w:val="28"/>
          <w:szCs w:val="28"/>
          <w:lang w:val="en-US"/>
        </w:rPr>
        <w:t>IV</w:t>
      </w:r>
      <w:r w:rsidRPr="00112A09">
        <w:rPr>
          <w:bCs/>
          <w:sz w:val="28"/>
          <w:szCs w:val="28"/>
          <w:lang w:val="uk-UA"/>
        </w:rPr>
        <w:t>) з саліцилоїлгідразонами бензальдегідів</w:t>
      </w:r>
      <w:r w:rsidRPr="00112A09">
        <w:rPr>
          <w:sz w:val="28"/>
          <w:szCs w:val="28"/>
          <w:u w:val="dotted"/>
          <w:lang w:val="uk-UA"/>
        </w:rPr>
        <w:tab/>
      </w:r>
      <w:r w:rsidR="001759D5">
        <w:rPr>
          <w:sz w:val="28"/>
          <w:szCs w:val="28"/>
          <w:u w:val="dotted"/>
          <w:lang w:val="uk-UA"/>
        </w:rPr>
        <w:t>86</w:t>
      </w:r>
    </w:p>
    <w:p w14:paraId="3640CDC1" w14:textId="2CEF7085" w:rsidR="00C57D1F" w:rsidRPr="00112A09" w:rsidRDefault="00C57D1F" w:rsidP="00C57D1F">
      <w:pPr>
        <w:tabs>
          <w:tab w:val="left" w:pos="709"/>
          <w:tab w:val="right" w:pos="9360"/>
        </w:tabs>
        <w:spacing w:line="360" w:lineRule="auto"/>
        <w:ind w:left="720" w:right="-11" w:hanging="720"/>
        <w:jc w:val="both"/>
        <w:rPr>
          <w:sz w:val="28"/>
          <w:szCs w:val="28"/>
          <w:lang w:val="uk-UA"/>
        </w:rPr>
      </w:pPr>
      <w:r w:rsidRPr="00112A09">
        <w:rPr>
          <w:sz w:val="28"/>
          <w:szCs w:val="28"/>
          <w:lang w:val="uk-UA"/>
        </w:rPr>
        <w:t>5.2</w:t>
      </w:r>
      <w:r w:rsidRPr="00112A09">
        <w:rPr>
          <w:sz w:val="28"/>
          <w:szCs w:val="28"/>
          <w:lang w:val="uk-UA"/>
        </w:rPr>
        <w:tab/>
        <w:t xml:space="preserve">Визначення анальгетичної дії при пероральному та місцевому введенні комплексних сполук </w:t>
      </w:r>
      <w:r w:rsidRPr="00112A09">
        <w:rPr>
          <w:bCs/>
          <w:sz w:val="28"/>
          <w:szCs w:val="28"/>
        </w:rPr>
        <w:t>Sn</w:t>
      </w:r>
      <w:r w:rsidRPr="00112A09">
        <w:rPr>
          <w:bCs/>
          <w:sz w:val="28"/>
          <w:szCs w:val="28"/>
          <w:lang w:val="uk-UA"/>
        </w:rPr>
        <w:t xml:space="preserve"> (</w:t>
      </w:r>
      <w:r w:rsidRPr="00112A09">
        <w:rPr>
          <w:bCs/>
          <w:sz w:val="28"/>
          <w:szCs w:val="28"/>
          <w:lang w:val="en-US"/>
        </w:rPr>
        <w:t>IV</w:t>
      </w:r>
      <w:r w:rsidRPr="00112A09">
        <w:rPr>
          <w:bCs/>
          <w:sz w:val="28"/>
          <w:szCs w:val="28"/>
          <w:lang w:val="uk-UA"/>
        </w:rPr>
        <w:t>) з саліцилоїлгідразонами бензальдегідів</w:t>
      </w:r>
      <w:r w:rsidRPr="00112A09">
        <w:rPr>
          <w:sz w:val="28"/>
          <w:szCs w:val="28"/>
          <w:lang w:val="uk-UA"/>
        </w:rPr>
        <w:t xml:space="preserve"> на моделі </w:t>
      </w:r>
      <w:r w:rsidRPr="00112A09">
        <w:rPr>
          <w:rFonts w:eastAsia="MS Mincho"/>
          <w:sz w:val="28"/>
          <w:szCs w:val="28"/>
          <w:lang w:val="uk-UA"/>
        </w:rPr>
        <w:t>термічного подразнення</w:t>
      </w:r>
      <w:r w:rsidRPr="00112A09">
        <w:rPr>
          <w:sz w:val="28"/>
          <w:szCs w:val="28"/>
          <w:u w:val="dotted"/>
          <w:lang w:val="uk-UA"/>
        </w:rPr>
        <w:tab/>
      </w:r>
      <w:r w:rsidR="001759D5">
        <w:rPr>
          <w:sz w:val="28"/>
          <w:szCs w:val="28"/>
          <w:u w:val="dotted"/>
          <w:lang w:val="uk-UA"/>
        </w:rPr>
        <w:t>88</w:t>
      </w:r>
    </w:p>
    <w:p w14:paraId="6F22447F" w14:textId="2CC06A8A" w:rsidR="00C57D1F" w:rsidRPr="00112A09" w:rsidRDefault="00C57D1F" w:rsidP="00C57D1F">
      <w:pPr>
        <w:tabs>
          <w:tab w:val="left" w:pos="709"/>
          <w:tab w:val="right" w:pos="9360"/>
        </w:tabs>
        <w:spacing w:line="360" w:lineRule="auto"/>
        <w:ind w:left="720" w:right="-11" w:hanging="720"/>
        <w:jc w:val="both"/>
        <w:rPr>
          <w:sz w:val="28"/>
          <w:szCs w:val="28"/>
          <w:lang w:val="uk-UA"/>
        </w:rPr>
      </w:pPr>
      <w:r w:rsidRPr="00112A09">
        <w:rPr>
          <w:sz w:val="28"/>
          <w:szCs w:val="28"/>
          <w:lang w:val="uk-UA"/>
        </w:rPr>
        <w:t>5.3</w:t>
      </w:r>
      <w:r w:rsidRPr="00112A09">
        <w:rPr>
          <w:sz w:val="28"/>
          <w:szCs w:val="28"/>
          <w:lang w:val="uk-UA"/>
        </w:rPr>
        <w:tab/>
        <w:t xml:space="preserve">Визначення антиноцицептивної дії при пероральному і місцевому введенні комплексних сполук </w:t>
      </w:r>
      <w:r w:rsidRPr="00112A09">
        <w:rPr>
          <w:bCs/>
          <w:sz w:val="28"/>
          <w:szCs w:val="28"/>
        </w:rPr>
        <w:t>Sn</w:t>
      </w:r>
      <w:r w:rsidRPr="00112A09">
        <w:rPr>
          <w:bCs/>
          <w:sz w:val="28"/>
          <w:szCs w:val="28"/>
          <w:lang w:val="uk-UA"/>
        </w:rPr>
        <w:t xml:space="preserve"> (</w:t>
      </w:r>
      <w:r w:rsidRPr="00112A09">
        <w:rPr>
          <w:bCs/>
          <w:sz w:val="28"/>
          <w:szCs w:val="28"/>
          <w:lang w:val="en-US"/>
        </w:rPr>
        <w:t>IV</w:t>
      </w:r>
      <w:r w:rsidRPr="00112A09">
        <w:rPr>
          <w:bCs/>
          <w:sz w:val="28"/>
          <w:szCs w:val="28"/>
          <w:lang w:val="uk-UA"/>
        </w:rPr>
        <w:t>) з саліцилоїлгідразонами бензальдегідів</w:t>
      </w:r>
      <w:r w:rsidRPr="00112A09">
        <w:rPr>
          <w:sz w:val="28"/>
          <w:szCs w:val="28"/>
          <w:lang w:val="uk-UA"/>
        </w:rPr>
        <w:t xml:space="preserve"> на моделі </w:t>
      </w:r>
      <w:r w:rsidRPr="00112A09">
        <w:rPr>
          <w:rFonts w:eastAsia="MS Mincho"/>
          <w:sz w:val="28"/>
          <w:szCs w:val="28"/>
          <w:lang w:val="uk-UA"/>
        </w:rPr>
        <w:t>капсаїцин-індукованого болю</w:t>
      </w:r>
      <w:r w:rsidRPr="00112A09">
        <w:rPr>
          <w:sz w:val="28"/>
          <w:szCs w:val="28"/>
          <w:u w:val="dotted"/>
          <w:lang w:val="uk-UA"/>
        </w:rPr>
        <w:tab/>
        <w:t>9</w:t>
      </w:r>
      <w:r w:rsidR="001759D5">
        <w:rPr>
          <w:sz w:val="28"/>
          <w:szCs w:val="28"/>
          <w:u w:val="dotted"/>
          <w:lang w:val="uk-UA"/>
        </w:rPr>
        <w:t>0</w:t>
      </w:r>
    </w:p>
    <w:p w14:paraId="10AA9EBF" w14:textId="7215C75D" w:rsidR="00C57D1F" w:rsidRPr="00112A09" w:rsidRDefault="00C57D1F" w:rsidP="00C57D1F">
      <w:pPr>
        <w:tabs>
          <w:tab w:val="left" w:pos="709"/>
          <w:tab w:val="right" w:pos="9360"/>
        </w:tabs>
        <w:spacing w:line="360" w:lineRule="auto"/>
        <w:ind w:left="810" w:right="-11" w:hanging="810"/>
        <w:jc w:val="both"/>
        <w:rPr>
          <w:sz w:val="28"/>
          <w:szCs w:val="28"/>
          <w:lang w:val="uk-UA"/>
        </w:rPr>
      </w:pPr>
      <w:r w:rsidRPr="00112A09">
        <w:rPr>
          <w:sz w:val="28"/>
          <w:szCs w:val="28"/>
          <w:lang w:val="uk-UA"/>
        </w:rPr>
        <w:t>5.4</w:t>
      </w:r>
      <w:r w:rsidRPr="00112A09">
        <w:rPr>
          <w:sz w:val="28"/>
          <w:szCs w:val="28"/>
          <w:lang w:val="uk-UA"/>
        </w:rPr>
        <w:tab/>
        <w:t xml:space="preserve">Визначення антиноцицептивної дії при пероральному і місцевому введенні комплексних сполук </w:t>
      </w:r>
      <w:r w:rsidRPr="00112A09">
        <w:rPr>
          <w:bCs/>
          <w:sz w:val="28"/>
          <w:szCs w:val="28"/>
        </w:rPr>
        <w:t>Sn</w:t>
      </w:r>
      <w:r w:rsidRPr="00112A09">
        <w:rPr>
          <w:bCs/>
          <w:sz w:val="28"/>
          <w:szCs w:val="28"/>
          <w:lang w:val="uk-UA"/>
        </w:rPr>
        <w:t xml:space="preserve"> (</w:t>
      </w:r>
      <w:r w:rsidRPr="00112A09">
        <w:rPr>
          <w:bCs/>
          <w:sz w:val="28"/>
          <w:szCs w:val="28"/>
          <w:lang w:val="en-US"/>
        </w:rPr>
        <w:t>IV</w:t>
      </w:r>
      <w:r w:rsidRPr="00112A09">
        <w:rPr>
          <w:bCs/>
          <w:sz w:val="28"/>
          <w:szCs w:val="28"/>
          <w:lang w:val="uk-UA"/>
        </w:rPr>
        <w:t>) з саліцилоїлгідразонами бензальдегідів</w:t>
      </w:r>
      <w:r w:rsidRPr="00112A09">
        <w:rPr>
          <w:sz w:val="28"/>
          <w:szCs w:val="28"/>
          <w:lang w:val="uk-UA"/>
        </w:rPr>
        <w:t xml:space="preserve"> на моделі </w:t>
      </w:r>
      <w:r w:rsidRPr="00112A09">
        <w:rPr>
          <w:rFonts w:eastAsia="MS Mincho"/>
          <w:sz w:val="28"/>
          <w:szCs w:val="28"/>
          <w:lang w:val="uk-UA"/>
        </w:rPr>
        <w:t>аллілізотіоціанат-індукованого болю</w:t>
      </w:r>
      <w:r w:rsidRPr="00112A09">
        <w:rPr>
          <w:sz w:val="28"/>
          <w:szCs w:val="28"/>
          <w:u w:val="dotted"/>
          <w:lang w:val="uk-UA"/>
        </w:rPr>
        <w:tab/>
      </w:r>
      <w:r w:rsidR="001759D5">
        <w:rPr>
          <w:sz w:val="28"/>
          <w:szCs w:val="28"/>
          <w:u w:val="dotted"/>
          <w:lang w:val="uk-UA"/>
        </w:rPr>
        <w:t>93</w:t>
      </w:r>
    </w:p>
    <w:p w14:paraId="7C98BA5C" w14:textId="1F492CF8" w:rsidR="00C57D1F" w:rsidRPr="00112A09" w:rsidRDefault="00C57D1F" w:rsidP="00C57D1F">
      <w:pPr>
        <w:tabs>
          <w:tab w:val="left" w:pos="709"/>
          <w:tab w:val="right" w:pos="9360"/>
        </w:tabs>
        <w:spacing w:line="360" w:lineRule="auto"/>
        <w:ind w:left="720" w:right="-11" w:hanging="720"/>
        <w:jc w:val="both"/>
        <w:rPr>
          <w:sz w:val="28"/>
          <w:szCs w:val="28"/>
          <w:lang w:val="uk-UA"/>
        </w:rPr>
      </w:pPr>
      <w:r w:rsidRPr="00112A09">
        <w:rPr>
          <w:sz w:val="28"/>
          <w:szCs w:val="28"/>
          <w:lang w:val="uk-UA"/>
        </w:rPr>
        <w:t>5.5</w:t>
      </w:r>
      <w:r w:rsidRPr="00112A09">
        <w:rPr>
          <w:sz w:val="28"/>
          <w:szCs w:val="28"/>
          <w:lang w:val="uk-UA"/>
        </w:rPr>
        <w:tab/>
        <w:t xml:space="preserve">Визначення анальгетичної дії при місцевому введенні комплексних сполук </w:t>
      </w:r>
      <w:r w:rsidRPr="00112A09">
        <w:rPr>
          <w:bCs/>
          <w:sz w:val="28"/>
          <w:szCs w:val="28"/>
        </w:rPr>
        <w:t>Sn</w:t>
      </w:r>
      <w:r w:rsidRPr="00112A09">
        <w:rPr>
          <w:bCs/>
          <w:sz w:val="28"/>
          <w:szCs w:val="28"/>
          <w:lang w:val="uk-UA"/>
        </w:rPr>
        <w:t xml:space="preserve"> (</w:t>
      </w:r>
      <w:r w:rsidRPr="00112A09">
        <w:rPr>
          <w:bCs/>
          <w:sz w:val="28"/>
          <w:szCs w:val="28"/>
          <w:lang w:val="en-US"/>
        </w:rPr>
        <w:t>IV</w:t>
      </w:r>
      <w:r w:rsidRPr="00112A09">
        <w:rPr>
          <w:bCs/>
          <w:sz w:val="28"/>
          <w:szCs w:val="28"/>
          <w:lang w:val="uk-UA"/>
        </w:rPr>
        <w:t>) з саліцилоїлгідразонами бензальдегідів</w:t>
      </w:r>
      <w:r w:rsidRPr="00112A09">
        <w:rPr>
          <w:sz w:val="28"/>
          <w:szCs w:val="28"/>
          <w:lang w:val="uk-UA"/>
        </w:rPr>
        <w:t xml:space="preserve"> на моделі </w:t>
      </w:r>
      <w:r w:rsidRPr="00112A09">
        <w:rPr>
          <w:rFonts w:eastAsia="MS Mincho"/>
          <w:sz w:val="28"/>
          <w:szCs w:val="28"/>
          <w:lang w:val="uk-UA"/>
        </w:rPr>
        <w:t>формалін-індукованого болю.</w:t>
      </w:r>
      <w:r w:rsidRPr="00112A09">
        <w:rPr>
          <w:sz w:val="28"/>
          <w:szCs w:val="28"/>
          <w:u w:val="dotted"/>
          <w:lang w:val="uk-UA"/>
        </w:rPr>
        <w:tab/>
      </w:r>
      <w:r w:rsidR="001759D5">
        <w:rPr>
          <w:sz w:val="28"/>
          <w:szCs w:val="28"/>
          <w:u w:val="dotted"/>
          <w:lang w:val="uk-UA"/>
        </w:rPr>
        <w:t>96</w:t>
      </w:r>
    </w:p>
    <w:p w14:paraId="6D2E8CEF" w14:textId="77777777" w:rsidR="00C57D1F" w:rsidRPr="00112A09" w:rsidRDefault="00C57D1F" w:rsidP="00C57D1F">
      <w:pPr>
        <w:pStyle w:val="af0"/>
        <w:tabs>
          <w:tab w:val="left" w:pos="709"/>
          <w:tab w:val="right" w:pos="9450"/>
        </w:tabs>
        <w:spacing w:line="360" w:lineRule="auto"/>
        <w:ind w:left="709" w:right="-11"/>
        <w:jc w:val="both"/>
        <w:rPr>
          <w:sz w:val="28"/>
          <w:szCs w:val="28"/>
          <w:u w:val="dotted"/>
          <w:lang w:val="uk-UA"/>
        </w:rPr>
      </w:pPr>
    </w:p>
    <w:p w14:paraId="462D7AE9" w14:textId="62BFB40A" w:rsidR="00FD0D07" w:rsidRPr="00112A09" w:rsidRDefault="00FD0D07" w:rsidP="00C57D1F">
      <w:pPr>
        <w:tabs>
          <w:tab w:val="right" w:pos="9360"/>
        </w:tabs>
        <w:spacing w:line="360" w:lineRule="auto"/>
        <w:ind w:right="-11"/>
        <w:rPr>
          <w:sz w:val="28"/>
          <w:szCs w:val="28"/>
          <w:lang w:val="uk-UA"/>
        </w:rPr>
      </w:pPr>
      <w:r w:rsidRPr="00112A09">
        <w:rPr>
          <w:b/>
          <w:sz w:val="28"/>
          <w:szCs w:val="28"/>
          <w:lang w:val="uk-UA"/>
        </w:rPr>
        <w:lastRenderedPageBreak/>
        <w:t xml:space="preserve">РОЗДІЛ </w:t>
      </w:r>
      <w:r w:rsidR="00C57D1F" w:rsidRPr="00112A09">
        <w:rPr>
          <w:b/>
          <w:sz w:val="28"/>
          <w:szCs w:val="28"/>
          <w:lang w:val="uk-UA"/>
        </w:rPr>
        <w:t>6</w:t>
      </w:r>
      <w:r w:rsidRPr="00112A09">
        <w:rPr>
          <w:b/>
          <w:sz w:val="28"/>
          <w:szCs w:val="28"/>
          <w:lang w:val="uk-UA"/>
        </w:rPr>
        <w:t xml:space="preserve">. </w:t>
      </w:r>
      <w:r w:rsidR="00C57D1F" w:rsidRPr="00112A09">
        <w:rPr>
          <w:b/>
          <w:sz w:val="28"/>
          <w:szCs w:val="28"/>
          <w:lang w:val="uk-UA"/>
        </w:rPr>
        <w:t>ДОСЛІДЖЕННЯ ВПЛИВУ</w:t>
      </w:r>
      <w:r w:rsidRPr="00112A09">
        <w:rPr>
          <w:b/>
          <w:sz w:val="28"/>
          <w:szCs w:val="28"/>
          <w:lang w:val="uk-UA"/>
        </w:rPr>
        <w:t xml:space="preserve"> </w:t>
      </w:r>
      <w:r w:rsidRPr="00112A09">
        <w:rPr>
          <w:b/>
          <w:caps/>
          <w:sz w:val="28"/>
          <w:szCs w:val="28"/>
          <w:lang w:val="uk-UA"/>
        </w:rPr>
        <w:t>комплекснИх сполук</w:t>
      </w:r>
      <w:r w:rsidRPr="00112A09">
        <w:rPr>
          <w:b/>
          <w:sz w:val="28"/>
          <w:szCs w:val="28"/>
          <w:lang w:val="uk-UA"/>
        </w:rPr>
        <w:t xml:space="preserve"> </w:t>
      </w:r>
      <w:r w:rsidR="00C57D1F" w:rsidRPr="00112A09">
        <w:rPr>
          <w:b/>
          <w:bCs/>
          <w:sz w:val="28"/>
          <w:szCs w:val="28"/>
          <w:lang w:val="en-US"/>
        </w:rPr>
        <w:t>Sn</w:t>
      </w:r>
      <w:r w:rsidR="00C57D1F" w:rsidRPr="00112A09">
        <w:rPr>
          <w:b/>
          <w:bCs/>
          <w:sz w:val="28"/>
          <w:szCs w:val="28"/>
          <w:lang w:val="uk-UA"/>
        </w:rPr>
        <w:t xml:space="preserve"> (</w:t>
      </w:r>
      <w:r w:rsidR="00C57D1F" w:rsidRPr="00112A09">
        <w:rPr>
          <w:b/>
          <w:bCs/>
          <w:sz w:val="28"/>
          <w:szCs w:val="28"/>
          <w:lang w:val="en-US"/>
        </w:rPr>
        <w:t>IV</w:t>
      </w:r>
      <w:r w:rsidR="00C57D1F" w:rsidRPr="00112A09">
        <w:rPr>
          <w:b/>
          <w:bCs/>
          <w:sz w:val="28"/>
          <w:szCs w:val="28"/>
          <w:lang w:val="uk-UA"/>
        </w:rPr>
        <w:t>) З САЛІЦИЛОЇЛГІДРАЗОНАМИ БЕНЗАЛЬДЕГІДІВ НА ЦЕНТРАЛЬНУ НЕРВОВУ СИСТЕМУ</w:t>
      </w:r>
      <w:r w:rsidRPr="00112A09">
        <w:rPr>
          <w:sz w:val="28"/>
          <w:szCs w:val="28"/>
          <w:u w:val="dotted"/>
          <w:lang w:val="uk-UA"/>
        </w:rPr>
        <w:t xml:space="preserve">                    </w:t>
      </w:r>
      <w:r w:rsidR="00C57D1F" w:rsidRPr="00112A09">
        <w:rPr>
          <w:sz w:val="28"/>
          <w:szCs w:val="28"/>
          <w:u w:val="dotted"/>
          <w:lang w:val="uk-UA"/>
        </w:rPr>
        <w:tab/>
      </w:r>
      <w:r w:rsidRPr="00112A09">
        <w:rPr>
          <w:sz w:val="28"/>
          <w:szCs w:val="28"/>
          <w:u w:val="dotted"/>
          <w:lang w:val="uk-UA"/>
        </w:rPr>
        <w:t xml:space="preserve">                 </w:t>
      </w:r>
      <w:r w:rsidR="00C57D1F" w:rsidRPr="00112A09">
        <w:rPr>
          <w:sz w:val="28"/>
          <w:szCs w:val="28"/>
          <w:u w:val="dotted"/>
          <w:lang w:val="uk-UA"/>
        </w:rPr>
        <w:t>10</w:t>
      </w:r>
      <w:r w:rsidR="001759D5">
        <w:rPr>
          <w:sz w:val="28"/>
          <w:szCs w:val="28"/>
          <w:u w:val="dotted"/>
          <w:lang w:val="uk-UA"/>
        </w:rPr>
        <w:t>0</w:t>
      </w:r>
    </w:p>
    <w:p w14:paraId="59D11B47" w14:textId="774A59ED" w:rsidR="00FD0D07" w:rsidRPr="00112A09" w:rsidRDefault="00C57D1F" w:rsidP="00C57D1F">
      <w:pPr>
        <w:tabs>
          <w:tab w:val="left" w:pos="0"/>
          <w:tab w:val="right" w:pos="9360"/>
        </w:tabs>
        <w:spacing w:line="360" w:lineRule="auto"/>
        <w:ind w:left="720" w:right="-11" w:hanging="720"/>
        <w:jc w:val="both"/>
        <w:rPr>
          <w:sz w:val="28"/>
          <w:szCs w:val="28"/>
          <w:lang w:val="uk-UA"/>
        </w:rPr>
      </w:pPr>
      <w:r w:rsidRPr="00112A09">
        <w:rPr>
          <w:sz w:val="28"/>
          <w:szCs w:val="28"/>
          <w:lang w:val="uk-UA"/>
        </w:rPr>
        <w:t>6.1</w:t>
      </w:r>
      <w:r w:rsidRPr="00112A09">
        <w:rPr>
          <w:sz w:val="28"/>
          <w:szCs w:val="28"/>
          <w:lang w:val="uk-UA"/>
        </w:rPr>
        <w:tab/>
      </w:r>
      <w:r w:rsidR="001759D5" w:rsidRPr="001759D5">
        <w:rPr>
          <w:sz w:val="28"/>
          <w:szCs w:val="28"/>
          <w:lang w:val="uk-UA"/>
        </w:rPr>
        <w:t xml:space="preserve">Вивчення антидепресантної активності комплексних сполук </w:t>
      </w:r>
      <w:r w:rsidR="001759D5" w:rsidRPr="001759D5">
        <w:rPr>
          <w:sz w:val="28"/>
          <w:szCs w:val="28"/>
        </w:rPr>
        <w:t>Sn</w:t>
      </w:r>
      <w:r w:rsidR="001759D5" w:rsidRPr="001759D5">
        <w:rPr>
          <w:sz w:val="28"/>
          <w:szCs w:val="28"/>
          <w:lang w:val="uk-UA"/>
        </w:rPr>
        <w:t xml:space="preserve"> (</w:t>
      </w:r>
      <w:r w:rsidR="001759D5" w:rsidRPr="001759D5">
        <w:rPr>
          <w:sz w:val="28"/>
          <w:szCs w:val="28"/>
          <w:lang w:val="en-US"/>
        </w:rPr>
        <w:t>IV</w:t>
      </w:r>
      <w:r w:rsidR="001759D5" w:rsidRPr="001759D5">
        <w:rPr>
          <w:sz w:val="28"/>
          <w:szCs w:val="28"/>
          <w:lang w:val="uk-UA"/>
        </w:rPr>
        <w:t>) з саліцилоїлгідразонами бензальдегідів</w:t>
      </w:r>
      <w:r w:rsidR="00FD0D07" w:rsidRPr="00112A09">
        <w:rPr>
          <w:sz w:val="28"/>
          <w:szCs w:val="28"/>
          <w:u w:val="dotted"/>
          <w:lang w:val="uk-UA"/>
        </w:rPr>
        <w:tab/>
      </w:r>
      <w:r w:rsidRPr="00112A09">
        <w:rPr>
          <w:sz w:val="28"/>
          <w:szCs w:val="28"/>
          <w:u w:val="dotted"/>
          <w:lang w:val="uk-UA"/>
        </w:rPr>
        <w:t>10</w:t>
      </w:r>
      <w:r w:rsidR="001759D5">
        <w:rPr>
          <w:sz w:val="28"/>
          <w:szCs w:val="28"/>
          <w:u w:val="dotted"/>
          <w:lang w:val="uk-UA"/>
        </w:rPr>
        <w:t>0</w:t>
      </w:r>
    </w:p>
    <w:p w14:paraId="46105C71" w14:textId="76D1E328" w:rsidR="00FD0D07" w:rsidRPr="00112A09" w:rsidRDefault="00C57D1F" w:rsidP="00C57D1F">
      <w:pPr>
        <w:tabs>
          <w:tab w:val="left" w:pos="720"/>
          <w:tab w:val="right" w:pos="9360"/>
        </w:tabs>
        <w:spacing w:line="360" w:lineRule="auto"/>
        <w:ind w:left="810" w:right="-11" w:hanging="810"/>
        <w:jc w:val="both"/>
        <w:rPr>
          <w:sz w:val="28"/>
          <w:szCs w:val="28"/>
          <w:lang w:val="uk-UA"/>
        </w:rPr>
      </w:pPr>
      <w:r w:rsidRPr="00112A09">
        <w:rPr>
          <w:sz w:val="28"/>
          <w:szCs w:val="28"/>
          <w:lang w:val="uk-UA"/>
        </w:rPr>
        <w:t>6.2</w:t>
      </w:r>
      <w:r w:rsidRPr="00112A09">
        <w:rPr>
          <w:sz w:val="28"/>
          <w:szCs w:val="28"/>
          <w:lang w:val="uk-UA"/>
        </w:rPr>
        <w:tab/>
      </w:r>
      <w:r w:rsidR="001759D5" w:rsidRPr="001759D5">
        <w:rPr>
          <w:color w:val="000000" w:themeColor="text1"/>
          <w:sz w:val="28"/>
          <w:szCs w:val="28"/>
          <w:lang w:val="uk-UA"/>
        </w:rPr>
        <w:t xml:space="preserve">Вивчення локомоторної активності у тесті Відкрите Поле комплексних сполук </w:t>
      </w:r>
      <w:r w:rsidR="001759D5" w:rsidRPr="001759D5">
        <w:rPr>
          <w:color w:val="000000" w:themeColor="text1"/>
          <w:sz w:val="28"/>
          <w:szCs w:val="28"/>
        </w:rPr>
        <w:t>Sn</w:t>
      </w:r>
      <w:r w:rsidR="001759D5" w:rsidRPr="001759D5">
        <w:rPr>
          <w:color w:val="000000" w:themeColor="text1"/>
          <w:sz w:val="28"/>
          <w:szCs w:val="28"/>
          <w:lang w:val="uk-UA"/>
        </w:rPr>
        <w:t xml:space="preserve"> (</w:t>
      </w:r>
      <w:r w:rsidR="001759D5" w:rsidRPr="001759D5">
        <w:rPr>
          <w:color w:val="000000" w:themeColor="text1"/>
          <w:sz w:val="28"/>
          <w:szCs w:val="28"/>
          <w:lang w:val="en-US"/>
        </w:rPr>
        <w:t>IV</w:t>
      </w:r>
      <w:r w:rsidR="001759D5" w:rsidRPr="001759D5">
        <w:rPr>
          <w:color w:val="000000" w:themeColor="text1"/>
          <w:sz w:val="28"/>
          <w:szCs w:val="28"/>
          <w:lang w:val="uk-UA"/>
        </w:rPr>
        <w:t>) з саліцилоїлгідразонами бензальдегідів</w:t>
      </w:r>
      <w:r w:rsidR="00FD0D07" w:rsidRPr="00112A09">
        <w:rPr>
          <w:sz w:val="28"/>
          <w:szCs w:val="28"/>
          <w:u w:val="dotted"/>
          <w:lang w:val="uk-UA"/>
        </w:rPr>
        <w:tab/>
      </w:r>
      <w:r w:rsidRPr="00112A09">
        <w:rPr>
          <w:sz w:val="28"/>
          <w:szCs w:val="28"/>
          <w:u w:val="dotted"/>
          <w:lang w:val="uk-UA"/>
        </w:rPr>
        <w:t>1</w:t>
      </w:r>
      <w:r w:rsidR="001759D5">
        <w:rPr>
          <w:sz w:val="28"/>
          <w:szCs w:val="28"/>
          <w:u w:val="dotted"/>
          <w:lang w:val="uk-UA"/>
        </w:rPr>
        <w:t>04</w:t>
      </w:r>
    </w:p>
    <w:p w14:paraId="7CB7393B" w14:textId="5A9A280B" w:rsidR="00FD0D07" w:rsidRPr="00112A09" w:rsidRDefault="00C57D1F" w:rsidP="00C57D1F">
      <w:pPr>
        <w:tabs>
          <w:tab w:val="left" w:pos="709"/>
          <w:tab w:val="right" w:pos="9360"/>
        </w:tabs>
        <w:spacing w:line="360" w:lineRule="auto"/>
        <w:ind w:left="709" w:right="-11" w:hanging="709"/>
        <w:jc w:val="both"/>
        <w:rPr>
          <w:sz w:val="28"/>
          <w:szCs w:val="28"/>
          <w:lang w:val="uk-UA"/>
        </w:rPr>
      </w:pPr>
      <w:r w:rsidRPr="00112A09">
        <w:rPr>
          <w:sz w:val="28"/>
          <w:szCs w:val="28"/>
          <w:lang w:val="uk-UA"/>
        </w:rPr>
        <w:t>6.3</w:t>
      </w:r>
      <w:r w:rsidRPr="00112A09">
        <w:rPr>
          <w:sz w:val="28"/>
          <w:szCs w:val="28"/>
          <w:lang w:val="uk-UA"/>
        </w:rPr>
        <w:tab/>
      </w:r>
      <w:r w:rsidR="001759D5" w:rsidRPr="001759D5">
        <w:rPr>
          <w:color w:val="000000" w:themeColor="text1"/>
          <w:sz w:val="28"/>
          <w:szCs w:val="28"/>
          <w:lang w:val="uk-UA"/>
        </w:rPr>
        <w:t xml:space="preserve">Дослідження комплексних сполук </w:t>
      </w:r>
      <w:r w:rsidR="001759D5" w:rsidRPr="001759D5">
        <w:rPr>
          <w:color w:val="000000" w:themeColor="text1"/>
          <w:sz w:val="28"/>
          <w:szCs w:val="28"/>
        </w:rPr>
        <w:t>Sn</w:t>
      </w:r>
      <w:r w:rsidR="001759D5" w:rsidRPr="001759D5">
        <w:rPr>
          <w:color w:val="000000" w:themeColor="text1"/>
          <w:sz w:val="28"/>
          <w:szCs w:val="28"/>
          <w:lang w:val="uk-UA"/>
        </w:rPr>
        <w:t xml:space="preserve"> (</w:t>
      </w:r>
      <w:r w:rsidR="001759D5" w:rsidRPr="001759D5">
        <w:rPr>
          <w:color w:val="000000" w:themeColor="text1"/>
          <w:sz w:val="28"/>
          <w:szCs w:val="28"/>
          <w:lang w:val="en-US"/>
        </w:rPr>
        <w:t>IV</w:t>
      </w:r>
      <w:r w:rsidR="001759D5" w:rsidRPr="001759D5">
        <w:rPr>
          <w:color w:val="000000" w:themeColor="text1"/>
          <w:sz w:val="28"/>
          <w:szCs w:val="28"/>
          <w:lang w:val="uk-UA"/>
        </w:rPr>
        <w:t>) з саліцилоїлгідразонами бензальдегідів у тесті «темно-світла» камера</w:t>
      </w:r>
      <w:r w:rsidR="00FD0D07" w:rsidRPr="00112A09">
        <w:rPr>
          <w:sz w:val="28"/>
          <w:szCs w:val="28"/>
          <w:u w:val="dotted"/>
          <w:lang w:val="uk-UA"/>
        </w:rPr>
        <w:tab/>
      </w:r>
      <w:r w:rsidRPr="00112A09">
        <w:rPr>
          <w:sz w:val="28"/>
          <w:szCs w:val="28"/>
          <w:u w:val="dotted"/>
          <w:lang w:val="uk-UA"/>
        </w:rPr>
        <w:t>1</w:t>
      </w:r>
      <w:r w:rsidR="001759D5">
        <w:rPr>
          <w:sz w:val="28"/>
          <w:szCs w:val="28"/>
          <w:u w:val="dotted"/>
          <w:lang w:val="uk-UA"/>
        </w:rPr>
        <w:t>08</w:t>
      </w:r>
    </w:p>
    <w:p w14:paraId="1C1B9900" w14:textId="29F94534" w:rsidR="00FD0D07" w:rsidRPr="00112A09" w:rsidRDefault="00C57D1F" w:rsidP="00C57D1F">
      <w:pPr>
        <w:tabs>
          <w:tab w:val="left" w:pos="900"/>
          <w:tab w:val="right" w:pos="9360"/>
        </w:tabs>
        <w:spacing w:line="360" w:lineRule="auto"/>
        <w:ind w:left="709" w:right="-11" w:hanging="709"/>
        <w:jc w:val="both"/>
        <w:rPr>
          <w:sz w:val="28"/>
          <w:szCs w:val="28"/>
          <w:lang w:val="uk-UA"/>
        </w:rPr>
      </w:pPr>
      <w:r w:rsidRPr="00112A09">
        <w:rPr>
          <w:color w:val="000000"/>
          <w:sz w:val="28"/>
          <w:szCs w:val="28"/>
          <w:lang w:val="uk-UA"/>
        </w:rPr>
        <w:t>6.4</w:t>
      </w:r>
      <w:r w:rsidRPr="00112A09">
        <w:rPr>
          <w:color w:val="000000"/>
          <w:sz w:val="28"/>
          <w:szCs w:val="28"/>
          <w:lang w:val="uk-UA"/>
        </w:rPr>
        <w:tab/>
      </w:r>
      <w:r w:rsidR="001759D5" w:rsidRPr="001759D5">
        <w:rPr>
          <w:color w:val="000000"/>
          <w:sz w:val="28"/>
          <w:szCs w:val="28"/>
          <w:lang w:val="uk-UA"/>
        </w:rPr>
        <w:t xml:space="preserve">Визначення міорелаксантної дії </w:t>
      </w:r>
      <w:r w:rsidR="001759D5" w:rsidRPr="001759D5">
        <w:rPr>
          <w:sz w:val="28"/>
          <w:szCs w:val="28"/>
          <w:lang w:val="uk-UA"/>
        </w:rPr>
        <w:t xml:space="preserve">комплексних сполук </w:t>
      </w:r>
      <w:r w:rsidR="001759D5" w:rsidRPr="001759D5">
        <w:rPr>
          <w:sz w:val="28"/>
          <w:szCs w:val="28"/>
        </w:rPr>
        <w:t>SnCl</w:t>
      </w:r>
      <w:r w:rsidR="001759D5" w:rsidRPr="001759D5">
        <w:rPr>
          <w:sz w:val="28"/>
          <w:szCs w:val="28"/>
          <w:vertAlign w:val="subscript"/>
          <w:lang w:val="uk-UA"/>
        </w:rPr>
        <w:t>4</w:t>
      </w:r>
      <w:r w:rsidR="001759D5" w:rsidRPr="001759D5">
        <w:rPr>
          <w:sz w:val="28"/>
          <w:szCs w:val="28"/>
          <w:lang w:val="uk-UA"/>
        </w:rPr>
        <w:t xml:space="preserve"> з саліцилоїлгідразонами бензальдегіду та 4-бромбензальдегіду</w:t>
      </w:r>
      <w:r w:rsidR="00FD0D07" w:rsidRPr="00112A09">
        <w:rPr>
          <w:sz w:val="28"/>
          <w:szCs w:val="28"/>
          <w:u w:val="dotted"/>
          <w:lang w:val="uk-UA"/>
        </w:rPr>
        <w:tab/>
        <w:t>1</w:t>
      </w:r>
      <w:r w:rsidR="001759D5">
        <w:rPr>
          <w:sz w:val="28"/>
          <w:szCs w:val="28"/>
          <w:u w:val="dotted"/>
          <w:lang w:val="uk-UA"/>
        </w:rPr>
        <w:t>14</w:t>
      </w:r>
    </w:p>
    <w:p w14:paraId="69C9658C" w14:textId="5F75BDE8" w:rsidR="00FD0D07" w:rsidRPr="00112A09" w:rsidRDefault="00C57D1F" w:rsidP="00C57D1F">
      <w:pPr>
        <w:tabs>
          <w:tab w:val="left" w:pos="709"/>
          <w:tab w:val="right" w:pos="9360"/>
        </w:tabs>
        <w:spacing w:line="360" w:lineRule="auto"/>
        <w:ind w:left="709" w:right="-11" w:hanging="709"/>
        <w:jc w:val="both"/>
        <w:rPr>
          <w:sz w:val="28"/>
          <w:szCs w:val="28"/>
          <w:lang w:val="uk-UA"/>
        </w:rPr>
      </w:pPr>
      <w:r w:rsidRPr="00112A09">
        <w:rPr>
          <w:sz w:val="28"/>
          <w:szCs w:val="28"/>
          <w:lang w:val="uk-UA"/>
        </w:rPr>
        <w:t>6.5</w:t>
      </w:r>
      <w:r w:rsidRPr="00112A09">
        <w:rPr>
          <w:sz w:val="28"/>
          <w:szCs w:val="28"/>
          <w:lang w:val="uk-UA"/>
        </w:rPr>
        <w:tab/>
      </w:r>
      <w:r w:rsidR="001759D5" w:rsidRPr="001759D5">
        <w:rPr>
          <w:sz w:val="28"/>
          <w:szCs w:val="28"/>
          <w:lang w:val="uk-UA"/>
        </w:rPr>
        <w:t xml:space="preserve">Вивчення тривожності при пероральному введенні комплексних сполук </w:t>
      </w:r>
      <w:r w:rsidR="001759D5" w:rsidRPr="001759D5">
        <w:rPr>
          <w:sz w:val="28"/>
          <w:szCs w:val="28"/>
        </w:rPr>
        <w:t>Sn</w:t>
      </w:r>
      <w:r w:rsidR="001759D5" w:rsidRPr="001759D5">
        <w:rPr>
          <w:sz w:val="28"/>
          <w:szCs w:val="28"/>
          <w:lang w:val="uk-UA"/>
        </w:rPr>
        <w:t xml:space="preserve"> (</w:t>
      </w:r>
      <w:r w:rsidR="001759D5" w:rsidRPr="001759D5">
        <w:rPr>
          <w:sz w:val="28"/>
          <w:szCs w:val="28"/>
          <w:lang w:val="en-US"/>
        </w:rPr>
        <w:t>IV</w:t>
      </w:r>
      <w:r w:rsidR="001759D5" w:rsidRPr="001759D5">
        <w:rPr>
          <w:sz w:val="28"/>
          <w:szCs w:val="28"/>
          <w:lang w:val="uk-UA"/>
        </w:rPr>
        <w:t>) з саліцилоїлгідразонами бензальдегідів у тесті піднесений хрестоподібний лабіринт (ПХЛ)</w:t>
      </w:r>
      <w:r w:rsidR="00FD0D07" w:rsidRPr="00112A09">
        <w:rPr>
          <w:sz w:val="28"/>
          <w:szCs w:val="28"/>
          <w:u w:val="dotted"/>
          <w:lang w:val="uk-UA"/>
        </w:rPr>
        <w:tab/>
        <w:t>1</w:t>
      </w:r>
      <w:r w:rsidR="001759D5">
        <w:rPr>
          <w:sz w:val="28"/>
          <w:szCs w:val="28"/>
          <w:u w:val="dotted"/>
          <w:lang w:val="uk-UA"/>
        </w:rPr>
        <w:t>14</w:t>
      </w:r>
    </w:p>
    <w:p w14:paraId="6E498FD0" w14:textId="3010EEA8" w:rsidR="00FD0D07" w:rsidRPr="00112A09" w:rsidRDefault="00C57D1F" w:rsidP="00C57D1F">
      <w:pPr>
        <w:tabs>
          <w:tab w:val="left" w:pos="709"/>
          <w:tab w:val="right" w:pos="9360"/>
        </w:tabs>
        <w:spacing w:line="360" w:lineRule="auto"/>
        <w:ind w:left="709" w:right="-11" w:hanging="709"/>
        <w:jc w:val="both"/>
        <w:rPr>
          <w:sz w:val="28"/>
          <w:szCs w:val="28"/>
        </w:rPr>
      </w:pPr>
      <w:r w:rsidRPr="00112A09">
        <w:rPr>
          <w:sz w:val="28"/>
          <w:szCs w:val="28"/>
          <w:lang w:val="uk-UA"/>
        </w:rPr>
        <w:t>6.6</w:t>
      </w:r>
      <w:r w:rsidRPr="00112A09">
        <w:rPr>
          <w:sz w:val="28"/>
          <w:szCs w:val="28"/>
          <w:lang w:val="uk-UA"/>
        </w:rPr>
        <w:tab/>
      </w:r>
      <w:r w:rsidR="001759D5" w:rsidRPr="001759D5">
        <w:rPr>
          <w:sz w:val="28"/>
          <w:szCs w:val="28"/>
        </w:rPr>
        <w:t>Визначення порогу чутливості до судомних агентів комплексних сполук S</w:t>
      </w:r>
      <w:r w:rsidR="001759D5" w:rsidRPr="001759D5">
        <w:rPr>
          <w:sz w:val="28"/>
          <w:szCs w:val="28"/>
          <w:lang w:val="en-US"/>
        </w:rPr>
        <w:t>n</w:t>
      </w:r>
      <w:r w:rsidR="001759D5" w:rsidRPr="001759D5">
        <w:rPr>
          <w:sz w:val="28"/>
          <w:szCs w:val="28"/>
        </w:rPr>
        <w:t xml:space="preserve"> (</w:t>
      </w:r>
      <w:r w:rsidR="001759D5" w:rsidRPr="001759D5">
        <w:rPr>
          <w:sz w:val="28"/>
          <w:szCs w:val="28"/>
          <w:lang w:val="en-US"/>
        </w:rPr>
        <w:t>IV</w:t>
      </w:r>
      <w:r w:rsidR="001759D5" w:rsidRPr="001759D5">
        <w:rPr>
          <w:sz w:val="28"/>
          <w:szCs w:val="28"/>
        </w:rPr>
        <w:t>) з саліцилоїлгідразонами бензальдегідів</w:t>
      </w:r>
      <w:r w:rsidR="00FD0D07" w:rsidRPr="00112A09">
        <w:rPr>
          <w:sz w:val="28"/>
          <w:szCs w:val="28"/>
          <w:u w:val="dotted"/>
        </w:rPr>
        <w:tab/>
      </w:r>
      <w:r w:rsidR="00FD0D07" w:rsidRPr="00112A09">
        <w:rPr>
          <w:sz w:val="28"/>
          <w:szCs w:val="28"/>
          <w:lang w:val="uk-UA"/>
        </w:rPr>
        <w:t xml:space="preserve"> </w:t>
      </w:r>
      <w:r w:rsidR="00FD0D07" w:rsidRPr="00112A09">
        <w:rPr>
          <w:sz w:val="28"/>
          <w:szCs w:val="28"/>
          <w:u w:val="dotted"/>
        </w:rPr>
        <w:t>1</w:t>
      </w:r>
      <w:r w:rsidR="001759D5">
        <w:rPr>
          <w:sz w:val="28"/>
          <w:szCs w:val="28"/>
          <w:u w:val="dotted"/>
          <w:lang w:val="uk-UA"/>
        </w:rPr>
        <w:t>18</w:t>
      </w:r>
    </w:p>
    <w:p w14:paraId="7864D5B0" w14:textId="0AB5E6BE" w:rsidR="00FD0D07" w:rsidRPr="001759D5" w:rsidRDefault="00C57D1F" w:rsidP="00FD0D07">
      <w:pPr>
        <w:tabs>
          <w:tab w:val="left" w:pos="1134"/>
          <w:tab w:val="right" w:pos="9360"/>
        </w:tabs>
        <w:spacing w:line="360" w:lineRule="auto"/>
        <w:rPr>
          <w:sz w:val="28"/>
          <w:szCs w:val="28"/>
          <w:u w:val="dotted"/>
          <w:lang w:val="uk-UA"/>
        </w:rPr>
      </w:pPr>
      <w:r w:rsidRPr="00112A09">
        <w:rPr>
          <w:b/>
          <w:sz w:val="28"/>
          <w:szCs w:val="28"/>
          <w:lang w:val="uk-UA"/>
        </w:rPr>
        <w:t xml:space="preserve">РОЗДІЛ 7. </w:t>
      </w:r>
      <w:r w:rsidR="00FD0D07" w:rsidRPr="00112A09">
        <w:rPr>
          <w:b/>
          <w:sz w:val="28"/>
          <w:szCs w:val="28"/>
        </w:rPr>
        <w:t>АНАЛІЗ ТА УЗАГАЛЬНЕННЯ РЕЗУЛЬТАТІВ ДОСЛІДЖЕННЯ</w:t>
      </w:r>
      <w:r w:rsidR="00FD0D07" w:rsidRPr="00112A09">
        <w:rPr>
          <w:sz w:val="28"/>
          <w:szCs w:val="28"/>
          <w:u w:val="dotted"/>
        </w:rPr>
        <w:tab/>
        <w:t>1</w:t>
      </w:r>
      <w:r w:rsidR="001759D5">
        <w:rPr>
          <w:sz w:val="28"/>
          <w:szCs w:val="28"/>
          <w:u w:val="dotted"/>
          <w:lang w:val="uk-UA"/>
        </w:rPr>
        <w:t>22</w:t>
      </w:r>
    </w:p>
    <w:p w14:paraId="4F66B0BB" w14:textId="62C0F7BB" w:rsidR="00FD0D07" w:rsidRPr="00112A09" w:rsidRDefault="00FD0D07" w:rsidP="00FD0D07">
      <w:pPr>
        <w:tabs>
          <w:tab w:val="right" w:pos="9360"/>
        </w:tabs>
        <w:spacing w:line="360" w:lineRule="auto"/>
        <w:rPr>
          <w:sz w:val="28"/>
          <w:szCs w:val="28"/>
          <w:lang w:val="uk-UA"/>
        </w:rPr>
      </w:pPr>
      <w:r w:rsidRPr="00112A09">
        <w:rPr>
          <w:b/>
          <w:sz w:val="28"/>
          <w:szCs w:val="28"/>
        </w:rPr>
        <w:t>ВИСНОВКИ</w:t>
      </w:r>
      <w:r w:rsidRPr="00112A09">
        <w:rPr>
          <w:sz w:val="28"/>
          <w:szCs w:val="28"/>
          <w:u w:val="dotted"/>
        </w:rPr>
        <w:tab/>
        <w:t>1</w:t>
      </w:r>
      <w:r w:rsidRPr="00112A09">
        <w:rPr>
          <w:sz w:val="28"/>
          <w:szCs w:val="28"/>
          <w:u w:val="dotted"/>
          <w:lang w:val="uk-UA"/>
        </w:rPr>
        <w:t>3</w:t>
      </w:r>
      <w:r w:rsidR="001759D5">
        <w:rPr>
          <w:sz w:val="28"/>
          <w:szCs w:val="28"/>
          <w:u w:val="dotted"/>
          <w:lang w:val="uk-UA"/>
        </w:rPr>
        <w:t>0</w:t>
      </w:r>
    </w:p>
    <w:p w14:paraId="3196D013" w14:textId="28D7D084" w:rsidR="00FD0D07" w:rsidRPr="00112A09" w:rsidRDefault="00FD0D07" w:rsidP="00FD0D07">
      <w:pPr>
        <w:tabs>
          <w:tab w:val="right" w:pos="9360"/>
        </w:tabs>
        <w:spacing w:line="360" w:lineRule="auto"/>
        <w:rPr>
          <w:sz w:val="28"/>
          <w:szCs w:val="28"/>
          <w:lang w:val="uk-UA"/>
        </w:rPr>
      </w:pPr>
      <w:r w:rsidRPr="00112A09">
        <w:rPr>
          <w:b/>
          <w:sz w:val="28"/>
          <w:szCs w:val="28"/>
        </w:rPr>
        <w:t>ПЕРЕЛІК ВИКОРИСТАНИХ ДЖЕРЕЛ</w:t>
      </w:r>
      <w:r w:rsidRPr="00112A09">
        <w:rPr>
          <w:sz w:val="28"/>
          <w:szCs w:val="28"/>
          <w:u w:val="dotted"/>
        </w:rPr>
        <w:tab/>
        <w:t>1</w:t>
      </w:r>
      <w:r w:rsidR="001759D5">
        <w:rPr>
          <w:sz w:val="28"/>
          <w:szCs w:val="28"/>
          <w:u w:val="dotted"/>
          <w:lang w:val="uk-UA"/>
        </w:rPr>
        <w:t>32</w:t>
      </w:r>
    </w:p>
    <w:p w14:paraId="01B93017" w14:textId="34A1B531" w:rsidR="00FD0D07" w:rsidRPr="00112A09" w:rsidRDefault="00FD0D07" w:rsidP="00FD0D07">
      <w:pPr>
        <w:tabs>
          <w:tab w:val="right" w:pos="9360"/>
        </w:tabs>
        <w:spacing w:line="360" w:lineRule="auto"/>
        <w:rPr>
          <w:sz w:val="28"/>
          <w:szCs w:val="28"/>
          <w:lang w:val="uk-UA"/>
        </w:rPr>
      </w:pPr>
      <w:r w:rsidRPr="00112A09">
        <w:rPr>
          <w:b/>
          <w:sz w:val="28"/>
          <w:szCs w:val="28"/>
        </w:rPr>
        <w:t>ДОДАТКИ</w:t>
      </w:r>
      <w:r w:rsidRPr="00112A09">
        <w:rPr>
          <w:sz w:val="28"/>
          <w:szCs w:val="28"/>
          <w:u w:val="dotted"/>
        </w:rPr>
        <w:tab/>
        <w:t>1</w:t>
      </w:r>
      <w:r w:rsidRPr="00112A09">
        <w:rPr>
          <w:sz w:val="28"/>
          <w:szCs w:val="28"/>
          <w:u w:val="dotted"/>
          <w:lang w:val="uk-UA"/>
        </w:rPr>
        <w:t>6</w:t>
      </w:r>
      <w:r w:rsidR="001759D5">
        <w:rPr>
          <w:sz w:val="28"/>
          <w:szCs w:val="28"/>
          <w:u w:val="dotted"/>
          <w:lang w:val="uk-UA"/>
        </w:rPr>
        <w:t>4</w:t>
      </w:r>
    </w:p>
    <w:p w14:paraId="387684E6" w14:textId="77777777" w:rsidR="00FD0D07" w:rsidRPr="00112A09" w:rsidRDefault="00FD0D07" w:rsidP="00FD0D07">
      <w:pPr>
        <w:tabs>
          <w:tab w:val="right" w:pos="9360"/>
        </w:tabs>
        <w:spacing w:line="360" w:lineRule="auto"/>
        <w:jc w:val="center"/>
        <w:rPr>
          <w:b/>
          <w:sz w:val="28"/>
          <w:szCs w:val="28"/>
        </w:rPr>
      </w:pPr>
      <w:r w:rsidRPr="00112A09">
        <w:rPr>
          <w:b/>
          <w:sz w:val="28"/>
          <w:szCs w:val="28"/>
        </w:rPr>
        <w:br w:type="page"/>
      </w:r>
      <w:r w:rsidRPr="00112A09">
        <w:rPr>
          <w:b/>
          <w:sz w:val="28"/>
          <w:szCs w:val="28"/>
        </w:rPr>
        <w:lastRenderedPageBreak/>
        <w:t>ПЕРЕЛІК УМОВНИХ ПОЗНАЧЕНЬ, СКОРОЧЕНЬ І ТЕРМІНІВ</w:t>
      </w:r>
    </w:p>
    <w:tbl>
      <w:tblPr>
        <w:tblW w:w="9498" w:type="dxa"/>
        <w:tblInd w:w="108" w:type="dxa"/>
        <w:tblLook w:val="04A0" w:firstRow="1" w:lastRow="0" w:firstColumn="1" w:lastColumn="0" w:noHBand="0" w:noVBand="1"/>
      </w:tblPr>
      <w:tblGrid>
        <w:gridCol w:w="1284"/>
        <w:gridCol w:w="8214"/>
      </w:tblGrid>
      <w:tr w:rsidR="00FD0D07" w:rsidRPr="00112A09" w14:paraId="2A2F3B3C" w14:textId="77777777" w:rsidTr="00AF759D">
        <w:tc>
          <w:tcPr>
            <w:tcW w:w="1284" w:type="dxa"/>
          </w:tcPr>
          <w:p w14:paraId="35D53B48" w14:textId="77777777" w:rsidR="00FD0D07" w:rsidRPr="00112A09" w:rsidRDefault="00FD0D07" w:rsidP="00AF759D">
            <w:pPr>
              <w:spacing w:line="360" w:lineRule="auto"/>
              <w:jc w:val="both"/>
              <w:rPr>
                <w:bCs/>
                <w:sz w:val="28"/>
                <w:szCs w:val="28"/>
              </w:rPr>
            </w:pPr>
            <w:r w:rsidRPr="00112A09">
              <w:rPr>
                <w:sz w:val="28"/>
                <w:szCs w:val="28"/>
                <w:lang w:val="uk-UA"/>
              </w:rPr>
              <w:t>4-брБА</w:t>
            </w:r>
          </w:p>
        </w:tc>
        <w:tc>
          <w:tcPr>
            <w:tcW w:w="8214" w:type="dxa"/>
          </w:tcPr>
          <w:p w14:paraId="50500DD3" w14:textId="77777777" w:rsidR="00FD0D07" w:rsidRPr="00112A09" w:rsidRDefault="00FD0D07" w:rsidP="00AF759D">
            <w:pPr>
              <w:spacing w:line="360" w:lineRule="auto"/>
              <w:jc w:val="both"/>
              <w:rPr>
                <w:sz w:val="28"/>
                <w:szCs w:val="28"/>
              </w:rPr>
            </w:pPr>
            <w:r w:rsidRPr="00112A09">
              <w:rPr>
                <w:sz w:val="28"/>
                <w:szCs w:val="28"/>
              </w:rPr>
              <w:t xml:space="preserve">– </w:t>
            </w:r>
            <w:r w:rsidRPr="00112A09">
              <w:rPr>
                <w:sz w:val="28"/>
                <w:szCs w:val="28"/>
                <w:lang w:val="uk-UA"/>
              </w:rPr>
              <w:t>4-бромбензальдегід</w:t>
            </w:r>
          </w:p>
        </w:tc>
      </w:tr>
      <w:tr w:rsidR="00FD0D07" w:rsidRPr="00112A09" w14:paraId="675E5D7E" w14:textId="77777777" w:rsidTr="00AF759D">
        <w:tc>
          <w:tcPr>
            <w:tcW w:w="1284" w:type="dxa"/>
          </w:tcPr>
          <w:p w14:paraId="71002FA1" w14:textId="77777777" w:rsidR="00FD0D07" w:rsidRPr="00112A09" w:rsidRDefault="00FD0D07" w:rsidP="00AF759D">
            <w:pPr>
              <w:spacing w:line="360" w:lineRule="auto"/>
              <w:jc w:val="both"/>
              <w:rPr>
                <w:bCs/>
                <w:sz w:val="28"/>
                <w:szCs w:val="28"/>
              </w:rPr>
            </w:pPr>
            <w:r w:rsidRPr="00112A09">
              <w:rPr>
                <w:sz w:val="28"/>
                <w:szCs w:val="28"/>
                <w:lang w:val="uk-UA"/>
              </w:rPr>
              <w:t>БА</w:t>
            </w:r>
          </w:p>
        </w:tc>
        <w:tc>
          <w:tcPr>
            <w:tcW w:w="8214" w:type="dxa"/>
          </w:tcPr>
          <w:p w14:paraId="2F303497" w14:textId="77777777" w:rsidR="00FD0D07" w:rsidRPr="00112A09" w:rsidRDefault="00FD0D07" w:rsidP="00AF759D">
            <w:pPr>
              <w:spacing w:line="360" w:lineRule="auto"/>
              <w:jc w:val="both"/>
              <w:rPr>
                <w:sz w:val="28"/>
                <w:szCs w:val="28"/>
              </w:rPr>
            </w:pPr>
            <w:r w:rsidRPr="00112A09">
              <w:rPr>
                <w:sz w:val="28"/>
                <w:szCs w:val="28"/>
              </w:rPr>
              <w:t xml:space="preserve">– </w:t>
            </w:r>
            <w:r w:rsidRPr="00112A09">
              <w:rPr>
                <w:sz w:val="28"/>
                <w:szCs w:val="28"/>
                <w:lang w:val="uk-UA"/>
              </w:rPr>
              <w:t>бензальдегід</w:t>
            </w:r>
          </w:p>
        </w:tc>
      </w:tr>
      <w:tr w:rsidR="00FD0D07" w:rsidRPr="00112A09" w14:paraId="44F121D5" w14:textId="77777777" w:rsidTr="00AF759D">
        <w:tc>
          <w:tcPr>
            <w:tcW w:w="1284" w:type="dxa"/>
          </w:tcPr>
          <w:p w14:paraId="2A35A668" w14:textId="77777777" w:rsidR="00FD0D07" w:rsidRPr="00112A09" w:rsidRDefault="00FD0D07" w:rsidP="00AF759D">
            <w:pPr>
              <w:spacing w:line="360" w:lineRule="auto"/>
              <w:jc w:val="both"/>
              <w:rPr>
                <w:bCs/>
                <w:sz w:val="28"/>
                <w:szCs w:val="28"/>
              </w:rPr>
            </w:pPr>
            <w:r w:rsidRPr="00112A09">
              <w:rPr>
                <w:sz w:val="28"/>
                <w:szCs w:val="28"/>
                <w:lang w:val="uk-UA"/>
              </w:rPr>
              <w:t>ВК</w:t>
            </w:r>
          </w:p>
        </w:tc>
        <w:tc>
          <w:tcPr>
            <w:tcW w:w="8214" w:type="dxa"/>
          </w:tcPr>
          <w:p w14:paraId="673DB261" w14:textId="77777777" w:rsidR="00FD0D07" w:rsidRPr="00112A09" w:rsidRDefault="00FD0D07" w:rsidP="00AF759D">
            <w:pPr>
              <w:spacing w:line="360" w:lineRule="auto"/>
              <w:jc w:val="both"/>
              <w:rPr>
                <w:sz w:val="28"/>
                <w:szCs w:val="28"/>
              </w:rPr>
            </w:pPr>
            <w:r w:rsidRPr="00112A09">
              <w:rPr>
                <w:sz w:val="28"/>
                <w:szCs w:val="28"/>
              </w:rPr>
              <w:t xml:space="preserve">– </w:t>
            </w:r>
            <w:r w:rsidRPr="00112A09">
              <w:rPr>
                <w:sz w:val="28"/>
                <w:szCs w:val="28"/>
                <w:lang w:val="uk-UA"/>
              </w:rPr>
              <w:t>вальпроєва кислота</w:t>
            </w:r>
          </w:p>
        </w:tc>
      </w:tr>
      <w:tr w:rsidR="00FD0D07" w:rsidRPr="00112A09" w14:paraId="4A28E54E" w14:textId="77777777" w:rsidTr="00AF759D">
        <w:tc>
          <w:tcPr>
            <w:tcW w:w="1284" w:type="dxa"/>
          </w:tcPr>
          <w:p w14:paraId="71ABC61D" w14:textId="77777777" w:rsidR="00FD0D07" w:rsidRPr="00112A09" w:rsidRDefault="00FD0D07" w:rsidP="00AF759D">
            <w:pPr>
              <w:spacing w:line="360" w:lineRule="auto"/>
              <w:jc w:val="both"/>
              <w:rPr>
                <w:sz w:val="28"/>
                <w:szCs w:val="28"/>
                <w:lang w:val="uk-UA"/>
              </w:rPr>
            </w:pPr>
            <w:r w:rsidRPr="00112A09">
              <w:rPr>
                <w:sz w:val="28"/>
                <w:szCs w:val="28"/>
                <w:lang w:val="uk-UA"/>
              </w:rPr>
              <w:t>ВП</w:t>
            </w:r>
          </w:p>
        </w:tc>
        <w:tc>
          <w:tcPr>
            <w:tcW w:w="8214" w:type="dxa"/>
          </w:tcPr>
          <w:p w14:paraId="65DC294A" w14:textId="77777777" w:rsidR="00FD0D07" w:rsidRPr="00112A09" w:rsidRDefault="00FD0D07" w:rsidP="00AF759D">
            <w:pPr>
              <w:spacing w:line="360" w:lineRule="auto"/>
              <w:jc w:val="both"/>
              <w:rPr>
                <w:sz w:val="28"/>
                <w:szCs w:val="28"/>
              </w:rPr>
            </w:pPr>
            <w:r w:rsidRPr="00112A09">
              <w:rPr>
                <w:sz w:val="28"/>
                <w:szCs w:val="28"/>
              </w:rPr>
              <w:t xml:space="preserve">– </w:t>
            </w:r>
            <w:r w:rsidRPr="00112A09">
              <w:rPr>
                <w:sz w:val="28"/>
                <w:szCs w:val="28"/>
                <w:lang w:val="uk-UA"/>
              </w:rPr>
              <w:t>відкрите поле</w:t>
            </w:r>
          </w:p>
        </w:tc>
      </w:tr>
      <w:tr w:rsidR="00FD0D07" w:rsidRPr="00112A09" w14:paraId="316E1A64" w14:textId="77777777" w:rsidTr="00AF759D">
        <w:tc>
          <w:tcPr>
            <w:tcW w:w="1284" w:type="dxa"/>
          </w:tcPr>
          <w:p w14:paraId="1DF1D0FB" w14:textId="77777777" w:rsidR="00FD0D07" w:rsidRPr="00112A09" w:rsidRDefault="00FD0D07" w:rsidP="00AF759D">
            <w:pPr>
              <w:spacing w:line="360" w:lineRule="auto"/>
              <w:jc w:val="both"/>
              <w:rPr>
                <w:bCs/>
                <w:sz w:val="28"/>
                <w:szCs w:val="28"/>
              </w:rPr>
            </w:pPr>
            <w:r w:rsidRPr="00112A09">
              <w:rPr>
                <w:sz w:val="28"/>
                <w:szCs w:val="28"/>
                <w:lang w:val="uk-UA"/>
              </w:rPr>
              <w:t>ГП</w:t>
            </w:r>
          </w:p>
        </w:tc>
        <w:tc>
          <w:tcPr>
            <w:tcW w:w="8214" w:type="dxa"/>
          </w:tcPr>
          <w:p w14:paraId="60EAF962" w14:textId="77777777" w:rsidR="00FD0D07" w:rsidRPr="00112A09" w:rsidRDefault="00FD0D07" w:rsidP="00AF759D">
            <w:pPr>
              <w:spacing w:line="360" w:lineRule="auto"/>
              <w:jc w:val="both"/>
              <w:rPr>
                <w:sz w:val="28"/>
                <w:szCs w:val="28"/>
              </w:rPr>
            </w:pPr>
            <w:r w:rsidRPr="00112A09">
              <w:rPr>
                <w:sz w:val="28"/>
                <w:szCs w:val="28"/>
              </w:rPr>
              <w:t xml:space="preserve">– </w:t>
            </w:r>
            <w:r w:rsidRPr="00112A09">
              <w:rPr>
                <w:sz w:val="28"/>
                <w:szCs w:val="28"/>
                <w:lang w:val="uk-UA"/>
              </w:rPr>
              <w:t>гаряча пластина</w:t>
            </w:r>
          </w:p>
        </w:tc>
      </w:tr>
      <w:tr w:rsidR="00FD0D07" w:rsidRPr="00112A09" w14:paraId="0D6F5771" w14:textId="77777777" w:rsidTr="00AF759D">
        <w:tc>
          <w:tcPr>
            <w:tcW w:w="1284" w:type="dxa"/>
          </w:tcPr>
          <w:p w14:paraId="67F7367B" w14:textId="77777777" w:rsidR="00FD0D07" w:rsidRPr="00112A09" w:rsidRDefault="00FD0D07" w:rsidP="00AF759D">
            <w:pPr>
              <w:spacing w:line="360" w:lineRule="auto"/>
              <w:jc w:val="both"/>
              <w:rPr>
                <w:bCs/>
                <w:sz w:val="28"/>
                <w:szCs w:val="28"/>
              </w:rPr>
            </w:pPr>
            <w:r w:rsidRPr="00112A09">
              <w:rPr>
                <w:sz w:val="28"/>
                <w:szCs w:val="28"/>
                <w:lang w:val="uk-UA"/>
              </w:rPr>
              <w:t>ДКТС</w:t>
            </w:r>
          </w:p>
        </w:tc>
        <w:tc>
          <w:tcPr>
            <w:tcW w:w="8214" w:type="dxa"/>
          </w:tcPr>
          <w:p w14:paraId="11F209D1" w14:textId="77777777" w:rsidR="00FD0D07" w:rsidRPr="00112A09" w:rsidRDefault="00FD0D07" w:rsidP="00AF759D">
            <w:pPr>
              <w:spacing w:line="360" w:lineRule="auto"/>
              <w:jc w:val="both"/>
              <w:rPr>
                <w:sz w:val="28"/>
                <w:szCs w:val="28"/>
              </w:rPr>
            </w:pPr>
            <w:r w:rsidRPr="00112A09">
              <w:rPr>
                <w:sz w:val="28"/>
                <w:szCs w:val="28"/>
              </w:rPr>
              <w:t xml:space="preserve">– </w:t>
            </w:r>
            <w:r w:rsidRPr="00112A09">
              <w:rPr>
                <w:sz w:val="28"/>
                <w:szCs w:val="28"/>
                <w:lang w:val="uk-UA"/>
              </w:rPr>
              <w:t>доза клонічно-тонічних судом</w:t>
            </w:r>
          </w:p>
        </w:tc>
      </w:tr>
      <w:tr w:rsidR="00FD0D07" w:rsidRPr="00112A09" w14:paraId="703DAAE4" w14:textId="77777777" w:rsidTr="00AF759D">
        <w:tc>
          <w:tcPr>
            <w:tcW w:w="1284" w:type="dxa"/>
          </w:tcPr>
          <w:p w14:paraId="037A4C97" w14:textId="77777777" w:rsidR="00FD0D07" w:rsidRPr="00112A09" w:rsidRDefault="00FD0D07" w:rsidP="00AF759D">
            <w:pPr>
              <w:spacing w:line="360" w:lineRule="auto"/>
              <w:jc w:val="both"/>
              <w:rPr>
                <w:sz w:val="28"/>
                <w:szCs w:val="28"/>
              </w:rPr>
            </w:pPr>
            <w:r w:rsidRPr="00112A09">
              <w:rPr>
                <w:sz w:val="28"/>
                <w:szCs w:val="28"/>
                <w:lang w:val="uk-UA"/>
              </w:rPr>
              <w:t>ЕД</w:t>
            </w:r>
            <w:r w:rsidRPr="00112A09">
              <w:rPr>
                <w:position w:val="-4"/>
                <w:sz w:val="28"/>
                <w:szCs w:val="28"/>
                <w:lang w:val="uk-UA"/>
              </w:rPr>
              <w:t>50</w:t>
            </w:r>
          </w:p>
        </w:tc>
        <w:tc>
          <w:tcPr>
            <w:tcW w:w="8214" w:type="dxa"/>
          </w:tcPr>
          <w:p w14:paraId="05D8FBB9" w14:textId="77777777" w:rsidR="00FD0D07" w:rsidRPr="00112A09" w:rsidRDefault="00FD0D07" w:rsidP="00AF759D">
            <w:pPr>
              <w:spacing w:line="360" w:lineRule="auto"/>
              <w:jc w:val="both"/>
              <w:rPr>
                <w:sz w:val="28"/>
                <w:szCs w:val="28"/>
              </w:rPr>
            </w:pPr>
            <w:r w:rsidRPr="00112A09">
              <w:rPr>
                <w:bCs/>
                <w:sz w:val="28"/>
                <w:szCs w:val="28"/>
              </w:rPr>
              <w:t xml:space="preserve">– </w:t>
            </w:r>
            <w:r w:rsidRPr="00112A09">
              <w:rPr>
                <w:sz w:val="28"/>
                <w:szCs w:val="28"/>
                <w:lang w:val="uk-UA"/>
              </w:rPr>
              <w:t>ефективна доза, що викликає очікуваний ефект у 50 % тварин</w:t>
            </w:r>
          </w:p>
        </w:tc>
      </w:tr>
      <w:tr w:rsidR="00FD0D07" w:rsidRPr="00112A09" w14:paraId="4BC5770D" w14:textId="77777777" w:rsidTr="00AF759D">
        <w:tc>
          <w:tcPr>
            <w:tcW w:w="1284" w:type="dxa"/>
          </w:tcPr>
          <w:p w14:paraId="08D1DFFF" w14:textId="77777777" w:rsidR="00FD0D07" w:rsidRPr="00112A09" w:rsidRDefault="00FD0D07" w:rsidP="00AF759D">
            <w:pPr>
              <w:spacing w:line="360" w:lineRule="auto"/>
              <w:jc w:val="both"/>
              <w:rPr>
                <w:bCs/>
                <w:sz w:val="28"/>
                <w:szCs w:val="28"/>
                <w:lang w:val="en-US"/>
              </w:rPr>
            </w:pPr>
            <w:r w:rsidRPr="00112A09">
              <w:rPr>
                <w:sz w:val="28"/>
                <w:szCs w:val="28"/>
                <w:lang w:val="uk-UA"/>
              </w:rPr>
              <w:t>КТС</w:t>
            </w:r>
          </w:p>
        </w:tc>
        <w:tc>
          <w:tcPr>
            <w:tcW w:w="8214" w:type="dxa"/>
          </w:tcPr>
          <w:p w14:paraId="768AF427" w14:textId="77777777" w:rsidR="00FD0D07" w:rsidRPr="00112A09" w:rsidRDefault="00FD0D07" w:rsidP="00AF759D">
            <w:pPr>
              <w:spacing w:line="360" w:lineRule="auto"/>
              <w:jc w:val="both"/>
              <w:rPr>
                <w:sz w:val="28"/>
                <w:szCs w:val="28"/>
                <w:lang w:val="en-US"/>
              </w:rPr>
            </w:pPr>
            <w:r w:rsidRPr="00112A09">
              <w:rPr>
                <w:sz w:val="28"/>
                <w:szCs w:val="28"/>
              </w:rPr>
              <w:t xml:space="preserve">– </w:t>
            </w:r>
            <w:r w:rsidRPr="00112A09">
              <w:rPr>
                <w:sz w:val="28"/>
                <w:szCs w:val="28"/>
                <w:lang w:val="uk-UA"/>
              </w:rPr>
              <w:t>клоніко-тонічні судоми</w:t>
            </w:r>
          </w:p>
        </w:tc>
      </w:tr>
      <w:tr w:rsidR="00FD0D07" w:rsidRPr="00112A09" w14:paraId="2655A336" w14:textId="77777777" w:rsidTr="00AF759D">
        <w:tc>
          <w:tcPr>
            <w:tcW w:w="1284" w:type="dxa"/>
          </w:tcPr>
          <w:p w14:paraId="7175035D" w14:textId="77777777" w:rsidR="00FD0D07" w:rsidRPr="00112A09" w:rsidRDefault="00FD0D07" w:rsidP="00AF759D">
            <w:pPr>
              <w:spacing w:line="360" w:lineRule="auto"/>
              <w:jc w:val="both"/>
              <w:rPr>
                <w:sz w:val="28"/>
                <w:szCs w:val="28"/>
              </w:rPr>
            </w:pPr>
            <w:r w:rsidRPr="00112A09">
              <w:rPr>
                <w:sz w:val="28"/>
                <w:szCs w:val="28"/>
                <w:lang w:val="uk-UA"/>
              </w:rPr>
              <w:t>МЕД</w:t>
            </w:r>
          </w:p>
        </w:tc>
        <w:tc>
          <w:tcPr>
            <w:tcW w:w="8214" w:type="dxa"/>
          </w:tcPr>
          <w:p w14:paraId="310EF83A" w14:textId="77777777" w:rsidR="00FD0D07" w:rsidRPr="00112A09" w:rsidRDefault="00FD0D07" w:rsidP="00AF759D">
            <w:pPr>
              <w:spacing w:line="360" w:lineRule="auto"/>
              <w:jc w:val="both"/>
              <w:rPr>
                <w:sz w:val="28"/>
                <w:szCs w:val="28"/>
              </w:rPr>
            </w:pPr>
            <w:r w:rsidRPr="00112A09">
              <w:rPr>
                <w:sz w:val="28"/>
                <w:szCs w:val="28"/>
              </w:rPr>
              <w:t xml:space="preserve">– </w:t>
            </w:r>
            <w:r w:rsidRPr="00112A09">
              <w:rPr>
                <w:sz w:val="28"/>
                <w:szCs w:val="28"/>
                <w:lang w:val="uk-UA"/>
              </w:rPr>
              <w:t>мінімальна ефективна доза</w:t>
            </w:r>
          </w:p>
        </w:tc>
      </w:tr>
      <w:tr w:rsidR="00FD0D07" w:rsidRPr="00112A09" w14:paraId="3C5BB2F6" w14:textId="77777777" w:rsidTr="00AF759D">
        <w:tc>
          <w:tcPr>
            <w:tcW w:w="1284" w:type="dxa"/>
          </w:tcPr>
          <w:p w14:paraId="3E6315CD" w14:textId="77777777" w:rsidR="00FD0D07" w:rsidRPr="00112A09" w:rsidRDefault="00FD0D07" w:rsidP="00AF759D">
            <w:pPr>
              <w:spacing w:line="360" w:lineRule="auto"/>
              <w:jc w:val="both"/>
              <w:rPr>
                <w:bCs/>
                <w:sz w:val="28"/>
                <w:szCs w:val="28"/>
              </w:rPr>
            </w:pPr>
            <w:r w:rsidRPr="00112A09">
              <w:rPr>
                <w:sz w:val="28"/>
                <w:szCs w:val="28"/>
                <w:lang w:val="uk-UA"/>
              </w:rPr>
              <w:t>НПЗЗ</w:t>
            </w:r>
          </w:p>
        </w:tc>
        <w:tc>
          <w:tcPr>
            <w:tcW w:w="8214" w:type="dxa"/>
          </w:tcPr>
          <w:p w14:paraId="7A482260" w14:textId="77777777" w:rsidR="00FD0D07" w:rsidRPr="00112A09" w:rsidRDefault="00FD0D07" w:rsidP="00AF759D">
            <w:pPr>
              <w:spacing w:line="360" w:lineRule="auto"/>
              <w:rPr>
                <w:sz w:val="28"/>
                <w:szCs w:val="28"/>
                <w:lang w:val="uk-UA"/>
              </w:rPr>
            </w:pPr>
            <w:r w:rsidRPr="00112A09">
              <w:rPr>
                <w:bCs/>
                <w:sz w:val="28"/>
                <w:szCs w:val="28"/>
              </w:rPr>
              <w:t xml:space="preserve">– </w:t>
            </w:r>
            <w:r w:rsidRPr="00112A09">
              <w:rPr>
                <w:sz w:val="28"/>
                <w:szCs w:val="28"/>
                <w:lang w:val="uk-UA"/>
              </w:rPr>
              <w:t>нестероїдний протизапальний засіб</w:t>
            </w:r>
          </w:p>
        </w:tc>
      </w:tr>
      <w:tr w:rsidR="00FD0D07" w:rsidRPr="00112A09" w14:paraId="39ED419E" w14:textId="77777777" w:rsidTr="00AF759D">
        <w:tc>
          <w:tcPr>
            <w:tcW w:w="1284" w:type="dxa"/>
          </w:tcPr>
          <w:p w14:paraId="24ED6B66" w14:textId="77777777" w:rsidR="00FD0D07" w:rsidRPr="00112A09" w:rsidRDefault="00FD0D07" w:rsidP="00AF759D">
            <w:pPr>
              <w:spacing w:line="360" w:lineRule="auto"/>
              <w:jc w:val="both"/>
              <w:rPr>
                <w:bCs/>
                <w:sz w:val="28"/>
                <w:szCs w:val="28"/>
                <w:lang w:val="uk-UA"/>
              </w:rPr>
            </w:pPr>
            <w:r w:rsidRPr="00112A09">
              <w:rPr>
                <w:bCs/>
                <w:sz w:val="28"/>
                <w:szCs w:val="28"/>
                <w:lang w:val="uk-UA"/>
              </w:rPr>
              <w:t>ПХЛ</w:t>
            </w:r>
          </w:p>
        </w:tc>
        <w:tc>
          <w:tcPr>
            <w:tcW w:w="8214" w:type="dxa"/>
          </w:tcPr>
          <w:p w14:paraId="433DEE56" w14:textId="77777777" w:rsidR="00FD0D07" w:rsidRPr="00112A09" w:rsidRDefault="00FD0D07" w:rsidP="00AF759D">
            <w:pPr>
              <w:spacing w:line="360" w:lineRule="auto"/>
              <w:jc w:val="both"/>
              <w:rPr>
                <w:sz w:val="28"/>
                <w:szCs w:val="28"/>
              </w:rPr>
            </w:pPr>
            <w:r w:rsidRPr="00112A09">
              <w:rPr>
                <w:bCs/>
                <w:sz w:val="28"/>
                <w:szCs w:val="28"/>
              </w:rPr>
              <w:t xml:space="preserve">– </w:t>
            </w:r>
            <w:r w:rsidRPr="00112A09">
              <w:rPr>
                <w:sz w:val="28"/>
                <w:szCs w:val="28"/>
                <w:lang w:val="uk-UA"/>
              </w:rPr>
              <w:t xml:space="preserve"> піднесений хрестоподібний лабіринт</w:t>
            </w:r>
          </w:p>
        </w:tc>
      </w:tr>
      <w:tr w:rsidR="00FD0D07" w:rsidRPr="00112A09" w14:paraId="1A3C5F4C" w14:textId="77777777" w:rsidTr="00AF759D">
        <w:tc>
          <w:tcPr>
            <w:tcW w:w="1284" w:type="dxa"/>
          </w:tcPr>
          <w:p w14:paraId="5DFB2536" w14:textId="77777777" w:rsidR="00FD0D07" w:rsidRPr="00112A09" w:rsidRDefault="00FD0D07" w:rsidP="00AF759D">
            <w:pPr>
              <w:spacing w:line="360" w:lineRule="auto"/>
              <w:jc w:val="both"/>
              <w:rPr>
                <w:sz w:val="28"/>
                <w:szCs w:val="28"/>
              </w:rPr>
            </w:pPr>
            <w:r w:rsidRPr="00112A09">
              <w:rPr>
                <w:caps/>
                <w:sz w:val="28"/>
                <w:szCs w:val="28"/>
                <w:lang w:val="uk-UA"/>
              </w:rPr>
              <w:t>СГБА</w:t>
            </w:r>
            <w:r w:rsidRPr="00112A09">
              <w:rPr>
                <w:sz w:val="28"/>
                <w:szCs w:val="28"/>
              </w:rPr>
              <w:t xml:space="preserve"> </w:t>
            </w:r>
          </w:p>
          <w:p w14:paraId="06CF6828" w14:textId="77777777" w:rsidR="00FD0D07" w:rsidRPr="00112A09" w:rsidRDefault="00FD0D07" w:rsidP="00AF759D">
            <w:pPr>
              <w:spacing w:line="360" w:lineRule="auto"/>
              <w:jc w:val="both"/>
              <w:rPr>
                <w:bCs/>
                <w:sz w:val="28"/>
                <w:szCs w:val="28"/>
              </w:rPr>
            </w:pPr>
            <w:r w:rsidRPr="00112A09">
              <w:rPr>
                <w:bCs/>
                <w:sz w:val="28"/>
                <w:szCs w:val="28"/>
              </w:rPr>
              <w:t>ГАМК</w:t>
            </w:r>
          </w:p>
        </w:tc>
        <w:tc>
          <w:tcPr>
            <w:tcW w:w="8214" w:type="dxa"/>
          </w:tcPr>
          <w:p w14:paraId="5DDB6A58" w14:textId="77777777" w:rsidR="00FD0D07" w:rsidRPr="00112A09" w:rsidRDefault="00FD0D07" w:rsidP="00AF759D">
            <w:pPr>
              <w:spacing w:line="360" w:lineRule="auto"/>
              <w:jc w:val="both"/>
              <w:rPr>
                <w:sz w:val="28"/>
                <w:szCs w:val="28"/>
              </w:rPr>
            </w:pPr>
            <w:r w:rsidRPr="00112A09">
              <w:rPr>
                <w:sz w:val="28"/>
                <w:szCs w:val="28"/>
              </w:rPr>
              <w:t xml:space="preserve">– </w:t>
            </w:r>
            <w:r w:rsidRPr="00112A09">
              <w:rPr>
                <w:sz w:val="28"/>
                <w:szCs w:val="28"/>
                <w:lang w:val="uk-UA"/>
              </w:rPr>
              <w:t>саліцилоїлгідразон бензальдегіду</w:t>
            </w:r>
          </w:p>
          <w:p w14:paraId="458BAB6D" w14:textId="77777777" w:rsidR="00FD0D07" w:rsidRPr="00112A09" w:rsidRDefault="00FD0D07" w:rsidP="00AF759D">
            <w:pPr>
              <w:spacing w:line="360" w:lineRule="auto"/>
              <w:jc w:val="both"/>
              <w:rPr>
                <w:bCs/>
                <w:sz w:val="28"/>
                <w:szCs w:val="28"/>
              </w:rPr>
            </w:pPr>
            <w:r w:rsidRPr="00112A09">
              <w:rPr>
                <w:sz w:val="28"/>
                <w:szCs w:val="28"/>
              </w:rPr>
              <w:t>– гама-аміномасляна кислота</w:t>
            </w:r>
          </w:p>
        </w:tc>
      </w:tr>
      <w:tr w:rsidR="00FD0D07" w:rsidRPr="00112A09" w14:paraId="4304C169" w14:textId="77777777" w:rsidTr="00AF759D">
        <w:tc>
          <w:tcPr>
            <w:tcW w:w="1284" w:type="dxa"/>
          </w:tcPr>
          <w:p w14:paraId="1920B344" w14:textId="77777777" w:rsidR="00FD0D07" w:rsidRPr="00112A09" w:rsidRDefault="00FD0D07" w:rsidP="00AF759D">
            <w:pPr>
              <w:spacing w:line="360" w:lineRule="auto"/>
              <w:jc w:val="both"/>
              <w:rPr>
                <w:bCs/>
                <w:sz w:val="28"/>
                <w:szCs w:val="28"/>
              </w:rPr>
            </w:pPr>
            <w:r w:rsidRPr="00112A09">
              <w:rPr>
                <w:sz w:val="28"/>
                <w:szCs w:val="28"/>
                <w:lang w:val="uk-UA"/>
              </w:rPr>
              <w:t>СГБрБА</w:t>
            </w:r>
          </w:p>
        </w:tc>
        <w:tc>
          <w:tcPr>
            <w:tcW w:w="8214" w:type="dxa"/>
          </w:tcPr>
          <w:p w14:paraId="1689E437" w14:textId="77777777" w:rsidR="00FD0D07" w:rsidRPr="00112A09" w:rsidRDefault="00FD0D07" w:rsidP="00AF759D">
            <w:pPr>
              <w:spacing w:line="360" w:lineRule="auto"/>
              <w:jc w:val="both"/>
              <w:rPr>
                <w:bCs/>
                <w:sz w:val="28"/>
                <w:szCs w:val="28"/>
              </w:rPr>
            </w:pPr>
            <w:r w:rsidRPr="00112A09">
              <w:rPr>
                <w:sz w:val="28"/>
                <w:szCs w:val="28"/>
              </w:rPr>
              <w:t xml:space="preserve">– </w:t>
            </w:r>
            <w:r w:rsidRPr="00112A09">
              <w:rPr>
                <w:sz w:val="28"/>
                <w:szCs w:val="28"/>
                <w:lang w:val="uk-UA"/>
              </w:rPr>
              <w:t>саліцилоїлгідразон бромбензальдегіду</w:t>
            </w:r>
          </w:p>
        </w:tc>
      </w:tr>
      <w:tr w:rsidR="00FD0D07" w:rsidRPr="00112A09" w14:paraId="68DE93EF" w14:textId="77777777" w:rsidTr="00AF759D">
        <w:tc>
          <w:tcPr>
            <w:tcW w:w="1284" w:type="dxa"/>
          </w:tcPr>
          <w:p w14:paraId="287CB229" w14:textId="77777777" w:rsidR="00FD0D07" w:rsidRPr="00112A09" w:rsidRDefault="00FD0D07" w:rsidP="00AF759D">
            <w:pPr>
              <w:spacing w:line="360" w:lineRule="auto"/>
              <w:jc w:val="both"/>
              <w:rPr>
                <w:bCs/>
                <w:sz w:val="28"/>
                <w:szCs w:val="28"/>
              </w:rPr>
            </w:pPr>
            <w:r w:rsidRPr="00112A09">
              <w:rPr>
                <w:sz w:val="28"/>
                <w:szCs w:val="28"/>
                <w:lang w:val="uk-UA"/>
              </w:rPr>
              <w:t>СІЗЗС</w:t>
            </w:r>
          </w:p>
        </w:tc>
        <w:tc>
          <w:tcPr>
            <w:tcW w:w="8214" w:type="dxa"/>
          </w:tcPr>
          <w:p w14:paraId="52CBA0A4" w14:textId="77777777" w:rsidR="00FD0D07" w:rsidRPr="00112A09" w:rsidRDefault="00FD0D07" w:rsidP="00AF759D">
            <w:pPr>
              <w:spacing w:line="360" w:lineRule="auto"/>
              <w:jc w:val="both"/>
              <w:rPr>
                <w:sz w:val="28"/>
                <w:szCs w:val="28"/>
              </w:rPr>
            </w:pPr>
            <w:r w:rsidRPr="00112A09">
              <w:rPr>
                <w:sz w:val="28"/>
                <w:szCs w:val="28"/>
              </w:rPr>
              <w:t xml:space="preserve">– </w:t>
            </w:r>
            <w:r w:rsidRPr="00112A09">
              <w:rPr>
                <w:sz w:val="28"/>
                <w:szCs w:val="28"/>
                <w:lang w:val="uk-UA"/>
              </w:rPr>
              <w:t>селективний інгібітор зворотнього захоплення серотоніну</w:t>
            </w:r>
          </w:p>
        </w:tc>
      </w:tr>
      <w:tr w:rsidR="00FD0D07" w:rsidRPr="00112A09" w14:paraId="7321D854" w14:textId="77777777" w:rsidTr="00AF759D">
        <w:tc>
          <w:tcPr>
            <w:tcW w:w="1284" w:type="dxa"/>
          </w:tcPr>
          <w:p w14:paraId="3DDE284B" w14:textId="77777777" w:rsidR="00FD0D07" w:rsidRPr="00112A09" w:rsidRDefault="00FD0D07" w:rsidP="00AF759D">
            <w:pPr>
              <w:spacing w:line="360" w:lineRule="auto"/>
              <w:jc w:val="both"/>
              <w:rPr>
                <w:bCs/>
                <w:sz w:val="28"/>
                <w:szCs w:val="28"/>
              </w:rPr>
            </w:pPr>
            <w:r w:rsidRPr="00112A09">
              <w:rPr>
                <w:sz w:val="28"/>
                <w:szCs w:val="28"/>
                <w:lang w:val="uk-UA"/>
              </w:rPr>
              <w:t>СК</w:t>
            </w:r>
          </w:p>
        </w:tc>
        <w:tc>
          <w:tcPr>
            <w:tcW w:w="8214" w:type="dxa"/>
          </w:tcPr>
          <w:p w14:paraId="0EBC9160" w14:textId="77777777" w:rsidR="00FD0D07" w:rsidRPr="00112A09" w:rsidRDefault="00FD0D07" w:rsidP="00AF759D">
            <w:pPr>
              <w:spacing w:line="360" w:lineRule="auto"/>
              <w:rPr>
                <w:sz w:val="28"/>
                <w:szCs w:val="28"/>
                <w:lang w:val="uk-UA"/>
              </w:rPr>
            </w:pPr>
            <w:r w:rsidRPr="00112A09">
              <w:rPr>
                <w:sz w:val="28"/>
                <w:szCs w:val="28"/>
              </w:rPr>
              <w:t xml:space="preserve">– </w:t>
            </w:r>
            <w:r w:rsidRPr="00112A09">
              <w:rPr>
                <w:sz w:val="28"/>
                <w:szCs w:val="28"/>
                <w:lang w:val="uk-UA"/>
              </w:rPr>
              <w:t>саліцилова кислота</w:t>
            </w:r>
          </w:p>
        </w:tc>
      </w:tr>
      <w:tr w:rsidR="00FD0D07" w:rsidRPr="00112A09" w14:paraId="4D1FD4F3" w14:textId="77777777" w:rsidTr="00AF759D">
        <w:tc>
          <w:tcPr>
            <w:tcW w:w="1284" w:type="dxa"/>
          </w:tcPr>
          <w:p w14:paraId="74750127" w14:textId="77777777" w:rsidR="00FD0D07" w:rsidRPr="00112A09" w:rsidRDefault="00FD0D07" w:rsidP="00AF759D">
            <w:pPr>
              <w:spacing w:line="360" w:lineRule="auto"/>
              <w:jc w:val="both"/>
              <w:rPr>
                <w:sz w:val="28"/>
                <w:szCs w:val="28"/>
                <w:lang w:val="uk-UA"/>
              </w:rPr>
            </w:pPr>
            <w:r w:rsidRPr="00112A09">
              <w:rPr>
                <w:sz w:val="28"/>
                <w:szCs w:val="28"/>
                <w:lang w:val="uk-UA"/>
              </w:rPr>
              <w:t>ТСК</w:t>
            </w:r>
          </w:p>
        </w:tc>
        <w:tc>
          <w:tcPr>
            <w:tcW w:w="8214" w:type="dxa"/>
          </w:tcPr>
          <w:p w14:paraId="47BA3213" w14:textId="77777777" w:rsidR="00FD0D07" w:rsidRPr="00112A09" w:rsidRDefault="00FD0D07" w:rsidP="00AF759D">
            <w:pPr>
              <w:spacing w:line="360" w:lineRule="auto"/>
              <w:jc w:val="both"/>
              <w:rPr>
                <w:sz w:val="28"/>
                <w:szCs w:val="28"/>
              </w:rPr>
            </w:pPr>
            <w:r w:rsidRPr="00112A09">
              <w:rPr>
                <w:sz w:val="28"/>
                <w:szCs w:val="28"/>
              </w:rPr>
              <w:t xml:space="preserve">– </w:t>
            </w:r>
            <w:r w:rsidRPr="00112A09">
              <w:rPr>
                <w:sz w:val="28"/>
                <w:szCs w:val="28"/>
                <w:lang w:val="uk-UA"/>
              </w:rPr>
              <w:t>темно-світла камера</w:t>
            </w:r>
          </w:p>
        </w:tc>
      </w:tr>
      <w:tr w:rsidR="00FD0D07" w:rsidRPr="00112A09" w14:paraId="078FAAA3" w14:textId="77777777" w:rsidTr="00AF759D">
        <w:tc>
          <w:tcPr>
            <w:tcW w:w="1284" w:type="dxa"/>
          </w:tcPr>
          <w:p w14:paraId="59394425" w14:textId="77777777" w:rsidR="00FD0D07" w:rsidRPr="00112A09" w:rsidRDefault="00FD0D07" w:rsidP="00AF759D">
            <w:pPr>
              <w:spacing w:line="360" w:lineRule="auto"/>
              <w:jc w:val="both"/>
              <w:rPr>
                <w:sz w:val="28"/>
                <w:szCs w:val="28"/>
              </w:rPr>
            </w:pPr>
            <w:r w:rsidRPr="00112A09">
              <w:rPr>
                <w:sz w:val="28"/>
                <w:szCs w:val="28"/>
                <w:lang w:val="uk-UA"/>
              </w:rPr>
              <w:t>ЦНС</w:t>
            </w:r>
            <w:r w:rsidRPr="00112A09">
              <w:rPr>
                <w:sz w:val="28"/>
                <w:szCs w:val="28"/>
              </w:rPr>
              <w:t xml:space="preserve"> </w:t>
            </w:r>
          </w:p>
          <w:p w14:paraId="04F81F6E" w14:textId="77777777" w:rsidR="00FD0D07" w:rsidRPr="00112A09" w:rsidRDefault="00FD0D07" w:rsidP="00AF759D">
            <w:pPr>
              <w:spacing w:line="360" w:lineRule="auto"/>
              <w:jc w:val="both"/>
              <w:rPr>
                <w:bCs/>
                <w:sz w:val="28"/>
                <w:szCs w:val="28"/>
              </w:rPr>
            </w:pPr>
            <w:r w:rsidRPr="00112A09">
              <w:rPr>
                <w:sz w:val="28"/>
                <w:szCs w:val="28"/>
                <w:lang w:val="uk-UA"/>
              </w:rPr>
              <w:t>ТЕ</w:t>
            </w:r>
          </w:p>
        </w:tc>
        <w:tc>
          <w:tcPr>
            <w:tcW w:w="8214" w:type="dxa"/>
          </w:tcPr>
          <w:p w14:paraId="3DDA6639" w14:textId="77777777" w:rsidR="00FD0D07" w:rsidRPr="00112A09" w:rsidRDefault="00FD0D07" w:rsidP="00AF759D">
            <w:pPr>
              <w:spacing w:line="360" w:lineRule="auto"/>
              <w:jc w:val="both"/>
              <w:rPr>
                <w:sz w:val="28"/>
                <w:szCs w:val="28"/>
              </w:rPr>
            </w:pPr>
            <w:r w:rsidRPr="00112A09">
              <w:rPr>
                <w:sz w:val="28"/>
                <w:szCs w:val="28"/>
              </w:rPr>
              <w:t xml:space="preserve">– </w:t>
            </w:r>
            <w:r w:rsidRPr="00112A09">
              <w:rPr>
                <w:sz w:val="28"/>
                <w:szCs w:val="28"/>
                <w:lang w:val="uk-UA"/>
              </w:rPr>
              <w:t>центральна нервова система</w:t>
            </w:r>
          </w:p>
          <w:p w14:paraId="7E907970" w14:textId="77777777" w:rsidR="00FD0D07" w:rsidRPr="00112A09" w:rsidRDefault="00FD0D07" w:rsidP="00AF759D">
            <w:pPr>
              <w:spacing w:line="360" w:lineRule="auto"/>
              <w:jc w:val="both"/>
              <w:rPr>
                <w:sz w:val="28"/>
                <w:szCs w:val="28"/>
              </w:rPr>
            </w:pPr>
            <w:r w:rsidRPr="00112A09">
              <w:rPr>
                <w:sz w:val="28"/>
                <w:szCs w:val="28"/>
              </w:rPr>
              <w:t xml:space="preserve">– </w:t>
            </w:r>
            <w:r w:rsidRPr="00112A09">
              <w:rPr>
                <w:sz w:val="28"/>
                <w:szCs w:val="28"/>
                <w:lang w:val="uk-UA"/>
              </w:rPr>
              <w:t>тонічна екстензія</w:t>
            </w:r>
          </w:p>
        </w:tc>
      </w:tr>
      <w:tr w:rsidR="00FD0D07" w:rsidRPr="00112A09" w14:paraId="083260BA" w14:textId="77777777" w:rsidTr="00AF759D">
        <w:tc>
          <w:tcPr>
            <w:tcW w:w="1284" w:type="dxa"/>
          </w:tcPr>
          <w:p w14:paraId="2D91E6E3" w14:textId="77777777" w:rsidR="00FD0D07" w:rsidRPr="00112A09" w:rsidRDefault="00FD0D07" w:rsidP="00AF759D">
            <w:pPr>
              <w:spacing w:line="360" w:lineRule="auto"/>
              <w:jc w:val="both"/>
              <w:rPr>
                <w:bCs/>
                <w:sz w:val="28"/>
                <w:szCs w:val="28"/>
              </w:rPr>
            </w:pPr>
            <w:r w:rsidRPr="00112A09">
              <w:rPr>
                <w:sz w:val="28"/>
                <w:szCs w:val="28"/>
                <w:lang w:val="uk-UA"/>
              </w:rPr>
              <w:t>ЦОГ</w:t>
            </w:r>
          </w:p>
        </w:tc>
        <w:tc>
          <w:tcPr>
            <w:tcW w:w="8214" w:type="dxa"/>
          </w:tcPr>
          <w:p w14:paraId="51536ABB" w14:textId="77777777" w:rsidR="00FD0D07" w:rsidRPr="00112A09" w:rsidRDefault="00FD0D07" w:rsidP="00AF759D">
            <w:pPr>
              <w:spacing w:line="360" w:lineRule="auto"/>
              <w:rPr>
                <w:sz w:val="28"/>
                <w:szCs w:val="28"/>
                <w:lang w:val="uk-UA"/>
              </w:rPr>
            </w:pPr>
            <w:r w:rsidRPr="00112A09">
              <w:rPr>
                <w:sz w:val="28"/>
                <w:szCs w:val="28"/>
              </w:rPr>
              <w:t xml:space="preserve">– </w:t>
            </w:r>
            <w:r w:rsidRPr="00112A09">
              <w:rPr>
                <w:sz w:val="28"/>
                <w:szCs w:val="28"/>
                <w:lang w:val="uk-UA"/>
              </w:rPr>
              <w:t>циклооксигеназа</w:t>
            </w:r>
          </w:p>
        </w:tc>
      </w:tr>
      <w:tr w:rsidR="00FD0D07" w:rsidRPr="003D4179" w14:paraId="0B9171A2" w14:textId="77777777" w:rsidTr="00AF759D">
        <w:tc>
          <w:tcPr>
            <w:tcW w:w="1284" w:type="dxa"/>
          </w:tcPr>
          <w:p w14:paraId="0FB57C6A" w14:textId="77777777" w:rsidR="00FD0D07" w:rsidRPr="00112A09" w:rsidRDefault="00FD0D07" w:rsidP="00AF759D">
            <w:pPr>
              <w:spacing w:line="360" w:lineRule="auto"/>
              <w:jc w:val="both"/>
              <w:rPr>
                <w:sz w:val="28"/>
                <w:szCs w:val="28"/>
                <w:lang w:val="en-US"/>
              </w:rPr>
            </w:pPr>
            <w:r w:rsidRPr="00112A09">
              <w:rPr>
                <w:sz w:val="28"/>
                <w:szCs w:val="28"/>
                <w:lang w:val="en-US"/>
              </w:rPr>
              <w:t>PASS</w:t>
            </w:r>
            <w:r w:rsidRPr="00112A09">
              <w:rPr>
                <w:sz w:val="28"/>
                <w:szCs w:val="28"/>
              </w:rPr>
              <w:t xml:space="preserve">      </w:t>
            </w:r>
          </w:p>
        </w:tc>
        <w:tc>
          <w:tcPr>
            <w:tcW w:w="8214" w:type="dxa"/>
          </w:tcPr>
          <w:p w14:paraId="4072B4DE" w14:textId="77777777" w:rsidR="00FD0D07" w:rsidRPr="00112A09" w:rsidRDefault="00FD0D07" w:rsidP="00AF759D">
            <w:pPr>
              <w:spacing w:line="360" w:lineRule="auto"/>
              <w:jc w:val="both"/>
              <w:rPr>
                <w:sz w:val="28"/>
                <w:szCs w:val="28"/>
                <w:lang w:val="en-US"/>
              </w:rPr>
            </w:pPr>
            <w:r w:rsidRPr="00112A09">
              <w:rPr>
                <w:sz w:val="28"/>
                <w:szCs w:val="28"/>
                <w:lang w:val="en-US"/>
              </w:rPr>
              <w:t>– Prediction Activity Spectra for Substances</w:t>
            </w:r>
          </w:p>
        </w:tc>
      </w:tr>
      <w:tr w:rsidR="00FD0D07" w:rsidRPr="00112A09" w14:paraId="40EAF26B" w14:textId="77777777" w:rsidTr="00AF759D">
        <w:tc>
          <w:tcPr>
            <w:tcW w:w="1284" w:type="dxa"/>
          </w:tcPr>
          <w:p w14:paraId="65C1042E" w14:textId="77777777" w:rsidR="00FD0D07" w:rsidRPr="00112A09" w:rsidRDefault="00FD0D07" w:rsidP="00AF759D">
            <w:pPr>
              <w:spacing w:line="360" w:lineRule="auto"/>
              <w:jc w:val="both"/>
              <w:rPr>
                <w:bCs/>
                <w:sz w:val="28"/>
                <w:szCs w:val="28"/>
              </w:rPr>
            </w:pPr>
            <w:r w:rsidRPr="00112A09">
              <w:rPr>
                <w:sz w:val="28"/>
                <w:szCs w:val="28"/>
                <w:lang w:val="uk-UA"/>
              </w:rPr>
              <w:t>PTZ</w:t>
            </w:r>
          </w:p>
        </w:tc>
        <w:tc>
          <w:tcPr>
            <w:tcW w:w="8214" w:type="dxa"/>
          </w:tcPr>
          <w:p w14:paraId="38CA389F" w14:textId="4F549188" w:rsidR="00FD0D07" w:rsidRPr="00112A09" w:rsidRDefault="00FD0D07" w:rsidP="00AF759D">
            <w:pPr>
              <w:spacing w:line="360" w:lineRule="auto"/>
              <w:jc w:val="both"/>
              <w:rPr>
                <w:sz w:val="28"/>
                <w:szCs w:val="28"/>
              </w:rPr>
            </w:pPr>
            <w:r w:rsidRPr="00112A09">
              <w:rPr>
                <w:sz w:val="28"/>
                <w:szCs w:val="28"/>
              </w:rPr>
              <w:t xml:space="preserve">– </w:t>
            </w:r>
            <w:r w:rsidR="00390008" w:rsidRPr="00112A09">
              <w:rPr>
                <w:sz w:val="28"/>
                <w:szCs w:val="28"/>
                <w:lang w:val="uk-UA"/>
              </w:rPr>
              <w:t>коразол (</w:t>
            </w:r>
            <w:r w:rsidRPr="00112A09">
              <w:rPr>
                <w:sz w:val="28"/>
                <w:szCs w:val="28"/>
                <w:lang w:val="uk-UA"/>
              </w:rPr>
              <w:t>пентилентетразол)</w:t>
            </w:r>
          </w:p>
        </w:tc>
      </w:tr>
      <w:tr w:rsidR="00FD0D07" w:rsidRPr="00112A09" w14:paraId="40C273B3" w14:textId="77777777" w:rsidTr="00AF759D">
        <w:tc>
          <w:tcPr>
            <w:tcW w:w="1284" w:type="dxa"/>
          </w:tcPr>
          <w:p w14:paraId="1062D7BA" w14:textId="77777777" w:rsidR="00FD0D07" w:rsidRPr="00112A09" w:rsidRDefault="00FD0D07" w:rsidP="00AF759D">
            <w:pPr>
              <w:spacing w:line="360" w:lineRule="auto"/>
              <w:jc w:val="both"/>
              <w:rPr>
                <w:sz w:val="28"/>
                <w:szCs w:val="28"/>
                <w:lang w:val="en-US"/>
              </w:rPr>
            </w:pPr>
          </w:p>
        </w:tc>
        <w:tc>
          <w:tcPr>
            <w:tcW w:w="8214" w:type="dxa"/>
          </w:tcPr>
          <w:p w14:paraId="3AFAC0C7" w14:textId="77777777" w:rsidR="00FD0D07" w:rsidRPr="00112A09" w:rsidRDefault="00FD0D07" w:rsidP="00AF759D">
            <w:pPr>
              <w:spacing w:line="360" w:lineRule="auto"/>
              <w:jc w:val="both"/>
              <w:rPr>
                <w:sz w:val="28"/>
                <w:szCs w:val="28"/>
              </w:rPr>
            </w:pPr>
          </w:p>
        </w:tc>
      </w:tr>
      <w:tr w:rsidR="00FD0D07" w:rsidRPr="00112A09" w14:paraId="03958CE6" w14:textId="77777777" w:rsidTr="00AF759D">
        <w:tc>
          <w:tcPr>
            <w:tcW w:w="1284" w:type="dxa"/>
          </w:tcPr>
          <w:p w14:paraId="7EDD78F5" w14:textId="77777777" w:rsidR="00FD0D07" w:rsidRPr="00112A09" w:rsidRDefault="00FD0D07" w:rsidP="00AF759D">
            <w:pPr>
              <w:spacing w:line="360" w:lineRule="auto"/>
              <w:jc w:val="both"/>
              <w:rPr>
                <w:sz w:val="28"/>
                <w:szCs w:val="28"/>
              </w:rPr>
            </w:pPr>
          </w:p>
        </w:tc>
        <w:tc>
          <w:tcPr>
            <w:tcW w:w="8214" w:type="dxa"/>
          </w:tcPr>
          <w:p w14:paraId="11765488" w14:textId="77777777" w:rsidR="00FD0D07" w:rsidRPr="00112A09" w:rsidRDefault="00FD0D07" w:rsidP="00AF759D">
            <w:pPr>
              <w:spacing w:line="360" w:lineRule="auto"/>
              <w:jc w:val="both"/>
              <w:rPr>
                <w:sz w:val="28"/>
                <w:szCs w:val="28"/>
              </w:rPr>
            </w:pPr>
          </w:p>
        </w:tc>
      </w:tr>
    </w:tbl>
    <w:p w14:paraId="1B4AFC78" w14:textId="77777777" w:rsidR="00FD0D07" w:rsidRPr="00112A09" w:rsidRDefault="00FD0D07" w:rsidP="00FD0D07">
      <w:pPr>
        <w:spacing w:line="360" w:lineRule="auto"/>
        <w:rPr>
          <w:sz w:val="28"/>
          <w:szCs w:val="28"/>
          <w:lang w:val="en-US"/>
        </w:rPr>
      </w:pPr>
    </w:p>
    <w:p w14:paraId="26C441D1" w14:textId="77777777" w:rsidR="00FD0D07" w:rsidRPr="00112A09" w:rsidRDefault="00FD0D07">
      <w:pPr>
        <w:rPr>
          <w:sz w:val="28"/>
          <w:szCs w:val="28"/>
          <w:lang w:val="en-US"/>
        </w:rPr>
      </w:pPr>
      <w:r w:rsidRPr="00112A09">
        <w:rPr>
          <w:sz w:val="28"/>
          <w:szCs w:val="28"/>
          <w:lang w:val="en-US"/>
        </w:rPr>
        <w:br w:type="page"/>
      </w:r>
    </w:p>
    <w:p w14:paraId="521DA792" w14:textId="77777777" w:rsidR="00FD0D07" w:rsidRPr="00112A09" w:rsidRDefault="00FD0D07" w:rsidP="00FD0D07">
      <w:pPr>
        <w:spacing w:line="360" w:lineRule="auto"/>
        <w:jc w:val="center"/>
        <w:rPr>
          <w:b/>
          <w:color w:val="000000"/>
          <w:sz w:val="28"/>
          <w:szCs w:val="28"/>
          <w:lang w:val="uk-UA"/>
        </w:rPr>
      </w:pPr>
      <w:r w:rsidRPr="00112A09">
        <w:rPr>
          <w:b/>
          <w:color w:val="000000"/>
          <w:sz w:val="28"/>
          <w:szCs w:val="28"/>
          <w:lang w:val="uk-UA"/>
        </w:rPr>
        <w:lastRenderedPageBreak/>
        <w:t>ВСТУП</w:t>
      </w:r>
    </w:p>
    <w:p w14:paraId="36790211" w14:textId="6D67C1C2" w:rsidR="0071066B" w:rsidRPr="00112A09" w:rsidRDefault="0071066B" w:rsidP="0071066B">
      <w:pPr>
        <w:spacing w:line="360" w:lineRule="auto"/>
        <w:ind w:firstLine="540"/>
        <w:jc w:val="both"/>
        <w:rPr>
          <w:sz w:val="28"/>
          <w:szCs w:val="28"/>
          <w:shd w:val="clear" w:color="auto" w:fill="FFFFFF"/>
          <w:lang w:val="uk-UA"/>
        </w:rPr>
      </w:pPr>
      <w:r w:rsidRPr="00112A09">
        <w:rPr>
          <w:b/>
          <w:sz w:val="28"/>
          <w:szCs w:val="28"/>
          <w:lang w:val="uk-UA"/>
        </w:rPr>
        <w:t>Актуальність теми.</w:t>
      </w:r>
      <w:r w:rsidRPr="00112A09">
        <w:rPr>
          <w:sz w:val="28"/>
          <w:szCs w:val="28"/>
          <w:lang w:val="uk-UA"/>
        </w:rPr>
        <w:t xml:space="preserve"> </w:t>
      </w:r>
      <w:r w:rsidRPr="00112A09">
        <w:rPr>
          <w:sz w:val="28"/>
          <w:szCs w:val="28"/>
          <w:shd w:val="clear" w:color="auto" w:fill="FFFFFF"/>
          <w:lang w:val="uk-UA"/>
        </w:rPr>
        <w:t xml:space="preserve">Запальні процеси та больові синдроми різного ґенезу </w:t>
      </w:r>
      <w:r w:rsidRPr="00112A09">
        <w:rPr>
          <w:sz w:val="28"/>
          <w:szCs w:val="28"/>
          <w:lang w:val="uk-UA"/>
        </w:rPr>
        <w:t>часто поєднані,</w:t>
      </w:r>
      <w:r w:rsidRPr="00112A09">
        <w:rPr>
          <w:sz w:val="28"/>
          <w:szCs w:val="28"/>
          <w:shd w:val="clear" w:color="auto" w:fill="FFFFFF"/>
          <w:lang w:val="uk-UA"/>
        </w:rPr>
        <w:t xml:space="preserve"> і є тим, з чим доволі часто стикаються люди впродовж життя.</w:t>
      </w:r>
      <w:r w:rsidRPr="00112A09">
        <w:rPr>
          <w:sz w:val="28"/>
          <w:szCs w:val="28"/>
          <w:lang w:val="uk-UA"/>
        </w:rPr>
        <w:t xml:space="preserve"> [</w:t>
      </w:r>
      <w:r w:rsidR="00390008" w:rsidRPr="00112A09">
        <w:rPr>
          <w:sz w:val="28"/>
          <w:szCs w:val="28"/>
          <w:lang w:val="uk-UA"/>
        </w:rPr>
        <w:t>1</w:t>
      </w:r>
      <w:r w:rsidRPr="00112A09">
        <w:rPr>
          <w:sz w:val="28"/>
          <w:szCs w:val="28"/>
          <w:lang w:val="uk-UA"/>
        </w:rPr>
        <w:t xml:space="preserve">]. Відчуття болю </w:t>
      </w:r>
      <w:r w:rsidRPr="00112A09">
        <w:rPr>
          <w:color w:val="000000"/>
          <w:sz w:val="28"/>
          <w:szCs w:val="28"/>
          <w:lang w:val="uk-UA"/>
        </w:rPr>
        <w:t>–</w:t>
      </w:r>
      <w:r w:rsidRPr="00112A09">
        <w:rPr>
          <w:sz w:val="28"/>
          <w:szCs w:val="28"/>
          <w:lang w:val="uk-UA"/>
        </w:rPr>
        <w:t xml:space="preserve"> це складний стан, який охоплює фізичні, соціальні та психологічні фактори, що часто призводить до зниження якості життя, втрати працездатності, інвалідизації, смерті [</w:t>
      </w:r>
      <w:r w:rsidR="00390008" w:rsidRPr="00112A09">
        <w:rPr>
          <w:sz w:val="28"/>
          <w:szCs w:val="28"/>
          <w:lang w:val="uk-UA"/>
        </w:rPr>
        <w:t xml:space="preserve"> 2</w:t>
      </w:r>
      <w:r w:rsidRPr="00112A09">
        <w:rPr>
          <w:sz w:val="28"/>
          <w:szCs w:val="28"/>
          <w:lang w:val="uk-UA"/>
        </w:rPr>
        <w:t>]. Відомо, що 34% загальної популяції та 62% людей похилого віку страждають на хронічний біль, який у тому числі супроводжується запаленням [</w:t>
      </w:r>
      <w:r w:rsidR="00390008" w:rsidRPr="00112A09">
        <w:rPr>
          <w:sz w:val="28"/>
          <w:szCs w:val="28"/>
          <w:lang w:val="uk-UA"/>
        </w:rPr>
        <w:t>3</w:t>
      </w:r>
      <w:r w:rsidRPr="00112A09">
        <w:rPr>
          <w:sz w:val="28"/>
          <w:szCs w:val="28"/>
          <w:lang w:val="uk-UA"/>
        </w:rPr>
        <w:t>]. Біль, безсумнівно, погіршує якість життя хворих, але також є економічним тягарем як для людей, так і для системи охорони здоров'я в цілому. У 2019 році світовий ринок лікування хронічного болю було оцінено у 77,8 млрд. доларів і очікується, що він зросте на 6,5% протягом прогнозованого періоду (2020-2030) [</w:t>
      </w:r>
      <w:r w:rsidR="00390008" w:rsidRPr="00112A09">
        <w:rPr>
          <w:sz w:val="28"/>
          <w:szCs w:val="28"/>
          <w:lang w:val="uk-UA"/>
        </w:rPr>
        <w:t>4</w:t>
      </w:r>
      <w:r w:rsidRPr="00112A09">
        <w:rPr>
          <w:sz w:val="28"/>
          <w:szCs w:val="28"/>
          <w:lang w:val="uk-UA"/>
        </w:rPr>
        <w:t>].</w:t>
      </w:r>
    </w:p>
    <w:p w14:paraId="5B510A6F" w14:textId="06360046" w:rsidR="0071066B" w:rsidRPr="00112A09" w:rsidRDefault="0071066B" w:rsidP="0071066B">
      <w:pPr>
        <w:spacing w:line="360" w:lineRule="auto"/>
        <w:ind w:firstLine="540"/>
        <w:jc w:val="both"/>
        <w:rPr>
          <w:sz w:val="28"/>
          <w:szCs w:val="28"/>
          <w:lang w:val="uk-UA"/>
        </w:rPr>
      </w:pPr>
      <w:r w:rsidRPr="00112A09">
        <w:rPr>
          <w:sz w:val="28"/>
          <w:szCs w:val="28"/>
          <w:lang w:val="uk-UA"/>
        </w:rPr>
        <w:t xml:space="preserve"> Сучасні методи лікування болю забезпечують не завжди адекватну тривалість та/або ступінь полегшення [</w:t>
      </w:r>
      <w:r w:rsidR="00390008" w:rsidRPr="00112A09">
        <w:rPr>
          <w:sz w:val="28"/>
          <w:szCs w:val="28"/>
          <w:lang w:val="uk-UA"/>
        </w:rPr>
        <w:t>5</w:t>
      </w:r>
      <w:r w:rsidRPr="00112A09">
        <w:rPr>
          <w:sz w:val="28"/>
          <w:szCs w:val="28"/>
          <w:lang w:val="uk-UA"/>
        </w:rPr>
        <w:t>]. Знеболюючі препарати можуть мати периферичну та центральну активність. Опіоїди реалізують знеболювальний та певний протизапальний ефект, як на периферичному, так і на центральному рівні [</w:t>
      </w:r>
      <w:r w:rsidR="00390008" w:rsidRPr="00112A09">
        <w:rPr>
          <w:sz w:val="28"/>
          <w:szCs w:val="28"/>
          <w:lang w:val="uk-UA"/>
        </w:rPr>
        <w:t>6</w:t>
      </w:r>
      <w:r w:rsidRPr="00112A09">
        <w:rPr>
          <w:sz w:val="28"/>
          <w:szCs w:val="28"/>
          <w:lang w:val="uk-UA"/>
        </w:rPr>
        <w:t xml:space="preserve">] у той час, як антиноцицептивний ефект НПЗЗ в основному пов'язаний із їх загальним механізмом дії </w:t>
      </w:r>
      <w:r w:rsidRPr="00112A09">
        <w:rPr>
          <w:color w:val="000000"/>
          <w:sz w:val="28"/>
          <w:szCs w:val="28"/>
          <w:lang w:val="uk-UA"/>
        </w:rPr>
        <w:t>–</w:t>
      </w:r>
      <w:r w:rsidRPr="00112A09">
        <w:rPr>
          <w:sz w:val="28"/>
          <w:szCs w:val="28"/>
          <w:lang w:val="uk-UA"/>
        </w:rPr>
        <w:t xml:space="preserve"> інгібуванням ЦОГ-опосередкованого синтезу простагландинів [</w:t>
      </w:r>
      <w:r w:rsidR="00390008" w:rsidRPr="00112A09">
        <w:rPr>
          <w:sz w:val="28"/>
          <w:szCs w:val="28"/>
          <w:lang w:val="uk-UA"/>
        </w:rPr>
        <w:t>7</w:t>
      </w:r>
      <w:r w:rsidRPr="00112A09">
        <w:rPr>
          <w:sz w:val="28"/>
          <w:szCs w:val="28"/>
          <w:lang w:val="uk-UA"/>
        </w:rPr>
        <w:t>]. Знеболюючі препарати, які існують, мають ряд побічних ефектів, що включають толерантність, залежність, дисфункцію шлунково-кишкового тракту, когнітивні порушення та вузьке терапевтичне вікно [</w:t>
      </w:r>
      <w:r w:rsidR="00390008" w:rsidRPr="00112A09">
        <w:rPr>
          <w:sz w:val="28"/>
          <w:szCs w:val="28"/>
          <w:lang w:val="uk-UA"/>
        </w:rPr>
        <w:t>7, 8</w:t>
      </w:r>
      <w:r w:rsidRPr="00112A09">
        <w:rPr>
          <w:sz w:val="28"/>
          <w:szCs w:val="28"/>
          <w:lang w:val="uk-UA"/>
        </w:rPr>
        <w:t>]. Ад’ювантні аналгетики (антидепресанти, кортикостероїди, протиепілептичні засоби) окрім своєї основної фармакологічної активності здатні чинити протизапальну та аналгетичну дію [</w:t>
      </w:r>
      <w:r w:rsidR="00B85935">
        <w:rPr>
          <w:sz w:val="28"/>
          <w:szCs w:val="28"/>
          <w:lang w:val="uk-UA"/>
        </w:rPr>
        <w:t xml:space="preserve">9, </w:t>
      </w:r>
      <w:r w:rsidR="00390008" w:rsidRPr="00112A09">
        <w:rPr>
          <w:sz w:val="28"/>
          <w:szCs w:val="28"/>
          <w:lang w:val="uk-UA"/>
        </w:rPr>
        <w:t>10, 11</w:t>
      </w:r>
      <w:r w:rsidRPr="00112A09">
        <w:rPr>
          <w:sz w:val="28"/>
          <w:szCs w:val="28"/>
          <w:lang w:val="uk-UA"/>
        </w:rPr>
        <w:t xml:space="preserve">], але в першу чергу залишаються засобами для лікування інших патологічних станів. Тому постає питання у створенні нового, безпечного та ефективного засобу із аналгетичним та протизапальним ефектом. </w:t>
      </w:r>
    </w:p>
    <w:p w14:paraId="4F0A305F" w14:textId="6AA8330F" w:rsidR="0071066B" w:rsidRPr="00112A09" w:rsidRDefault="0071066B" w:rsidP="0071066B">
      <w:pPr>
        <w:spacing w:line="360" w:lineRule="auto"/>
        <w:ind w:firstLine="540"/>
        <w:jc w:val="both"/>
        <w:rPr>
          <w:sz w:val="28"/>
          <w:szCs w:val="28"/>
          <w:lang w:val="uk-UA"/>
        </w:rPr>
      </w:pPr>
      <w:r w:rsidRPr="00112A09">
        <w:rPr>
          <w:sz w:val="28"/>
          <w:szCs w:val="28"/>
          <w:lang w:val="uk-UA"/>
        </w:rPr>
        <w:t>Відомо, що похідні гідразонів мають широкий спектр фармакологічної дії: антипсихотичну, протизапальну, аналгетичну, антибактеріальну  та антимікробну [</w:t>
      </w:r>
      <w:r w:rsidR="00390008" w:rsidRPr="00112A09">
        <w:rPr>
          <w:sz w:val="28"/>
          <w:szCs w:val="28"/>
          <w:lang w:val="uk-UA"/>
        </w:rPr>
        <w:t>12, 13</w:t>
      </w:r>
      <w:r w:rsidRPr="00112A09">
        <w:rPr>
          <w:sz w:val="28"/>
          <w:szCs w:val="28"/>
          <w:lang w:val="uk-UA"/>
        </w:rPr>
        <w:t xml:space="preserve">]. </w:t>
      </w:r>
      <w:r w:rsidRPr="00112A09">
        <w:rPr>
          <w:color w:val="000000"/>
          <w:sz w:val="28"/>
          <w:szCs w:val="28"/>
          <w:shd w:val="clear" w:color="auto" w:fill="FFFFFF"/>
          <w:lang w:val="uk-UA"/>
        </w:rPr>
        <w:t xml:space="preserve">Існують докази, що наявність гідразонового фрагменту </w:t>
      </w:r>
      <w:r w:rsidRPr="00112A09">
        <w:rPr>
          <w:color w:val="000000"/>
          <w:sz w:val="28"/>
          <w:szCs w:val="28"/>
          <w:shd w:val="clear" w:color="auto" w:fill="FFFFFF"/>
          <w:lang w:val="uk-UA"/>
        </w:rPr>
        <w:lastRenderedPageBreak/>
        <w:t>в деяких сполуках призводить для інгібування ЦОГ та 5-ЛОГ [</w:t>
      </w:r>
      <w:r w:rsidR="00390008" w:rsidRPr="00112A09">
        <w:rPr>
          <w:color w:val="000000"/>
          <w:sz w:val="28"/>
          <w:szCs w:val="28"/>
          <w:shd w:val="clear" w:color="auto" w:fill="FFFFFF"/>
          <w:lang w:val="uk-UA"/>
        </w:rPr>
        <w:t>14</w:t>
      </w:r>
      <w:r w:rsidRPr="00112A09">
        <w:rPr>
          <w:color w:val="000000"/>
          <w:sz w:val="28"/>
          <w:szCs w:val="28"/>
          <w:shd w:val="clear" w:color="auto" w:fill="FFFFFF"/>
          <w:lang w:val="uk-UA"/>
        </w:rPr>
        <w:t>], тому п</w:t>
      </w:r>
      <w:r w:rsidRPr="00112A09">
        <w:rPr>
          <w:sz w:val="28"/>
          <w:szCs w:val="28"/>
          <w:lang w:val="uk-UA"/>
        </w:rPr>
        <w:t>оєднання гідразонів з іншими функціональними групами призводить до утворення сполук з унікальним фізико-хімічним характером [</w:t>
      </w:r>
      <w:r w:rsidR="00390008" w:rsidRPr="00112A09">
        <w:rPr>
          <w:sz w:val="28"/>
          <w:szCs w:val="28"/>
          <w:lang w:val="uk-UA"/>
        </w:rPr>
        <w:t>15</w:t>
      </w:r>
      <w:r w:rsidRPr="00112A09">
        <w:rPr>
          <w:sz w:val="28"/>
          <w:szCs w:val="28"/>
          <w:lang w:val="uk-UA"/>
        </w:rPr>
        <w:t>]. Саме завдяки своїй будові, а також прояву біологічних і фармакологічних властивостей, гідразони вважаються важливими для синтезу гетероциклічних сполук [</w:t>
      </w:r>
      <w:r w:rsidR="00390008" w:rsidRPr="00112A09">
        <w:rPr>
          <w:sz w:val="28"/>
          <w:szCs w:val="28"/>
          <w:lang w:val="uk-UA"/>
        </w:rPr>
        <w:t>1</w:t>
      </w:r>
      <w:r w:rsidR="00390008" w:rsidRPr="00112A09">
        <w:rPr>
          <w:sz w:val="28"/>
          <w:szCs w:val="28"/>
        </w:rPr>
        <w:t>6</w:t>
      </w:r>
      <w:r w:rsidRPr="00112A09">
        <w:rPr>
          <w:sz w:val="28"/>
          <w:szCs w:val="28"/>
          <w:lang w:val="uk-UA"/>
        </w:rPr>
        <w:t xml:space="preserve">]. </w:t>
      </w:r>
    </w:p>
    <w:p w14:paraId="54EE8381" w14:textId="58D7FA1D" w:rsidR="0071066B" w:rsidRPr="00112A09" w:rsidRDefault="0071066B" w:rsidP="0071066B">
      <w:pPr>
        <w:spacing w:line="360" w:lineRule="auto"/>
        <w:ind w:firstLine="540"/>
        <w:jc w:val="both"/>
        <w:rPr>
          <w:sz w:val="28"/>
          <w:szCs w:val="28"/>
          <w:lang w:val="uk-UA"/>
        </w:rPr>
      </w:pPr>
      <w:r w:rsidRPr="00112A09">
        <w:rPr>
          <w:sz w:val="28"/>
          <w:szCs w:val="28"/>
          <w:lang w:val="uk-UA"/>
        </w:rPr>
        <w:t>Введення атому брому у структуру комплексу у гідразидному фрагменті призводить до посилення фармакологічного ефекту. Експериментальні дані</w:t>
      </w:r>
      <w:r w:rsidRPr="00112A09">
        <w:rPr>
          <w:color w:val="FF0000"/>
          <w:sz w:val="28"/>
          <w:szCs w:val="28"/>
          <w:lang w:val="uk-UA"/>
        </w:rPr>
        <w:t xml:space="preserve"> </w:t>
      </w:r>
      <w:r w:rsidRPr="00112A09">
        <w:rPr>
          <w:sz w:val="28"/>
          <w:szCs w:val="28"/>
          <w:lang w:val="uk-UA"/>
        </w:rPr>
        <w:t>свідчать, що введення атому брому в пара-позицію арильного кільця призводить до посилення протисудомної дії – запобігає розвитку генералізованих клонічно-тонічних судом та клоніко-тонічної екстензії [</w:t>
      </w:r>
      <w:r w:rsidR="00390008" w:rsidRPr="00112A09">
        <w:rPr>
          <w:sz w:val="28"/>
          <w:szCs w:val="28"/>
          <w:lang w:val="uk-UA"/>
        </w:rPr>
        <w:t>17</w:t>
      </w:r>
      <w:r w:rsidRPr="00112A09">
        <w:rPr>
          <w:sz w:val="28"/>
          <w:szCs w:val="28"/>
          <w:lang w:val="uk-UA"/>
        </w:rPr>
        <w:t>]. Гідразони є важливим класом лігандів для координаційної хімії, оскільки координуються з іонами металів за допомогою азометинового азоту [</w:t>
      </w:r>
      <w:r w:rsidR="00390008" w:rsidRPr="00112A09">
        <w:rPr>
          <w:color w:val="333333"/>
          <w:sz w:val="28"/>
          <w:szCs w:val="28"/>
          <w:shd w:val="clear" w:color="auto" w:fill="FCFCFC"/>
          <w:lang w:val="uk-UA"/>
        </w:rPr>
        <w:t>18</w:t>
      </w:r>
      <w:r w:rsidRPr="00112A09">
        <w:rPr>
          <w:sz w:val="28"/>
          <w:szCs w:val="28"/>
          <w:lang w:val="uk-UA"/>
        </w:rPr>
        <w:t>].  Взаємодія олова з органічною групою через зв’язки O – Sn та N – Sn викликає значний інтерес для досліджень [</w:t>
      </w:r>
      <w:r w:rsidR="00390008" w:rsidRPr="00112A09">
        <w:rPr>
          <w:sz w:val="28"/>
          <w:szCs w:val="28"/>
          <w:lang w:val="uk-UA"/>
        </w:rPr>
        <w:t>19</w:t>
      </w:r>
      <w:r w:rsidRPr="00112A09">
        <w:rPr>
          <w:sz w:val="28"/>
          <w:szCs w:val="28"/>
          <w:lang w:val="uk-UA"/>
        </w:rPr>
        <w:t xml:space="preserve">]. Відомо, що сполуки </w:t>
      </w:r>
      <w:r w:rsidRPr="00112A09">
        <w:rPr>
          <w:sz w:val="28"/>
          <w:szCs w:val="28"/>
          <w:lang w:val="en-US"/>
        </w:rPr>
        <w:t>Sn</w:t>
      </w:r>
      <w:r w:rsidRPr="00112A09">
        <w:rPr>
          <w:sz w:val="28"/>
          <w:szCs w:val="28"/>
          <w:lang w:val="uk-UA"/>
        </w:rPr>
        <w:t xml:space="preserve"> виявляють ряд біологічних активностей, як-от протимікробна, шизонтицидна, протипухлинна та протималярійна [</w:t>
      </w:r>
      <w:r w:rsidR="00390008" w:rsidRPr="00112A09">
        <w:rPr>
          <w:rStyle w:val="element-citation"/>
          <w:color w:val="000000"/>
          <w:sz w:val="28"/>
          <w:szCs w:val="28"/>
          <w:lang w:val="uk-UA"/>
        </w:rPr>
        <w:t>2</w:t>
      </w:r>
      <w:r w:rsidR="00390008" w:rsidRPr="00112A09">
        <w:rPr>
          <w:rStyle w:val="element-citation"/>
          <w:color w:val="000000"/>
          <w:sz w:val="28"/>
          <w:szCs w:val="28"/>
        </w:rPr>
        <w:t>0</w:t>
      </w:r>
      <w:r w:rsidRPr="00112A09">
        <w:rPr>
          <w:sz w:val="28"/>
          <w:szCs w:val="28"/>
          <w:lang w:val="uk-UA"/>
        </w:rPr>
        <w:t xml:space="preserve">; </w:t>
      </w:r>
      <w:r w:rsidR="00390008" w:rsidRPr="00112A09">
        <w:rPr>
          <w:color w:val="000000"/>
          <w:sz w:val="28"/>
          <w:szCs w:val="28"/>
          <w:shd w:val="clear" w:color="auto" w:fill="FFFFFF"/>
          <w:lang w:val="uk-UA"/>
        </w:rPr>
        <w:t>2</w:t>
      </w:r>
      <w:r w:rsidR="00390008" w:rsidRPr="00112A09">
        <w:rPr>
          <w:color w:val="000000"/>
          <w:sz w:val="28"/>
          <w:szCs w:val="28"/>
          <w:shd w:val="clear" w:color="auto" w:fill="FFFFFF"/>
        </w:rPr>
        <w:t>1</w:t>
      </w:r>
      <w:r w:rsidRPr="00112A09">
        <w:rPr>
          <w:sz w:val="28"/>
          <w:szCs w:val="28"/>
          <w:lang w:val="uk-UA"/>
        </w:rPr>
        <w:t xml:space="preserve">; </w:t>
      </w:r>
      <w:r w:rsidR="00390008" w:rsidRPr="00112A09">
        <w:rPr>
          <w:color w:val="000000"/>
          <w:sz w:val="28"/>
          <w:szCs w:val="28"/>
          <w:shd w:val="clear" w:color="auto" w:fill="FFFFFF"/>
        </w:rPr>
        <w:t>22</w:t>
      </w:r>
      <w:r w:rsidRPr="00112A09">
        <w:rPr>
          <w:sz w:val="28"/>
          <w:szCs w:val="28"/>
          <w:lang w:val="uk-UA"/>
        </w:rPr>
        <w:t>].</w:t>
      </w:r>
    </w:p>
    <w:p w14:paraId="09431878" w14:textId="4972CD71" w:rsidR="0071066B" w:rsidRPr="00112A09" w:rsidRDefault="0071066B" w:rsidP="0071066B">
      <w:pPr>
        <w:spacing w:line="360" w:lineRule="auto"/>
        <w:ind w:firstLine="540"/>
        <w:jc w:val="both"/>
        <w:rPr>
          <w:sz w:val="28"/>
          <w:szCs w:val="28"/>
          <w:lang w:val="uk-UA"/>
        </w:rPr>
      </w:pPr>
      <w:r w:rsidRPr="00112A09">
        <w:rPr>
          <w:sz w:val="28"/>
          <w:szCs w:val="28"/>
          <w:lang w:val="uk-UA"/>
        </w:rPr>
        <w:t>Саме тому викликає інтерес пошук, синтез та вивчення біологічно-активної речовини комбінованої дії, яка здатна проявляти протизапальну, аналгетичну та інші фармакологічні властивості.</w:t>
      </w:r>
    </w:p>
    <w:p w14:paraId="483E6D87" w14:textId="6FB896E7" w:rsidR="0071066B" w:rsidRPr="00112A09" w:rsidRDefault="0071066B" w:rsidP="0071066B">
      <w:pPr>
        <w:spacing w:line="360" w:lineRule="auto"/>
        <w:ind w:firstLine="540"/>
        <w:jc w:val="both"/>
        <w:rPr>
          <w:sz w:val="28"/>
          <w:szCs w:val="28"/>
          <w:lang w:val="uk-UA"/>
        </w:rPr>
      </w:pPr>
      <w:r w:rsidRPr="00112A09">
        <w:rPr>
          <w:b/>
          <w:sz w:val="28"/>
          <w:szCs w:val="28"/>
          <w:lang w:val="uk-UA"/>
        </w:rPr>
        <w:t xml:space="preserve">Зв'язок роботи з науковими роботами, планами, темами. </w:t>
      </w:r>
      <w:r w:rsidRPr="00112A09">
        <w:rPr>
          <w:sz w:val="28"/>
          <w:szCs w:val="28"/>
          <w:lang w:val="uk-UA"/>
        </w:rPr>
        <w:t xml:space="preserve">Дисертаційна робота була виконана відповідно до плану науково-дослідницької роботи МОН України у рамках теми </w:t>
      </w:r>
      <w:r w:rsidRPr="00112A09">
        <w:rPr>
          <w:rStyle w:val="21"/>
          <w:rFonts w:eastAsia="Calibri"/>
          <w:szCs w:val="28"/>
        </w:rPr>
        <w:t>«Дослідження фізико-хімічних та фармакологічних властивостей нових природних та синтетичних речовин з протизапальними властивостями» (2012-2016, № держреєстрації 0112U002387),</w:t>
      </w:r>
      <w:r w:rsidRPr="00112A09">
        <w:rPr>
          <w:caps/>
          <w:color w:val="0D0D0D"/>
          <w:sz w:val="28"/>
          <w:szCs w:val="28"/>
          <w:lang w:val="uk-UA"/>
        </w:rPr>
        <w:t xml:space="preserve"> </w:t>
      </w:r>
      <w:r w:rsidRPr="00112A09">
        <w:rPr>
          <w:b/>
          <w:caps/>
          <w:color w:val="0D0D0D"/>
          <w:sz w:val="28"/>
          <w:szCs w:val="28"/>
          <w:lang w:val="uk-UA"/>
        </w:rPr>
        <w:t>«</w:t>
      </w:r>
      <w:r w:rsidRPr="00112A09">
        <w:rPr>
          <w:caps/>
          <w:color w:val="0D0D0D"/>
          <w:sz w:val="28"/>
          <w:szCs w:val="28"/>
          <w:lang w:val="uk-UA"/>
        </w:rPr>
        <w:t>М</w:t>
      </w:r>
      <w:r w:rsidRPr="00112A09">
        <w:rPr>
          <w:rStyle w:val="11"/>
          <w:rFonts w:eastAsia="Calibri"/>
          <w:b w:val="0"/>
          <w:szCs w:val="28"/>
          <w:lang w:val="uk-UA"/>
        </w:rPr>
        <w:t>олекулярні</w:t>
      </w:r>
      <w:r w:rsidRPr="00112A09">
        <w:rPr>
          <w:b/>
          <w:caps/>
          <w:color w:val="0D0D0D"/>
          <w:sz w:val="28"/>
          <w:szCs w:val="28"/>
          <w:lang w:val="uk-UA"/>
        </w:rPr>
        <w:t xml:space="preserve"> </w:t>
      </w:r>
      <w:r w:rsidRPr="00112A09">
        <w:rPr>
          <w:rStyle w:val="11"/>
          <w:rFonts w:eastAsia="Calibri"/>
          <w:b w:val="0"/>
          <w:szCs w:val="28"/>
          <w:lang w:val="uk-UA"/>
        </w:rPr>
        <w:t>механізми зв’язування нових лігандів з аналгетичною, протизапальною та нейротропною активністю з TRP, ГАМК та гліциновими рецепторами»</w:t>
      </w:r>
      <w:r w:rsidRPr="00112A09">
        <w:rPr>
          <w:caps/>
          <w:color w:val="0D0D0D"/>
          <w:sz w:val="28"/>
          <w:szCs w:val="28"/>
          <w:lang w:val="uk-UA"/>
        </w:rPr>
        <w:t xml:space="preserve"> (2017-2019, </w:t>
      </w:r>
      <w:r w:rsidRPr="00112A09">
        <w:rPr>
          <w:color w:val="0D0D0D"/>
          <w:sz w:val="28"/>
          <w:szCs w:val="28"/>
          <w:lang w:val="uk-UA"/>
        </w:rPr>
        <w:t>№ держреєстрації 0117U001102), та на кафедрі органічних та фармацевтичних технологій Одеського національного політехнічного університету в рамках науково-дослідної теми</w:t>
      </w:r>
      <w:r w:rsidR="00821BED">
        <w:rPr>
          <w:color w:val="0D0D0D"/>
          <w:sz w:val="28"/>
          <w:szCs w:val="28"/>
          <w:lang w:val="uk-UA"/>
        </w:rPr>
        <w:t xml:space="preserve"> </w:t>
      </w:r>
      <w:r w:rsidRPr="00112A09">
        <w:rPr>
          <w:rStyle w:val="21"/>
          <w:rFonts w:eastAsia="Calibri"/>
          <w:szCs w:val="28"/>
        </w:rPr>
        <w:t>«Біологічно-</w:t>
      </w:r>
      <w:r w:rsidRPr="00112A09">
        <w:rPr>
          <w:rStyle w:val="21"/>
          <w:rFonts w:eastAsia="Calibri"/>
          <w:szCs w:val="28"/>
        </w:rPr>
        <w:lastRenderedPageBreak/>
        <w:t>активні ароматичні, аліциклічні та гетероциклічні сполуки, які впливають на центральну та периферичну нервову систему»  (№ держреєстрації 0118U004051).</w:t>
      </w:r>
    </w:p>
    <w:p w14:paraId="1DFCA618" w14:textId="77777777" w:rsidR="0071066B" w:rsidRPr="00112A09" w:rsidRDefault="0071066B" w:rsidP="0071066B">
      <w:pPr>
        <w:spacing w:line="360" w:lineRule="auto"/>
        <w:ind w:firstLine="540"/>
        <w:jc w:val="both"/>
        <w:rPr>
          <w:sz w:val="28"/>
          <w:szCs w:val="28"/>
          <w:highlight w:val="yellow"/>
          <w:lang w:val="uk-UA"/>
        </w:rPr>
      </w:pPr>
      <w:r w:rsidRPr="00112A09">
        <w:rPr>
          <w:b/>
          <w:sz w:val="28"/>
          <w:szCs w:val="28"/>
          <w:lang w:val="uk-UA"/>
        </w:rPr>
        <w:t xml:space="preserve">Мета дослідження. </w:t>
      </w:r>
      <w:r w:rsidRPr="00112A09">
        <w:rPr>
          <w:sz w:val="28"/>
          <w:szCs w:val="28"/>
          <w:lang w:val="uk-UA"/>
        </w:rPr>
        <w:t xml:space="preserve">Дослідження аналгетичної, протизапальної, антипіретичної, протисудомної, міорелаксантної, антидепресантної та анксиолітичної активностей нових комплексних сполук </w:t>
      </w:r>
      <w:r w:rsidRPr="00112A09">
        <w:rPr>
          <w:sz w:val="28"/>
          <w:szCs w:val="28"/>
        </w:rPr>
        <w:t>S</w:t>
      </w:r>
      <w:r w:rsidRPr="00112A09">
        <w:rPr>
          <w:sz w:val="28"/>
          <w:szCs w:val="28"/>
          <w:lang w:val="en-US"/>
        </w:rPr>
        <w:t>n</w:t>
      </w:r>
      <w:r w:rsidRPr="00112A09">
        <w:rPr>
          <w:sz w:val="28"/>
          <w:szCs w:val="28"/>
        </w:rPr>
        <w:t>C</w:t>
      </w:r>
      <w:r w:rsidRPr="00112A09">
        <w:rPr>
          <w:sz w:val="28"/>
          <w:szCs w:val="28"/>
          <w:lang w:val="en-US"/>
        </w:rPr>
        <w:t>l</w:t>
      </w:r>
      <w:r w:rsidRPr="00112A09">
        <w:rPr>
          <w:sz w:val="28"/>
          <w:szCs w:val="28"/>
          <w:vertAlign w:val="subscript"/>
          <w:lang w:val="uk-UA"/>
        </w:rPr>
        <w:t>4</w:t>
      </w:r>
      <w:r w:rsidRPr="00112A09">
        <w:rPr>
          <w:sz w:val="28"/>
          <w:szCs w:val="28"/>
          <w:lang w:val="uk-UA"/>
        </w:rPr>
        <w:t xml:space="preserve"> з саліцилоїлгідразонами бензальдегіду та 4-бромбензальдегіду.</w:t>
      </w:r>
    </w:p>
    <w:p w14:paraId="007C963A" w14:textId="77777777" w:rsidR="0071066B" w:rsidRPr="00112A09" w:rsidRDefault="0071066B" w:rsidP="0071066B">
      <w:pPr>
        <w:widowControl w:val="0"/>
        <w:autoSpaceDE w:val="0"/>
        <w:autoSpaceDN w:val="0"/>
        <w:adjustRightInd w:val="0"/>
        <w:spacing w:line="360" w:lineRule="auto"/>
        <w:ind w:firstLine="360"/>
        <w:jc w:val="both"/>
        <w:rPr>
          <w:sz w:val="28"/>
          <w:szCs w:val="28"/>
        </w:rPr>
      </w:pPr>
      <w:r w:rsidRPr="00112A09">
        <w:rPr>
          <w:b/>
          <w:sz w:val="28"/>
          <w:szCs w:val="28"/>
          <w:lang w:val="uk-UA"/>
        </w:rPr>
        <w:t xml:space="preserve">Завдання дослідження. </w:t>
      </w:r>
      <w:r w:rsidRPr="00112A09">
        <w:rPr>
          <w:sz w:val="28"/>
          <w:szCs w:val="28"/>
        </w:rPr>
        <w:t>У відповідності до мети визначено такі основні завдання дослідження:</w:t>
      </w:r>
    </w:p>
    <w:p w14:paraId="469BE8B1" w14:textId="77777777" w:rsidR="0071066B" w:rsidRPr="00112A09" w:rsidRDefault="0071066B" w:rsidP="0071066B">
      <w:pPr>
        <w:numPr>
          <w:ilvl w:val="0"/>
          <w:numId w:val="13"/>
        </w:numPr>
        <w:spacing w:line="360" w:lineRule="auto"/>
        <w:ind w:left="360" w:hanging="360"/>
        <w:jc w:val="both"/>
        <w:rPr>
          <w:sz w:val="28"/>
          <w:szCs w:val="28"/>
          <w:lang w:val="uk-UA"/>
        </w:rPr>
      </w:pPr>
      <w:r w:rsidRPr="00112A09">
        <w:rPr>
          <w:sz w:val="28"/>
          <w:szCs w:val="28"/>
          <w:lang w:val="uk-UA"/>
        </w:rPr>
        <w:t>Провести прогноз біологічної активності лігандів комплексних сполук SnCl</w:t>
      </w:r>
      <w:r w:rsidRPr="00112A09">
        <w:rPr>
          <w:sz w:val="28"/>
          <w:szCs w:val="28"/>
          <w:vertAlign w:val="subscript"/>
          <w:lang w:val="uk-UA"/>
        </w:rPr>
        <w:t xml:space="preserve">4 </w:t>
      </w:r>
      <w:r w:rsidRPr="00112A09">
        <w:rPr>
          <w:sz w:val="28"/>
          <w:szCs w:val="28"/>
          <w:lang w:val="uk-UA"/>
        </w:rPr>
        <w:t xml:space="preserve">з саліцилоїлгідразонами бензальдегіду та 4-бромбензальдегіду і їхніх структурних компонентів за допомогою програми </w:t>
      </w:r>
      <w:r w:rsidRPr="00112A09">
        <w:rPr>
          <w:sz w:val="28"/>
          <w:szCs w:val="28"/>
          <w:lang w:val="en-US"/>
        </w:rPr>
        <w:t>PASS</w:t>
      </w:r>
      <w:r w:rsidRPr="00112A09">
        <w:rPr>
          <w:sz w:val="28"/>
          <w:szCs w:val="28"/>
          <w:lang w:val="uk-UA"/>
        </w:rPr>
        <w:t>.</w:t>
      </w:r>
    </w:p>
    <w:p w14:paraId="663A9BED" w14:textId="77777777" w:rsidR="0071066B" w:rsidRPr="00112A09" w:rsidRDefault="0071066B" w:rsidP="0071066B">
      <w:pPr>
        <w:numPr>
          <w:ilvl w:val="0"/>
          <w:numId w:val="13"/>
        </w:numPr>
        <w:spacing w:line="360" w:lineRule="auto"/>
        <w:ind w:left="360" w:hanging="360"/>
        <w:jc w:val="both"/>
        <w:rPr>
          <w:sz w:val="28"/>
          <w:szCs w:val="28"/>
          <w:lang w:val="uk-UA"/>
        </w:rPr>
      </w:pPr>
      <w:r w:rsidRPr="00112A09">
        <w:rPr>
          <w:sz w:val="28"/>
          <w:szCs w:val="28"/>
          <w:lang w:val="uk-UA"/>
        </w:rPr>
        <w:t>Дослідити протизапальний ефект комплексів SnCl</w:t>
      </w:r>
      <w:r w:rsidRPr="00112A09">
        <w:rPr>
          <w:sz w:val="28"/>
          <w:szCs w:val="28"/>
          <w:vertAlign w:val="subscript"/>
          <w:lang w:val="uk-UA"/>
        </w:rPr>
        <w:t xml:space="preserve">4 </w:t>
      </w:r>
      <w:r w:rsidRPr="00112A09">
        <w:rPr>
          <w:sz w:val="28"/>
          <w:szCs w:val="28"/>
          <w:lang w:val="uk-UA"/>
        </w:rPr>
        <w:t xml:space="preserve">з саліцилоїлгідразонами бензальдегіду та 4-бромбензальдегіду і їхніх структурних компонентів при їх пероральному введенні на різних моделях запалення.  </w:t>
      </w:r>
    </w:p>
    <w:p w14:paraId="717CBF4B" w14:textId="77777777" w:rsidR="0071066B" w:rsidRPr="00112A09" w:rsidRDefault="0071066B" w:rsidP="0071066B">
      <w:pPr>
        <w:numPr>
          <w:ilvl w:val="0"/>
          <w:numId w:val="13"/>
        </w:numPr>
        <w:spacing w:line="360" w:lineRule="auto"/>
        <w:ind w:left="360" w:hanging="360"/>
        <w:jc w:val="both"/>
        <w:rPr>
          <w:sz w:val="28"/>
          <w:szCs w:val="28"/>
          <w:lang w:val="uk-UA"/>
        </w:rPr>
      </w:pPr>
      <w:r w:rsidRPr="00112A09">
        <w:rPr>
          <w:sz w:val="28"/>
          <w:szCs w:val="28"/>
          <w:lang w:val="uk-UA"/>
        </w:rPr>
        <w:t>Дослідити аналгетичний ефект комплексів SnCl</w:t>
      </w:r>
      <w:r w:rsidRPr="00112A09">
        <w:rPr>
          <w:sz w:val="28"/>
          <w:szCs w:val="28"/>
          <w:vertAlign w:val="subscript"/>
          <w:lang w:val="uk-UA"/>
        </w:rPr>
        <w:t xml:space="preserve">4 </w:t>
      </w:r>
      <w:r w:rsidRPr="00112A09">
        <w:rPr>
          <w:sz w:val="28"/>
          <w:szCs w:val="28"/>
          <w:lang w:val="uk-UA"/>
        </w:rPr>
        <w:t>з саліцилоїлгідразонами бензальдегіду та 4-бромбензальдегіду та їхніх структурних компонентів при пероральному та місцевому введенні.</w:t>
      </w:r>
    </w:p>
    <w:p w14:paraId="59C3852C" w14:textId="132FFE95" w:rsidR="0071066B" w:rsidRPr="00112A09" w:rsidRDefault="0071066B" w:rsidP="0071066B">
      <w:pPr>
        <w:numPr>
          <w:ilvl w:val="0"/>
          <w:numId w:val="13"/>
        </w:numPr>
        <w:spacing w:line="360" w:lineRule="auto"/>
        <w:ind w:left="360" w:hanging="360"/>
        <w:jc w:val="both"/>
        <w:rPr>
          <w:sz w:val="28"/>
          <w:szCs w:val="28"/>
          <w:lang w:val="uk-UA"/>
        </w:rPr>
      </w:pPr>
      <w:r w:rsidRPr="00112A09">
        <w:rPr>
          <w:sz w:val="28"/>
          <w:szCs w:val="28"/>
          <w:lang w:val="uk-UA"/>
        </w:rPr>
        <w:t xml:space="preserve">Дослідити </w:t>
      </w:r>
      <w:r w:rsidRPr="00112A09">
        <w:rPr>
          <w:color w:val="000000"/>
          <w:sz w:val="28"/>
          <w:szCs w:val="28"/>
          <w:lang w:val="uk-UA"/>
        </w:rPr>
        <w:t>антидепресантну активність та міорелаксантну дію</w:t>
      </w:r>
      <w:r w:rsidRPr="00112A09">
        <w:rPr>
          <w:color w:val="FF0000"/>
          <w:sz w:val="28"/>
          <w:szCs w:val="28"/>
          <w:lang w:val="uk-UA"/>
        </w:rPr>
        <w:t xml:space="preserve"> </w:t>
      </w:r>
      <w:r w:rsidRPr="00112A09">
        <w:rPr>
          <w:sz w:val="28"/>
          <w:szCs w:val="28"/>
          <w:lang w:val="uk-UA"/>
        </w:rPr>
        <w:t>комплексних сполук SnCl</w:t>
      </w:r>
      <w:r w:rsidRPr="00112A09">
        <w:rPr>
          <w:sz w:val="28"/>
          <w:szCs w:val="28"/>
          <w:vertAlign w:val="subscript"/>
          <w:lang w:val="uk-UA"/>
        </w:rPr>
        <w:t xml:space="preserve">4 </w:t>
      </w:r>
      <w:r w:rsidRPr="00112A09">
        <w:rPr>
          <w:sz w:val="28"/>
          <w:szCs w:val="28"/>
          <w:lang w:val="uk-UA"/>
        </w:rPr>
        <w:t>з саліцилоїлгідразонами бензальдегіду та 4</w:t>
      </w:r>
      <w:r w:rsidR="00821BED">
        <w:rPr>
          <w:sz w:val="28"/>
          <w:szCs w:val="28"/>
          <w:lang w:val="uk-UA"/>
        </w:rPr>
        <w:t>-</w:t>
      </w:r>
      <w:r w:rsidRPr="00112A09">
        <w:rPr>
          <w:sz w:val="28"/>
          <w:szCs w:val="28"/>
          <w:lang w:val="uk-UA"/>
        </w:rPr>
        <w:t>бром</w:t>
      </w:r>
      <w:r w:rsidR="00821BED">
        <w:rPr>
          <w:sz w:val="28"/>
          <w:szCs w:val="28"/>
          <w:lang w:val="uk-UA"/>
        </w:rPr>
        <w:t>-</w:t>
      </w:r>
      <w:r w:rsidRPr="00112A09">
        <w:rPr>
          <w:sz w:val="28"/>
          <w:szCs w:val="28"/>
          <w:lang w:val="uk-UA"/>
        </w:rPr>
        <w:t>бензальдегіду та їхніх структурних компонентів при пероральному введенні.</w:t>
      </w:r>
    </w:p>
    <w:p w14:paraId="3CD8DC99" w14:textId="77777777" w:rsidR="0071066B" w:rsidRPr="00112A09" w:rsidRDefault="0071066B" w:rsidP="0071066B">
      <w:pPr>
        <w:numPr>
          <w:ilvl w:val="0"/>
          <w:numId w:val="13"/>
        </w:numPr>
        <w:spacing w:line="360" w:lineRule="auto"/>
        <w:ind w:left="360" w:hanging="360"/>
        <w:jc w:val="both"/>
        <w:rPr>
          <w:sz w:val="28"/>
          <w:szCs w:val="28"/>
          <w:lang w:val="uk-UA"/>
        </w:rPr>
      </w:pPr>
      <w:r w:rsidRPr="00112A09">
        <w:rPr>
          <w:sz w:val="28"/>
          <w:szCs w:val="28"/>
          <w:lang w:val="uk-UA"/>
        </w:rPr>
        <w:t>Дослідити анксиолітичну активність комплексних сполук SnCl</w:t>
      </w:r>
      <w:r w:rsidRPr="00112A09">
        <w:rPr>
          <w:sz w:val="28"/>
          <w:szCs w:val="28"/>
          <w:vertAlign w:val="subscript"/>
          <w:lang w:val="uk-UA"/>
        </w:rPr>
        <w:t xml:space="preserve">4 </w:t>
      </w:r>
      <w:r w:rsidRPr="00112A09">
        <w:rPr>
          <w:sz w:val="28"/>
          <w:szCs w:val="28"/>
          <w:lang w:val="uk-UA"/>
        </w:rPr>
        <w:t>з саліцилоїлгідразонами бензальдегіду та 4-бромбензальдегіду при пероральному введенні та їхніх структурних компонентів.</w:t>
      </w:r>
    </w:p>
    <w:p w14:paraId="6693BDD6" w14:textId="77777777" w:rsidR="0071066B" w:rsidRPr="00112A09" w:rsidRDefault="0071066B" w:rsidP="0071066B">
      <w:pPr>
        <w:numPr>
          <w:ilvl w:val="0"/>
          <w:numId w:val="13"/>
        </w:numPr>
        <w:spacing w:line="360" w:lineRule="auto"/>
        <w:ind w:left="360" w:hanging="360"/>
        <w:jc w:val="both"/>
        <w:rPr>
          <w:sz w:val="28"/>
          <w:szCs w:val="28"/>
          <w:lang w:val="uk-UA"/>
        </w:rPr>
      </w:pPr>
      <w:r w:rsidRPr="00112A09">
        <w:rPr>
          <w:sz w:val="28"/>
          <w:szCs w:val="28"/>
          <w:lang w:val="uk-UA"/>
        </w:rPr>
        <w:t>Вивчити протисудомну активність комплексних сполук SnCl</w:t>
      </w:r>
      <w:r w:rsidRPr="00112A09">
        <w:rPr>
          <w:sz w:val="28"/>
          <w:szCs w:val="28"/>
          <w:vertAlign w:val="subscript"/>
          <w:lang w:val="uk-UA"/>
        </w:rPr>
        <w:t xml:space="preserve">4 </w:t>
      </w:r>
      <w:r w:rsidRPr="00112A09">
        <w:rPr>
          <w:sz w:val="28"/>
          <w:szCs w:val="28"/>
          <w:lang w:val="uk-UA"/>
        </w:rPr>
        <w:t>з саліцилоїлгідразонами бензальдегіду та 4-бромбензальдегіду та їх структурних компонентів при пероральному введенні по антагонізму з коразолом.</w:t>
      </w:r>
    </w:p>
    <w:p w14:paraId="4CE695EE" w14:textId="77777777" w:rsidR="0071066B" w:rsidRPr="00112A09" w:rsidRDefault="0071066B" w:rsidP="0071066B">
      <w:pPr>
        <w:tabs>
          <w:tab w:val="left" w:pos="720"/>
        </w:tabs>
        <w:spacing w:line="360" w:lineRule="auto"/>
        <w:ind w:firstLine="720"/>
        <w:jc w:val="both"/>
        <w:rPr>
          <w:sz w:val="28"/>
          <w:szCs w:val="28"/>
          <w:lang w:val="uk-UA"/>
        </w:rPr>
      </w:pPr>
      <w:r w:rsidRPr="00112A09">
        <w:rPr>
          <w:i/>
          <w:sz w:val="28"/>
          <w:szCs w:val="28"/>
          <w:lang w:val="uk-UA"/>
        </w:rPr>
        <w:lastRenderedPageBreak/>
        <w:t>Об’єкт дослідження</w:t>
      </w:r>
      <w:r w:rsidRPr="00112A09">
        <w:rPr>
          <w:sz w:val="28"/>
          <w:szCs w:val="28"/>
          <w:lang w:val="uk-UA"/>
        </w:rPr>
        <w:t xml:space="preserve">. Фармакологічні властивості комплексних сполук </w:t>
      </w:r>
      <w:r w:rsidRPr="00112A09">
        <w:rPr>
          <w:sz w:val="28"/>
          <w:szCs w:val="28"/>
        </w:rPr>
        <w:t>S</w:t>
      </w:r>
      <w:r w:rsidRPr="00112A09">
        <w:rPr>
          <w:sz w:val="28"/>
          <w:szCs w:val="28"/>
          <w:lang w:val="en-US"/>
        </w:rPr>
        <w:t>n</w:t>
      </w:r>
      <w:r w:rsidRPr="00112A09">
        <w:rPr>
          <w:sz w:val="28"/>
          <w:szCs w:val="28"/>
        </w:rPr>
        <w:t>C</w:t>
      </w:r>
      <w:r w:rsidRPr="00112A09">
        <w:rPr>
          <w:sz w:val="28"/>
          <w:szCs w:val="28"/>
          <w:lang w:val="en-US"/>
        </w:rPr>
        <w:t>l</w:t>
      </w:r>
      <w:r w:rsidRPr="00112A09">
        <w:rPr>
          <w:sz w:val="28"/>
          <w:szCs w:val="28"/>
          <w:vertAlign w:val="subscript"/>
          <w:lang w:val="uk-UA"/>
        </w:rPr>
        <w:t>4</w:t>
      </w:r>
      <w:r w:rsidRPr="00112A09">
        <w:rPr>
          <w:sz w:val="28"/>
          <w:szCs w:val="28"/>
          <w:lang w:val="uk-UA"/>
        </w:rPr>
        <w:t xml:space="preserve"> з саліцилоїлгідразонами бензальдегіду та 4-бромбензальдегіду та їхніх структурних складових.</w:t>
      </w:r>
    </w:p>
    <w:p w14:paraId="405A1AED" w14:textId="77777777" w:rsidR="00821BED" w:rsidRDefault="0071066B" w:rsidP="0071066B">
      <w:pPr>
        <w:tabs>
          <w:tab w:val="left" w:pos="720"/>
        </w:tabs>
        <w:spacing w:line="360" w:lineRule="auto"/>
        <w:ind w:firstLine="720"/>
        <w:jc w:val="both"/>
        <w:rPr>
          <w:sz w:val="28"/>
          <w:szCs w:val="28"/>
          <w:lang w:val="uk-UA"/>
        </w:rPr>
      </w:pPr>
      <w:r w:rsidRPr="00112A09">
        <w:rPr>
          <w:i/>
          <w:sz w:val="28"/>
          <w:szCs w:val="28"/>
          <w:lang w:val="uk-UA"/>
        </w:rPr>
        <w:t xml:space="preserve">Предмет дослідження. </w:t>
      </w:r>
      <w:r w:rsidRPr="00112A09">
        <w:rPr>
          <w:sz w:val="28"/>
          <w:szCs w:val="28"/>
          <w:lang w:val="uk-UA"/>
        </w:rPr>
        <w:t xml:space="preserve">Аналгетична, протизапальна, антипіретична, протисудомна, міорелаксантна, антидепресантна та анксиолітична активності нових комплексних сполук </w:t>
      </w:r>
      <w:r w:rsidRPr="00112A09">
        <w:rPr>
          <w:sz w:val="28"/>
          <w:szCs w:val="28"/>
        </w:rPr>
        <w:t>S</w:t>
      </w:r>
      <w:r w:rsidRPr="00112A09">
        <w:rPr>
          <w:sz w:val="28"/>
          <w:szCs w:val="28"/>
          <w:lang w:val="en-US"/>
        </w:rPr>
        <w:t>n</w:t>
      </w:r>
      <w:r w:rsidRPr="00112A09">
        <w:rPr>
          <w:sz w:val="28"/>
          <w:szCs w:val="28"/>
        </w:rPr>
        <w:t>C</w:t>
      </w:r>
      <w:r w:rsidRPr="00112A09">
        <w:rPr>
          <w:sz w:val="28"/>
          <w:szCs w:val="28"/>
          <w:lang w:val="en-US"/>
        </w:rPr>
        <w:t>l</w:t>
      </w:r>
      <w:r w:rsidRPr="00112A09">
        <w:rPr>
          <w:sz w:val="28"/>
          <w:szCs w:val="28"/>
          <w:vertAlign w:val="subscript"/>
          <w:lang w:val="uk-UA"/>
        </w:rPr>
        <w:t>4</w:t>
      </w:r>
      <w:r w:rsidRPr="00112A09">
        <w:rPr>
          <w:sz w:val="28"/>
          <w:szCs w:val="28"/>
          <w:lang w:val="uk-UA"/>
        </w:rPr>
        <w:t xml:space="preserve"> з саліцилоїлгідразонами бензальдегіду та </w:t>
      </w:r>
    </w:p>
    <w:p w14:paraId="4512A779" w14:textId="688E90E9" w:rsidR="0071066B" w:rsidRPr="00112A09" w:rsidRDefault="0071066B" w:rsidP="00821BED">
      <w:pPr>
        <w:tabs>
          <w:tab w:val="left" w:pos="720"/>
        </w:tabs>
        <w:spacing w:line="360" w:lineRule="auto"/>
        <w:jc w:val="both"/>
        <w:rPr>
          <w:sz w:val="28"/>
          <w:szCs w:val="28"/>
          <w:lang w:val="uk-UA"/>
        </w:rPr>
      </w:pPr>
      <w:r w:rsidRPr="00112A09">
        <w:rPr>
          <w:sz w:val="28"/>
          <w:szCs w:val="28"/>
          <w:lang w:val="uk-UA"/>
        </w:rPr>
        <w:t>4-бромбензальдегіду та їх структурні складові</w:t>
      </w:r>
    </w:p>
    <w:p w14:paraId="77AFA8E4" w14:textId="77777777" w:rsidR="0071066B" w:rsidRPr="00112A09" w:rsidRDefault="0071066B" w:rsidP="0071066B">
      <w:pPr>
        <w:tabs>
          <w:tab w:val="left" w:pos="720"/>
        </w:tabs>
        <w:spacing w:line="360" w:lineRule="auto"/>
        <w:ind w:firstLine="720"/>
        <w:jc w:val="both"/>
        <w:rPr>
          <w:sz w:val="28"/>
          <w:szCs w:val="28"/>
          <w:lang w:val="uk-UA"/>
        </w:rPr>
      </w:pPr>
      <w:r w:rsidRPr="00112A09">
        <w:rPr>
          <w:i/>
          <w:sz w:val="28"/>
          <w:szCs w:val="28"/>
          <w:lang w:val="uk-UA"/>
        </w:rPr>
        <w:t>Методи дослідження.</w:t>
      </w:r>
      <w:r w:rsidRPr="00112A09">
        <w:rPr>
          <w:b/>
          <w:i/>
          <w:sz w:val="28"/>
          <w:szCs w:val="28"/>
          <w:lang w:val="uk-UA"/>
        </w:rPr>
        <w:t xml:space="preserve"> </w:t>
      </w:r>
      <w:r w:rsidRPr="00112A09">
        <w:rPr>
          <w:color w:val="000000"/>
          <w:sz w:val="28"/>
          <w:szCs w:val="28"/>
          <w:shd w:val="clear" w:color="auto" w:fill="FFFFFF"/>
          <w:lang w:val="uk-UA"/>
        </w:rPr>
        <w:t>Фармакологічні, токсикологічні, статистичні,  математичні.</w:t>
      </w:r>
    </w:p>
    <w:p w14:paraId="28EF2E29" w14:textId="7C7465D9" w:rsidR="0071066B" w:rsidRPr="00112A09" w:rsidRDefault="0071066B" w:rsidP="0071066B">
      <w:pPr>
        <w:tabs>
          <w:tab w:val="left" w:pos="720"/>
        </w:tabs>
        <w:spacing w:line="360" w:lineRule="auto"/>
        <w:ind w:firstLine="720"/>
        <w:jc w:val="both"/>
        <w:rPr>
          <w:sz w:val="28"/>
          <w:szCs w:val="28"/>
          <w:lang w:val="uk-UA"/>
        </w:rPr>
      </w:pPr>
      <w:r w:rsidRPr="00112A09">
        <w:rPr>
          <w:b/>
          <w:bCs/>
          <w:sz w:val="28"/>
          <w:szCs w:val="28"/>
          <w:lang w:val="uk-UA"/>
        </w:rPr>
        <w:t xml:space="preserve">Наукова новизна одержаних результатів.  </w:t>
      </w:r>
      <w:r w:rsidRPr="00112A09">
        <w:rPr>
          <w:sz w:val="28"/>
          <w:szCs w:val="28"/>
          <w:lang w:val="uk-UA"/>
        </w:rPr>
        <w:t xml:space="preserve">Вперше проведено дослідження протизапальної дії </w:t>
      </w:r>
      <w:r w:rsidRPr="00112A09">
        <w:rPr>
          <w:color w:val="000000"/>
          <w:sz w:val="28"/>
          <w:szCs w:val="28"/>
          <w:shd w:val="clear" w:color="auto" w:fill="FFFFFF"/>
          <w:lang w:val="uk-UA"/>
        </w:rPr>
        <w:t xml:space="preserve">саліцилоїлгідразонів </w:t>
      </w:r>
      <w:r w:rsidRPr="00112A09">
        <w:rPr>
          <w:sz w:val="28"/>
          <w:szCs w:val="28"/>
          <w:lang w:val="uk-UA"/>
        </w:rPr>
        <w:t xml:space="preserve">бензальдегіду та </w:t>
      </w:r>
      <w:r w:rsidR="00821BED">
        <w:rPr>
          <w:sz w:val="28"/>
          <w:szCs w:val="28"/>
          <w:lang w:val="uk-UA"/>
        </w:rPr>
        <w:br/>
      </w:r>
      <w:r w:rsidRPr="00112A09">
        <w:rPr>
          <w:sz w:val="28"/>
          <w:szCs w:val="28"/>
          <w:lang w:val="uk-UA"/>
        </w:rPr>
        <w:t xml:space="preserve">4-бромбензальдегіду з оловом на моделях короткого і тривалого запалення. Доведено, що досліджені комплексні сполуки достовірно зменшують  розвиток експериментального запального процесу. </w:t>
      </w:r>
      <w:r w:rsidRPr="00112A09">
        <w:rPr>
          <w:color w:val="000000"/>
          <w:sz w:val="28"/>
          <w:szCs w:val="28"/>
          <w:lang w:val="uk-UA"/>
        </w:rPr>
        <w:t xml:space="preserve">Також встановлено, що комплексні сполуки </w:t>
      </w:r>
      <w:r w:rsidRPr="00112A09">
        <w:rPr>
          <w:color w:val="000000"/>
          <w:sz w:val="28"/>
          <w:szCs w:val="28"/>
          <w:shd w:val="clear" w:color="auto" w:fill="FFFFFF"/>
          <w:lang w:val="uk-UA"/>
        </w:rPr>
        <w:t xml:space="preserve">саліцилоїлгідразонів </w:t>
      </w:r>
      <w:r w:rsidRPr="00112A09">
        <w:rPr>
          <w:color w:val="000000"/>
          <w:sz w:val="28"/>
          <w:szCs w:val="28"/>
          <w:lang w:val="uk-UA"/>
        </w:rPr>
        <w:t xml:space="preserve">бензальдегіду та </w:t>
      </w:r>
      <w:r w:rsidR="00821BED">
        <w:rPr>
          <w:color w:val="000000"/>
          <w:sz w:val="28"/>
          <w:szCs w:val="28"/>
          <w:lang w:val="uk-UA"/>
        </w:rPr>
        <w:br/>
      </w:r>
      <w:r w:rsidRPr="00112A09">
        <w:rPr>
          <w:color w:val="000000"/>
          <w:sz w:val="28"/>
          <w:szCs w:val="28"/>
          <w:lang w:val="uk-UA"/>
        </w:rPr>
        <w:t xml:space="preserve">4-бромбензальдегіду з оловом проявляють достовірний антипіретичний ефект.  За протизапальною та антипіретичною дією ці комплексні сполуки не поступаються референс-препарату ібупрофену. </w:t>
      </w:r>
      <w:r w:rsidRPr="00112A09">
        <w:rPr>
          <w:sz w:val="28"/>
          <w:szCs w:val="28"/>
          <w:lang w:val="uk-UA"/>
        </w:rPr>
        <w:t xml:space="preserve">Встановлено, що обом комплексним сполукам </w:t>
      </w:r>
      <w:r w:rsidRPr="00112A09">
        <w:rPr>
          <w:color w:val="000000"/>
          <w:sz w:val="28"/>
          <w:szCs w:val="28"/>
          <w:lang w:val="uk-UA"/>
        </w:rPr>
        <w:t xml:space="preserve">– </w:t>
      </w:r>
      <w:r w:rsidRPr="00112A09">
        <w:rPr>
          <w:sz w:val="28"/>
          <w:szCs w:val="28"/>
          <w:lang w:val="en-US"/>
        </w:rPr>
        <w:t>SnCl</w:t>
      </w:r>
      <w:r w:rsidRPr="00112A09">
        <w:rPr>
          <w:sz w:val="28"/>
          <w:szCs w:val="28"/>
          <w:vertAlign w:val="subscript"/>
          <w:lang w:val="uk-UA"/>
        </w:rPr>
        <w:t>4</w:t>
      </w:r>
      <w:r w:rsidRPr="00112A09">
        <w:rPr>
          <w:sz w:val="28"/>
          <w:szCs w:val="28"/>
          <w:lang w:val="uk-UA"/>
        </w:rPr>
        <w:t xml:space="preserve"> </w:t>
      </w:r>
      <w:r w:rsidRPr="00112A09">
        <w:rPr>
          <w:color w:val="000000"/>
          <w:sz w:val="28"/>
          <w:szCs w:val="28"/>
          <w:lang w:val="uk-UA"/>
        </w:rPr>
        <w:t xml:space="preserve">з </w:t>
      </w:r>
      <w:r w:rsidRPr="00112A09">
        <w:rPr>
          <w:color w:val="000000"/>
          <w:sz w:val="28"/>
          <w:szCs w:val="28"/>
          <w:shd w:val="clear" w:color="auto" w:fill="FFFFFF"/>
          <w:lang w:val="uk-UA"/>
        </w:rPr>
        <w:t xml:space="preserve">саліцилоїлгідразонами </w:t>
      </w:r>
      <w:r w:rsidRPr="00112A09">
        <w:rPr>
          <w:sz w:val="28"/>
          <w:szCs w:val="28"/>
          <w:lang w:val="uk-UA"/>
        </w:rPr>
        <w:t xml:space="preserve">бензальдегіду та </w:t>
      </w:r>
      <w:r w:rsidR="00821BED">
        <w:rPr>
          <w:sz w:val="28"/>
          <w:szCs w:val="28"/>
          <w:lang w:val="uk-UA"/>
        </w:rPr>
        <w:br/>
      </w:r>
      <w:r w:rsidRPr="00112A09">
        <w:rPr>
          <w:sz w:val="28"/>
          <w:szCs w:val="28"/>
          <w:lang w:val="uk-UA"/>
        </w:rPr>
        <w:t xml:space="preserve">4-бромбензальдегіду </w:t>
      </w:r>
      <w:r w:rsidRPr="00112A09">
        <w:rPr>
          <w:color w:val="000000"/>
          <w:sz w:val="28"/>
          <w:szCs w:val="28"/>
          <w:lang w:val="uk-UA"/>
        </w:rPr>
        <w:t xml:space="preserve">– </w:t>
      </w:r>
      <w:r w:rsidRPr="00112A09">
        <w:rPr>
          <w:sz w:val="28"/>
          <w:szCs w:val="28"/>
          <w:lang w:val="uk-UA"/>
        </w:rPr>
        <w:t xml:space="preserve">притаманна антиноцицептивна активність. </w:t>
      </w:r>
      <w:r w:rsidRPr="00112A09">
        <w:rPr>
          <w:bCs/>
          <w:sz w:val="28"/>
          <w:szCs w:val="28"/>
          <w:lang w:val="uk-UA"/>
        </w:rPr>
        <w:t>Вперше було в</w:t>
      </w:r>
      <w:r w:rsidRPr="00112A09">
        <w:rPr>
          <w:sz w:val="28"/>
          <w:szCs w:val="28"/>
          <w:lang w:val="uk-UA"/>
        </w:rPr>
        <w:t xml:space="preserve">становлено, що досліджувані комплексні сполуки виявляють антидепресантну дію, що перевищує за ефективністю референс-препарат амітриптилін. Визначено, що антидепресантний ефект комплексів не супроводжується збільшенням локомоторної активності. Також було встановлено, що обидві комплексні сполуки проявляють  седативний ефект у тестах “темно-світла камера” та “піднесений хрестоподібний лабіринт”. Встановлено наявність протисудомних властивостей комплексних сполук </w:t>
      </w:r>
      <w:r w:rsidRPr="00112A09">
        <w:rPr>
          <w:sz w:val="28"/>
          <w:szCs w:val="28"/>
          <w:lang w:val="en-US"/>
        </w:rPr>
        <w:t>SnCl</w:t>
      </w:r>
      <w:r w:rsidRPr="00112A09">
        <w:rPr>
          <w:sz w:val="28"/>
          <w:szCs w:val="28"/>
          <w:vertAlign w:val="subscript"/>
          <w:lang w:val="uk-UA"/>
        </w:rPr>
        <w:t>4</w:t>
      </w:r>
      <w:r w:rsidRPr="00112A09">
        <w:rPr>
          <w:sz w:val="28"/>
          <w:szCs w:val="28"/>
          <w:lang w:val="uk-UA"/>
        </w:rPr>
        <w:t xml:space="preserve"> з </w:t>
      </w:r>
      <w:r w:rsidRPr="00112A09">
        <w:rPr>
          <w:color w:val="000000"/>
          <w:sz w:val="28"/>
          <w:szCs w:val="28"/>
          <w:shd w:val="clear" w:color="auto" w:fill="FFFFFF"/>
          <w:lang w:val="uk-UA"/>
        </w:rPr>
        <w:t xml:space="preserve">саліцилоїлгідразонами </w:t>
      </w:r>
      <w:r w:rsidRPr="00112A09">
        <w:rPr>
          <w:sz w:val="28"/>
          <w:szCs w:val="28"/>
          <w:lang w:val="uk-UA"/>
        </w:rPr>
        <w:t xml:space="preserve">бензальдегіду та 4-бромбензальдегіду. </w:t>
      </w:r>
    </w:p>
    <w:p w14:paraId="7ACAB422" w14:textId="45C77376" w:rsidR="0071066B" w:rsidRPr="00112A09" w:rsidRDefault="0071066B" w:rsidP="0071066B">
      <w:pPr>
        <w:tabs>
          <w:tab w:val="left" w:pos="720"/>
        </w:tabs>
        <w:spacing w:line="360" w:lineRule="auto"/>
        <w:ind w:firstLine="720"/>
        <w:jc w:val="both"/>
        <w:rPr>
          <w:sz w:val="28"/>
          <w:szCs w:val="28"/>
          <w:lang w:val="uk-UA"/>
        </w:rPr>
      </w:pPr>
      <w:r w:rsidRPr="00112A09">
        <w:rPr>
          <w:b/>
          <w:sz w:val="28"/>
          <w:szCs w:val="28"/>
          <w:lang w:val="uk-UA"/>
        </w:rPr>
        <w:t xml:space="preserve">Практичне значення одержаних результатів. </w:t>
      </w:r>
      <w:r w:rsidRPr="00112A09">
        <w:rPr>
          <w:sz w:val="28"/>
          <w:szCs w:val="28"/>
          <w:lang w:val="uk-UA"/>
        </w:rPr>
        <w:t xml:space="preserve">Результати експериментального дослідження фармакологічних властивостей нових </w:t>
      </w:r>
      <w:r w:rsidRPr="00112A09">
        <w:rPr>
          <w:sz w:val="28"/>
          <w:szCs w:val="28"/>
          <w:lang w:val="uk-UA"/>
        </w:rPr>
        <w:lastRenderedPageBreak/>
        <w:t>комплексних сполук SnCl</w:t>
      </w:r>
      <w:r w:rsidRPr="00112A09">
        <w:rPr>
          <w:sz w:val="28"/>
          <w:szCs w:val="28"/>
          <w:vertAlign w:val="subscript"/>
          <w:lang w:val="uk-UA"/>
        </w:rPr>
        <w:t>4</w:t>
      </w:r>
      <w:r w:rsidRPr="00112A09">
        <w:rPr>
          <w:sz w:val="28"/>
          <w:szCs w:val="28"/>
          <w:lang w:val="uk-UA"/>
        </w:rPr>
        <w:t xml:space="preserve"> з </w:t>
      </w:r>
      <w:r w:rsidRPr="00112A09">
        <w:rPr>
          <w:color w:val="000000"/>
          <w:sz w:val="28"/>
          <w:szCs w:val="28"/>
          <w:shd w:val="clear" w:color="auto" w:fill="FFFFFF"/>
          <w:lang w:val="uk-UA"/>
        </w:rPr>
        <w:t xml:space="preserve">саліцилоїлгідразонами </w:t>
      </w:r>
      <w:r w:rsidRPr="00112A09">
        <w:rPr>
          <w:sz w:val="28"/>
          <w:szCs w:val="28"/>
          <w:lang w:val="uk-UA"/>
        </w:rPr>
        <w:t xml:space="preserve">бензальдегіду та </w:t>
      </w:r>
      <w:r w:rsidR="00821BED">
        <w:rPr>
          <w:sz w:val="28"/>
          <w:szCs w:val="28"/>
          <w:lang w:val="uk-UA"/>
        </w:rPr>
        <w:br/>
      </w:r>
      <w:r w:rsidRPr="00112A09">
        <w:rPr>
          <w:sz w:val="28"/>
          <w:szCs w:val="28"/>
          <w:lang w:val="uk-UA"/>
        </w:rPr>
        <w:t>4-бромбензальдегіду свідчать про їх перспективність для подальшого поглибленого вивчення з метою створення на їхній основі лікарського засобу</w:t>
      </w:r>
      <w:r w:rsidRPr="00112A09">
        <w:rPr>
          <w:sz w:val="28"/>
          <w:szCs w:val="28"/>
          <w:highlight w:val="yellow"/>
          <w:lang w:val="uk-UA"/>
        </w:rPr>
        <w:t xml:space="preserve"> </w:t>
      </w:r>
      <w:r w:rsidRPr="00112A09">
        <w:rPr>
          <w:sz w:val="28"/>
          <w:szCs w:val="28"/>
          <w:lang w:val="uk-UA"/>
        </w:rPr>
        <w:t>широкого спектра дії. Результати роботи впроваджено в учбовий процес кафедри органічних і фармацевтичних технологій Одеського національного політехнічного університету, кафедри фармакології та фармакогнозії Одеського національного медичного університету та наукову роботу Фізико-хімічного інституту ім О.В.Богатського НАН України.</w:t>
      </w:r>
    </w:p>
    <w:p w14:paraId="4D6D6301" w14:textId="77777777" w:rsidR="0071066B" w:rsidRPr="00112A09" w:rsidRDefault="0071066B" w:rsidP="0071066B">
      <w:pPr>
        <w:tabs>
          <w:tab w:val="left" w:pos="720"/>
        </w:tabs>
        <w:spacing w:line="360" w:lineRule="auto"/>
        <w:ind w:firstLine="720"/>
        <w:jc w:val="both"/>
        <w:rPr>
          <w:sz w:val="28"/>
          <w:szCs w:val="28"/>
          <w:lang w:val="uk-UA"/>
        </w:rPr>
      </w:pPr>
      <w:r w:rsidRPr="00112A09">
        <w:rPr>
          <w:b/>
          <w:sz w:val="28"/>
          <w:szCs w:val="28"/>
          <w:lang w:val="uk-UA"/>
        </w:rPr>
        <w:t xml:space="preserve">Особистий внесок здобувача. </w:t>
      </w:r>
      <w:r w:rsidRPr="00112A09">
        <w:rPr>
          <w:rFonts w:eastAsia="PragmaticaBook-Reg"/>
          <w:spacing w:val="6"/>
          <w:sz w:val="28"/>
          <w:szCs w:val="28"/>
          <w:lang w:val="uk-UA"/>
        </w:rPr>
        <w:t xml:space="preserve">Дисертаційна робота є самостійною науковою працею здобувача. Автором самостійно було здійснено інформаційний пошук та аналіз літератури за темою дисертації. </w:t>
      </w:r>
      <w:r w:rsidRPr="00112A09">
        <w:rPr>
          <w:spacing w:val="6"/>
          <w:sz w:val="28"/>
          <w:szCs w:val="28"/>
          <w:lang w:val="uk-UA"/>
        </w:rPr>
        <w:t>Спільно з науковим керівником були сформульовані тема, мета та завдання дисертаційної роботи, визначені методи дослідження. Дисертантом самостійно було опрацьовано моделі та методи досліджень, відповідно до яких виконано експерименти, було оброблено отримані результати, проведено аналіз та узагальнення, оформлено таблиці та рисунки. Разом із науковим керівником сформульовано висновки та підготовлено публікації. У роботах, опублікованих у співавторстві, дисертанту належить фактичний матеріал: результати власних експериментальних досліджень, участь в аналізі й узагальненні отриманих даних, підготовка статей до друку. Оформлення дисертаційної роботи й автореферату здійснено здобувачем самостійно.</w:t>
      </w:r>
    </w:p>
    <w:p w14:paraId="787BF181" w14:textId="3EEA36F7" w:rsidR="0071066B" w:rsidRPr="00821BED" w:rsidRDefault="0071066B" w:rsidP="00821BED">
      <w:pPr>
        <w:pStyle w:val="a6"/>
        <w:spacing w:before="0" w:beforeAutospacing="0" w:after="0" w:afterAutospacing="0" w:line="360" w:lineRule="auto"/>
        <w:ind w:firstLine="567"/>
        <w:jc w:val="both"/>
        <w:rPr>
          <w:spacing w:val="6"/>
          <w:sz w:val="28"/>
          <w:szCs w:val="28"/>
          <w:lang w:val="uk-UA"/>
        </w:rPr>
      </w:pPr>
      <w:r w:rsidRPr="00112A09">
        <w:rPr>
          <w:b/>
          <w:spacing w:val="6"/>
          <w:sz w:val="28"/>
          <w:szCs w:val="28"/>
          <w:lang w:val="uk-UA"/>
        </w:rPr>
        <w:t xml:space="preserve">Апробація результатів дисертації. </w:t>
      </w:r>
      <w:r w:rsidRPr="00112A09">
        <w:rPr>
          <w:spacing w:val="6"/>
          <w:sz w:val="28"/>
          <w:szCs w:val="28"/>
          <w:lang w:val="uk-UA"/>
        </w:rPr>
        <w:t>Матеріали дисертаційної роботи були оприлюднені на: міжнародній науково-практичній конференції «Вітчизняна та світова медицина: вимоги сьогодення» (Дніпропетровськ, 2014); міжнародній науково-практичній конференції «Роль та місце медицини у забезпеченні здоров’я людини у сучасному суспільстві» (Одеса, 2014); 1</w:t>
      </w:r>
      <w:r w:rsidRPr="00112A09">
        <w:rPr>
          <w:spacing w:val="6"/>
          <w:sz w:val="28"/>
          <w:szCs w:val="28"/>
          <w:vertAlign w:val="superscript"/>
          <w:lang w:val="uk-UA"/>
        </w:rPr>
        <w:t>st</w:t>
      </w:r>
      <w:r w:rsidRPr="00112A09">
        <w:rPr>
          <w:spacing w:val="6"/>
          <w:sz w:val="28"/>
          <w:szCs w:val="28"/>
          <w:lang w:val="uk-UA"/>
        </w:rPr>
        <w:t xml:space="preserve"> International Electronic Conference on Medicinal Chemistry (Бельгія, 2015); І міжнародній  науково-практичній конференції «Сучасні погляди на актуальні питання теоретичної, експериментальної та </w:t>
      </w:r>
      <w:r w:rsidRPr="00112A09">
        <w:rPr>
          <w:spacing w:val="6"/>
          <w:sz w:val="28"/>
          <w:szCs w:val="28"/>
          <w:lang w:val="uk-UA"/>
        </w:rPr>
        <w:lastRenderedPageBreak/>
        <w:t>практичної медицини» (Одеса, 2016); 29</w:t>
      </w:r>
      <w:r w:rsidRPr="00112A09">
        <w:rPr>
          <w:spacing w:val="6"/>
          <w:sz w:val="28"/>
          <w:szCs w:val="28"/>
          <w:vertAlign w:val="superscript"/>
          <w:lang w:val="en-US"/>
        </w:rPr>
        <w:t>th</w:t>
      </w:r>
      <w:r w:rsidRPr="00112A09">
        <w:rPr>
          <w:spacing w:val="6"/>
          <w:sz w:val="28"/>
          <w:szCs w:val="28"/>
          <w:vertAlign w:val="superscript"/>
          <w:lang w:val="uk-UA"/>
        </w:rPr>
        <w:t xml:space="preserve"> </w:t>
      </w:r>
      <w:r w:rsidRPr="00112A09">
        <w:rPr>
          <w:spacing w:val="6"/>
          <w:sz w:val="28"/>
          <w:szCs w:val="28"/>
          <w:lang w:val="uk-UA"/>
        </w:rPr>
        <w:t xml:space="preserve">European Neuropsychopharmacology </w:t>
      </w:r>
      <w:r w:rsidRPr="00112A09">
        <w:rPr>
          <w:spacing w:val="6"/>
          <w:sz w:val="28"/>
          <w:szCs w:val="28"/>
          <w:lang w:val="en-US"/>
        </w:rPr>
        <w:t>Congress</w:t>
      </w:r>
      <w:r w:rsidRPr="00112A09">
        <w:rPr>
          <w:spacing w:val="6"/>
          <w:sz w:val="28"/>
          <w:szCs w:val="28"/>
          <w:lang w:val="uk-UA"/>
        </w:rPr>
        <w:t xml:space="preserve"> (Австрія, Відень, 2016); </w:t>
      </w:r>
      <w:r w:rsidR="00821BED">
        <w:rPr>
          <w:spacing w:val="6"/>
          <w:sz w:val="28"/>
          <w:szCs w:val="28"/>
          <w:lang w:val="uk-UA"/>
        </w:rPr>
        <w:br/>
      </w:r>
      <w:r w:rsidRPr="00112A09">
        <w:rPr>
          <w:sz w:val="28"/>
          <w:szCs w:val="28"/>
        </w:rPr>
        <w:t>V</w:t>
      </w:r>
      <w:r w:rsidRPr="00112A09">
        <w:rPr>
          <w:sz w:val="28"/>
          <w:szCs w:val="28"/>
          <w:lang w:val="uk-UA"/>
        </w:rPr>
        <w:t xml:space="preserve"> національному з’їзді фармакологів України (Запоріжжя, 2017);  </w:t>
      </w:r>
      <w:r w:rsidRPr="00112A09">
        <w:rPr>
          <w:spacing w:val="6"/>
          <w:sz w:val="28"/>
          <w:szCs w:val="28"/>
          <w:lang w:val="uk-UA"/>
        </w:rPr>
        <w:t>міжнародній  науково-практичній конференції «</w:t>
      </w:r>
      <w:r w:rsidRPr="00112A09">
        <w:rPr>
          <w:sz w:val="28"/>
          <w:szCs w:val="28"/>
          <w:lang w:val="uk-UA"/>
        </w:rPr>
        <w:t>Роль сучасної медицини у житті людини та її місце у формуванні здорового способу життя» (Львів, 2017);</w:t>
      </w:r>
      <w:r w:rsidRPr="00112A09">
        <w:rPr>
          <w:spacing w:val="6"/>
          <w:sz w:val="28"/>
          <w:szCs w:val="28"/>
          <w:lang w:val="uk-UA"/>
        </w:rPr>
        <w:t xml:space="preserve"> </w:t>
      </w:r>
      <w:r w:rsidRPr="00112A09">
        <w:rPr>
          <w:sz w:val="28"/>
          <w:szCs w:val="28"/>
          <w:lang w:val="uk-UA"/>
        </w:rPr>
        <w:t>4</w:t>
      </w:r>
      <w:r w:rsidRPr="00112A09">
        <w:rPr>
          <w:sz w:val="28"/>
          <w:szCs w:val="28"/>
          <w:vertAlign w:val="superscript"/>
          <w:lang w:val="en-US"/>
        </w:rPr>
        <w:t>th</w:t>
      </w:r>
      <w:r w:rsidRPr="00112A09">
        <w:rPr>
          <w:spacing w:val="6"/>
          <w:sz w:val="28"/>
          <w:szCs w:val="28"/>
          <w:lang w:val="uk-UA"/>
        </w:rPr>
        <w:t xml:space="preserve"> International Electronic Conference on Medicinal Chemistry (Бельгія, 2018); міжнародній  науково-практичній конференції </w:t>
      </w:r>
      <w:r w:rsidRPr="00112A09">
        <w:rPr>
          <w:sz w:val="28"/>
          <w:szCs w:val="28"/>
          <w:lang w:val="uk-UA"/>
        </w:rPr>
        <w:t xml:space="preserve">«Вітчизняна та світова медицина в умовах сучасності» (Дніпро, 2018); </w:t>
      </w:r>
      <w:r w:rsidRPr="00112A09">
        <w:rPr>
          <w:spacing w:val="6"/>
          <w:sz w:val="28"/>
          <w:szCs w:val="28"/>
          <w:lang w:val="uk-UA"/>
        </w:rPr>
        <w:t>міжнародній  науково-практичній конференції «</w:t>
      </w:r>
      <w:r w:rsidRPr="00112A09">
        <w:rPr>
          <w:sz w:val="28"/>
          <w:szCs w:val="28"/>
          <w:lang w:val="uk-UA"/>
        </w:rPr>
        <w:t xml:space="preserve">Сучасні проблеми світової медицини та її роль у забезпеченні здоров’я світового співтовариства» (Одеса, 2018); </w:t>
      </w:r>
      <w:r w:rsidRPr="00112A09">
        <w:rPr>
          <w:spacing w:val="6"/>
          <w:sz w:val="28"/>
          <w:szCs w:val="28"/>
          <w:lang w:val="uk-UA"/>
        </w:rPr>
        <w:t>міжнародній  науково-практичній конференції «</w:t>
      </w:r>
      <w:r w:rsidRPr="00112A09">
        <w:rPr>
          <w:sz w:val="28"/>
          <w:szCs w:val="28"/>
          <w:lang w:val="uk-UA"/>
        </w:rPr>
        <w:t>Сучасні наукові дослідження представників медичної науки – прогрес медицини майбутнього» (Київ, 2019).</w:t>
      </w:r>
    </w:p>
    <w:p w14:paraId="45ECE164" w14:textId="3A4B792C" w:rsidR="0071066B" w:rsidRPr="00112A09" w:rsidRDefault="0071066B" w:rsidP="0071066B">
      <w:pPr>
        <w:pStyle w:val="a6"/>
        <w:spacing w:before="0" w:beforeAutospacing="0" w:after="0" w:afterAutospacing="0" w:line="360" w:lineRule="auto"/>
        <w:ind w:firstLine="567"/>
        <w:jc w:val="both"/>
        <w:rPr>
          <w:color w:val="000000"/>
          <w:sz w:val="28"/>
          <w:szCs w:val="28"/>
          <w:lang w:val="uk-UA"/>
        </w:rPr>
      </w:pPr>
      <w:r w:rsidRPr="00112A09">
        <w:rPr>
          <w:b/>
          <w:spacing w:val="6"/>
          <w:sz w:val="28"/>
          <w:szCs w:val="28"/>
          <w:lang w:val="uk-UA"/>
        </w:rPr>
        <w:t xml:space="preserve">Публікації. </w:t>
      </w:r>
      <w:r w:rsidRPr="00112A09">
        <w:rPr>
          <w:spacing w:val="6"/>
          <w:sz w:val="28"/>
          <w:szCs w:val="28"/>
          <w:lang w:val="uk-UA"/>
        </w:rPr>
        <w:t xml:space="preserve">За матеріалами дисертації було опубліковано 16 наукових робіт, в яких повною мірою відображено її зміст, у тому числі 5 статей у наукових фахових виданнях, рекомендованих ДАК МОН України </w:t>
      </w:r>
      <w:r w:rsidR="00821BED">
        <w:rPr>
          <w:spacing w:val="6"/>
          <w:sz w:val="28"/>
          <w:szCs w:val="28"/>
          <w:lang w:val="uk-UA"/>
        </w:rPr>
        <w:br/>
      </w:r>
      <w:r w:rsidRPr="00112A09">
        <w:rPr>
          <w:spacing w:val="6"/>
          <w:sz w:val="28"/>
          <w:szCs w:val="28"/>
          <w:lang w:val="uk-UA"/>
        </w:rPr>
        <w:t xml:space="preserve">(1 </w:t>
      </w:r>
      <w:r w:rsidRPr="00112A09">
        <w:rPr>
          <w:sz w:val="28"/>
          <w:szCs w:val="28"/>
          <w:lang w:val="uk-UA"/>
        </w:rPr>
        <w:t>–</w:t>
      </w:r>
      <w:r w:rsidRPr="00112A09">
        <w:rPr>
          <w:spacing w:val="6"/>
          <w:sz w:val="28"/>
          <w:szCs w:val="28"/>
          <w:lang w:val="uk-UA"/>
        </w:rPr>
        <w:t xml:space="preserve"> іноземною мовою) та 1 у закордонних виданнях, </w:t>
      </w:r>
      <w:r w:rsidRPr="00112A09">
        <w:rPr>
          <w:color w:val="000000"/>
          <w:sz w:val="28"/>
          <w:szCs w:val="28"/>
          <w:lang w:val="uk-UA"/>
        </w:rPr>
        <w:t>10 тез доповідей у матеріалах міжнародних та вітчизняних конференцій.</w:t>
      </w:r>
    </w:p>
    <w:p w14:paraId="2B8F992A" w14:textId="77777777" w:rsidR="0071066B" w:rsidRPr="00112A09" w:rsidRDefault="0071066B" w:rsidP="0071066B">
      <w:pPr>
        <w:pStyle w:val="a6"/>
        <w:spacing w:before="0" w:beforeAutospacing="0" w:after="0" w:afterAutospacing="0" w:line="360" w:lineRule="auto"/>
        <w:ind w:firstLine="567"/>
        <w:jc w:val="both"/>
        <w:rPr>
          <w:sz w:val="28"/>
          <w:szCs w:val="28"/>
          <w:lang w:val="uk-UA"/>
        </w:rPr>
      </w:pPr>
      <w:r w:rsidRPr="00112A09">
        <w:rPr>
          <w:b/>
          <w:bCs/>
          <w:sz w:val="28"/>
          <w:szCs w:val="28"/>
          <w:lang w:val="uk-UA"/>
        </w:rPr>
        <w:t xml:space="preserve">Структура та обсяг дисертації. </w:t>
      </w:r>
      <w:r w:rsidRPr="00112A09">
        <w:rPr>
          <w:bCs/>
          <w:sz w:val="28"/>
          <w:szCs w:val="28"/>
          <w:lang w:val="uk-UA"/>
        </w:rPr>
        <w:t>Дисертацію викладено українською мовою на 1</w:t>
      </w:r>
      <w:r w:rsidRPr="00112A09">
        <w:rPr>
          <w:bCs/>
          <w:sz w:val="28"/>
          <w:szCs w:val="28"/>
        </w:rPr>
        <w:t>72</w:t>
      </w:r>
      <w:r w:rsidRPr="00112A09">
        <w:rPr>
          <w:bCs/>
          <w:sz w:val="28"/>
          <w:szCs w:val="28"/>
          <w:lang w:val="uk-UA"/>
        </w:rPr>
        <w:t xml:space="preserve"> сторінках </w:t>
      </w:r>
      <w:r w:rsidRPr="00112A09">
        <w:rPr>
          <w:sz w:val="28"/>
          <w:szCs w:val="28"/>
          <w:lang w:val="uk-UA"/>
        </w:rPr>
        <w:t xml:space="preserve">комп’ютерного тексту. Робота складається з анотації вступу, огляду наукових джерел, опису матеріалів та методів досліджень, 3 розділів власних досліджень, аналізу та узагальнення результатів, висновків, списку використаної літератури та додатків. </w:t>
      </w:r>
      <w:r w:rsidRPr="00112A09">
        <w:rPr>
          <w:spacing w:val="-4"/>
          <w:sz w:val="28"/>
          <w:szCs w:val="28"/>
          <w:lang w:val="uk-UA"/>
        </w:rPr>
        <w:t>Робота проілюстрована 32 рисунками, 15 таблицями. Список використаних джерел містить 2</w:t>
      </w:r>
      <w:r w:rsidRPr="00112A09">
        <w:rPr>
          <w:spacing w:val="-4"/>
          <w:sz w:val="28"/>
          <w:szCs w:val="28"/>
        </w:rPr>
        <w:t>62</w:t>
      </w:r>
      <w:r w:rsidRPr="00112A09">
        <w:rPr>
          <w:spacing w:val="-4"/>
          <w:sz w:val="28"/>
          <w:szCs w:val="28"/>
          <w:lang w:val="uk-UA"/>
        </w:rPr>
        <w:t xml:space="preserve"> найменувань, з них 4</w:t>
      </w:r>
      <w:r w:rsidRPr="00112A09">
        <w:rPr>
          <w:spacing w:val="-4"/>
          <w:sz w:val="28"/>
          <w:szCs w:val="28"/>
        </w:rPr>
        <w:t>0</w:t>
      </w:r>
      <w:r w:rsidRPr="00112A09">
        <w:rPr>
          <w:spacing w:val="-4"/>
          <w:sz w:val="28"/>
          <w:szCs w:val="28"/>
          <w:lang w:val="uk-UA"/>
        </w:rPr>
        <w:t xml:space="preserve"> кирилицею, 2</w:t>
      </w:r>
      <w:r w:rsidRPr="00112A09">
        <w:rPr>
          <w:spacing w:val="-4"/>
          <w:sz w:val="28"/>
          <w:szCs w:val="28"/>
        </w:rPr>
        <w:t>22</w:t>
      </w:r>
      <w:r w:rsidRPr="00112A09">
        <w:rPr>
          <w:spacing w:val="-4"/>
          <w:sz w:val="28"/>
          <w:szCs w:val="28"/>
          <w:lang w:val="uk-UA"/>
        </w:rPr>
        <w:t xml:space="preserve"> латиною.</w:t>
      </w:r>
    </w:p>
    <w:p w14:paraId="5A1980F6" w14:textId="7E515F1C" w:rsidR="00F05F4E" w:rsidRPr="00B85935" w:rsidRDefault="00FD0D07" w:rsidP="0071066B">
      <w:pPr>
        <w:spacing w:line="360" w:lineRule="auto"/>
        <w:rPr>
          <w:sz w:val="28"/>
          <w:szCs w:val="28"/>
        </w:rPr>
      </w:pPr>
      <w:r w:rsidRPr="00112A09">
        <w:rPr>
          <w:sz w:val="28"/>
          <w:szCs w:val="28"/>
          <w:lang w:val="uk-UA"/>
        </w:rPr>
        <w:br w:type="page"/>
      </w:r>
    </w:p>
    <w:p w14:paraId="7770AD20" w14:textId="5EBCB86E" w:rsidR="00F05F4E" w:rsidRPr="00112A09" w:rsidRDefault="00FD0D07" w:rsidP="00F05F4E">
      <w:pPr>
        <w:pStyle w:val="10"/>
        <w:rPr>
          <w:szCs w:val="28"/>
          <w:lang w:val="uk-UA"/>
        </w:rPr>
      </w:pPr>
      <w:r w:rsidRPr="00112A09">
        <w:rPr>
          <w:szCs w:val="28"/>
          <w:lang w:val="uk-UA"/>
        </w:rPr>
        <w:lastRenderedPageBreak/>
        <w:t>РОЗДІЛ 1</w:t>
      </w:r>
    </w:p>
    <w:p w14:paraId="7EDD96A5" w14:textId="47181EC7" w:rsidR="00C57D1F" w:rsidRPr="00112A09" w:rsidRDefault="00461A45" w:rsidP="00FD0D07">
      <w:pPr>
        <w:pStyle w:val="10"/>
        <w:rPr>
          <w:szCs w:val="28"/>
          <w:lang w:val="uk-UA"/>
        </w:rPr>
      </w:pPr>
      <w:r w:rsidRPr="00112A09">
        <w:rPr>
          <w:szCs w:val="28"/>
          <w:lang w:val="uk-UA"/>
        </w:rPr>
        <w:t xml:space="preserve">ГІДРАЗОНИ ЯК ПОТЕНЦІЙНІ ПРОТИЗАПАЛЬНІ ТА АНАЛГЕЗУЮЧІ ЗАСОБИ </w:t>
      </w:r>
    </w:p>
    <w:p w14:paraId="5B83178E" w14:textId="75E5759A" w:rsidR="00FD0D07" w:rsidRPr="00112A09" w:rsidRDefault="00C57D1F" w:rsidP="00FD0D07">
      <w:pPr>
        <w:pStyle w:val="10"/>
        <w:rPr>
          <w:szCs w:val="28"/>
          <w:lang w:val="uk-UA"/>
        </w:rPr>
      </w:pPr>
      <w:r w:rsidRPr="00112A09">
        <w:rPr>
          <w:szCs w:val="28"/>
        </w:rPr>
        <w:t xml:space="preserve"> </w:t>
      </w:r>
      <w:r w:rsidR="00FD0D07" w:rsidRPr="00112A09">
        <w:rPr>
          <w:szCs w:val="28"/>
        </w:rPr>
        <w:t>(Огляд літератури)</w:t>
      </w:r>
      <w:r w:rsidR="00FD0D07" w:rsidRPr="00112A09">
        <w:rPr>
          <w:szCs w:val="28"/>
          <w:lang w:val="uk-UA"/>
        </w:rPr>
        <w:t xml:space="preserve"> </w:t>
      </w:r>
    </w:p>
    <w:p w14:paraId="4F2B7B3A" w14:textId="3BABE8DD" w:rsidR="00FD0D07" w:rsidRPr="00112A09" w:rsidRDefault="00FD0D07" w:rsidP="00FD0D07">
      <w:pPr>
        <w:spacing w:line="360" w:lineRule="auto"/>
        <w:ind w:firstLine="567"/>
        <w:jc w:val="both"/>
        <w:rPr>
          <w:sz w:val="28"/>
          <w:szCs w:val="28"/>
          <w:lang w:val="uk-UA"/>
        </w:rPr>
      </w:pPr>
      <w:r w:rsidRPr="00112A09">
        <w:rPr>
          <w:sz w:val="28"/>
          <w:szCs w:val="28"/>
          <w:lang w:val="uk-UA"/>
        </w:rPr>
        <w:t>Міжнародна Асоціація з Вивчення Болю визначає біль як неприємний сенсорний та емоційний досвід, пов’язаний із реальним або потенційним пошкодженням тканин чі подібний до нього [</w:t>
      </w:r>
      <w:r w:rsidR="00390008" w:rsidRPr="00112A09">
        <w:rPr>
          <w:sz w:val="28"/>
          <w:szCs w:val="28"/>
          <w:lang w:val="uk-UA"/>
        </w:rPr>
        <w:t>23</w:t>
      </w:r>
      <w:r w:rsidRPr="00112A09">
        <w:rPr>
          <w:sz w:val="28"/>
          <w:szCs w:val="28"/>
          <w:lang w:val="uk-UA"/>
        </w:rPr>
        <w:t>].</w:t>
      </w:r>
    </w:p>
    <w:p w14:paraId="52233557" w14:textId="4D113389" w:rsidR="00FD0D07" w:rsidRPr="00112A09" w:rsidRDefault="00FD0D07" w:rsidP="00FD0D07">
      <w:pPr>
        <w:spacing w:line="360" w:lineRule="auto"/>
        <w:ind w:firstLine="567"/>
        <w:jc w:val="both"/>
        <w:rPr>
          <w:sz w:val="28"/>
          <w:szCs w:val="28"/>
          <w:lang w:val="uk-UA"/>
        </w:rPr>
      </w:pPr>
      <w:r w:rsidRPr="00112A09">
        <w:rPr>
          <w:sz w:val="28"/>
          <w:szCs w:val="28"/>
          <w:lang w:val="uk-UA"/>
        </w:rPr>
        <w:t>Відповідно до причини біль класифікують на три типи. По-перше, біль, виникає в результаті пошкоджень (екстремальні температури або гострі предмети) називається ноцицептивним болем. Як правило, біль вважається негативним почуттям, яке потрібно усунути, але ноцицептивний біль є важливою захисною функцією організму [</w:t>
      </w:r>
      <w:r w:rsidR="00390008" w:rsidRPr="00112A09">
        <w:rPr>
          <w:sz w:val="28"/>
          <w:szCs w:val="28"/>
          <w:lang w:val="uk-UA"/>
        </w:rPr>
        <w:t>24</w:t>
      </w:r>
      <w:r w:rsidRPr="00112A09">
        <w:rPr>
          <w:sz w:val="28"/>
          <w:szCs w:val="28"/>
          <w:lang w:val="uk-UA"/>
        </w:rPr>
        <w:t>].</w:t>
      </w:r>
    </w:p>
    <w:p w14:paraId="2BC21935" w14:textId="609946F2" w:rsidR="00FD0D07" w:rsidRPr="00112A09" w:rsidRDefault="00FD0D07" w:rsidP="00FD0D07">
      <w:pPr>
        <w:spacing w:line="360" w:lineRule="auto"/>
        <w:ind w:firstLine="567"/>
        <w:jc w:val="both"/>
        <w:rPr>
          <w:sz w:val="28"/>
          <w:szCs w:val="28"/>
          <w:lang w:val="uk-UA"/>
        </w:rPr>
      </w:pPr>
      <w:r w:rsidRPr="00112A09">
        <w:rPr>
          <w:sz w:val="28"/>
          <w:szCs w:val="28"/>
          <w:lang w:val="uk-UA"/>
        </w:rPr>
        <w:t>Другий тип болю -  запальний біль, що викликається активацією імунної системи. Запалення після пошкодження тканин або інфекції характеризується вивільненням прозапальних медіаторів, включаючи брадикінін, простагландини, фактори росту нервів, прозапальні цитокіни та хемокіни з імунних клітин. Ці медіатори зв'язуються з больовими рецепторами, що уявляють собою «мовчазні» ноцицептори, які активуються тільки після вивільнення прозапальних медиаторів [</w:t>
      </w:r>
      <w:r w:rsidR="00390008" w:rsidRPr="00112A09">
        <w:rPr>
          <w:sz w:val="28"/>
          <w:szCs w:val="28"/>
          <w:lang w:val="uk-UA"/>
        </w:rPr>
        <w:t>2</w:t>
      </w:r>
      <w:r w:rsidR="00B85935">
        <w:rPr>
          <w:sz w:val="28"/>
          <w:szCs w:val="28"/>
          <w:lang w:val="uk-UA"/>
        </w:rPr>
        <w:t>5</w:t>
      </w:r>
      <w:r w:rsidRPr="00112A09">
        <w:rPr>
          <w:sz w:val="28"/>
          <w:szCs w:val="28"/>
          <w:lang w:val="uk-UA"/>
        </w:rPr>
        <w:t>]. За звичайних умов гостре запалення має важливе значення для захисту організму від патогенних мікроорганізмів, а також для сприяє загоєнню та відновленню тканин. І навпаки, хронічне запалення, яке триває 6 тижнів і довше, не приносить користі, а призводить до пошкодження тканин і викликає біль [</w:t>
      </w:r>
      <w:r w:rsidR="00390008" w:rsidRPr="00112A09">
        <w:rPr>
          <w:sz w:val="28"/>
          <w:szCs w:val="28"/>
          <w:lang w:val="uk-UA"/>
        </w:rPr>
        <w:t>2</w:t>
      </w:r>
      <w:r w:rsidR="00FE60C3" w:rsidRPr="00112A09">
        <w:rPr>
          <w:sz w:val="28"/>
          <w:szCs w:val="28"/>
        </w:rPr>
        <w:t>6</w:t>
      </w:r>
      <w:r w:rsidRPr="00112A09">
        <w:rPr>
          <w:sz w:val="28"/>
          <w:szCs w:val="28"/>
          <w:lang w:val="uk-UA"/>
        </w:rPr>
        <w:t>].</w:t>
      </w:r>
    </w:p>
    <w:p w14:paraId="504DCE7C" w14:textId="7343A2D4" w:rsidR="00FD0D07" w:rsidRPr="00112A09" w:rsidRDefault="00FD0D07" w:rsidP="00FD0D07">
      <w:pPr>
        <w:spacing w:line="360" w:lineRule="auto"/>
        <w:ind w:firstLine="567"/>
        <w:jc w:val="both"/>
        <w:rPr>
          <w:sz w:val="28"/>
          <w:szCs w:val="28"/>
          <w:lang w:val="uk-UA"/>
        </w:rPr>
      </w:pPr>
      <w:r w:rsidRPr="00112A09">
        <w:rPr>
          <w:sz w:val="28"/>
          <w:szCs w:val="28"/>
          <w:lang w:val="uk-UA"/>
        </w:rPr>
        <w:t>Хоча гострий біль можна вважати адаптивним, хронічний біль за відсутності травми, після її усунення або після пошкодження нервової системи є патологічним станом, що має важливе клінічне, соціальне та економічне значення [</w:t>
      </w:r>
      <w:r w:rsidR="00390008" w:rsidRPr="00112A09">
        <w:rPr>
          <w:sz w:val="28"/>
          <w:szCs w:val="28"/>
          <w:lang w:val="uk-UA"/>
        </w:rPr>
        <w:t>2</w:t>
      </w:r>
      <w:r w:rsidR="00FE60C3" w:rsidRPr="00112A09">
        <w:rPr>
          <w:sz w:val="28"/>
          <w:szCs w:val="28"/>
          <w:lang w:val="uk-UA"/>
        </w:rPr>
        <w:t>7</w:t>
      </w:r>
      <w:r w:rsidRPr="00112A09">
        <w:rPr>
          <w:sz w:val="28"/>
          <w:szCs w:val="28"/>
          <w:lang w:val="uk-UA"/>
        </w:rPr>
        <w:t xml:space="preserve">]. </w:t>
      </w:r>
    </w:p>
    <w:p w14:paraId="53F748C8" w14:textId="0AE0459D" w:rsidR="00FD0D07" w:rsidRPr="00112A09" w:rsidRDefault="00FD0D07" w:rsidP="00FD0D07">
      <w:pPr>
        <w:spacing w:line="360" w:lineRule="auto"/>
        <w:ind w:firstLine="567"/>
        <w:jc w:val="both"/>
        <w:rPr>
          <w:sz w:val="28"/>
          <w:szCs w:val="28"/>
          <w:lang w:val="uk-UA"/>
        </w:rPr>
      </w:pPr>
      <w:r w:rsidRPr="00112A09">
        <w:rPr>
          <w:sz w:val="28"/>
          <w:szCs w:val="28"/>
          <w:lang w:val="uk-UA"/>
        </w:rPr>
        <w:t xml:space="preserve">Третій вид болю, той що виникає внаслідок порушення роботи нервової системи. Його можна розділити на два підтипи залежно від наявності пошкоджень; перший - невропатичний біль, який виникає після пошкодження </w:t>
      </w:r>
      <w:r w:rsidRPr="00112A09">
        <w:rPr>
          <w:sz w:val="28"/>
          <w:szCs w:val="28"/>
          <w:lang w:val="uk-UA"/>
        </w:rPr>
        <w:lastRenderedPageBreak/>
        <w:t>нерва; другий - дисфункціональний біль, який може виникати за відсутності запалення або пошкодження нервів [</w:t>
      </w:r>
      <w:r w:rsidR="00390008" w:rsidRPr="00112A09">
        <w:rPr>
          <w:sz w:val="28"/>
          <w:szCs w:val="28"/>
          <w:lang w:val="uk-UA"/>
        </w:rPr>
        <w:t>24</w:t>
      </w:r>
      <w:r w:rsidRPr="00112A09">
        <w:rPr>
          <w:sz w:val="28"/>
          <w:szCs w:val="28"/>
          <w:lang w:val="uk-UA"/>
        </w:rPr>
        <w:t>].</w:t>
      </w:r>
    </w:p>
    <w:p w14:paraId="50B00369" w14:textId="1FD8336E" w:rsidR="00FD0D07" w:rsidRPr="00112A09" w:rsidRDefault="00FD0D07" w:rsidP="00FD0D07">
      <w:pPr>
        <w:spacing w:line="360" w:lineRule="auto"/>
        <w:ind w:firstLine="567"/>
        <w:jc w:val="both"/>
        <w:rPr>
          <w:sz w:val="28"/>
          <w:szCs w:val="28"/>
          <w:lang w:val="uk-UA"/>
        </w:rPr>
      </w:pPr>
      <w:r w:rsidRPr="00112A09">
        <w:rPr>
          <w:sz w:val="28"/>
          <w:szCs w:val="28"/>
          <w:lang w:val="uk-UA"/>
        </w:rPr>
        <w:t>Сучасні методи лікування болю забезпечують не завжди адекватну тривалість та/або ступінь полегшення [</w:t>
      </w:r>
      <w:r w:rsidR="00B85935" w:rsidRPr="00B85935">
        <w:rPr>
          <w:sz w:val="28"/>
          <w:szCs w:val="28"/>
          <w:lang w:val="uk-UA"/>
        </w:rPr>
        <w:t>5</w:t>
      </w:r>
      <w:r w:rsidRPr="00112A09">
        <w:rPr>
          <w:sz w:val="28"/>
          <w:szCs w:val="28"/>
          <w:lang w:val="uk-UA"/>
        </w:rPr>
        <w:t xml:space="preserve">], підкреслюючи нагальну потребу в нових ефективних знеболюючих засобах. </w:t>
      </w:r>
    </w:p>
    <w:p w14:paraId="0B7FBC6C" w14:textId="6AC12AE1" w:rsidR="00FD0D07" w:rsidRPr="00112A09" w:rsidRDefault="00FD0D07" w:rsidP="00FD0D07">
      <w:pPr>
        <w:spacing w:line="360" w:lineRule="auto"/>
        <w:ind w:firstLine="567"/>
        <w:jc w:val="both"/>
        <w:rPr>
          <w:sz w:val="28"/>
          <w:szCs w:val="28"/>
          <w:lang w:val="uk-UA"/>
        </w:rPr>
      </w:pPr>
      <w:r w:rsidRPr="00112A09">
        <w:rPr>
          <w:sz w:val="28"/>
          <w:szCs w:val="28"/>
          <w:lang w:val="uk-UA"/>
        </w:rPr>
        <w:t>Зазвичай лікарі використовують комбінації різних груп лікарських засобів, які націлені на різні механізми дії, що часто призводить до синергетичного знеболюючого ефекту [</w:t>
      </w:r>
      <w:r w:rsidR="00FE60C3" w:rsidRPr="00112A09">
        <w:rPr>
          <w:sz w:val="28"/>
          <w:szCs w:val="28"/>
          <w:lang w:val="uk-UA"/>
        </w:rPr>
        <w:t>2</w:t>
      </w:r>
      <w:r w:rsidR="00B85935">
        <w:rPr>
          <w:sz w:val="28"/>
          <w:szCs w:val="28"/>
          <w:lang w:val="uk-UA"/>
        </w:rPr>
        <w:t>8</w:t>
      </w:r>
      <w:r w:rsidRPr="00112A09">
        <w:rPr>
          <w:sz w:val="28"/>
          <w:szCs w:val="28"/>
          <w:lang w:val="uk-UA"/>
        </w:rPr>
        <w:t>]. Місцеві анестетики, опіоїди, нестероїдні протизапальні препарати є найбільш часто комбінованими групами ліків, які діють на різні рецептори, включаючи центральну та периферичну системи, для контролю болю [</w:t>
      </w:r>
      <w:r w:rsidR="00B85935">
        <w:rPr>
          <w:sz w:val="28"/>
          <w:szCs w:val="28"/>
          <w:lang w:val="uk-UA"/>
        </w:rPr>
        <w:t>29</w:t>
      </w:r>
      <w:r w:rsidRPr="00112A09">
        <w:rPr>
          <w:sz w:val="28"/>
          <w:szCs w:val="28"/>
          <w:lang w:val="uk-UA"/>
        </w:rPr>
        <w:t>].</w:t>
      </w:r>
    </w:p>
    <w:p w14:paraId="264341A9" w14:textId="67FB6292" w:rsidR="00F05F4E" w:rsidRPr="00112A09" w:rsidRDefault="00FD0D07" w:rsidP="00F05F4E">
      <w:pPr>
        <w:spacing w:line="360" w:lineRule="auto"/>
        <w:ind w:firstLine="567"/>
        <w:jc w:val="both"/>
        <w:rPr>
          <w:sz w:val="28"/>
          <w:szCs w:val="28"/>
          <w:lang w:val="uk-UA"/>
        </w:rPr>
      </w:pPr>
      <w:r w:rsidRPr="00112A09">
        <w:rPr>
          <w:sz w:val="28"/>
          <w:szCs w:val="28"/>
          <w:lang w:val="uk-UA"/>
        </w:rPr>
        <w:t>Існуючі знеболюючі препарати мають ряд побічних ефектів, що включають толерантність, залежність, дисфункцію шлунково-кишкового тракту, когнітивні порушення та вузьке терапевтичне вікно, у наслідок чого пошук нових анальгетиків стає все більш важливим.</w:t>
      </w:r>
    </w:p>
    <w:p w14:paraId="59ED064A" w14:textId="057E0BFB" w:rsidR="00FD0D07" w:rsidRPr="00112A09" w:rsidRDefault="00FD0D07" w:rsidP="00FD0D07">
      <w:pPr>
        <w:pStyle w:val="12"/>
        <w:spacing w:line="360" w:lineRule="auto"/>
        <w:jc w:val="both"/>
        <w:outlineLvl w:val="1"/>
        <w:rPr>
          <w:b/>
          <w:sz w:val="28"/>
          <w:szCs w:val="28"/>
          <w:lang w:val="uk-UA"/>
        </w:rPr>
      </w:pPr>
      <w:r w:rsidRPr="00112A09">
        <w:rPr>
          <w:b/>
          <w:sz w:val="28"/>
          <w:szCs w:val="28"/>
          <w:lang w:val="uk-UA"/>
        </w:rPr>
        <w:t>1.</w:t>
      </w:r>
      <w:r w:rsidR="00C57D1F" w:rsidRPr="00112A09">
        <w:rPr>
          <w:b/>
          <w:sz w:val="28"/>
          <w:szCs w:val="28"/>
          <w:lang w:val="uk-UA"/>
        </w:rPr>
        <w:t xml:space="preserve">1 </w:t>
      </w:r>
      <w:r w:rsidRPr="00112A09">
        <w:rPr>
          <w:b/>
          <w:sz w:val="28"/>
          <w:szCs w:val="28"/>
          <w:lang w:val="uk-UA"/>
        </w:rPr>
        <w:t>Механізм дії знеболювальних засобів</w:t>
      </w:r>
    </w:p>
    <w:p w14:paraId="75173A71" w14:textId="7ACC6D37" w:rsidR="00FD0D07" w:rsidRPr="00112A09" w:rsidRDefault="00FD0D07" w:rsidP="00FD0D07">
      <w:pPr>
        <w:spacing w:line="360" w:lineRule="auto"/>
        <w:ind w:firstLine="567"/>
        <w:jc w:val="both"/>
        <w:rPr>
          <w:sz w:val="28"/>
          <w:szCs w:val="28"/>
          <w:lang w:val="uk-UA"/>
        </w:rPr>
      </w:pPr>
      <w:r w:rsidRPr="00112A09">
        <w:rPr>
          <w:sz w:val="28"/>
          <w:szCs w:val="28"/>
          <w:lang w:val="uk-UA"/>
        </w:rPr>
        <w:t>Біль, як правило, пов’язаний з підвищеною активністю у первинних сенсорних нейронах, викликаний сильними механічними або термічними подразниками, або хімічними речовинами, що виділяються при пошкодженні тканин або запаленні. Первинні сенсорні нейрони, що беруть участь у відчутті болю, вивільняють переважно речовину Р і глутамат у спинному розі спинного мозку. Ноцицептивна інформація передається в мозок через спиноталамічні шляхи. Ця висхідна інформація може активувати низхідні шляхи із периаведуктальної сірої області середнього мозку, які здійснюють гальмівний контроль над спинним рогом</w:t>
      </w:r>
      <w:r w:rsidR="00390008" w:rsidRPr="00112A09">
        <w:rPr>
          <w:sz w:val="28"/>
          <w:szCs w:val="28"/>
          <w:lang w:val="uk-UA"/>
        </w:rPr>
        <w:t xml:space="preserve"> [24-26]</w:t>
      </w:r>
      <w:r w:rsidRPr="00112A09">
        <w:rPr>
          <w:sz w:val="28"/>
          <w:szCs w:val="28"/>
          <w:lang w:val="uk-UA"/>
        </w:rPr>
        <w:t>.</w:t>
      </w:r>
    </w:p>
    <w:p w14:paraId="33B1C18C" w14:textId="0F96FC91" w:rsidR="00F05F4E" w:rsidRPr="00112A09" w:rsidRDefault="00FD0D07" w:rsidP="00F05F4E">
      <w:pPr>
        <w:spacing w:line="360" w:lineRule="auto"/>
        <w:ind w:firstLine="567"/>
        <w:jc w:val="both"/>
        <w:rPr>
          <w:sz w:val="28"/>
          <w:szCs w:val="28"/>
          <w:lang w:val="uk-UA"/>
        </w:rPr>
      </w:pPr>
      <w:r w:rsidRPr="00112A09">
        <w:rPr>
          <w:sz w:val="28"/>
          <w:szCs w:val="28"/>
          <w:lang w:val="uk-UA"/>
        </w:rPr>
        <w:t xml:space="preserve">Важливим прогресом у розумінні механізмів болю стало визнання того, що постійна активність у ноцицептивних шляхах може призвести до глибоких змін нейромедіаторів у первинних аферентних нейронах та до змін чутливості до лікування. Крім того, зміни, які відбуваються відносно больовій чутливості </w:t>
      </w:r>
      <w:r w:rsidRPr="00112A09">
        <w:rPr>
          <w:sz w:val="28"/>
          <w:szCs w:val="28"/>
          <w:lang w:val="uk-UA"/>
        </w:rPr>
        <w:lastRenderedPageBreak/>
        <w:t>при хронічних больових станах, пояснюються активацією рецептору глутамата N-метил-D-аспартату (NMDA) [</w:t>
      </w:r>
      <w:r w:rsidR="00390008" w:rsidRPr="00112A09">
        <w:rPr>
          <w:sz w:val="28"/>
          <w:szCs w:val="28"/>
          <w:lang w:val="uk-UA"/>
        </w:rPr>
        <w:t>3</w:t>
      </w:r>
      <w:r w:rsidR="00B85935">
        <w:rPr>
          <w:sz w:val="28"/>
          <w:szCs w:val="28"/>
          <w:lang w:val="uk-UA"/>
        </w:rPr>
        <w:t>0</w:t>
      </w:r>
      <w:r w:rsidRPr="00112A09">
        <w:rPr>
          <w:sz w:val="28"/>
          <w:szCs w:val="28"/>
          <w:lang w:val="uk-UA"/>
        </w:rPr>
        <w:t>].</w:t>
      </w:r>
    </w:p>
    <w:p w14:paraId="2C0B28B4" w14:textId="77777777" w:rsidR="00C57D1F" w:rsidRPr="00112A09" w:rsidRDefault="00C57D1F" w:rsidP="00F05F4E">
      <w:pPr>
        <w:spacing w:line="360" w:lineRule="auto"/>
        <w:ind w:firstLine="567"/>
        <w:jc w:val="both"/>
        <w:rPr>
          <w:sz w:val="28"/>
          <w:szCs w:val="28"/>
          <w:lang w:val="uk-UA"/>
        </w:rPr>
      </w:pPr>
    </w:p>
    <w:p w14:paraId="41764CAC" w14:textId="09B2FD6E" w:rsidR="00FD0D07" w:rsidRPr="00112A09" w:rsidRDefault="00FD0D07" w:rsidP="00FD0D07">
      <w:pPr>
        <w:pStyle w:val="12"/>
        <w:spacing w:line="360" w:lineRule="auto"/>
        <w:jc w:val="both"/>
        <w:outlineLvl w:val="1"/>
        <w:rPr>
          <w:b/>
          <w:sz w:val="28"/>
          <w:szCs w:val="28"/>
          <w:lang w:val="uk-UA"/>
        </w:rPr>
      </w:pPr>
      <w:r w:rsidRPr="00112A09">
        <w:rPr>
          <w:b/>
          <w:sz w:val="28"/>
          <w:szCs w:val="28"/>
          <w:lang w:val="uk-UA"/>
        </w:rPr>
        <w:t>1.</w:t>
      </w:r>
      <w:r w:rsidR="00C57D1F" w:rsidRPr="00112A09">
        <w:rPr>
          <w:b/>
          <w:sz w:val="28"/>
          <w:szCs w:val="28"/>
          <w:lang w:val="uk-UA"/>
        </w:rPr>
        <w:t>1</w:t>
      </w:r>
      <w:r w:rsidRPr="00112A09">
        <w:rPr>
          <w:b/>
          <w:sz w:val="28"/>
          <w:szCs w:val="28"/>
          <w:lang w:val="uk-UA"/>
        </w:rPr>
        <w:t xml:space="preserve">.1. Опіоїдні засоби у лікуванні болю </w:t>
      </w:r>
    </w:p>
    <w:p w14:paraId="7268483C" w14:textId="4D553245" w:rsidR="00FD0D07" w:rsidRPr="00112A09" w:rsidRDefault="00FD0D07" w:rsidP="00FD0D07">
      <w:pPr>
        <w:pStyle w:val="12"/>
        <w:spacing w:line="360" w:lineRule="auto"/>
        <w:ind w:left="0" w:firstLine="540"/>
        <w:jc w:val="both"/>
        <w:outlineLvl w:val="1"/>
        <w:rPr>
          <w:sz w:val="28"/>
          <w:szCs w:val="28"/>
          <w:lang w:val="uk-UA"/>
        </w:rPr>
      </w:pPr>
      <w:r w:rsidRPr="00112A09">
        <w:rPr>
          <w:sz w:val="28"/>
          <w:szCs w:val="28"/>
          <w:lang w:val="uk-UA"/>
        </w:rPr>
        <w:t>На даний момент опіоїди є найефективнішими та найпоширенішими препаратами для лікування середнього та сильного болю. Багато досліджень продемонстрували, що опіоїдні препарати мають переважну дію на афективні властивості болю [</w:t>
      </w:r>
      <w:r w:rsidR="00B85935">
        <w:rPr>
          <w:sz w:val="28"/>
          <w:szCs w:val="28"/>
          <w:lang w:val="uk-UA"/>
        </w:rPr>
        <w:t>31</w:t>
      </w:r>
      <w:r w:rsidRPr="00112A09">
        <w:rPr>
          <w:sz w:val="28"/>
          <w:szCs w:val="28"/>
          <w:lang w:val="uk-UA"/>
        </w:rPr>
        <w:t>]. Синтетичні опіоїди (трамадол, фентаніл, реміфентаніл) є засобами першої лінії для купування сильного болю (післяопераційний, онкологічний, невропатичний та інші) [</w:t>
      </w:r>
      <w:r w:rsidR="00390008" w:rsidRPr="00B85935">
        <w:rPr>
          <w:sz w:val="28"/>
          <w:szCs w:val="28"/>
          <w:lang w:val="uk-UA"/>
        </w:rPr>
        <w:t>3</w:t>
      </w:r>
      <w:r w:rsidR="00B85935">
        <w:rPr>
          <w:sz w:val="28"/>
          <w:szCs w:val="28"/>
          <w:lang w:val="uk-UA"/>
        </w:rPr>
        <w:t>2</w:t>
      </w:r>
      <w:r w:rsidRPr="00112A09">
        <w:rPr>
          <w:sz w:val="28"/>
          <w:szCs w:val="28"/>
          <w:lang w:val="uk-UA"/>
        </w:rPr>
        <w:t xml:space="preserve">]. </w:t>
      </w:r>
    </w:p>
    <w:p w14:paraId="25A81943" w14:textId="094F88D8" w:rsidR="00FD0D07" w:rsidRPr="00112A09" w:rsidRDefault="00FD0D07" w:rsidP="00FD0D07">
      <w:pPr>
        <w:spacing w:line="360" w:lineRule="auto"/>
        <w:ind w:firstLine="540"/>
        <w:jc w:val="both"/>
        <w:rPr>
          <w:sz w:val="28"/>
          <w:szCs w:val="28"/>
          <w:lang w:val="uk-UA"/>
        </w:rPr>
      </w:pPr>
      <w:r w:rsidRPr="00112A09">
        <w:rPr>
          <w:sz w:val="28"/>
          <w:szCs w:val="28"/>
          <w:lang w:val="uk-UA"/>
        </w:rPr>
        <w:t>Опіоїдні анальгетики класифікують за хімічною структурою та за типом взаємодії із опіоїдними рецепторами. Опіоїди реалізують свій знеболюючий ефект, шляхом впливу на пресинаптичні нервові закінчення і на постсинаптичні нейрони. Пресинаптична дія опіоїдів, обумовлена тим, що вони блокують кальцієві канали на ноцицептивних аферентних нервах та інгібують вивільнення нейромедіаторів, таких як речовина Р і глутамат, що вважається основним впливом опіоїдних препаратів на нервову систему</w:t>
      </w:r>
      <w:r w:rsidR="00B85935">
        <w:rPr>
          <w:sz w:val="28"/>
          <w:szCs w:val="28"/>
          <w:lang w:val="uk-UA"/>
        </w:rPr>
        <w:t xml:space="preserve"> </w:t>
      </w:r>
      <w:r w:rsidR="00B85935" w:rsidRPr="00B85935">
        <w:rPr>
          <w:sz w:val="28"/>
          <w:szCs w:val="28"/>
          <w:lang w:val="uk-UA"/>
        </w:rPr>
        <w:t>[33]</w:t>
      </w:r>
      <w:r w:rsidRPr="00112A09">
        <w:rPr>
          <w:sz w:val="28"/>
          <w:szCs w:val="28"/>
          <w:lang w:val="uk-UA"/>
        </w:rPr>
        <w:t>.</w:t>
      </w:r>
    </w:p>
    <w:p w14:paraId="3CDDF5BC" w14:textId="4FC3C55E" w:rsidR="00FD0D07" w:rsidRPr="00112A09" w:rsidRDefault="00FD0D07" w:rsidP="00FD0D07">
      <w:pPr>
        <w:spacing w:line="360" w:lineRule="auto"/>
        <w:ind w:firstLine="540"/>
        <w:jc w:val="both"/>
        <w:rPr>
          <w:sz w:val="28"/>
          <w:szCs w:val="28"/>
          <w:lang w:val="uk-UA"/>
        </w:rPr>
      </w:pPr>
      <w:r w:rsidRPr="00112A09">
        <w:rPr>
          <w:sz w:val="28"/>
          <w:szCs w:val="28"/>
          <w:lang w:val="uk-UA"/>
        </w:rPr>
        <w:t>Однак кінцевий аналгетичний ефект опіоїдних препаратів є результатом не лише їх дії на пресинаптичних ділянках мозку (тормозних і збуджуючих нейронах), а також і їх впливу на постсинаптичні нейрони. Постсинаптично опіоїди діють відкриваючи калієві канали, які гіперполяризують клітинні мембрани, збільшуючи необхідний потенціал дії для реалізації ноцицептивної передачі</w:t>
      </w:r>
      <w:r w:rsidR="008A6B7D">
        <w:rPr>
          <w:sz w:val="28"/>
          <w:szCs w:val="28"/>
          <w:lang w:val="uk-UA"/>
        </w:rPr>
        <w:t xml:space="preserve"> </w:t>
      </w:r>
      <w:r w:rsidRPr="00112A09">
        <w:rPr>
          <w:sz w:val="28"/>
          <w:szCs w:val="28"/>
          <w:lang w:val="uk-UA"/>
        </w:rPr>
        <w:t>[</w:t>
      </w:r>
      <w:r w:rsidR="00390008" w:rsidRPr="00112A09">
        <w:rPr>
          <w:sz w:val="28"/>
          <w:szCs w:val="28"/>
          <w:lang w:val="uk-UA"/>
        </w:rPr>
        <w:t>3</w:t>
      </w:r>
      <w:r w:rsidR="00B85935" w:rsidRPr="00B85935">
        <w:rPr>
          <w:sz w:val="28"/>
          <w:szCs w:val="28"/>
          <w:lang w:val="uk-UA"/>
        </w:rPr>
        <w:t>3</w:t>
      </w:r>
      <w:r w:rsidRPr="00112A09">
        <w:rPr>
          <w:sz w:val="28"/>
          <w:szCs w:val="28"/>
          <w:lang w:val="uk-UA"/>
        </w:rPr>
        <w:t>]. Периферійні сенсорні нейрони експресують μ-, δ- та κ-опіоїдні рецептори [</w:t>
      </w:r>
      <w:r w:rsidR="00390008" w:rsidRPr="00112A09">
        <w:rPr>
          <w:sz w:val="28"/>
          <w:szCs w:val="28"/>
          <w:lang w:val="uk-UA"/>
        </w:rPr>
        <w:t>3</w:t>
      </w:r>
      <w:r w:rsidR="00B85935" w:rsidRPr="00B85935">
        <w:rPr>
          <w:sz w:val="28"/>
          <w:szCs w:val="28"/>
          <w:lang w:val="uk-UA"/>
        </w:rPr>
        <w:t>4</w:t>
      </w:r>
      <w:r w:rsidRPr="00112A09">
        <w:rPr>
          <w:sz w:val="28"/>
          <w:szCs w:val="28"/>
          <w:lang w:val="uk-UA"/>
        </w:rPr>
        <w:t xml:space="preserve">]. Розташування та щільність опіоїдних рецепторів на нейроні визначає загальний вплив опіоїдів на нейрон. Опіоїди розглядають як агоністи, часткові агоністи та антагоністи опіоїдних рецепторів. </w:t>
      </w:r>
    </w:p>
    <w:p w14:paraId="2A28F155" w14:textId="24777AD8" w:rsidR="00FD0D07" w:rsidRPr="00112A09" w:rsidRDefault="00FD0D07" w:rsidP="00461A45">
      <w:pPr>
        <w:spacing w:line="360" w:lineRule="auto"/>
        <w:ind w:firstLine="540"/>
        <w:jc w:val="both"/>
        <w:rPr>
          <w:sz w:val="28"/>
          <w:szCs w:val="28"/>
          <w:lang w:val="uk-UA"/>
        </w:rPr>
      </w:pPr>
      <w:r w:rsidRPr="00112A09">
        <w:rPr>
          <w:sz w:val="28"/>
          <w:szCs w:val="28"/>
          <w:lang w:val="uk-UA"/>
        </w:rPr>
        <w:t>Фентаніл, гідроморфон, леворфанол, меперидин, морфін, оксикодон та оксиморфон вважаються сильними повноцінними агоністами або сильними опіоїдами. Кодеїн, гідрокодон, тапентадол і трамадол вважаються слабкими повними агоністами опіоїдів</w:t>
      </w:r>
      <w:r w:rsidRPr="00B85935">
        <w:rPr>
          <w:b/>
          <w:color w:val="ED7D31" w:themeColor="accent2"/>
          <w:sz w:val="28"/>
          <w:szCs w:val="28"/>
          <w:lang w:val="uk-UA"/>
        </w:rPr>
        <w:t xml:space="preserve"> </w:t>
      </w:r>
      <w:r w:rsidRPr="00B85935">
        <w:rPr>
          <w:color w:val="000000" w:themeColor="text1"/>
          <w:sz w:val="28"/>
          <w:szCs w:val="28"/>
          <w:lang w:val="uk-UA"/>
        </w:rPr>
        <w:t>[</w:t>
      </w:r>
      <w:r w:rsidR="00390008" w:rsidRPr="00B85935">
        <w:rPr>
          <w:color w:val="000000" w:themeColor="text1"/>
          <w:sz w:val="28"/>
          <w:szCs w:val="28"/>
        </w:rPr>
        <w:t>3</w:t>
      </w:r>
      <w:r w:rsidR="008A6B7D" w:rsidRPr="008A6B7D">
        <w:rPr>
          <w:color w:val="000000" w:themeColor="text1"/>
          <w:sz w:val="28"/>
          <w:szCs w:val="28"/>
        </w:rPr>
        <w:t>2</w:t>
      </w:r>
      <w:r w:rsidRPr="00B85935">
        <w:rPr>
          <w:color w:val="000000" w:themeColor="text1"/>
          <w:sz w:val="28"/>
          <w:szCs w:val="28"/>
          <w:lang w:val="uk-UA"/>
        </w:rPr>
        <w:t>].</w:t>
      </w:r>
      <w:r w:rsidRPr="00B85935">
        <w:rPr>
          <w:b/>
          <w:color w:val="000000" w:themeColor="text1"/>
          <w:sz w:val="28"/>
          <w:szCs w:val="28"/>
          <w:lang w:val="uk-UA"/>
        </w:rPr>
        <w:t xml:space="preserve"> </w:t>
      </w:r>
      <w:r w:rsidRPr="00112A09">
        <w:rPr>
          <w:sz w:val="28"/>
          <w:szCs w:val="28"/>
          <w:lang w:val="uk-UA"/>
        </w:rPr>
        <w:t xml:space="preserve">І трамадол, і тапентадол мають додаткові </w:t>
      </w:r>
      <w:r w:rsidRPr="00112A09">
        <w:rPr>
          <w:sz w:val="28"/>
          <w:szCs w:val="28"/>
          <w:lang w:val="uk-UA"/>
        </w:rPr>
        <w:lastRenderedPageBreak/>
        <w:t xml:space="preserve">механізми дії - інгібування зворотного захоплення норадреналіну і серотоніну (трамадол) та гальмування зворотного захоплення норадреналіну (тапентадол). Відомо, що деякі опіоїдні препарати можуть впливати також на кінетику серотоніну в присутності інших серотонінергічних засобів. Механізм </w:t>
      </w:r>
      <w:r w:rsidR="00461A45" w:rsidRPr="00112A09">
        <w:rPr>
          <w:sz w:val="28"/>
          <w:szCs w:val="28"/>
          <w:lang w:val="uk-UA"/>
        </w:rPr>
        <w:t xml:space="preserve">їх </w:t>
      </w:r>
      <w:r w:rsidRPr="00112A09">
        <w:rPr>
          <w:sz w:val="28"/>
          <w:szCs w:val="28"/>
          <w:lang w:val="uk-UA"/>
        </w:rPr>
        <w:t>дії полягає у гальмуванні зворотного захоплення серотоніну (посилення вивільнення внутрішньосинаптичного серотоніну шляхом інгібування дії ГАМК-ергічних нейронів) [</w:t>
      </w:r>
      <w:r w:rsidR="00390008" w:rsidRPr="00112A09">
        <w:rPr>
          <w:sz w:val="28"/>
          <w:szCs w:val="28"/>
          <w:lang w:val="uk-UA"/>
        </w:rPr>
        <w:t>3</w:t>
      </w:r>
      <w:r w:rsidR="00B85935" w:rsidRPr="00B85935">
        <w:rPr>
          <w:sz w:val="28"/>
          <w:szCs w:val="28"/>
          <w:lang w:val="uk-UA"/>
        </w:rPr>
        <w:t>5</w:t>
      </w:r>
      <w:r w:rsidRPr="00112A09">
        <w:rPr>
          <w:sz w:val="28"/>
          <w:szCs w:val="28"/>
          <w:lang w:val="uk-UA"/>
        </w:rPr>
        <w:t>]. До цієї групи опіоїдів належать трамадол, оксикодон, фентаніл, метадон, декстрометорфан, меперидин, кодеїн та бупренорфін. Дані опіоїди можуть спричинити серотоніновий синдром, тому їх слід обережно застосовувати у комбінації із препаратами, що проявляють серотонінергічну активність [</w:t>
      </w:r>
      <w:r w:rsidR="00390008" w:rsidRPr="00112A09">
        <w:rPr>
          <w:sz w:val="28"/>
          <w:szCs w:val="28"/>
          <w:lang w:val="uk-UA"/>
        </w:rPr>
        <w:t>3</w:t>
      </w:r>
      <w:r w:rsidR="00B85935" w:rsidRPr="00B85935">
        <w:rPr>
          <w:sz w:val="28"/>
          <w:szCs w:val="28"/>
          <w:lang w:val="uk-UA"/>
        </w:rPr>
        <w:t>5</w:t>
      </w:r>
      <w:r w:rsidRPr="00112A09">
        <w:rPr>
          <w:sz w:val="28"/>
          <w:szCs w:val="28"/>
          <w:lang w:val="uk-UA"/>
        </w:rPr>
        <w:t>]. Опіоїди, такі як метадон, також проявляють активність щодо рецептора NMDA. Метадон зв'язується з рецептором NMDA і антагонізує дію глутамату, що теоретично пояснює, чому метадон є ефективним при лікуванні невропатичного болю у порівнянні із іншими препаратами цієї групи.</w:t>
      </w:r>
    </w:p>
    <w:p w14:paraId="7FBF2104" w14:textId="16B08631" w:rsidR="00FD0D07" w:rsidRPr="00112A09" w:rsidRDefault="00FD0D07" w:rsidP="00FD0D07">
      <w:pPr>
        <w:spacing w:line="360" w:lineRule="auto"/>
        <w:ind w:firstLine="540"/>
        <w:jc w:val="both"/>
        <w:rPr>
          <w:sz w:val="28"/>
          <w:szCs w:val="28"/>
          <w:lang w:val="uk-UA"/>
        </w:rPr>
      </w:pPr>
      <w:r w:rsidRPr="00112A09">
        <w:rPr>
          <w:sz w:val="28"/>
          <w:szCs w:val="28"/>
          <w:lang w:val="uk-UA"/>
        </w:rPr>
        <w:t>На додаток до повної агоністичної дії на опіоїдні рецептори, існуть опіоїдні препарати, що є частковими агоністами або мають змішану агоністичну/антагоністичну активність. Часткові агоністи мають високу спорідненість до опіоїдного рецептора, але мають слабший фармакологічний ефект. Застосування опіоїдних препаратів змішанної дії (агоністів/антагоністів) не рекомендується при хронічному раковому болі, а використання часткових агоністів або агоністів/антагоністів нині не використовуються при хронічному нераковому болі [</w:t>
      </w:r>
      <w:r w:rsidR="00390008" w:rsidRPr="00112A09">
        <w:rPr>
          <w:sz w:val="28"/>
          <w:szCs w:val="28"/>
          <w:lang w:val="uk-UA"/>
        </w:rPr>
        <w:t>3</w:t>
      </w:r>
      <w:r w:rsidR="00B85935" w:rsidRPr="00B85935">
        <w:rPr>
          <w:sz w:val="28"/>
          <w:szCs w:val="28"/>
          <w:lang w:val="uk-UA"/>
        </w:rPr>
        <w:t>6</w:t>
      </w:r>
      <w:r w:rsidRPr="00112A09">
        <w:rPr>
          <w:sz w:val="28"/>
          <w:szCs w:val="28"/>
          <w:lang w:val="uk-UA"/>
        </w:rPr>
        <w:t>].</w:t>
      </w:r>
    </w:p>
    <w:p w14:paraId="6262A02B" w14:textId="0D18B17D" w:rsidR="00FD0D07" w:rsidRPr="00112A09" w:rsidRDefault="00FD0D07" w:rsidP="00FD0D07">
      <w:pPr>
        <w:spacing w:line="360" w:lineRule="auto"/>
        <w:ind w:firstLine="540"/>
        <w:jc w:val="both"/>
        <w:rPr>
          <w:sz w:val="28"/>
          <w:szCs w:val="28"/>
          <w:lang w:val="uk-UA"/>
        </w:rPr>
      </w:pPr>
      <w:r w:rsidRPr="00112A09">
        <w:rPr>
          <w:sz w:val="28"/>
          <w:szCs w:val="28"/>
          <w:lang w:val="uk-UA"/>
        </w:rPr>
        <w:t xml:space="preserve">Через розподіл опіоїдних рецепторів як у центральній нервовій системі, так і за її межами, опіоїдні анальгетики викликають широкий спектр побічних ефектів, включаючи дисфорію, ейфорію, седацію, пригнічення дихання, запор, пригнічення ендокринної системи, серцево-судинні розлади (наприклад, брадикардію), судоми, нудоту, блювання, свербіж та міоз. На додаток до цього, тривале використання опіоїдних анальгетиків може спричинити </w:t>
      </w:r>
      <w:r w:rsidRPr="00112A09">
        <w:rPr>
          <w:sz w:val="28"/>
          <w:szCs w:val="28"/>
          <w:lang w:val="uk-UA"/>
        </w:rPr>
        <w:lastRenderedPageBreak/>
        <w:t>толерантність, фізичну та психічну залежність, наркоманію та, в деяких випадках, індуковану опіоїдами гіпералгезію та/або алодинію [</w:t>
      </w:r>
      <w:r w:rsidR="00FE60C3" w:rsidRPr="00B85935">
        <w:rPr>
          <w:sz w:val="28"/>
          <w:szCs w:val="28"/>
          <w:lang w:val="uk-UA"/>
        </w:rPr>
        <w:t>3</w:t>
      </w:r>
      <w:r w:rsidR="00B85935" w:rsidRPr="001759D5">
        <w:rPr>
          <w:sz w:val="28"/>
          <w:szCs w:val="28"/>
          <w:lang w:val="uk-UA"/>
        </w:rPr>
        <w:t>7</w:t>
      </w:r>
      <w:r w:rsidRPr="00112A09">
        <w:rPr>
          <w:sz w:val="28"/>
          <w:szCs w:val="28"/>
          <w:lang w:val="uk-UA"/>
        </w:rPr>
        <w:t>].</w:t>
      </w:r>
    </w:p>
    <w:p w14:paraId="42C326A3" w14:textId="1AECBCE7" w:rsidR="00FD0D07" w:rsidRPr="00112A09" w:rsidRDefault="00FD0D07" w:rsidP="00F05F4E">
      <w:pPr>
        <w:pStyle w:val="12"/>
        <w:spacing w:line="360" w:lineRule="auto"/>
        <w:ind w:left="0" w:firstLine="540"/>
        <w:jc w:val="both"/>
        <w:outlineLvl w:val="1"/>
        <w:rPr>
          <w:sz w:val="28"/>
          <w:szCs w:val="28"/>
          <w:lang w:val="uk-UA"/>
        </w:rPr>
      </w:pPr>
      <w:r w:rsidRPr="00112A09">
        <w:rPr>
          <w:sz w:val="28"/>
          <w:szCs w:val="28"/>
          <w:lang w:val="uk-UA"/>
        </w:rPr>
        <w:t>Призначення опіоїдергічних препаратів стало глобальною епідемією. З 2011 по 2013 роки вживання опіоїдів збільшилося вдвічі в усьому світі [</w:t>
      </w:r>
      <w:r w:rsidR="00B85935" w:rsidRPr="001759D5">
        <w:rPr>
          <w:sz w:val="28"/>
          <w:szCs w:val="28"/>
          <w:lang w:val="uk-UA"/>
        </w:rPr>
        <w:t>38</w:t>
      </w:r>
      <w:r w:rsidRPr="00112A09">
        <w:rPr>
          <w:sz w:val="28"/>
          <w:szCs w:val="28"/>
          <w:lang w:val="uk-UA"/>
        </w:rPr>
        <w:t>]. Опіоїдні аналгетики залишаються найбільш ефективним класом лікарських засобів для контролю сильного болю, але залишаються небезпечними у зв’язку із рядом їх побічних ефектів, у тому числі через складності у дозуванні, небезпечності передозування та смерті [</w:t>
      </w:r>
      <w:r w:rsidR="00B85935" w:rsidRPr="00B85935">
        <w:rPr>
          <w:sz w:val="28"/>
          <w:szCs w:val="28"/>
          <w:lang w:val="uk-UA"/>
        </w:rPr>
        <w:t>39</w:t>
      </w:r>
      <w:r w:rsidRPr="00112A09">
        <w:rPr>
          <w:sz w:val="28"/>
          <w:szCs w:val="28"/>
          <w:lang w:val="uk-UA"/>
        </w:rPr>
        <w:t>]. Хронічне вживання опіоїдів є шкідливим для шлунково-кишкового тракту та центральної нервової системи, особливо у пацієнтів із уже існуючими шлунково-кишковими захворюваннями [</w:t>
      </w:r>
      <w:r w:rsidR="00390008" w:rsidRPr="00112A09">
        <w:rPr>
          <w:sz w:val="28"/>
          <w:szCs w:val="28"/>
          <w:lang w:val="uk-UA"/>
        </w:rPr>
        <w:t>4</w:t>
      </w:r>
      <w:r w:rsidR="00B85935" w:rsidRPr="00B85935">
        <w:rPr>
          <w:sz w:val="28"/>
          <w:szCs w:val="28"/>
          <w:lang w:val="uk-UA"/>
        </w:rPr>
        <w:t>0</w:t>
      </w:r>
      <w:r w:rsidRPr="00112A09">
        <w:rPr>
          <w:sz w:val="28"/>
          <w:szCs w:val="28"/>
          <w:lang w:val="uk-UA"/>
        </w:rPr>
        <w:t>].</w:t>
      </w:r>
      <w:bookmarkStart w:id="1" w:name="_Toc63336071"/>
    </w:p>
    <w:p w14:paraId="4A4550BD" w14:textId="77777777" w:rsidR="00F05F4E" w:rsidRPr="00112A09" w:rsidRDefault="00F05F4E" w:rsidP="00F05F4E">
      <w:pPr>
        <w:pStyle w:val="12"/>
        <w:spacing w:line="360" w:lineRule="auto"/>
        <w:ind w:left="0" w:firstLine="540"/>
        <w:jc w:val="both"/>
        <w:outlineLvl w:val="1"/>
        <w:rPr>
          <w:sz w:val="28"/>
          <w:szCs w:val="28"/>
          <w:lang w:val="uk-UA"/>
        </w:rPr>
      </w:pPr>
    </w:p>
    <w:p w14:paraId="53AE0A90" w14:textId="4E345BAC" w:rsidR="00FD0D07" w:rsidRPr="00112A09" w:rsidRDefault="00FD0D07" w:rsidP="00FD0D07">
      <w:pPr>
        <w:pStyle w:val="12"/>
        <w:spacing w:line="360" w:lineRule="auto"/>
        <w:ind w:left="0" w:firstLine="540"/>
        <w:jc w:val="both"/>
        <w:outlineLvl w:val="1"/>
        <w:rPr>
          <w:sz w:val="28"/>
          <w:szCs w:val="28"/>
          <w:lang w:val="uk-UA"/>
        </w:rPr>
      </w:pPr>
      <w:r w:rsidRPr="00112A09">
        <w:rPr>
          <w:b/>
          <w:sz w:val="28"/>
          <w:szCs w:val="28"/>
        </w:rPr>
        <w:t>1.</w:t>
      </w:r>
      <w:r w:rsidR="00C57D1F" w:rsidRPr="00112A09">
        <w:rPr>
          <w:b/>
          <w:sz w:val="28"/>
          <w:szCs w:val="28"/>
        </w:rPr>
        <w:t>1</w:t>
      </w:r>
      <w:r w:rsidRPr="00112A09">
        <w:rPr>
          <w:b/>
          <w:sz w:val="28"/>
          <w:szCs w:val="28"/>
        </w:rPr>
        <w:t xml:space="preserve">.2. НПЗП у лікуванні болю і запалення </w:t>
      </w:r>
    </w:p>
    <w:p w14:paraId="56D81DDD" w14:textId="0717A44A" w:rsidR="00FD0D07" w:rsidRPr="00112A09" w:rsidRDefault="00FD0D07" w:rsidP="00FD0D07">
      <w:pPr>
        <w:spacing w:line="360" w:lineRule="auto"/>
        <w:ind w:firstLine="708"/>
        <w:jc w:val="both"/>
        <w:rPr>
          <w:sz w:val="28"/>
          <w:szCs w:val="28"/>
          <w:lang w:val="uk-UA"/>
        </w:rPr>
      </w:pPr>
      <w:r w:rsidRPr="00112A09">
        <w:rPr>
          <w:sz w:val="28"/>
          <w:szCs w:val="28"/>
          <w:lang w:val="uk-UA"/>
        </w:rPr>
        <w:t xml:space="preserve">НПЗП використовуються в основному для лікування пацієнтів, що страждають </w:t>
      </w:r>
      <w:r w:rsidR="00461A45" w:rsidRPr="00112A09">
        <w:rPr>
          <w:sz w:val="28"/>
          <w:szCs w:val="28"/>
          <w:lang w:val="uk-UA"/>
        </w:rPr>
        <w:t>на</w:t>
      </w:r>
      <w:r w:rsidRPr="00112A09">
        <w:rPr>
          <w:sz w:val="28"/>
          <w:szCs w:val="28"/>
          <w:lang w:val="uk-UA"/>
        </w:rPr>
        <w:t xml:space="preserve"> б</w:t>
      </w:r>
      <w:r w:rsidR="00461A45" w:rsidRPr="00112A09">
        <w:rPr>
          <w:sz w:val="28"/>
          <w:szCs w:val="28"/>
          <w:lang w:val="uk-UA"/>
        </w:rPr>
        <w:t>і</w:t>
      </w:r>
      <w:r w:rsidRPr="00112A09">
        <w:rPr>
          <w:sz w:val="28"/>
          <w:szCs w:val="28"/>
          <w:lang w:val="uk-UA"/>
        </w:rPr>
        <w:t>л</w:t>
      </w:r>
      <w:r w:rsidR="00461A45" w:rsidRPr="00112A09">
        <w:rPr>
          <w:sz w:val="28"/>
          <w:szCs w:val="28"/>
          <w:lang w:val="uk-UA"/>
        </w:rPr>
        <w:t>ь</w:t>
      </w:r>
      <w:r w:rsidRPr="00112A09">
        <w:rPr>
          <w:sz w:val="28"/>
          <w:szCs w:val="28"/>
          <w:lang w:val="uk-UA"/>
        </w:rPr>
        <w:t xml:space="preserve"> </w:t>
      </w:r>
      <w:r w:rsidR="00461A45" w:rsidRPr="00112A09">
        <w:rPr>
          <w:sz w:val="28"/>
          <w:szCs w:val="28"/>
          <w:lang w:val="uk-UA"/>
        </w:rPr>
        <w:t>середнього/слабкого ступеня, який як правило супроводжується компонентом запалення (</w:t>
      </w:r>
      <w:r w:rsidRPr="00112A09">
        <w:rPr>
          <w:sz w:val="28"/>
          <w:szCs w:val="28"/>
          <w:lang w:val="uk-UA"/>
        </w:rPr>
        <w:t>хронічний біль, остеоартрит, ревматоїдний артрит, післяопераційні хірургічні стану</w:t>
      </w:r>
      <w:r w:rsidR="00461A45" w:rsidRPr="00112A09">
        <w:rPr>
          <w:sz w:val="28"/>
          <w:szCs w:val="28"/>
          <w:lang w:val="uk-UA"/>
        </w:rPr>
        <w:t>)</w:t>
      </w:r>
      <w:r w:rsidRPr="00112A09">
        <w:rPr>
          <w:sz w:val="28"/>
          <w:szCs w:val="28"/>
          <w:lang w:val="uk-UA"/>
        </w:rPr>
        <w:t>, а також широко використовуються в якості анальгетиків і жарознижуючих засобів [</w:t>
      </w:r>
      <w:r w:rsidR="00390008" w:rsidRPr="00112A09">
        <w:rPr>
          <w:sz w:val="28"/>
          <w:szCs w:val="28"/>
          <w:lang w:val="uk-UA"/>
        </w:rPr>
        <w:t>4</w:t>
      </w:r>
      <w:r w:rsidR="00B85935" w:rsidRPr="00B85935">
        <w:rPr>
          <w:sz w:val="28"/>
          <w:szCs w:val="28"/>
          <w:lang w:val="uk-UA"/>
        </w:rPr>
        <w:t>1</w:t>
      </w:r>
      <w:r w:rsidRPr="00112A09">
        <w:rPr>
          <w:sz w:val="28"/>
          <w:szCs w:val="28"/>
          <w:lang w:val="uk-UA"/>
        </w:rPr>
        <w:t xml:space="preserve">]. </w:t>
      </w:r>
    </w:p>
    <w:p w14:paraId="3BFE822C" w14:textId="31067177" w:rsidR="00FD0D07" w:rsidRPr="00112A09" w:rsidRDefault="00FD0D07" w:rsidP="00FD0D07">
      <w:pPr>
        <w:spacing w:line="360" w:lineRule="auto"/>
        <w:ind w:firstLine="708"/>
        <w:jc w:val="both"/>
        <w:rPr>
          <w:sz w:val="28"/>
          <w:szCs w:val="28"/>
          <w:lang w:val="uk-UA"/>
        </w:rPr>
      </w:pPr>
      <w:r w:rsidRPr="00112A09">
        <w:rPr>
          <w:sz w:val="28"/>
          <w:szCs w:val="28"/>
          <w:lang w:val="uk-UA"/>
        </w:rPr>
        <w:t>НПЗЗ реалізують свій аналгетичний ефект за допомогою периферійних та центральних (спинальних) механізмів. Пошкодження тканин активує ноцицептори, що приймають сигнали. Загальний механізм дії НПЗП полягає у інгібуванні ЦОГ-регуляторних ферментів, які беруть участь в біосинтезі простагландину (ПГ). Простагландини - первинні медіатори, які сенсибілізують рецептори на місці травми, що включає периферійні та спинальні нейросистеми. Периферична дія НПЗЗ обумовлена інгібуванням синтезу простагландинів, у тому числі ПГ Е</w:t>
      </w:r>
      <w:r w:rsidRPr="00112A09">
        <w:rPr>
          <w:sz w:val="28"/>
          <w:szCs w:val="28"/>
          <w:vertAlign w:val="subscript"/>
          <w:lang w:val="uk-UA"/>
        </w:rPr>
        <w:t>2</w:t>
      </w:r>
      <w:r w:rsidRPr="00112A09">
        <w:rPr>
          <w:sz w:val="28"/>
          <w:szCs w:val="28"/>
          <w:lang w:val="uk-UA"/>
        </w:rPr>
        <w:t>, через інактивацію ЦОГ. Простагландин Е</w:t>
      </w:r>
      <w:r w:rsidRPr="00112A09">
        <w:rPr>
          <w:sz w:val="28"/>
          <w:szCs w:val="28"/>
          <w:vertAlign w:val="subscript"/>
          <w:lang w:val="uk-UA"/>
        </w:rPr>
        <w:t>2</w:t>
      </w:r>
      <w:r w:rsidRPr="00112A09">
        <w:rPr>
          <w:sz w:val="28"/>
          <w:szCs w:val="28"/>
          <w:lang w:val="uk-UA"/>
        </w:rPr>
        <w:t xml:space="preserve"> виробляється у відповідь на запалення як у периферичних запалених тканинах, так і в спинному мозку </w:t>
      </w:r>
      <w:r w:rsidRPr="00112A09">
        <w:rPr>
          <w:sz w:val="28"/>
          <w:szCs w:val="28"/>
        </w:rPr>
        <w:t>[</w:t>
      </w:r>
      <w:r w:rsidR="00390008" w:rsidRPr="00112A09">
        <w:rPr>
          <w:sz w:val="28"/>
          <w:szCs w:val="28"/>
        </w:rPr>
        <w:t>4</w:t>
      </w:r>
      <w:r w:rsidR="00B85935" w:rsidRPr="00B85935">
        <w:rPr>
          <w:sz w:val="28"/>
          <w:szCs w:val="28"/>
        </w:rPr>
        <w:t>2</w:t>
      </w:r>
      <w:r w:rsidRPr="00112A09">
        <w:rPr>
          <w:sz w:val="28"/>
          <w:szCs w:val="28"/>
        </w:rPr>
        <w:t>]</w:t>
      </w:r>
      <w:r w:rsidRPr="00112A09">
        <w:rPr>
          <w:sz w:val="28"/>
          <w:szCs w:val="28"/>
          <w:lang w:val="uk-UA"/>
        </w:rPr>
        <w:t>. В свою чергу, ПГ Е</w:t>
      </w:r>
      <w:r w:rsidRPr="00112A09">
        <w:rPr>
          <w:sz w:val="28"/>
          <w:szCs w:val="28"/>
          <w:vertAlign w:val="subscript"/>
          <w:lang w:val="uk-UA"/>
        </w:rPr>
        <w:t>2</w:t>
      </w:r>
      <w:r w:rsidRPr="00112A09">
        <w:rPr>
          <w:sz w:val="28"/>
          <w:szCs w:val="28"/>
          <w:lang w:val="uk-UA"/>
        </w:rPr>
        <w:t xml:space="preserve"> індукує передачу больового сигналу від спинного мозку до ділянок головного мозку, </w:t>
      </w:r>
      <w:r w:rsidRPr="00112A09">
        <w:rPr>
          <w:sz w:val="28"/>
          <w:szCs w:val="28"/>
          <w:lang w:val="uk-UA"/>
        </w:rPr>
        <w:lastRenderedPageBreak/>
        <w:t>де відбувається усвідомлення болю. Саме рівень ПГ Е</w:t>
      </w:r>
      <w:r w:rsidRPr="00112A09">
        <w:rPr>
          <w:sz w:val="28"/>
          <w:szCs w:val="28"/>
          <w:vertAlign w:val="subscript"/>
          <w:lang w:val="uk-UA"/>
        </w:rPr>
        <w:t>2</w:t>
      </w:r>
      <w:r w:rsidRPr="00112A09">
        <w:rPr>
          <w:sz w:val="28"/>
          <w:szCs w:val="28"/>
          <w:lang w:val="uk-UA"/>
        </w:rPr>
        <w:t xml:space="preserve"> визначає ступінь вираженості відповіді на запалення чи больового синдрому</w:t>
      </w:r>
      <w:r w:rsidR="00390008" w:rsidRPr="00112A09">
        <w:rPr>
          <w:sz w:val="28"/>
          <w:szCs w:val="28"/>
        </w:rPr>
        <w:t xml:space="preserve"> [4</w:t>
      </w:r>
      <w:r w:rsidR="00B85935" w:rsidRPr="00B85935">
        <w:rPr>
          <w:sz w:val="28"/>
          <w:szCs w:val="28"/>
        </w:rPr>
        <w:t>2</w:t>
      </w:r>
      <w:r w:rsidR="00390008" w:rsidRPr="00112A09">
        <w:rPr>
          <w:sz w:val="28"/>
          <w:szCs w:val="28"/>
        </w:rPr>
        <w:t>]</w:t>
      </w:r>
      <w:r w:rsidRPr="00112A09">
        <w:rPr>
          <w:sz w:val="28"/>
          <w:szCs w:val="28"/>
          <w:lang w:val="uk-UA"/>
        </w:rPr>
        <w:t>.</w:t>
      </w:r>
    </w:p>
    <w:p w14:paraId="2DD4B87D" w14:textId="23DCD71B" w:rsidR="00FD0D07" w:rsidRPr="00112A09" w:rsidRDefault="00FD0D07" w:rsidP="00FD0D07">
      <w:pPr>
        <w:spacing w:line="360" w:lineRule="auto"/>
        <w:ind w:firstLine="708"/>
        <w:jc w:val="both"/>
        <w:rPr>
          <w:sz w:val="28"/>
          <w:szCs w:val="28"/>
          <w:lang w:val="uk-UA"/>
        </w:rPr>
      </w:pPr>
      <w:r w:rsidRPr="00112A09">
        <w:rPr>
          <w:sz w:val="28"/>
          <w:szCs w:val="28"/>
          <w:lang w:val="uk-UA"/>
        </w:rPr>
        <w:t>Біоконверсія арахідонової кислоти у запальні простаноїди (простагландини та простацикліни) відбувається саме за допомогою обох ферментів; головним чином ЦОГ-1 та ЦОГ-2 [</w:t>
      </w:r>
      <w:r w:rsidR="00FE60C3" w:rsidRPr="00112A09">
        <w:rPr>
          <w:color w:val="000000"/>
          <w:sz w:val="28"/>
          <w:szCs w:val="28"/>
          <w:shd w:val="clear" w:color="auto" w:fill="FFFFFF"/>
          <w:lang w:val="uk-UA"/>
        </w:rPr>
        <w:t>4</w:t>
      </w:r>
      <w:r w:rsidR="00B85935" w:rsidRPr="00B85935">
        <w:rPr>
          <w:color w:val="000000"/>
          <w:sz w:val="28"/>
          <w:szCs w:val="28"/>
          <w:shd w:val="clear" w:color="auto" w:fill="FFFFFF"/>
        </w:rPr>
        <w:t>3</w:t>
      </w:r>
      <w:r w:rsidRPr="00112A09">
        <w:rPr>
          <w:sz w:val="28"/>
          <w:szCs w:val="28"/>
          <w:lang w:val="uk-UA"/>
        </w:rPr>
        <w:t>]. Принциповою відмінністю ізоферментів ЦОГ є заміна ізолейцину-523 у ЦОГ-1 на валін у ЦОГ-2 [</w:t>
      </w:r>
      <w:r w:rsidR="00390008" w:rsidRPr="00112A09">
        <w:rPr>
          <w:sz w:val="28"/>
          <w:szCs w:val="28"/>
        </w:rPr>
        <w:t>4</w:t>
      </w:r>
      <w:r w:rsidR="00B85935" w:rsidRPr="00B85935">
        <w:rPr>
          <w:sz w:val="28"/>
          <w:szCs w:val="28"/>
        </w:rPr>
        <w:t>4</w:t>
      </w:r>
      <w:r w:rsidRPr="00112A09">
        <w:rPr>
          <w:sz w:val="28"/>
          <w:szCs w:val="28"/>
          <w:lang w:val="uk-UA"/>
        </w:rPr>
        <w:t>]. Ці дві ізоформи відповідають за каталізацію швидкісного етапу біосинтезу простаноїдів, до яких належать ПГ, тромбоксани, лейкотрієни та ліпоксинів [</w:t>
      </w:r>
      <w:r w:rsidR="00390008" w:rsidRPr="00112A09">
        <w:rPr>
          <w:sz w:val="28"/>
          <w:szCs w:val="28"/>
          <w:lang w:val="uk-UA"/>
        </w:rPr>
        <w:t>4</w:t>
      </w:r>
      <w:r w:rsidR="00B85935" w:rsidRPr="00B85935">
        <w:rPr>
          <w:sz w:val="28"/>
          <w:szCs w:val="28"/>
          <w:lang w:val="uk-UA"/>
        </w:rPr>
        <w:t>5</w:t>
      </w:r>
      <w:r w:rsidRPr="00112A09">
        <w:rPr>
          <w:sz w:val="28"/>
          <w:szCs w:val="28"/>
          <w:lang w:val="uk-UA"/>
        </w:rPr>
        <w:t xml:space="preserve">]. Простагландини, синтезовані ЦОГ-2, зазвичай викликають біль та запальну реакцію. Варто зазначити, що у центральній нервовій системі зазвичай присутні обидві ізоформи ЦОГ. </w:t>
      </w:r>
    </w:p>
    <w:p w14:paraId="54B65978" w14:textId="6A34E2E6" w:rsidR="00FD0D07" w:rsidRPr="00112A09" w:rsidRDefault="00FD0D07" w:rsidP="00FD0D07">
      <w:pPr>
        <w:spacing w:line="360" w:lineRule="auto"/>
        <w:ind w:firstLine="708"/>
        <w:jc w:val="both"/>
        <w:rPr>
          <w:sz w:val="28"/>
          <w:szCs w:val="28"/>
          <w:lang w:val="uk-UA"/>
        </w:rPr>
      </w:pPr>
      <w:r w:rsidRPr="00112A09">
        <w:rPr>
          <w:sz w:val="28"/>
          <w:szCs w:val="28"/>
          <w:lang w:val="uk-UA"/>
        </w:rPr>
        <w:t>Якщо шлях COX-2 вибірково перерваний, що призводить до блоку первинних медіаторів, а активація другого потоку медіаторів значно гальмується, це призводить до значного зменшення больових відчуттів та симптомів запалення. Враховуючи експресію ЦОГ-2 у гліальних клітинах та дорсальних рогових нейронах, селективне інгібування ЦОГ-2 також мінімізує центральну сенсибілізацію</w:t>
      </w:r>
      <w:r w:rsidR="00390008" w:rsidRPr="00112A09">
        <w:rPr>
          <w:sz w:val="28"/>
          <w:szCs w:val="28"/>
          <w:lang w:val="uk-UA"/>
        </w:rPr>
        <w:t xml:space="preserve"> </w:t>
      </w:r>
      <w:r w:rsidR="00390008" w:rsidRPr="00B85935">
        <w:rPr>
          <w:sz w:val="28"/>
          <w:szCs w:val="28"/>
          <w:lang w:val="uk-UA"/>
        </w:rPr>
        <w:t>[4</w:t>
      </w:r>
      <w:r w:rsidR="00B85935" w:rsidRPr="001759D5">
        <w:rPr>
          <w:sz w:val="28"/>
          <w:szCs w:val="28"/>
          <w:lang w:val="uk-UA"/>
        </w:rPr>
        <w:t>6</w:t>
      </w:r>
      <w:r w:rsidR="00390008" w:rsidRPr="00B85935">
        <w:rPr>
          <w:sz w:val="28"/>
          <w:szCs w:val="28"/>
          <w:lang w:val="uk-UA"/>
        </w:rPr>
        <w:t>]</w:t>
      </w:r>
      <w:r w:rsidRPr="00112A09">
        <w:rPr>
          <w:sz w:val="28"/>
          <w:szCs w:val="28"/>
          <w:lang w:val="uk-UA"/>
        </w:rPr>
        <w:t xml:space="preserve">. </w:t>
      </w:r>
    </w:p>
    <w:p w14:paraId="72932410" w14:textId="1194669F" w:rsidR="00FD0D07" w:rsidRPr="00112A09" w:rsidRDefault="00FD0D07" w:rsidP="00FD0D07">
      <w:pPr>
        <w:spacing w:line="360" w:lineRule="auto"/>
        <w:ind w:firstLine="708"/>
        <w:jc w:val="both"/>
        <w:rPr>
          <w:sz w:val="28"/>
          <w:szCs w:val="28"/>
          <w:lang w:val="uk-UA"/>
        </w:rPr>
      </w:pPr>
      <w:r w:rsidRPr="00112A09">
        <w:rPr>
          <w:sz w:val="28"/>
          <w:szCs w:val="28"/>
          <w:lang w:val="uk-UA"/>
        </w:rPr>
        <w:t xml:space="preserve">ЦОГ-1 є конструктивною і виконує фізіологічно важливі функції: захист слизової оболонки шлунка, регуляцію секреції та гомеостазу кислоти, а також підтримує функціональність нирок. Вважалося, що інгібітори ЦОГ-1, пригнічуючи синтез ПГ в слизовій оболонці шлунка та можуть викликати шлунково-кишкові ускладнення, але за існують дані, що заперечують цей факт  </w:t>
      </w:r>
      <w:r w:rsidRPr="00B85935">
        <w:rPr>
          <w:color w:val="000000" w:themeColor="text1"/>
          <w:sz w:val="28"/>
          <w:szCs w:val="28"/>
          <w:lang w:val="uk-UA"/>
        </w:rPr>
        <w:t>[</w:t>
      </w:r>
      <w:r w:rsidR="00390008" w:rsidRPr="00B85935">
        <w:rPr>
          <w:color w:val="000000" w:themeColor="text1"/>
          <w:sz w:val="28"/>
          <w:szCs w:val="28"/>
          <w:lang w:val="uk-UA"/>
        </w:rPr>
        <w:t>4</w:t>
      </w:r>
      <w:r w:rsidR="00B85935" w:rsidRPr="00B85935">
        <w:rPr>
          <w:color w:val="000000" w:themeColor="text1"/>
          <w:sz w:val="28"/>
          <w:szCs w:val="28"/>
          <w:lang w:val="uk-UA"/>
        </w:rPr>
        <w:t>7</w:t>
      </w:r>
      <w:r w:rsidRPr="00B85935">
        <w:rPr>
          <w:color w:val="000000" w:themeColor="text1"/>
          <w:sz w:val="28"/>
          <w:szCs w:val="28"/>
          <w:lang w:val="uk-UA"/>
        </w:rPr>
        <w:t xml:space="preserve">]. </w:t>
      </w:r>
      <w:r w:rsidRPr="00112A09">
        <w:rPr>
          <w:sz w:val="28"/>
          <w:szCs w:val="28"/>
          <w:lang w:val="uk-UA"/>
        </w:rPr>
        <w:t xml:space="preserve">У свою чергу, ЦОГ-2, індукований запальними цитокінами, мітогенами, ендотоксинами та промоторами пухлини, продукує простаноїди під час запалення та </w:t>
      </w:r>
      <w:r w:rsidRPr="00B85935">
        <w:rPr>
          <w:color w:val="000000" w:themeColor="text1"/>
          <w:sz w:val="28"/>
          <w:szCs w:val="28"/>
          <w:lang w:val="uk-UA"/>
        </w:rPr>
        <w:t>раку [</w:t>
      </w:r>
      <w:r w:rsidR="00390008" w:rsidRPr="00B85935">
        <w:rPr>
          <w:color w:val="000000" w:themeColor="text1"/>
          <w:sz w:val="28"/>
          <w:szCs w:val="28"/>
        </w:rPr>
        <w:t>4</w:t>
      </w:r>
      <w:r w:rsidR="00B85935" w:rsidRPr="00B85935">
        <w:rPr>
          <w:color w:val="000000" w:themeColor="text1"/>
          <w:sz w:val="28"/>
          <w:szCs w:val="28"/>
        </w:rPr>
        <w:t>6</w:t>
      </w:r>
      <w:r w:rsidRPr="00B85935">
        <w:rPr>
          <w:color w:val="000000" w:themeColor="text1"/>
          <w:sz w:val="28"/>
          <w:szCs w:val="28"/>
          <w:lang w:val="uk-UA"/>
        </w:rPr>
        <w:t xml:space="preserve">]. </w:t>
      </w:r>
      <w:r w:rsidRPr="00112A09">
        <w:rPr>
          <w:sz w:val="28"/>
          <w:szCs w:val="28"/>
          <w:lang w:val="uk-UA"/>
        </w:rPr>
        <w:t>Відомо, що інгібітори ЦОГ-2 мають серцево-судинні побічні ефекти, а також підвищують ризик виникнення атеротромбозу судин [</w:t>
      </w:r>
      <w:r w:rsidR="00FE60C3" w:rsidRPr="00112A09">
        <w:rPr>
          <w:sz w:val="28"/>
          <w:szCs w:val="28"/>
          <w:lang w:val="uk-UA"/>
        </w:rPr>
        <w:t>4</w:t>
      </w:r>
      <w:r w:rsidR="00B85935" w:rsidRPr="00B85935">
        <w:rPr>
          <w:sz w:val="28"/>
          <w:szCs w:val="28"/>
          <w:lang w:val="uk-UA"/>
        </w:rPr>
        <w:t>8</w:t>
      </w:r>
      <w:r w:rsidRPr="00112A09">
        <w:rPr>
          <w:sz w:val="28"/>
          <w:szCs w:val="28"/>
          <w:lang w:val="uk-UA"/>
        </w:rPr>
        <w:t xml:space="preserve">]. Деякі НПЗП є неспецифічними інгібіторами обох ферментів, в той час як інші є специфічними, особливо «коксиби», які специфічно інгібують ЦОГ-2. </w:t>
      </w:r>
    </w:p>
    <w:p w14:paraId="11DB60FE" w14:textId="18742002" w:rsidR="00FD0D07" w:rsidRPr="008A6B7D" w:rsidRDefault="00FD0D07" w:rsidP="00FD0D07">
      <w:pPr>
        <w:spacing w:line="360" w:lineRule="auto"/>
        <w:ind w:firstLine="708"/>
        <w:jc w:val="both"/>
        <w:rPr>
          <w:color w:val="000000" w:themeColor="text1"/>
          <w:sz w:val="28"/>
          <w:szCs w:val="28"/>
          <w:lang w:val="uk-UA"/>
        </w:rPr>
      </w:pPr>
      <w:r w:rsidRPr="008A6B7D">
        <w:rPr>
          <w:color w:val="000000" w:themeColor="text1"/>
          <w:sz w:val="28"/>
          <w:szCs w:val="28"/>
          <w:lang w:val="uk-UA"/>
        </w:rPr>
        <w:t xml:space="preserve">Також, варто зазначити, що згідно з останніми дослідженнями було встановлено, що активність ЦОГ-2 викликає сенсибілізацію TRPV1 </w:t>
      </w:r>
      <w:r w:rsidRPr="008A6B7D">
        <w:rPr>
          <w:color w:val="000000" w:themeColor="text1"/>
          <w:sz w:val="28"/>
          <w:szCs w:val="28"/>
          <w:lang w:val="uk-UA"/>
        </w:rPr>
        <w:lastRenderedPageBreak/>
        <w:t>рецепторів [</w:t>
      </w:r>
      <w:r w:rsidR="00B85935" w:rsidRPr="001759D5">
        <w:rPr>
          <w:color w:val="000000" w:themeColor="text1"/>
          <w:sz w:val="28"/>
          <w:szCs w:val="28"/>
          <w:lang w:val="uk-UA"/>
        </w:rPr>
        <w:t>49</w:t>
      </w:r>
      <w:r w:rsidRPr="008A6B7D">
        <w:rPr>
          <w:color w:val="000000" w:themeColor="text1"/>
          <w:sz w:val="28"/>
          <w:szCs w:val="28"/>
          <w:lang w:val="uk-UA"/>
        </w:rPr>
        <w:t xml:space="preserve">]. Продукти ЦОГ, що вивільняються імунними клітинами </w:t>
      </w:r>
      <w:r w:rsidR="00821BED">
        <w:rPr>
          <w:color w:val="000000" w:themeColor="text1"/>
          <w:sz w:val="28"/>
          <w:szCs w:val="28"/>
          <w:lang w:val="uk-UA"/>
        </w:rPr>
        <w:br/>
      </w:r>
      <w:r w:rsidRPr="008A6B7D">
        <w:rPr>
          <w:color w:val="000000" w:themeColor="text1"/>
          <w:sz w:val="28"/>
          <w:szCs w:val="28"/>
          <w:lang w:val="uk-UA"/>
        </w:rPr>
        <w:t>(у тому числі ПГЕ2, які вивільняються із моноцитів і диференційованих макрофагів) діють з перших секунд на первинні сенсорні нейрони, які експресують TRPV1, тим самим викликаючи сенсибілізацію TRPV1 рецепторів. Продукти ЦОГ-2, що продукуються у первинних сенсорних нейронах, які експресують TRPV1, імовірно, подовжують стан сенсибілізації [</w:t>
      </w:r>
      <w:r w:rsidR="00B85935" w:rsidRPr="001759D5">
        <w:rPr>
          <w:color w:val="000000" w:themeColor="text1"/>
          <w:sz w:val="28"/>
          <w:szCs w:val="28"/>
          <w:lang w:val="uk-UA"/>
        </w:rPr>
        <w:t>49</w:t>
      </w:r>
      <w:r w:rsidRPr="008A6B7D">
        <w:rPr>
          <w:color w:val="000000" w:themeColor="text1"/>
          <w:sz w:val="28"/>
          <w:szCs w:val="28"/>
          <w:lang w:val="uk-UA"/>
        </w:rPr>
        <w:t xml:space="preserve">]. Також, дослідження </w:t>
      </w:r>
      <w:r w:rsidRPr="008A6B7D">
        <w:rPr>
          <w:i/>
          <w:color w:val="000000" w:themeColor="text1"/>
          <w:sz w:val="28"/>
          <w:szCs w:val="28"/>
          <w:lang w:val="en-US"/>
        </w:rPr>
        <w:t>in</w:t>
      </w:r>
      <w:r w:rsidRPr="008A6B7D">
        <w:rPr>
          <w:i/>
          <w:color w:val="000000" w:themeColor="text1"/>
          <w:sz w:val="28"/>
          <w:szCs w:val="28"/>
          <w:lang w:val="uk-UA"/>
        </w:rPr>
        <w:t xml:space="preserve"> </w:t>
      </w:r>
      <w:r w:rsidRPr="008A6B7D">
        <w:rPr>
          <w:i/>
          <w:color w:val="000000" w:themeColor="text1"/>
          <w:sz w:val="28"/>
          <w:szCs w:val="28"/>
          <w:lang w:val="en-US"/>
        </w:rPr>
        <w:t>vivo</w:t>
      </w:r>
      <w:r w:rsidRPr="008A6B7D">
        <w:rPr>
          <w:color w:val="000000" w:themeColor="text1"/>
          <w:sz w:val="28"/>
          <w:szCs w:val="28"/>
          <w:lang w:val="uk-UA"/>
        </w:rPr>
        <w:t xml:space="preserve">, показали реалізацію аналгетичного ефекту кеторолаку шляхом впливу на TRPV1 </w:t>
      </w:r>
      <w:r w:rsidRPr="008A6B7D">
        <w:rPr>
          <w:color w:val="000000" w:themeColor="text1"/>
          <w:sz w:val="28"/>
          <w:szCs w:val="28"/>
        </w:rPr>
        <w:t>[</w:t>
      </w:r>
      <w:r w:rsidR="00390008" w:rsidRPr="008A6B7D">
        <w:rPr>
          <w:color w:val="000000" w:themeColor="text1"/>
          <w:sz w:val="28"/>
          <w:szCs w:val="28"/>
        </w:rPr>
        <w:t>5</w:t>
      </w:r>
      <w:r w:rsidR="00B85935" w:rsidRPr="008A6B7D">
        <w:rPr>
          <w:color w:val="000000" w:themeColor="text1"/>
          <w:sz w:val="28"/>
          <w:szCs w:val="28"/>
        </w:rPr>
        <w:t>0</w:t>
      </w:r>
      <w:r w:rsidRPr="008A6B7D">
        <w:rPr>
          <w:color w:val="000000" w:themeColor="text1"/>
          <w:sz w:val="28"/>
          <w:szCs w:val="28"/>
        </w:rPr>
        <w:t>].</w:t>
      </w:r>
      <w:r w:rsidRPr="008A6B7D">
        <w:rPr>
          <w:color w:val="000000" w:themeColor="text1"/>
          <w:sz w:val="28"/>
          <w:szCs w:val="28"/>
          <w:lang w:val="uk-UA"/>
        </w:rPr>
        <w:t xml:space="preserve"> </w:t>
      </w:r>
    </w:p>
    <w:p w14:paraId="2824A866" w14:textId="6D25B4D3" w:rsidR="00FD0D07" w:rsidRPr="008A6B7D" w:rsidRDefault="00FD0D07" w:rsidP="00FD0D07">
      <w:pPr>
        <w:spacing w:line="360" w:lineRule="auto"/>
        <w:ind w:firstLine="708"/>
        <w:jc w:val="both"/>
        <w:rPr>
          <w:color w:val="000000" w:themeColor="text1"/>
          <w:sz w:val="28"/>
          <w:szCs w:val="28"/>
          <w:lang w:val="uk-UA"/>
        </w:rPr>
      </w:pPr>
      <w:r w:rsidRPr="008A6B7D">
        <w:rPr>
          <w:color w:val="000000" w:themeColor="text1"/>
          <w:sz w:val="28"/>
          <w:szCs w:val="28"/>
          <w:lang w:val="uk-UA"/>
        </w:rPr>
        <w:t>НПЗЗ, надходячи у організм, блокують ЦОГ, впливаючи на біотрансформацію арахідонової кислоти, таким чином знижуючи утворення простагландинів і тромбоксанів та збільшуючи її доступність для інших молекулярних шляхів. Надалі, 12-ліпоксигенази перетворюють арахідонову кислоту в кілька сполук, включаючи гепоксиліни, які зменшують вивільнення ГАМК із синаптичних закінчень гальмівних аксонів центральної сірої речовини (ЦСР). Таким чином, збільшення доступності арахідонової кислоти, що викликає послаблення синаптичного гальмування і ГАМК-ергічного інгібування, призводить до знеболюючого ефекту НПЗЗ [</w:t>
      </w:r>
      <w:r w:rsidR="00390008" w:rsidRPr="008A6B7D">
        <w:rPr>
          <w:color w:val="000000" w:themeColor="text1"/>
          <w:sz w:val="28"/>
          <w:szCs w:val="28"/>
          <w:lang w:val="uk-UA"/>
        </w:rPr>
        <w:t>5</w:t>
      </w:r>
      <w:r w:rsidR="00B85935" w:rsidRPr="008A6B7D">
        <w:rPr>
          <w:color w:val="000000" w:themeColor="text1"/>
          <w:sz w:val="28"/>
          <w:szCs w:val="28"/>
          <w:lang w:val="uk-UA"/>
        </w:rPr>
        <w:t>1</w:t>
      </w:r>
      <w:r w:rsidRPr="008A6B7D">
        <w:rPr>
          <w:color w:val="000000" w:themeColor="text1"/>
          <w:sz w:val="28"/>
          <w:szCs w:val="28"/>
          <w:lang w:val="uk-UA"/>
        </w:rPr>
        <w:t xml:space="preserve">]. </w:t>
      </w:r>
    </w:p>
    <w:p w14:paraId="215D0668" w14:textId="3FFA29F9" w:rsidR="00FD0D07" w:rsidRPr="008A6B7D" w:rsidRDefault="00FD0D07" w:rsidP="00FD0D07">
      <w:pPr>
        <w:spacing w:line="360" w:lineRule="auto"/>
        <w:ind w:firstLine="708"/>
        <w:jc w:val="both"/>
        <w:rPr>
          <w:color w:val="000000" w:themeColor="text1"/>
          <w:sz w:val="28"/>
          <w:szCs w:val="28"/>
        </w:rPr>
      </w:pPr>
      <w:r w:rsidRPr="008A6B7D">
        <w:rPr>
          <w:color w:val="000000" w:themeColor="text1"/>
          <w:sz w:val="28"/>
          <w:szCs w:val="28"/>
          <w:lang w:val="uk-UA"/>
        </w:rPr>
        <w:t>Традиційно НПЗЗ вважаються відмінними від опіатів. Проте добре відомі неопіоїдні анальгетики та інгібітори циклооксигенази (диклофенак, аспірин, анальгін) [</w:t>
      </w:r>
      <w:r w:rsidR="00390008" w:rsidRPr="008A6B7D">
        <w:rPr>
          <w:color w:val="000000" w:themeColor="text1"/>
          <w:sz w:val="28"/>
          <w:szCs w:val="28"/>
          <w:lang w:val="uk-UA"/>
        </w:rPr>
        <w:t>5</w:t>
      </w:r>
      <w:r w:rsidR="00B85935" w:rsidRPr="008A6B7D">
        <w:rPr>
          <w:color w:val="000000" w:themeColor="text1"/>
          <w:sz w:val="28"/>
          <w:szCs w:val="28"/>
          <w:lang w:val="uk-UA"/>
        </w:rPr>
        <w:t>2</w:t>
      </w:r>
      <w:r w:rsidRPr="008A6B7D">
        <w:rPr>
          <w:color w:val="000000" w:themeColor="text1"/>
          <w:sz w:val="28"/>
          <w:szCs w:val="28"/>
          <w:lang w:val="uk-UA"/>
        </w:rPr>
        <w:t>], при мікроін’єкції в ЦСР або спинний мозок (СМ) щурів, викликали пригнічення ноцицептивного флексорного рефлексу [</w:t>
      </w:r>
      <w:r w:rsidR="00390008" w:rsidRPr="008A6B7D">
        <w:rPr>
          <w:color w:val="000000" w:themeColor="text1"/>
          <w:sz w:val="28"/>
          <w:szCs w:val="28"/>
          <w:lang w:val="uk-UA"/>
        </w:rPr>
        <w:t>5</w:t>
      </w:r>
      <w:r w:rsidR="00B85935" w:rsidRPr="008A6B7D">
        <w:rPr>
          <w:color w:val="000000" w:themeColor="text1"/>
          <w:sz w:val="28"/>
          <w:szCs w:val="28"/>
          <w:lang w:val="uk-UA"/>
        </w:rPr>
        <w:t>1</w:t>
      </w:r>
      <w:r w:rsidRPr="008A6B7D">
        <w:rPr>
          <w:color w:val="000000" w:themeColor="text1"/>
          <w:sz w:val="28"/>
          <w:szCs w:val="28"/>
          <w:lang w:val="uk-UA"/>
        </w:rPr>
        <w:t xml:space="preserve">]. Цікаво, що ефект диклофенаку або анальгіну можна </w:t>
      </w:r>
      <w:r w:rsidR="00461A45" w:rsidRPr="008A6B7D">
        <w:rPr>
          <w:color w:val="000000" w:themeColor="text1"/>
          <w:sz w:val="28"/>
          <w:szCs w:val="28"/>
          <w:lang w:val="uk-UA"/>
        </w:rPr>
        <w:t>нивілювати</w:t>
      </w:r>
      <w:r w:rsidRPr="008A6B7D">
        <w:rPr>
          <w:color w:val="000000" w:themeColor="text1"/>
          <w:sz w:val="28"/>
          <w:szCs w:val="28"/>
          <w:lang w:val="uk-UA"/>
        </w:rPr>
        <w:t>, вводячи налоксон, антагоніст опіоїдного рецептора широкого спектру [</w:t>
      </w:r>
      <w:r w:rsidR="00390008" w:rsidRPr="008A6B7D">
        <w:rPr>
          <w:color w:val="000000" w:themeColor="text1"/>
          <w:sz w:val="28"/>
          <w:szCs w:val="28"/>
          <w:lang w:val="uk-UA"/>
        </w:rPr>
        <w:t>5</w:t>
      </w:r>
      <w:r w:rsidR="00FE60C3" w:rsidRPr="008A6B7D">
        <w:rPr>
          <w:color w:val="000000" w:themeColor="text1"/>
          <w:sz w:val="28"/>
          <w:szCs w:val="28"/>
          <w:lang w:val="uk-UA"/>
        </w:rPr>
        <w:t>2</w:t>
      </w:r>
      <w:r w:rsidRPr="008A6B7D">
        <w:rPr>
          <w:color w:val="000000" w:themeColor="text1"/>
          <w:sz w:val="28"/>
          <w:szCs w:val="28"/>
          <w:lang w:val="uk-UA"/>
        </w:rPr>
        <w:t xml:space="preserve">]. Хоча, як відомо, жоден з цих НПЗЗ не зв’язується з опіоїдними рецепторами, припустимо, що їх дія пов’язана з ендогенною опіоїдною системою. Тому, очевидно, що окрім основної аналгетичної дії НПВС, пов’язаної із інгібуванням ЦОГ, існують інші механізми реалізації протибольового ефекту. Наприклад, додаткові шляхи реалізації аналгетичного ефекту ібупрофену можуть бути обумовлені підвищеним рівнем ендоканабіноїду анандаміду (також відомого як арахідоноїлэтаноламід), який активує антиноцицептивну </w:t>
      </w:r>
      <w:r w:rsidRPr="008A6B7D">
        <w:rPr>
          <w:color w:val="000000" w:themeColor="text1"/>
          <w:sz w:val="28"/>
          <w:szCs w:val="28"/>
          <w:lang w:val="uk-UA"/>
        </w:rPr>
        <w:lastRenderedPageBreak/>
        <w:t>вісь через канабіноїдні рецептори в ЦНС. Дослідження на тваринах показали, що введення ібупрофену у терапевтичних концентраціях пригнічує метаболізм анандаміду [</w:t>
      </w:r>
      <w:r w:rsidR="00390008" w:rsidRPr="008A6B7D">
        <w:rPr>
          <w:color w:val="000000" w:themeColor="text1"/>
          <w:sz w:val="28"/>
          <w:szCs w:val="28"/>
        </w:rPr>
        <w:t>5</w:t>
      </w:r>
      <w:r w:rsidR="00B85935" w:rsidRPr="008A6B7D">
        <w:rPr>
          <w:color w:val="000000" w:themeColor="text1"/>
          <w:sz w:val="28"/>
          <w:szCs w:val="28"/>
        </w:rPr>
        <w:t>3</w:t>
      </w:r>
      <w:r w:rsidRPr="008A6B7D">
        <w:rPr>
          <w:color w:val="000000" w:themeColor="text1"/>
          <w:sz w:val="28"/>
          <w:szCs w:val="28"/>
          <w:lang w:val="uk-UA"/>
        </w:rPr>
        <w:t>], у той час як його сумісне введення з анандамідом надає синергетичний антиноцицептивний ефект на моделі запального болю.</w:t>
      </w:r>
    </w:p>
    <w:p w14:paraId="08CB83D9" w14:textId="7B2913F0" w:rsidR="00FD0D07" w:rsidRPr="008A6B7D" w:rsidRDefault="00FD0D07" w:rsidP="00FD0D07">
      <w:pPr>
        <w:spacing w:line="360" w:lineRule="auto"/>
        <w:ind w:firstLine="708"/>
        <w:jc w:val="both"/>
        <w:rPr>
          <w:color w:val="000000" w:themeColor="text1"/>
          <w:sz w:val="28"/>
          <w:szCs w:val="28"/>
          <w:lang w:val="uk-UA"/>
        </w:rPr>
      </w:pPr>
      <w:r w:rsidRPr="008A6B7D">
        <w:rPr>
          <w:color w:val="000000" w:themeColor="text1"/>
          <w:sz w:val="28"/>
          <w:szCs w:val="28"/>
          <w:lang w:val="uk-UA"/>
        </w:rPr>
        <w:t>Також відомо про серотонінергічний шлях реалізації аналгетичного ефекту НПЗЗ. Серотонінергічні шляхи є частиною низхідної системи болю, які беруть початок в ядрах стовбура мозку, гіпоталамусі і корі головного мозку і взаємодіють з больовими афферентами у спинному розі. Існують дані, що свідчать про те, що парацетамол, окрім впливу на ЦОГ, може активувати пов'язані із серотоніном низхідні шляхи гальмування в спинному мозку, модулюючи тим самим протибольовий ефект [</w:t>
      </w:r>
      <w:r w:rsidR="00390008" w:rsidRPr="008A6B7D">
        <w:rPr>
          <w:color w:val="000000" w:themeColor="text1"/>
          <w:sz w:val="28"/>
          <w:szCs w:val="28"/>
          <w:lang w:val="uk-UA"/>
        </w:rPr>
        <w:t>5</w:t>
      </w:r>
      <w:r w:rsidR="00B85935" w:rsidRPr="008A6B7D">
        <w:rPr>
          <w:color w:val="000000" w:themeColor="text1"/>
          <w:sz w:val="28"/>
          <w:szCs w:val="28"/>
          <w:lang w:val="uk-UA"/>
        </w:rPr>
        <w:t>4</w:t>
      </w:r>
      <w:r w:rsidRPr="008A6B7D">
        <w:rPr>
          <w:color w:val="000000" w:themeColor="text1"/>
          <w:sz w:val="28"/>
          <w:szCs w:val="28"/>
          <w:lang w:val="uk-UA"/>
        </w:rPr>
        <w:t>].</w:t>
      </w:r>
    </w:p>
    <w:p w14:paraId="633B62A1" w14:textId="71EEE043" w:rsidR="00F05F4E" w:rsidRPr="008A6B7D" w:rsidRDefault="00FD0D07" w:rsidP="00F05F4E">
      <w:pPr>
        <w:spacing w:line="360" w:lineRule="auto"/>
        <w:ind w:firstLine="708"/>
        <w:jc w:val="both"/>
        <w:rPr>
          <w:color w:val="000000" w:themeColor="text1"/>
          <w:sz w:val="28"/>
          <w:szCs w:val="28"/>
          <w:lang w:val="uk-UA"/>
        </w:rPr>
      </w:pPr>
      <w:r w:rsidRPr="008A6B7D">
        <w:rPr>
          <w:color w:val="000000" w:themeColor="text1"/>
          <w:sz w:val="28"/>
          <w:szCs w:val="28"/>
          <w:lang w:val="uk-UA"/>
        </w:rPr>
        <w:t>Незважаючи на велику терапевтичну користь (антиноцицептивні, протизапальні та протипухлинні властивості), НПЗЗ проявляють ряд серйозних побічних ефектів, включаючи токсичний вплив на шлунково-кишкову систему, серцево-судинні ризики, нефро- та гепатотоксичність, викликають гіпертонію та призводять до інших незначних розладів органів і систем [</w:t>
      </w:r>
      <w:r w:rsidR="00B85935" w:rsidRPr="008A6B7D">
        <w:rPr>
          <w:color w:val="000000" w:themeColor="text1"/>
          <w:sz w:val="28"/>
          <w:szCs w:val="28"/>
          <w:lang w:val="uk-UA"/>
        </w:rPr>
        <w:t>55</w:t>
      </w:r>
      <w:r w:rsidRPr="008A6B7D">
        <w:rPr>
          <w:color w:val="000000" w:themeColor="text1"/>
          <w:sz w:val="28"/>
          <w:szCs w:val="28"/>
          <w:lang w:val="uk-UA"/>
        </w:rPr>
        <w:t>].</w:t>
      </w:r>
    </w:p>
    <w:p w14:paraId="06D9E9C5" w14:textId="3C89DF79" w:rsidR="00C57D1F" w:rsidRPr="008A6B7D" w:rsidRDefault="00C57D1F" w:rsidP="001759D5">
      <w:pPr>
        <w:spacing w:line="360" w:lineRule="auto"/>
        <w:jc w:val="both"/>
        <w:rPr>
          <w:color w:val="000000" w:themeColor="text1"/>
          <w:sz w:val="28"/>
          <w:szCs w:val="28"/>
          <w:lang w:val="uk-UA"/>
        </w:rPr>
      </w:pPr>
    </w:p>
    <w:bookmarkEnd w:id="1"/>
    <w:p w14:paraId="04CCC1F6" w14:textId="34991C22" w:rsidR="00FD0D07" w:rsidRPr="008A6B7D" w:rsidRDefault="00FD0D07" w:rsidP="00FD0D07">
      <w:pPr>
        <w:spacing w:line="360" w:lineRule="auto"/>
        <w:ind w:firstLine="708"/>
        <w:jc w:val="both"/>
        <w:rPr>
          <w:b/>
          <w:color w:val="000000" w:themeColor="text1"/>
          <w:sz w:val="28"/>
          <w:szCs w:val="28"/>
          <w:lang w:val="uk-UA"/>
        </w:rPr>
      </w:pPr>
      <w:r w:rsidRPr="008A6B7D">
        <w:rPr>
          <w:b/>
          <w:color w:val="000000" w:themeColor="text1"/>
          <w:sz w:val="28"/>
          <w:szCs w:val="28"/>
          <w:lang w:val="uk-UA"/>
        </w:rPr>
        <w:t>1.</w:t>
      </w:r>
      <w:r w:rsidR="00C57D1F" w:rsidRPr="008A6B7D">
        <w:rPr>
          <w:b/>
          <w:color w:val="000000" w:themeColor="text1"/>
          <w:sz w:val="28"/>
          <w:szCs w:val="28"/>
          <w:lang w:val="uk-UA"/>
        </w:rPr>
        <w:t>1</w:t>
      </w:r>
      <w:r w:rsidRPr="008A6B7D">
        <w:rPr>
          <w:b/>
          <w:color w:val="000000" w:themeColor="text1"/>
          <w:sz w:val="28"/>
          <w:szCs w:val="28"/>
          <w:lang w:val="uk-UA"/>
        </w:rPr>
        <w:t>.</w:t>
      </w:r>
      <w:r w:rsidR="00C57D1F" w:rsidRPr="008A6B7D">
        <w:rPr>
          <w:b/>
          <w:color w:val="000000" w:themeColor="text1"/>
          <w:sz w:val="28"/>
          <w:szCs w:val="28"/>
          <w:lang w:val="uk-UA"/>
        </w:rPr>
        <w:t>3</w:t>
      </w:r>
      <w:r w:rsidRPr="008A6B7D">
        <w:rPr>
          <w:b/>
          <w:color w:val="000000" w:themeColor="text1"/>
          <w:sz w:val="28"/>
          <w:szCs w:val="28"/>
          <w:lang w:val="uk-UA"/>
        </w:rPr>
        <w:t xml:space="preserve"> Ад’ювантні анальгетики у лікуванні болю і запалення </w:t>
      </w:r>
    </w:p>
    <w:p w14:paraId="3E39A693" w14:textId="7C786891" w:rsidR="00FD0D07" w:rsidRPr="008A6B7D" w:rsidRDefault="00FD0D07" w:rsidP="00FD0D07">
      <w:pPr>
        <w:spacing w:line="360" w:lineRule="auto"/>
        <w:ind w:firstLine="720"/>
        <w:jc w:val="both"/>
        <w:rPr>
          <w:color w:val="000000" w:themeColor="text1"/>
          <w:sz w:val="28"/>
          <w:szCs w:val="28"/>
          <w:lang w:val="uk-UA"/>
        </w:rPr>
      </w:pPr>
      <w:r w:rsidRPr="008A6B7D">
        <w:rPr>
          <w:color w:val="000000" w:themeColor="text1"/>
          <w:sz w:val="28"/>
          <w:szCs w:val="28"/>
          <w:lang w:val="uk-UA"/>
        </w:rPr>
        <w:t>Термін "ад'ювантний анальгетик" початково був введений для позначення частини лікарських засобів, які відпускались за показаннями, але були виявлені потенційно корисними як знеболюючі препарати у пацієнтів, які отримують опіоїдну терапію. За останні три десятиліття кількість, різноманітність та використання цих препаратів різко зросли, і нині кілька з них вказуються як терапія першої лінії при певних типах болю [</w:t>
      </w:r>
      <w:r w:rsidR="00390008" w:rsidRPr="008A6B7D">
        <w:rPr>
          <w:color w:val="000000" w:themeColor="text1"/>
          <w:sz w:val="28"/>
          <w:szCs w:val="28"/>
          <w:lang w:val="uk-UA"/>
        </w:rPr>
        <w:t>5</w:t>
      </w:r>
      <w:r w:rsidR="00FE60C3" w:rsidRPr="008A6B7D">
        <w:rPr>
          <w:color w:val="000000" w:themeColor="text1"/>
          <w:sz w:val="28"/>
          <w:szCs w:val="28"/>
          <w:lang w:val="uk-UA"/>
        </w:rPr>
        <w:t>6</w:t>
      </w:r>
      <w:r w:rsidRPr="008A6B7D">
        <w:rPr>
          <w:color w:val="000000" w:themeColor="text1"/>
          <w:sz w:val="28"/>
          <w:szCs w:val="28"/>
          <w:lang w:val="uk-UA"/>
        </w:rPr>
        <w:t xml:space="preserve">]. Термін "ад'ювантний анальгетик" використовується як взаємозамінний з терміном "ко-аналгетик" і може бути використаний для позначення будь-якого лікарського засобу з основним клінічним застосуванням, крім болю, який використовується як знеболюючий за певних обставин. </w:t>
      </w:r>
    </w:p>
    <w:p w14:paraId="44B835AF" w14:textId="741E50C4" w:rsidR="00FD0D07" w:rsidRPr="008A6B7D" w:rsidRDefault="00FD0D07" w:rsidP="00FD0D07">
      <w:pPr>
        <w:spacing w:line="360" w:lineRule="auto"/>
        <w:ind w:firstLine="720"/>
        <w:jc w:val="both"/>
        <w:rPr>
          <w:color w:val="000000" w:themeColor="text1"/>
          <w:sz w:val="28"/>
          <w:szCs w:val="28"/>
          <w:lang w:val="uk-UA"/>
        </w:rPr>
      </w:pPr>
      <w:r w:rsidRPr="008A6B7D">
        <w:rPr>
          <w:color w:val="000000" w:themeColor="text1"/>
          <w:sz w:val="28"/>
          <w:szCs w:val="28"/>
          <w:lang w:val="uk-UA"/>
        </w:rPr>
        <w:lastRenderedPageBreak/>
        <w:t>Зазвичай використовуються ад'ювантні анальгетики різних груп препаратів, які включають кортикостероїди, антидепресанти, протисудомні засоби та інші [</w:t>
      </w:r>
      <w:r w:rsidR="00390008" w:rsidRPr="008A6B7D">
        <w:rPr>
          <w:color w:val="000000" w:themeColor="text1"/>
          <w:sz w:val="28"/>
          <w:szCs w:val="28"/>
          <w:lang w:val="uk-UA"/>
        </w:rPr>
        <w:t>5</w:t>
      </w:r>
      <w:r w:rsidR="00FE60C3" w:rsidRPr="008A6B7D">
        <w:rPr>
          <w:color w:val="000000" w:themeColor="text1"/>
          <w:sz w:val="28"/>
          <w:szCs w:val="28"/>
          <w:lang w:val="uk-UA"/>
        </w:rPr>
        <w:t>7</w:t>
      </w:r>
      <w:r w:rsidRPr="008A6B7D">
        <w:rPr>
          <w:color w:val="000000" w:themeColor="text1"/>
          <w:sz w:val="28"/>
          <w:szCs w:val="28"/>
          <w:lang w:val="uk-UA"/>
        </w:rPr>
        <w:t xml:space="preserve">]. </w:t>
      </w:r>
    </w:p>
    <w:p w14:paraId="69F06412" w14:textId="4A0D54BB" w:rsidR="00FD0D07" w:rsidRPr="008A6B7D" w:rsidRDefault="00FD0D07" w:rsidP="00FD0D07">
      <w:pPr>
        <w:spacing w:line="360" w:lineRule="auto"/>
        <w:ind w:firstLine="720"/>
        <w:jc w:val="both"/>
        <w:rPr>
          <w:color w:val="000000" w:themeColor="text1"/>
          <w:sz w:val="28"/>
          <w:szCs w:val="28"/>
          <w:lang w:val="uk-UA"/>
        </w:rPr>
      </w:pPr>
      <w:r w:rsidRPr="008A6B7D">
        <w:rPr>
          <w:color w:val="000000" w:themeColor="text1"/>
          <w:sz w:val="28"/>
          <w:szCs w:val="28"/>
          <w:lang w:val="uk-UA"/>
        </w:rPr>
        <w:t>У якості допоміжних знеболюючих препаратів при невропатичному болю були встановлені антидепресанти, протисудомні та кортикостероїдні препарати [</w:t>
      </w:r>
      <w:r w:rsidR="00B85935" w:rsidRPr="008A6B7D">
        <w:rPr>
          <w:color w:val="000000" w:themeColor="text1"/>
          <w:sz w:val="28"/>
          <w:szCs w:val="28"/>
        </w:rPr>
        <w:t>5</w:t>
      </w:r>
      <w:r w:rsidR="00FE60C3" w:rsidRPr="008A6B7D">
        <w:rPr>
          <w:color w:val="000000" w:themeColor="text1"/>
          <w:sz w:val="28"/>
          <w:szCs w:val="28"/>
        </w:rPr>
        <w:t>8</w:t>
      </w:r>
      <w:r w:rsidRPr="008A6B7D">
        <w:rPr>
          <w:color w:val="000000" w:themeColor="text1"/>
          <w:sz w:val="28"/>
          <w:szCs w:val="28"/>
          <w:lang w:val="uk-UA"/>
        </w:rPr>
        <w:t xml:space="preserve">]. </w:t>
      </w:r>
    </w:p>
    <w:p w14:paraId="463BFD27" w14:textId="29C5AB30" w:rsidR="00FD0D07" w:rsidRPr="008A6B7D" w:rsidRDefault="00FD0D07" w:rsidP="00FD0D07">
      <w:pPr>
        <w:spacing w:line="360" w:lineRule="auto"/>
        <w:ind w:firstLine="720"/>
        <w:jc w:val="both"/>
        <w:rPr>
          <w:color w:val="000000" w:themeColor="text1"/>
          <w:sz w:val="28"/>
          <w:szCs w:val="28"/>
          <w:lang w:val="uk-UA"/>
        </w:rPr>
      </w:pPr>
      <w:r w:rsidRPr="008A6B7D">
        <w:rPr>
          <w:color w:val="000000" w:themeColor="text1"/>
          <w:sz w:val="28"/>
          <w:szCs w:val="28"/>
          <w:lang w:val="uk-UA"/>
        </w:rPr>
        <w:t>Підставою для застосування протисудомних препаратів для лікування нейропатичного болю походить від спільних рис у патофізіології з епілепсією. Габапентин, структурний аналог нейромедіатора γ-аміномасляної кислоти (ГАМК), спочатку використовувався у клініці як протисудомний засіб, але згодом було виявлено його</w:t>
      </w:r>
      <w:r w:rsidRPr="008A6B7D">
        <w:rPr>
          <w:rStyle w:val="a7"/>
          <w:color w:val="000000" w:themeColor="text1"/>
          <w:sz w:val="28"/>
          <w:szCs w:val="28"/>
          <w:lang w:val="uk-UA"/>
        </w:rPr>
        <w:t xml:space="preserve"> з</w:t>
      </w:r>
      <w:r w:rsidRPr="008A6B7D">
        <w:rPr>
          <w:color w:val="000000" w:themeColor="text1"/>
          <w:sz w:val="28"/>
          <w:szCs w:val="28"/>
          <w:lang w:val="uk-UA"/>
        </w:rPr>
        <w:t>неболюючі властивості [</w:t>
      </w:r>
      <w:r w:rsidR="00FE60C3" w:rsidRPr="008A6B7D">
        <w:rPr>
          <w:color w:val="000000" w:themeColor="text1"/>
          <w:sz w:val="28"/>
          <w:szCs w:val="28"/>
          <w:lang w:val="uk-UA"/>
        </w:rPr>
        <w:t>59</w:t>
      </w:r>
      <w:r w:rsidRPr="008A6B7D">
        <w:rPr>
          <w:color w:val="000000" w:themeColor="text1"/>
          <w:sz w:val="28"/>
          <w:szCs w:val="28"/>
          <w:lang w:val="uk-UA"/>
        </w:rPr>
        <w:t xml:space="preserve">].  Механізм дії вивчений не повністю, оскільки Габапентин не впливає на зв'язування та метаболізм ГАМК. </w:t>
      </w:r>
      <w:r w:rsidRPr="008A6B7D">
        <w:rPr>
          <w:rStyle w:val="jlqj4b"/>
          <w:color w:val="000000" w:themeColor="text1"/>
          <w:sz w:val="28"/>
          <w:szCs w:val="28"/>
          <w:lang w:val="uk-UA"/>
        </w:rPr>
        <w:t>Вважається, що габапентин інгібує потенціал-залежні кальцієві канали, що містять α2δ-субодиниці, і може діяти як потужний активатор калієвих каналів [</w:t>
      </w:r>
      <w:r w:rsidR="00390008" w:rsidRPr="008A6B7D">
        <w:rPr>
          <w:rStyle w:val="jlqj4b"/>
          <w:color w:val="000000" w:themeColor="text1"/>
          <w:sz w:val="28"/>
          <w:szCs w:val="28"/>
          <w:lang w:val="uk-UA"/>
        </w:rPr>
        <w:t>6</w:t>
      </w:r>
      <w:r w:rsidR="00FE60C3" w:rsidRPr="008A6B7D">
        <w:rPr>
          <w:rStyle w:val="jlqj4b"/>
          <w:color w:val="000000" w:themeColor="text1"/>
          <w:sz w:val="28"/>
          <w:szCs w:val="28"/>
          <w:lang w:val="uk-UA"/>
        </w:rPr>
        <w:t>0</w:t>
      </w:r>
      <w:r w:rsidRPr="008A6B7D">
        <w:rPr>
          <w:rStyle w:val="jlqj4b"/>
          <w:color w:val="000000" w:themeColor="text1"/>
          <w:sz w:val="28"/>
          <w:szCs w:val="28"/>
          <w:lang w:val="uk-UA"/>
        </w:rPr>
        <w:t xml:space="preserve">]. </w:t>
      </w:r>
      <w:r w:rsidRPr="008A6B7D">
        <w:rPr>
          <w:color w:val="000000" w:themeColor="text1"/>
          <w:sz w:val="28"/>
          <w:szCs w:val="28"/>
          <w:lang w:val="uk-UA"/>
        </w:rPr>
        <w:t>До поширених побічних ефектів відносять запаморочення, сонливість, головний біль, діарею, сплутаність свідомості та нудоту [</w:t>
      </w:r>
      <w:r w:rsidR="00390008" w:rsidRPr="008A6B7D">
        <w:rPr>
          <w:color w:val="000000" w:themeColor="text1"/>
          <w:sz w:val="28"/>
          <w:szCs w:val="28"/>
        </w:rPr>
        <w:t>6</w:t>
      </w:r>
      <w:r w:rsidR="00FE60C3" w:rsidRPr="008A6B7D">
        <w:rPr>
          <w:color w:val="000000" w:themeColor="text1"/>
          <w:sz w:val="28"/>
          <w:szCs w:val="28"/>
        </w:rPr>
        <w:t>1</w:t>
      </w:r>
      <w:r w:rsidRPr="008A6B7D">
        <w:rPr>
          <w:color w:val="000000" w:themeColor="text1"/>
          <w:sz w:val="28"/>
          <w:szCs w:val="28"/>
          <w:lang w:val="uk-UA"/>
        </w:rPr>
        <w:t xml:space="preserve">]. Габапентин є привабливим засобом для пацієнтів, які отримують кілька препаратів, через відсутність основних лікарських взаємодій та його доступності. </w:t>
      </w:r>
    </w:p>
    <w:p w14:paraId="066B8941" w14:textId="2452378B" w:rsidR="00FD0D07" w:rsidRPr="008A6B7D" w:rsidRDefault="00FD0D07" w:rsidP="00FD0D07">
      <w:pPr>
        <w:spacing w:line="360" w:lineRule="auto"/>
        <w:ind w:firstLine="720"/>
        <w:jc w:val="both"/>
        <w:rPr>
          <w:color w:val="000000" w:themeColor="text1"/>
          <w:sz w:val="28"/>
          <w:szCs w:val="28"/>
          <w:lang w:val="uk-UA"/>
        </w:rPr>
      </w:pPr>
      <w:r w:rsidRPr="008A6B7D">
        <w:rPr>
          <w:color w:val="000000" w:themeColor="text1"/>
          <w:sz w:val="28"/>
          <w:szCs w:val="28"/>
          <w:lang w:val="uk-UA"/>
        </w:rPr>
        <w:t>Протиепілептичні препарати, що блокують натрієві канали, виявилися також ефективними при лікуванні нейрогенного болю. Згідно із літературними даними відомо, що після пошкодження сенсорних нейронів відбувається аберрантна експресія натрієвих каналів на периферичних нервах. Можливо, що антиноцицептивні властивості препаратів обумовлено результатом протидії цій аберрантності [</w:t>
      </w:r>
      <w:r w:rsidR="00390008" w:rsidRPr="008A6B7D">
        <w:rPr>
          <w:color w:val="000000" w:themeColor="text1"/>
          <w:sz w:val="28"/>
          <w:szCs w:val="28"/>
        </w:rPr>
        <w:t>6</w:t>
      </w:r>
      <w:r w:rsidR="00FE60C3" w:rsidRPr="008A6B7D">
        <w:rPr>
          <w:color w:val="000000" w:themeColor="text1"/>
          <w:sz w:val="28"/>
          <w:szCs w:val="28"/>
        </w:rPr>
        <w:t>2</w:t>
      </w:r>
      <w:r w:rsidRPr="008A6B7D">
        <w:rPr>
          <w:color w:val="000000" w:themeColor="text1"/>
          <w:sz w:val="28"/>
          <w:szCs w:val="28"/>
          <w:lang w:val="uk-UA"/>
        </w:rPr>
        <w:t xml:space="preserve">]. Карбамазепін - ще однин протиепілептичний засіб з широким спектром молекулярних мішеней. Вважається, що основний механізм знеболення викликається блокадою специфічних натрієвих каналів, що знаходяться на периферичних нейронах, обмежуючи частоту нервових імпульсів. Він також інгібує кальцієві канали та рецептори NMDA / AMPA, хоча лише у концентраціях, які значно </w:t>
      </w:r>
      <w:r w:rsidRPr="008A6B7D">
        <w:rPr>
          <w:color w:val="000000" w:themeColor="text1"/>
          <w:sz w:val="28"/>
          <w:szCs w:val="28"/>
          <w:lang w:val="uk-UA"/>
        </w:rPr>
        <w:lastRenderedPageBreak/>
        <w:t>перевищують терапевтичний діапазон [</w:t>
      </w:r>
      <w:r w:rsidR="00390008" w:rsidRPr="008A6B7D">
        <w:rPr>
          <w:color w:val="000000" w:themeColor="text1"/>
          <w:sz w:val="28"/>
          <w:szCs w:val="28"/>
          <w:lang w:val="uk-UA"/>
        </w:rPr>
        <w:t>6</w:t>
      </w:r>
      <w:r w:rsidR="00FE60C3" w:rsidRPr="008A6B7D">
        <w:rPr>
          <w:color w:val="000000" w:themeColor="text1"/>
          <w:sz w:val="28"/>
          <w:szCs w:val="28"/>
          <w:lang w:val="uk-UA"/>
        </w:rPr>
        <w:t>3</w:t>
      </w:r>
      <w:r w:rsidRPr="008A6B7D">
        <w:rPr>
          <w:color w:val="000000" w:themeColor="text1"/>
          <w:sz w:val="28"/>
          <w:szCs w:val="28"/>
          <w:lang w:val="uk-UA"/>
        </w:rPr>
        <w:t>]. Також, існують дані, про те, що карбамазепін потенцює анальгетичний ефект морфіну, що є ефектом, який узгоджується із дією антагоністів NMDA [</w:t>
      </w:r>
      <w:r w:rsidR="00390008" w:rsidRPr="008A6B7D">
        <w:rPr>
          <w:color w:val="000000" w:themeColor="text1"/>
          <w:sz w:val="28"/>
          <w:szCs w:val="28"/>
          <w:lang w:val="uk-UA"/>
        </w:rPr>
        <w:t>6</w:t>
      </w:r>
      <w:r w:rsidR="00FE60C3" w:rsidRPr="008A6B7D">
        <w:rPr>
          <w:color w:val="000000" w:themeColor="text1"/>
          <w:sz w:val="28"/>
          <w:szCs w:val="28"/>
          <w:lang w:val="uk-UA"/>
        </w:rPr>
        <w:t>4</w:t>
      </w:r>
      <w:r w:rsidRPr="008A6B7D">
        <w:rPr>
          <w:color w:val="000000" w:themeColor="text1"/>
          <w:sz w:val="28"/>
          <w:szCs w:val="28"/>
          <w:lang w:val="uk-UA"/>
        </w:rPr>
        <w:t>]. Несприятливі наслідки вживання карбамазепіну включають атаксію, втому, сонливість, проблеми з пам’яттю та порушення сну [</w:t>
      </w:r>
      <w:r w:rsidR="00390008" w:rsidRPr="008A6B7D">
        <w:rPr>
          <w:color w:val="000000" w:themeColor="text1"/>
          <w:sz w:val="28"/>
          <w:szCs w:val="28"/>
          <w:lang w:val="uk-UA"/>
        </w:rPr>
        <w:t>6</w:t>
      </w:r>
      <w:r w:rsidR="00FE60C3" w:rsidRPr="008A6B7D">
        <w:rPr>
          <w:color w:val="000000" w:themeColor="text1"/>
          <w:sz w:val="28"/>
          <w:szCs w:val="28"/>
          <w:lang w:val="uk-UA"/>
        </w:rPr>
        <w:t>5</w:t>
      </w:r>
      <w:r w:rsidRPr="008A6B7D">
        <w:rPr>
          <w:color w:val="000000" w:themeColor="text1"/>
          <w:sz w:val="28"/>
          <w:szCs w:val="28"/>
          <w:lang w:val="uk-UA"/>
        </w:rPr>
        <w:t>].</w:t>
      </w:r>
      <w:r w:rsidRPr="008A6B7D">
        <w:rPr>
          <w:color w:val="000000" w:themeColor="text1"/>
          <w:sz w:val="28"/>
          <w:szCs w:val="28"/>
          <w:shd w:val="clear" w:color="auto" w:fill="F5F5F5"/>
          <w:lang w:val="uk-UA"/>
        </w:rPr>
        <w:t xml:space="preserve"> </w:t>
      </w:r>
    </w:p>
    <w:p w14:paraId="667D2C0C" w14:textId="28D489BA" w:rsidR="00FD0D07" w:rsidRPr="008A6B7D" w:rsidRDefault="00FD0D07" w:rsidP="00FD0D07">
      <w:pPr>
        <w:spacing w:line="360" w:lineRule="auto"/>
        <w:ind w:firstLine="720"/>
        <w:jc w:val="both"/>
        <w:rPr>
          <w:color w:val="000000" w:themeColor="text1"/>
          <w:sz w:val="28"/>
          <w:szCs w:val="28"/>
          <w:lang w:val="uk-UA"/>
        </w:rPr>
      </w:pPr>
      <w:r w:rsidRPr="008A6B7D">
        <w:rPr>
          <w:color w:val="000000" w:themeColor="text1"/>
          <w:sz w:val="28"/>
          <w:szCs w:val="28"/>
          <w:lang w:val="uk-UA"/>
        </w:rPr>
        <w:t>Антидепресанти проявляють знеболюючу дію, яка не залежить від їх антидепресантної активності [</w:t>
      </w:r>
      <w:r w:rsidR="00390008" w:rsidRPr="008A6B7D">
        <w:rPr>
          <w:color w:val="000000" w:themeColor="text1"/>
          <w:sz w:val="28"/>
          <w:szCs w:val="28"/>
        </w:rPr>
        <w:t>6</w:t>
      </w:r>
      <w:r w:rsidR="00FE60C3" w:rsidRPr="008A6B7D">
        <w:rPr>
          <w:color w:val="000000" w:themeColor="text1"/>
          <w:sz w:val="28"/>
          <w:szCs w:val="28"/>
        </w:rPr>
        <w:t>6</w:t>
      </w:r>
      <w:r w:rsidRPr="008A6B7D">
        <w:rPr>
          <w:color w:val="000000" w:themeColor="text1"/>
          <w:sz w:val="28"/>
          <w:szCs w:val="28"/>
          <w:lang w:val="uk-UA"/>
        </w:rPr>
        <w:t>]. Організм людини у відповідь на запальний процес викликає біль та депресію, отже спостерігається взаємозв’язок цих двох процесів [</w:t>
      </w:r>
      <w:r w:rsidR="00FE60C3" w:rsidRPr="008A6B7D">
        <w:rPr>
          <w:color w:val="000000" w:themeColor="text1"/>
          <w:sz w:val="28"/>
          <w:szCs w:val="28"/>
          <w:lang w:val="uk-UA"/>
        </w:rPr>
        <w:t>67</w:t>
      </w:r>
      <w:r w:rsidRPr="008A6B7D">
        <w:rPr>
          <w:color w:val="000000" w:themeColor="text1"/>
          <w:sz w:val="28"/>
          <w:szCs w:val="28"/>
          <w:lang w:val="uk-UA"/>
        </w:rPr>
        <w:t>]. Сигнали у мозок, які викликає запалення, можуть спричинити зміни у метаболізмі нейротрансмітерів, нейропластичної та нейроендокринної функції [</w:t>
      </w:r>
      <w:r w:rsidR="00FE60C3" w:rsidRPr="008A6B7D">
        <w:rPr>
          <w:color w:val="000000" w:themeColor="text1"/>
          <w:sz w:val="28"/>
          <w:szCs w:val="28"/>
          <w:lang w:val="uk-UA"/>
        </w:rPr>
        <w:t>68</w:t>
      </w:r>
      <w:r w:rsidRPr="008A6B7D">
        <w:rPr>
          <w:color w:val="000000" w:themeColor="text1"/>
          <w:sz w:val="28"/>
          <w:szCs w:val="28"/>
          <w:lang w:val="uk-UA"/>
        </w:rPr>
        <w:t>]. Було показано, що травматичні сенсорні шляхи болю поділяють ті ж самі області мозку, які задіяні в управлінні настроєм, включаючи префронтальну кору, передню долю, таламус, гіпокамп і мигдалевидне тіло, саме вони утворюють гістологічний фундамент для співіснування болю і депресії [</w:t>
      </w:r>
      <w:r w:rsidR="00FE60C3" w:rsidRPr="008A6B7D">
        <w:rPr>
          <w:color w:val="000000" w:themeColor="text1"/>
          <w:sz w:val="28"/>
          <w:szCs w:val="28"/>
          <w:lang w:val="uk-UA"/>
        </w:rPr>
        <w:t>69</w:t>
      </w:r>
      <w:r w:rsidRPr="008A6B7D">
        <w:rPr>
          <w:color w:val="000000" w:themeColor="text1"/>
          <w:sz w:val="28"/>
          <w:szCs w:val="28"/>
          <w:lang w:val="uk-UA"/>
        </w:rPr>
        <w:t xml:space="preserve">]. </w:t>
      </w:r>
    </w:p>
    <w:p w14:paraId="6B0FB35B" w14:textId="319C2840" w:rsidR="00FD0D07" w:rsidRPr="008A6B7D" w:rsidRDefault="00FD0D07" w:rsidP="00FD0D07">
      <w:pPr>
        <w:spacing w:line="360" w:lineRule="auto"/>
        <w:ind w:firstLine="720"/>
        <w:jc w:val="both"/>
        <w:rPr>
          <w:rStyle w:val="jlqj4b"/>
          <w:color w:val="000000" w:themeColor="text1"/>
          <w:sz w:val="28"/>
          <w:szCs w:val="28"/>
          <w:lang w:val="uk-UA"/>
        </w:rPr>
      </w:pPr>
      <w:r w:rsidRPr="008A6B7D">
        <w:rPr>
          <w:color w:val="000000" w:themeColor="text1"/>
          <w:sz w:val="28"/>
          <w:szCs w:val="28"/>
          <w:lang w:val="uk-UA"/>
        </w:rPr>
        <w:t xml:space="preserve">Хоча антидепресанти не є анальгетиками, однак повідомляється, що вони виявляють знеболюючий ефект при хронічному болю. </w:t>
      </w:r>
      <w:r w:rsidRPr="008A6B7D">
        <w:rPr>
          <w:rStyle w:val="jlqj4b"/>
          <w:color w:val="000000" w:themeColor="text1"/>
          <w:sz w:val="28"/>
          <w:szCs w:val="28"/>
          <w:lang w:val="uk-UA"/>
        </w:rPr>
        <w:t>Антидепресанти практично не мають антиноцицептивних ефектів, але вважаються препаратами першої лінії вибору при невропатичному болю [</w:t>
      </w:r>
      <w:r w:rsidR="00390008" w:rsidRPr="008A6B7D">
        <w:rPr>
          <w:rStyle w:val="jlqj4b"/>
          <w:color w:val="000000" w:themeColor="text1"/>
          <w:sz w:val="28"/>
          <w:szCs w:val="28"/>
          <w:lang w:val="uk-UA"/>
        </w:rPr>
        <w:t>7</w:t>
      </w:r>
      <w:r w:rsidR="00FE60C3" w:rsidRPr="008A6B7D">
        <w:rPr>
          <w:rStyle w:val="jlqj4b"/>
          <w:color w:val="000000" w:themeColor="text1"/>
          <w:sz w:val="28"/>
          <w:szCs w:val="28"/>
          <w:lang w:val="uk-UA"/>
        </w:rPr>
        <w:t>0</w:t>
      </w:r>
      <w:r w:rsidRPr="008A6B7D">
        <w:rPr>
          <w:rStyle w:val="jlqj4b"/>
          <w:color w:val="000000" w:themeColor="text1"/>
          <w:sz w:val="28"/>
          <w:szCs w:val="28"/>
          <w:lang w:val="uk-UA"/>
        </w:rPr>
        <w:t>] та лікуванні фіброміалгії [</w:t>
      </w:r>
      <w:r w:rsidR="00390008" w:rsidRPr="008A6B7D">
        <w:rPr>
          <w:rStyle w:val="jlqj4b"/>
          <w:color w:val="000000" w:themeColor="text1"/>
          <w:sz w:val="28"/>
          <w:szCs w:val="28"/>
          <w:lang w:val="uk-UA"/>
        </w:rPr>
        <w:t>7</w:t>
      </w:r>
      <w:r w:rsidR="00FE60C3" w:rsidRPr="008A6B7D">
        <w:rPr>
          <w:rStyle w:val="jlqj4b"/>
          <w:color w:val="000000" w:themeColor="text1"/>
          <w:sz w:val="28"/>
          <w:szCs w:val="28"/>
          <w:lang w:val="uk-UA"/>
        </w:rPr>
        <w:t>1</w:t>
      </w:r>
      <w:r w:rsidRPr="008A6B7D">
        <w:rPr>
          <w:rStyle w:val="jlqj4b"/>
          <w:color w:val="000000" w:themeColor="text1"/>
          <w:sz w:val="28"/>
          <w:szCs w:val="28"/>
          <w:lang w:val="uk-UA"/>
        </w:rPr>
        <w:t>]. До специфічних антидепресантів з знеболюючим ефектом належать трициклічні антидепресанти (ТСА), які вже давно застосовуються, та інгібітори зворотного захоплення серотоніну норадреналіном (SNRI), які є порівняно новими антидепресантами. Селективні інгібітори зворотного захоплення серотоніну (СІЗЗС), які часто використовуються для лікування депресії, не є ефективними проти хронічного болю [</w:t>
      </w:r>
      <w:r w:rsidR="00390008" w:rsidRPr="008A6B7D">
        <w:rPr>
          <w:rStyle w:val="jlqj4b"/>
          <w:color w:val="000000" w:themeColor="text1"/>
          <w:sz w:val="28"/>
          <w:szCs w:val="28"/>
        </w:rPr>
        <w:t>7</w:t>
      </w:r>
      <w:r w:rsidR="00FE60C3" w:rsidRPr="008A6B7D">
        <w:rPr>
          <w:rStyle w:val="jlqj4b"/>
          <w:color w:val="000000" w:themeColor="text1"/>
          <w:sz w:val="28"/>
          <w:szCs w:val="28"/>
        </w:rPr>
        <w:t>0</w:t>
      </w:r>
      <w:r w:rsidRPr="008A6B7D">
        <w:rPr>
          <w:rStyle w:val="jlqj4b"/>
          <w:color w:val="000000" w:themeColor="text1"/>
          <w:sz w:val="28"/>
          <w:szCs w:val="28"/>
          <w:lang w:val="uk-UA"/>
        </w:rPr>
        <w:t xml:space="preserve">]. </w:t>
      </w:r>
      <w:r w:rsidRPr="008A6B7D">
        <w:rPr>
          <w:color w:val="000000" w:themeColor="text1"/>
          <w:sz w:val="28"/>
          <w:szCs w:val="28"/>
          <w:lang w:val="uk-UA"/>
        </w:rPr>
        <w:t xml:space="preserve">Психологічні проблеми відіграють важливу роль у хронічному болю. </w:t>
      </w:r>
      <w:r w:rsidRPr="008A6B7D">
        <w:rPr>
          <w:rStyle w:val="jlqj4b"/>
          <w:color w:val="000000" w:themeColor="text1"/>
          <w:sz w:val="28"/>
          <w:szCs w:val="28"/>
          <w:lang w:val="uk-UA"/>
        </w:rPr>
        <w:t xml:space="preserve">Тривалий біль викликає занепокоєння, що супроводжується прогресуючим депресивним станом та посиленням больових відчуттів. </w:t>
      </w:r>
    </w:p>
    <w:p w14:paraId="54609295" w14:textId="5BE73B9D" w:rsidR="00FD0D07" w:rsidRPr="008A6B7D" w:rsidRDefault="00FD0D07" w:rsidP="00FD0D07">
      <w:pPr>
        <w:spacing w:line="360" w:lineRule="auto"/>
        <w:ind w:firstLine="720"/>
        <w:jc w:val="both"/>
        <w:rPr>
          <w:color w:val="000000" w:themeColor="text1"/>
          <w:sz w:val="28"/>
          <w:szCs w:val="28"/>
          <w:lang w:val="uk-UA"/>
        </w:rPr>
      </w:pPr>
      <w:r w:rsidRPr="008A6B7D">
        <w:rPr>
          <w:color w:val="000000" w:themeColor="text1"/>
          <w:sz w:val="28"/>
          <w:szCs w:val="28"/>
          <w:lang w:val="uk-UA"/>
        </w:rPr>
        <w:t xml:space="preserve">Фармакологічна дія антидепресантів передбачає зв'язування з транспортерами норадреналіну та серотоніну (5-НТ). Зворотне захоплення цих </w:t>
      </w:r>
      <w:r w:rsidRPr="008A6B7D">
        <w:rPr>
          <w:color w:val="000000" w:themeColor="text1"/>
          <w:sz w:val="28"/>
          <w:szCs w:val="28"/>
          <w:lang w:val="uk-UA"/>
        </w:rPr>
        <w:lastRenderedPageBreak/>
        <w:t>нейромедіаторів пригнічується, що призводить до підвищення рівня норадреналіну та 5-НТ у синаптичній щілині [</w:t>
      </w:r>
      <w:r w:rsidR="00390008" w:rsidRPr="008A6B7D">
        <w:rPr>
          <w:color w:val="000000" w:themeColor="text1"/>
          <w:sz w:val="28"/>
          <w:szCs w:val="28"/>
          <w:lang w:val="uk-UA"/>
        </w:rPr>
        <w:t>7</w:t>
      </w:r>
      <w:r w:rsidR="00FE60C3" w:rsidRPr="008A6B7D">
        <w:rPr>
          <w:color w:val="000000" w:themeColor="text1"/>
          <w:sz w:val="28"/>
          <w:szCs w:val="28"/>
          <w:lang w:val="uk-UA"/>
        </w:rPr>
        <w:t>2</w:t>
      </w:r>
      <w:r w:rsidRPr="008A6B7D">
        <w:rPr>
          <w:color w:val="000000" w:themeColor="text1"/>
          <w:sz w:val="28"/>
          <w:szCs w:val="28"/>
          <w:lang w:val="uk-UA"/>
        </w:rPr>
        <w:t>]. Згідно із літературними данними відомо, що антидепресант, який пригнічує зворотне захоплення норадреналіну і 5-HT має більш виражений анальгетичний ефект, ніж препарати, які селективно інгібують зворотне захоплення тільки одного з цих нейротрансмітерів [</w:t>
      </w:r>
      <w:r w:rsidR="00390008" w:rsidRPr="008A6B7D">
        <w:rPr>
          <w:color w:val="000000" w:themeColor="text1"/>
          <w:sz w:val="28"/>
          <w:szCs w:val="28"/>
          <w:lang w:val="uk-UA"/>
        </w:rPr>
        <w:t>7</w:t>
      </w:r>
      <w:r w:rsidR="00FE60C3" w:rsidRPr="008A6B7D">
        <w:rPr>
          <w:color w:val="000000" w:themeColor="text1"/>
          <w:sz w:val="28"/>
          <w:szCs w:val="28"/>
          <w:lang w:val="uk-UA"/>
        </w:rPr>
        <w:t>3</w:t>
      </w:r>
      <w:r w:rsidRPr="008A6B7D">
        <w:rPr>
          <w:color w:val="000000" w:themeColor="text1"/>
          <w:sz w:val="28"/>
          <w:szCs w:val="28"/>
          <w:lang w:val="uk-UA"/>
        </w:rPr>
        <w:t xml:space="preserve">]. </w:t>
      </w:r>
    </w:p>
    <w:p w14:paraId="17E446F5" w14:textId="7994392A" w:rsidR="00FD0D07" w:rsidRPr="008A6B7D" w:rsidRDefault="00FD0D07" w:rsidP="00FD0D07">
      <w:pPr>
        <w:spacing w:line="360" w:lineRule="auto"/>
        <w:ind w:firstLine="720"/>
        <w:jc w:val="both"/>
        <w:rPr>
          <w:color w:val="000000" w:themeColor="text1"/>
          <w:sz w:val="28"/>
          <w:szCs w:val="28"/>
          <w:lang w:val="uk-UA"/>
        </w:rPr>
      </w:pPr>
      <w:r w:rsidRPr="008A6B7D">
        <w:rPr>
          <w:color w:val="000000" w:themeColor="text1"/>
          <w:sz w:val="28"/>
          <w:szCs w:val="28"/>
          <w:lang w:val="uk-UA"/>
        </w:rPr>
        <w:t>Варто зазначити, що новий тип знеболюючого препарату - нефопам, відрізняється від типових опіоїдів і протизапальних препаратів [</w:t>
      </w:r>
      <w:r w:rsidR="00390008" w:rsidRPr="008A6B7D">
        <w:rPr>
          <w:color w:val="000000" w:themeColor="text1"/>
          <w:sz w:val="28"/>
          <w:szCs w:val="28"/>
          <w:lang w:val="uk-UA"/>
        </w:rPr>
        <w:t>7</w:t>
      </w:r>
      <w:r w:rsidR="00FE60C3" w:rsidRPr="008A6B7D">
        <w:rPr>
          <w:color w:val="000000" w:themeColor="text1"/>
          <w:sz w:val="28"/>
          <w:szCs w:val="28"/>
          <w:lang w:val="uk-UA"/>
        </w:rPr>
        <w:t>4</w:t>
      </w:r>
      <w:r w:rsidRPr="008A6B7D">
        <w:rPr>
          <w:color w:val="000000" w:themeColor="text1"/>
          <w:sz w:val="28"/>
          <w:szCs w:val="28"/>
          <w:lang w:val="uk-UA"/>
        </w:rPr>
        <w:t>]. Його було розроблено ще в 1960-х роках і був відомий як феназоцин у той час. Спочатку його класифікували як антидепресант, а у 1970 році змінили назву на нефопам. Основний механізм дії полягає у збільшенні кількості моноамінів, які можуть сприяти пригніченню невропатичного болю. Існує декілька шляхів реалізації аналгетичного  ефекту антидепресантів, а також нефопаму. По-перше, вони діють як блокатори натрієвих каналів [</w:t>
      </w:r>
      <w:r w:rsidR="00390008" w:rsidRPr="008A6B7D">
        <w:rPr>
          <w:color w:val="000000" w:themeColor="text1"/>
          <w:sz w:val="28"/>
          <w:szCs w:val="28"/>
          <w:lang w:val="uk-UA"/>
        </w:rPr>
        <w:t>7</w:t>
      </w:r>
      <w:r w:rsidR="00FE60C3" w:rsidRPr="008A6B7D">
        <w:rPr>
          <w:color w:val="000000" w:themeColor="text1"/>
          <w:sz w:val="28"/>
          <w:szCs w:val="28"/>
          <w:lang w:val="uk-UA"/>
        </w:rPr>
        <w:t>5</w:t>
      </w:r>
      <w:r w:rsidRPr="008A6B7D">
        <w:rPr>
          <w:color w:val="000000" w:themeColor="text1"/>
          <w:sz w:val="28"/>
          <w:szCs w:val="28"/>
          <w:lang w:val="uk-UA"/>
        </w:rPr>
        <w:t>]. Блокатори натрієвих каналів інгібують ектопічні розряди, що виникають при пошкодженні нервів, інгібуючи тим самим невропатичний біль [</w:t>
      </w:r>
      <w:r w:rsidR="00390008" w:rsidRPr="008A6B7D">
        <w:rPr>
          <w:color w:val="000000" w:themeColor="text1"/>
          <w:sz w:val="28"/>
          <w:szCs w:val="28"/>
          <w:lang w:val="uk-UA"/>
        </w:rPr>
        <w:t>7</w:t>
      </w:r>
      <w:r w:rsidR="00FE60C3" w:rsidRPr="008A6B7D">
        <w:rPr>
          <w:color w:val="000000" w:themeColor="text1"/>
          <w:sz w:val="28"/>
          <w:szCs w:val="28"/>
          <w:lang w:val="uk-UA"/>
        </w:rPr>
        <w:t>5</w:t>
      </w:r>
      <w:r w:rsidRPr="008A6B7D">
        <w:rPr>
          <w:color w:val="000000" w:themeColor="text1"/>
          <w:sz w:val="28"/>
          <w:szCs w:val="28"/>
          <w:lang w:val="uk-UA"/>
        </w:rPr>
        <w:t>]. По-друге, деякі антидепресанти діють як антагоністи рецепторів NMDA [</w:t>
      </w:r>
      <w:r w:rsidR="00390008" w:rsidRPr="008A6B7D">
        <w:rPr>
          <w:color w:val="000000" w:themeColor="text1"/>
          <w:sz w:val="28"/>
          <w:szCs w:val="28"/>
          <w:lang w:val="uk-UA"/>
        </w:rPr>
        <w:t>7</w:t>
      </w:r>
      <w:r w:rsidR="00FE60C3" w:rsidRPr="008A6B7D">
        <w:rPr>
          <w:color w:val="000000" w:themeColor="text1"/>
          <w:sz w:val="28"/>
          <w:szCs w:val="28"/>
          <w:lang w:val="uk-UA"/>
        </w:rPr>
        <w:t>6</w:t>
      </w:r>
      <w:r w:rsidRPr="008A6B7D">
        <w:rPr>
          <w:color w:val="000000" w:themeColor="text1"/>
          <w:sz w:val="28"/>
          <w:szCs w:val="28"/>
          <w:lang w:val="uk-UA"/>
        </w:rPr>
        <w:t>]. Рецептори NMDA, які експресуються у нейронах дорсального рогу спинного мозку, викликають збудження та центральну сенсибілізацію, тим самим викликаючи і підтримуючи появу нейропатичного болю [</w:t>
      </w:r>
      <w:r w:rsidR="00FE60C3" w:rsidRPr="008A6B7D">
        <w:rPr>
          <w:color w:val="000000" w:themeColor="text1"/>
          <w:sz w:val="28"/>
          <w:szCs w:val="28"/>
        </w:rPr>
        <w:t>77</w:t>
      </w:r>
      <w:r w:rsidRPr="008A6B7D">
        <w:rPr>
          <w:color w:val="000000" w:themeColor="text1"/>
          <w:sz w:val="28"/>
          <w:szCs w:val="28"/>
          <w:lang w:val="uk-UA"/>
        </w:rPr>
        <w:t xml:space="preserve">]. </w:t>
      </w:r>
    </w:p>
    <w:p w14:paraId="566150B9" w14:textId="39E932E8" w:rsidR="00FD0D07" w:rsidRPr="008A6B7D" w:rsidRDefault="00FD0D07" w:rsidP="00F05F4E">
      <w:pPr>
        <w:spacing w:line="360" w:lineRule="auto"/>
        <w:ind w:firstLine="720"/>
        <w:jc w:val="both"/>
        <w:rPr>
          <w:rStyle w:val="jlqj4b"/>
          <w:color w:val="000000" w:themeColor="text1"/>
          <w:sz w:val="28"/>
          <w:szCs w:val="28"/>
          <w:lang w:val="uk-UA"/>
        </w:rPr>
      </w:pPr>
      <w:r w:rsidRPr="008A6B7D">
        <w:rPr>
          <w:rStyle w:val="jlqj4b"/>
          <w:color w:val="000000" w:themeColor="text1"/>
          <w:sz w:val="28"/>
          <w:szCs w:val="28"/>
          <w:lang w:val="uk-UA"/>
        </w:rPr>
        <w:t>Отже, антидепресанти можуть бути ефективними для терапії хронічного болю шлях</w:t>
      </w:r>
      <w:r w:rsidRPr="008A6B7D">
        <w:rPr>
          <w:rStyle w:val="a7"/>
          <w:color w:val="000000" w:themeColor="text1"/>
          <w:sz w:val="28"/>
          <w:szCs w:val="28"/>
          <w:lang w:val="uk-UA"/>
        </w:rPr>
        <w:t xml:space="preserve"> </w:t>
      </w:r>
      <w:r w:rsidRPr="008A6B7D">
        <w:rPr>
          <w:rStyle w:val="jlqj4b"/>
          <w:color w:val="000000" w:themeColor="text1"/>
          <w:sz w:val="28"/>
          <w:szCs w:val="28"/>
          <w:lang w:val="uk-UA"/>
        </w:rPr>
        <w:t>полегшення депресивного стану. Однак антидепресанти здатні пригнічувати невропатичний біль, навіть коли пацієнт не перебуває у депресивному стані [</w:t>
      </w:r>
      <w:r w:rsidR="00FE60C3" w:rsidRPr="008A6B7D">
        <w:rPr>
          <w:rStyle w:val="jlqj4b"/>
          <w:color w:val="000000" w:themeColor="text1"/>
          <w:sz w:val="28"/>
          <w:szCs w:val="28"/>
        </w:rPr>
        <w:t>78</w:t>
      </w:r>
      <w:r w:rsidRPr="008A6B7D">
        <w:rPr>
          <w:rStyle w:val="jlqj4b"/>
          <w:color w:val="000000" w:themeColor="text1"/>
          <w:sz w:val="28"/>
          <w:szCs w:val="28"/>
          <w:lang w:val="uk-UA"/>
        </w:rPr>
        <w:t>]. Крім того, антидепресивний ефект настає приблизно через два-чотири тижні з моменту першого прийому препарату, у той час як їх знеболюючий ефект при хронічному білю проявляється вже через кілька днів прийому [</w:t>
      </w:r>
      <w:r w:rsidR="00FE60C3" w:rsidRPr="008A6B7D">
        <w:rPr>
          <w:rStyle w:val="jlqj4b"/>
          <w:color w:val="000000" w:themeColor="text1"/>
          <w:sz w:val="28"/>
          <w:szCs w:val="28"/>
        </w:rPr>
        <w:t>79</w:t>
      </w:r>
      <w:r w:rsidRPr="008A6B7D">
        <w:rPr>
          <w:rStyle w:val="jlqj4b"/>
          <w:color w:val="000000" w:themeColor="text1"/>
          <w:sz w:val="28"/>
          <w:szCs w:val="28"/>
          <w:lang w:val="uk-UA"/>
        </w:rPr>
        <w:t>].</w:t>
      </w:r>
    </w:p>
    <w:p w14:paraId="5C086BBF" w14:textId="77777777" w:rsidR="00C57D1F" w:rsidRPr="008A6B7D" w:rsidRDefault="00C57D1F" w:rsidP="00F05F4E">
      <w:pPr>
        <w:spacing w:line="360" w:lineRule="auto"/>
        <w:ind w:firstLine="720"/>
        <w:jc w:val="both"/>
        <w:rPr>
          <w:color w:val="000000" w:themeColor="text1"/>
          <w:sz w:val="28"/>
          <w:szCs w:val="28"/>
          <w:lang w:val="uk-UA"/>
        </w:rPr>
      </w:pPr>
    </w:p>
    <w:p w14:paraId="6E62BBFF" w14:textId="50184122" w:rsidR="00FD0D07" w:rsidRPr="008A6B7D" w:rsidRDefault="00FD0D07" w:rsidP="00FD0D07">
      <w:pPr>
        <w:pStyle w:val="20"/>
        <w:ind w:firstLine="720"/>
        <w:rPr>
          <w:b/>
          <w:color w:val="000000" w:themeColor="text1"/>
          <w:szCs w:val="28"/>
        </w:rPr>
      </w:pPr>
      <w:bookmarkStart w:id="2" w:name="_Toc63336073"/>
      <w:r w:rsidRPr="008A6B7D">
        <w:rPr>
          <w:b/>
          <w:color w:val="000000" w:themeColor="text1"/>
          <w:szCs w:val="28"/>
        </w:rPr>
        <w:lastRenderedPageBreak/>
        <w:t>1.</w:t>
      </w:r>
      <w:r w:rsidR="00C57D1F" w:rsidRPr="008A6B7D">
        <w:rPr>
          <w:b/>
          <w:color w:val="000000" w:themeColor="text1"/>
          <w:szCs w:val="28"/>
          <w:lang w:val="ru-RU"/>
        </w:rPr>
        <w:t>2</w:t>
      </w:r>
      <w:r w:rsidRPr="008A6B7D">
        <w:rPr>
          <w:b/>
          <w:color w:val="000000" w:themeColor="text1"/>
          <w:szCs w:val="28"/>
        </w:rPr>
        <w:t xml:space="preserve"> </w:t>
      </w:r>
      <w:bookmarkEnd w:id="2"/>
      <w:r w:rsidRPr="008A6B7D">
        <w:rPr>
          <w:b/>
          <w:color w:val="000000" w:themeColor="text1"/>
          <w:szCs w:val="28"/>
        </w:rPr>
        <w:t>Терапевтичний потенціал гідразонів</w:t>
      </w:r>
    </w:p>
    <w:p w14:paraId="5CD309F7" w14:textId="4F1F8FF4" w:rsidR="00FD0D07" w:rsidRPr="008A6B7D" w:rsidRDefault="00FD0D07" w:rsidP="00FD0D07">
      <w:pPr>
        <w:tabs>
          <w:tab w:val="left" w:pos="720"/>
        </w:tabs>
        <w:spacing w:line="360" w:lineRule="auto"/>
        <w:ind w:firstLine="720"/>
        <w:jc w:val="both"/>
        <w:rPr>
          <w:color w:val="000000" w:themeColor="text1"/>
          <w:sz w:val="28"/>
          <w:szCs w:val="28"/>
          <w:lang w:val="uk-UA"/>
        </w:rPr>
      </w:pPr>
      <w:r w:rsidRPr="008A6B7D">
        <w:rPr>
          <w:color w:val="000000" w:themeColor="text1"/>
          <w:sz w:val="28"/>
          <w:szCs w:val="28"/>
          <w:shd w:val="clear" w:color="auto" w:fill="FFFFFF"/>
          <w:lang w:val="uk-UA"/>
        </w:rPr>
        <w:t xml:space="preserve">Гідразони є важливим класом сполук для нового розвитку лікарських засобів. Це створило інтерес до дослідників, які синтезували різноманітність похідних гідразону та досліджують їх за різну біологічну діяльність. Гідразони є органічними сполуками, що відносять до кетонів і альдегідів і мають структуру </w:t>
      </w:r>
      <w:r w:rsidRPr="008A6B7D">
        <w:rPr>
          <w:color w:val="000000" w:themeColor="text1"/>
          <w:sz w:val="28"/>
          <w:szCs w:val="28"/>
          <w:lang w:val="uk-UA"/>
        </w:rPr>
        <w:t>R</w:t>
      </w:r>
      <w:r w:rsidRPr="008A6B7D">
        <w:rPr>
          <w:color w:val="000000" w:themeColor="text1"/>
          <w:sz w:val="28"/>
          <w:szCs w:val="28"/>
          <w:vertAlign w:val="subscript"/>
          <w:lang w:val="uk-UA"/>
        </w:rPr>
        <w:t>1</w:t>
      </w:r>
      <w:r w:rsidRPr="008A6B7D">
        <w:rPr>
          <w:color w:val="000000" w:themeColor="text1"/>
          <w:sz w:val="28"/>
          <w:szCs w:val="28"/>
          <w:lang w:val="uk-UA"/>
        </w:rPr>
        <w:t>R</w:t>
      </w:r>
      <w:r w:rsidRPr="008A6B7D">
        <w:rPr>
          <w:color w:val="000000" w:themeColor="text1"/>
          <w:sz w:val="28"/>
          <w:szCs w:val="28"/>
          <w:vertAlign w:val="subscript"/>
          <w:lang w:val="uk-UA"/>
        </w:rPr>
        <w:t>2</w:t>
      </w:r>
      <w:r w:rsidRPr="008A6B7D">
        <w:rPr>
          <w:color w:val="000000" w:themeColor="text1"/>
          <w:sz w:val="28"/>
          <w:szCs w:val="28"/>
          <w:lang w:val="uk-UA"/>
        </w:rPr>
        <w:t>C = NNH</w:t>
      </w:r>
      <w:r w:rsidRPr="008A6B7D">
        <w:rPr>
          <w:color w:val="000000" w:themeColor="text1"/>
          <w:sz w:val="28"/>
          <w:szCs w:val="28"/>
          <w:vertAlign w:val="subscript"/>
          <w:lang w:val="uk-UA"/>
        </w:rPr>
        <w:t>2</w:t>
      </w:r>
      <w:r w:rsidRPr="008A6B7D">
        <w:rPr>
          <w:color w:val="000000" w:themeColor="text1"/>
          <w:sz w:val="28"/>
          <w:szCs w:val="28"/>
          <w:lang w:val="uk-UA"/>
        </w:rPr>
        <w:t xml:space="preserve"> [</w:t>
      </w:r>
      <w:r w:rsidR="00FE60C3" w:rsidRPr="008A6B7D">
        <w:rPr>
          <w:color w:val="000000" w:themeColor="text1"/>
          <w:sz w:val="28"/>
          <w:szCs w:val="28"/>
          <w:lang w:val="uk-UA"/>
        </w:rPr>
        <w:t>80</w:t>
      </w:r>
      <w:r w:rsidRPr="008A6B7D">
        <w:rPr>
          <w:color w:val="000000" w:themeColor="text1"/>
          <w:sz w:val="28"/>
          <w:szCs w:val="28"/>
          <w:lang w:val="uk-UA"/>
        </w:rPr>
        <w:t>]. Ці сполуки містять зв'язок C = N, який пов'язаний з неподіленою парою електронів функціонального атому азоту [</w:t>
      </w:r>
      <w:r w:rsidR="00390008" w:rsidRPr="008A6B7D">
        <w:rPr>
          <w:color w:val="000000" w:themeColor="text1"/>
          <w:sz w:val="28"/>
          <w:szCs w:val="28"/>
        </w:rPr>
        <w:t>8</w:t>
      </w:r>
      <w:r w:rsidR="00FE60C3" w:rsidRPr="008A6B7D">
        <w:rPr>
          <w:color w:val="000000" w:themeColor="text1"/>
          <w:sz w:val="28"/>
          <w:szCs w:val="28"/>
        </w:rPr>
        <w:t>1</w:t>
      </w:r>
      <w:r w:rsidRPr="008A6B7D">
        <w:rPr>
          <w:color w:val="000000" w:themeColor="text1"/>
          <w:sz w:val="28"/>
          <w:szCs w:val="28"/>
          <w:lang w:val="uk-UA"/>
        </w:rPr>
        <w:t>]. Атом азоту у гідразонах є нуклеофільними, а атом вуглецю має як електрофільну так і нуклеофільну природу [</w:t>
      </w:r>
      <w:r w:rsidR="00FE60C3" w:rsidRPr="008A6B7D">
        <w:rPr>
          <w:color w:val="000000" w:themeColor="text1"/>
          <w:sz w:val="28"/>
          <w:szCs w:val="28"/>
          <w:lang w:val="uk-UA"/>
        </w:rPr>
        <w:t>82</w:t>
      </w:r>
      <w:r w:rsidRPr="008A6B7D">
        <w:rPr>
          <w:color w:val="000000" w:themeColor="text1"/>
          <w:sz w:val="28"/>
          <w:szCs w:val="28"/>
          <w:lang w:val="uk-UA"/>
        </w:rPr>
        <w:t>]. Активні центри гідразону, тобто вуглець та азот, головним чином відповідають за фізичні та хімічні властивості гідразонів, а завдяки їх реакційній здатності гідразони використовуються для синтезу нових органічних сполук [</w:t>
      </w:r>
      <w:r w:rsidR="00390008" w:rsidRPr="008A6B7D">
        <w:rPr>
          <w:color w:val="000000" w:themeColor="text1"/>
          <w:sz w:val="28"/>
          <w:szCs w:val="28"/>
          <w:lang w:val="uk-UA"/>
        </w:rPr>
        <w:t>8</w:t>
      </w:r>
      <w:r w:rsidR="00FE60C3" w:rsidRPr="008A6B7D">
        <w:rPr>
          <w:color w:val="000000" w:themeColor="text1"/>
          <w:sz w:val="28"/>
          <w:szCs w:val="28"/>
          <w:lang w:val="uk-UA"/>
        </w:rPr>
        <w:t>3</w:t>
      </w:r>
      <w:r w:rsidRPr="008A6B7D">
        <w:rPr>
          <w:color w:val="000000" w:themeColor="text1"/>
          <w:sz w:val="28"/>
          <w:szCs w:val="28"/>
          <w:lang w:val="uk-UA"/>
        </w:rPr>
        <w:t xml:space="preserve">]. </w:t>
      </w:r>
    </w:p>
    <w:p w14:paraId="27322AF7" w14:textId="459995D9" w:rsidR="00FD0D07" w:rsidRPr="008A6B7D" w:rsidRDefault="00FD0D07" w:rsidP="00FD0D07">
      <w:pPr>
        <w:spacing w:line="360" w:lineRule="auto"/>
        <w:ind w:firstLine="540"/>
        <w:jc w:val="both"/>
        <w:rPr>
          <w:color w:val="000000" w:themeColor="text1"/>
          <w:sz w:val="28"/>
          <w:szCs w:val="28"/>
          <w:lang w:val="uk-UA"/>
        </w:rPr>
      </w:pPr>
      <w:r w:rsidRPr="008A6B7D">
        <w:rPr>
          <w:color w:val="000000" w:themeColor="text1"/>
          <w:sz w:val="28"/>
          <w:szCs w:val="28"/>
          <w:lang w:val="uk-UA"/>
        </w:rPr>
        <w:t>Відомо, що гідразони мають додатковий донорний зв’язок, тобто C = O, що робить їх більш універсальними і реактивоздатними. Окрім власного широкого спектру біологічних властивостей гідразони поєднуючись з іншими функціональними групами, забезпечують нові фармакологічно активні молекули. Ця універсальність призвела до того, що гідразони стали хелатуючими агентами, які можуть утворювати різні комплекси з різними перехідними металами [</w:t>
      </w:r>
      <w:r w:rsidR="00390008" w:rsidRPr="008A6B7D">
        <w:rPr>
          <w:color w:val="000000" w:themeColor="text1"/>
          <w:sz w:val="28"/>
          <w:szCs w:val="28"/>
        </w:rPr>
        <w:t>8</w:t>
      </w:r>
      <w:r w:rsidR="00FE60C3" w:rsidRPr="008A6B7D">
        <w:rPr>
          <w:color w:val="000000" w:themeColor="text1"/>
          <w:sz w:val="28"/>
          <w:szCs w:val="28"/>
        </w:rPr>
        <w:t>4</w:t>
      </w:r>
      <w:r w:rsidRPr="008A6B7D">
        <w:rPr>
          <w:color w:val="000000" w:themeColor="text1"/>
          <w:sz w:val="28"/>
          <w:szCs w:val="28"/>
          <w:lang w:val="uk-UA"/>
        </w:rPr>
        <w:t xml:space="preserve">]. </w:t>
      </w:r>
    </w:p>
    <w:p w14:paraId="4AA6FE3A" w14:textId="5140AA2C" w:rsidR="00FD0D07" w:rsidRPr="00112A09" w:rsidRDefault="00FD0D07" w:rsidP="00FD0D07">
      <w:pPr>
        <w:spacing w:line="360" w:lineRule="auto"/>
        <w:ind w:firstLine="540"/>
        <w:jc w:val="both"/>
        <w:rPr>
          <w:sz w:val="28"/>
          <w:szCs w:val="28"/>
          <w:lang w:val="uk-UA"/>
        </w:rPr>
      </w:pPr>
      <w:r w:rsidRPr="00112A09">
        <w:rPr>
          <w:sz w:val="28"/>
          <w:szCs w:val="28"/>
          <w:lang w:val="uk-UA"/>
        </w:rPr>
        <w:t>Дослідження наших колег показали [</w:t>
      </w:r>
      <w:r w:rsidR="00390008" w:rsidRPr="00112A09">
        <w:rPr>
          <w:sz w:val="28"/>
          <w:szCs w:val="28"/>
          <w:lang w:val="uk-UA"/>
        </w:rPr>
        <w:t>8</w:t>
      </w:r>
      <w:r w:rsidR="00FE60C3" w:rsidRPr="00112A09">
        <w:rPr>
          <w:sz w:val="28"/>
          <w:szCs w:val="28"/>
          <w:lang w:val="uk-UA"/>
        </w:rPr>
        <w:t>5</w:t>
      </w:r>
      <w:r w:rsidRPr="00112A09">
        <w:rPr>
          <w:sz w:val="28"/>
          <w:szCs w:val="28"/>
          <w:lang w:val="uk-UA"/>
        </w:rPr>
        <w:t>], що комплексоутворення між лігандами та іонами металів збільшує їх біопотенціал порівняно з їх простими формами. Загальновідомо, що іони металів можуть змінювати величину та напрямок лікувальної активності простого ліганду в результаті зміни їх окислювально-відновного потенціалу, розподілу щільності заряду, форми та розміру [</w:t>
      </w:r>
      <w:r w:rsidR="00390008" w:rsidRPr="00112A09">
        <w:rPr>
          <w:sz w:val="28"/>
          <w:szCs w:val="28"/>
          <w:lang w:val="uk-UA"/>
        </w:rPr>
        <w:t>8</w:t>
      </w:r>
      <w:r w:rsidR="00FE60C3" w:rsidRPr="00112A09">
        <w:rPr>
          <w:sz w:val="28"/>
          <w:szCs w:val="28"/>
          <w:lang w:val="uk-UA"/>
        </w:rPr>
        <w:t>6</w:t>
      </w:r>
      <w:r w:rsidRPr="00112A09">
        <w:rPr>
          <w:sz w:val="28"/>
          <w:szCs w:val="28"/>
          <w:lang w:val="uk-UA"/>
        </w:rPr>
        <w:t>]. Гідразони легко утворюють стійкі комплекси з перехідними металами [</w:t>
      </w:r>
      <w:r w:rsidR="00FE60C3" w:rsidRPr="00112A09">
        <w:rPr>
          <w:sz w:val="28"/>
          <w:szCs w:val="28"/>
        </w:rPr>
        <w:t>87</w:t>
      </w:r>
      <w:r w:rsidRPr="00112A09">
        <w:rPr>
          <w:sz w:val="28"/>
          <w:szCs w:val="28"/>
          <w:lang w:val="uk-UA"/>
        </w:rPr>
        <w:t>], лантанідами [</w:t>
      </w:r>
      <w:r w:rsidR="00FE60C3" w:rsidRPr="00112A09">
        <w:rPr>
          <w:sz w:val="28"/>
          <w:szCs w:val="28"/>
        </w:rPr>
        <w:t>88</w:t>
      </w:r>
      <w:r w:rsidRPr="00112A09">
        <w:rPr>
          <w:sz w:val="28"/>
          <w:szCs w:val="28"/>
          <w:lang w:val="uk-UA"/>
        </w:rPr>
        <w:t>], а також елементами основної групи [</w:t>
      </w:r>
      <w:r w:rsidR="00FE60C3" w:rsidRPr="00112A09">
        <w:rPr>
          <w:sz w:val="28"/>
          <w:szCs w:val="28"/>
        </w:rPr>
        <w:t>89</w:t>
      </w:r>
      <w:r w:rsidRPr="00112A09">
        <w:rPr>
          <w:sz w:val="28"/>
          <w:szCs w:val="28"/>
          <w:lang w:val="uk-UA"/>
        </w:rPr>
        <w:t xml:space="preserve">]. </w:t>
      </w:r>
    </w:p>
    <w:p w14:paraId="7C1CC065" w14:textId="5CDDACF9" w:rsidR="00F05F4E" w:rsidRDefault="00FD0D07" w:rsidP="00F05F4E">
      <w:pPr>
        <w:spacing w:line="360" w:lineRule="auto"/>
        <w:ind w:firstLine="540"/>
        <w:jc w:val="both"/>
        <w:rPr>
          <w:sz w:val="28"/>
          <w:szCs w:val="28"/>
          <w:lang w:val="uk-UA"/>
        </w:rPr>
      </w:pPr>
      <w:r w:rsidRPr="00112A09">
        <w:rPr>
          <w:sz w:val="28"/>
          <w:szCs w:val="28"/>
          <w:lang w:val="uk-UA"/>
        </w:rPr>
        <w:t>Поєднання гідразонів з іншими функціональними групами призводить до утворення сполук, що містять у собі  унікальний фізико-хімічний характер [</w:t>
      </w:r>
      <w:r w:rsidR="00390008" w:rsidRPr="00112A09">
        <w:rPr>
          <w:sz w:val="28"/>
          <w:szCs w:val="28"/>
        </w:rPr>
        <w:t>9</w:t>
      </w:r>
      <w:r w:rsidR="00FE60C3" w:rsidRPr="00112A09">
        <w:rPr>
          <w:sz w:val="28"/>
          <w:szCs w:val="28"/>
        </w:rPr>
        <w:t>0</w:t>
      </w:r>
      <w:r w:rsidRPr="00112A09">
        <w:rPr>
          <w:sz w:val="28"/>
          <w:szCs w:val="28"/>
          <w:lang w:val="uk-UA"/>
        </w:rPr>
        <w:t xml:space="preserve">]. В останні десятиріччя встановлено, що дані сполуки проявляють широкий спектр біологічних та фармакологічних властивостей. Відомо, що до </w:t>
      </w:r>
      <w:r w:rsidRPr="00112A09">
        <w:rPr>
          <w:sz w:val="28"/>
          <w:szCs w:val="28"/>
          <w:lang w:val="uk-UA"/>
        </w:rPr>
        <w:lastRenderedPageBreak/>
        <w:t xml:space="preserve">таких властивостей гідразонів відносять: </w:t>
      </w:r>
      <w:r w:rsidRPr="00112A09">
        <w:rPr>
          <w:color w:val="000000"/>
          <w:sz w:val="28"/>
          <w:szCs w:val="28"/>
          <w:lang w:val="uk-UA"/>
        </w:rPr>
        <w:t xml:space="preserve">антидепресивні </w:t>
      </w:r>
      <w:r w:rsidRPr="00112A09">
        <w:rPr>
          <w:sz w:val="28"/>
          <w:szCs w:val="28"/>
          <w:lang w:val="uk-UA"/>
        </w:rPr>
        <w:t>[</w:t>
      </w:r>
      <w:r w:rsidR="00390008" w:rsidRPr="00112A09">
        <w:rPr>
          <w:sz w:val="28"/>
          <w:szCs w:val="28"/>
        </w:rPr>
        <w:t>9</w:t>
      </w:r>
      <w:r w:rsidR="00FE60C3" w:rsidRPr="00112A09">
        <w:rPr>
          <w:sz w:val="28"/>
          <w:szCs w:val="28"/>
        </w:rPr>
        <w:t>1</w:t>
      </w:r>
      <w:r w:rsidRPr="00112A09">
        <w:rPr>
          <w:sz w:val="28"/>
          <w:szCs w:val="28"/>
          <w:lang w:val="uk-UA"/>
        </w:rPr>
        <w:t>], анальгетичні, протизапальні [</w:t>
      </w:r>
      <w:r w:rsidR="00390008" w:rsidRPr="00112A09">
        <w:rPr>
          <w:sz w:val="28"/>
          <w:szCs w:val="28"/>
        </w:rPr>
        <w:t>9</w:t>
      </w:r>
      <w:r w:rsidR="00FE60C3" w:rsidRPr="00112A09">
        <w:rPr>
          <w:sz w:val="28"/>
          <w:szCs w:val="28"/>
        </w:rPr>
        <w:t>2</w:t>
      </w:r>
      <w:r w:rsidRPr="00112A09">
        <w:rPr>
          <w:sz w:val="28"/>
          <w:szCs w:val="28"/>
          <w:lang w:val="uk-UA"/>
        </w:rPr>
        <w:t>], протисудомні активності [</w:t>
      </w:r>
      <w:r w:rsidR="00390008" w:rsidRPr="00112A09">
        <w:rPr>
          <w:sz w:val="28"/>
          <w:szCs w:val="28"/>
        </w:rPr>
        <w:t>9</w:t>
      </w:r>
      <w:r w:rsidR="00FE60C3" w:rsidRPr="00112A09">
        <w:rPr>
          <w:sz w:val="28"/>
          <w:szCs w:val="28"/>
        </w:rPr>
        <w:t>3</w:t>
      </w:r>
      <w:r w:rsidRPr="00112A09">
        <w:rPr>
          <w:sz w:val="28"/>
          <w:szCs w:val="28"/>
          <w:lang w:val="uk-UA"/>
        </w:rPr>
        <w:t>]. Деякі гідразони були введені дослідниками в якості сильнодіючих ліків, таких як нифуроксазид, кишковий антисептик, дигідралазин як гіпертонічний препарат [</w:t>
      </w:r>
      <w:r w:rsidR="00390008" w:rsidRPr="00112A09">
        <w:rPr>
          <w:sz w:val="28"/>
          <w:szCs w:val="28"/>
          <w:lang w:val="uk-UA"/>
        </w:rPr>
        <w:t>9</w:t>
      </w:r>
      <w:r w:rsidR="00FE60C3" w:rsidRPr="00112A09">
        <w:rPr>
          <w:sz w:val="28"/>
          <w:szCs w:val="28"/>
          <w:lang w:val="uk-UA"/>
        </w:rPr>
        <w:t>4</w:t>
      </w:r>
      <w:r w:rsidRPr="00112A09">
        <w:rPr>
          <w:sz w:val="28"/>
          <w:szCs w:val="28"/>
          <w:lang w:val="uk-UA"/>
        </w:rPr>
        <w:t>].</w:t>
      </w:r>
    </w:p>
    <w:p w14:paraId="3586BAB7" w14:textId="77777777" w:rsidR="001759D5" w:rsidRPr="00112A09" w:rsidRDefault="001759D5" w:rsidP="00F05F4E">
      <w:pPr>
        <w:spacing w:line="360" w:lineRule="auto"/>
        <w:ind w:firstLine="540"/>
        <w:jc w:val="both"/>
        <w:rPr>
          <w:sz w:val="28"/>
          <w:szCs w:val="28"/>
          <w:lang w:val="uk-UA"/>
        </w:rPr>
      </w:pPr>
    </w:p>
    <w:p w14:paraId="0CE30F2A" w14:textId="65F18C6F" w:rsidR="00FD0D07" w:rsidRPr="00112A09" w:rsidRDefault="00FD0D07" w:rsidP="00FD0D07">
      <w:pPr>
        <w:tabs>
          <w:tab w:val="left" w:pos="720"/>
        </w:tabs>
        <w:spacing w:line="360" w:lineRule="auto"/>
        <w:ind w:firstLine="720"/>
        <w:jc w:val="both"/>
        <w:rPr>
          <w:b/>
          <w:sz w:val="28"/>
          <w:szCs w:val="28"/>
          <w:lang w:val="uk-UA"/>
        </w:rPr>
      </w:pPr>
      <w:r w:rsidRPr="00112A09">
        <w:rPr>
          <w:b/>
          <w:sz w:val="28"/>
          <w:szCs w:val="28"/>
          <w:lang w:val="uk-UA"/>
        </w:rPr>
        <w:t>1.</w:t>
      </w:r>
      <w:r w:rsidR="00C57D1F" w:rsidRPr="00112A09">
        <w:rPr>
          <w:b/>
          <w:sz w:val="28"/>
          <w:szCs w:val="28"/>
          <w:lang w:val="uk-UA"/>
        </w:rPr>
        <w:t>2</w:t>
      </w:r>
      <w:r w:rsidRPr="00112A09">
        <w:rPr>
          <w:b/>
          <w:sz w:val="28"/>
          <w:szCs w:val="28"/>
          <w:lang w:val="uk-UA"/>
        </w:rPr>
        <w:t>.1 Фармакологічна активність гідразонів</w:t>
      </w:r>
    </w:p>
    <w:p w14:paraId="7DC97F38" w14:textId="77777777" w:rsidR="00FD0D07" w:rsidRPr="00112A09" w:rsidRDefault="00FD0D07" w:rsidP="00FD0D07">
      <w:pPr>
        <w:tabs>
          <w:tab w:val="left" w:pos="720"/>
        </w:tabs>
        <w:spacing w:line="360" w:lineRule="auto"/>
        <w:ind w:firstLine="720"/>
        <w:jc w:val="both"/>
        <w:rPr>
          <w:sz w:val="28"/>
          <w:szCs w:val="28"/>
          <w:u w:val="single"/>
          <w:lang w:val="uk-UA"/>
        </w:rPr>
      </w:pPr>
      <w:r w:rsidRPr="00112A09">
        <w:rPr>
          <w:sz w:val="28"/>
          <w:szCs w:val="28"/>
          <w:u w:val="single"/>
          <w:lang w:val="uk-UA"/>
        </w:rPr>
        <w:t xml:space="preserve"> Протизапальна та аналгетична активність гідразонів</w:t>
      </w:r>
    </w:p>
    <w:p w14:paraId="362273B1" w14:textId="3F41B3B5" w:rsidR="00FD0D07" w:rsidRPr="00112A09" w:rsidRDefault="00FD0D07" w:rsidP="00FD0D07">
      <w:pPr>
        <w:tabs>
          <w:tab w:val="left" w:pos="720"/>
        </w:tabs>
        <w:spacing w:line="360" w:lineRule="auto"/>
        <w:ind w:firstLine="720"/>
        <w:jc w:val="both"/>
        <w:rPr>
          <w:color w:val="333333"/>
          <w:sz w:val="28"/>
          <w:szCs w:val="28"/>
          <w:shd w:val="clear" w:color="auto" w:fill="FFFFFF"/>
          <w:lang w:val="uk-UA"/>
        </w:rPr>
      </w:pPr>
      <w:r w:rsidRPr="00112A09">
        <w:rPr>
          <w:color w:val="333333"/>
          <w:sz w:val="28"/>
          <w:szCs w:val="28"/>
          <w:shd w:val="clear" w:color="auto" w:fill="FFFFFF"/>
          <w:lang w:val="uk-UA"/>
        </w:rPr>
        <w:t>Нестероїдні протизапальні препарати значною мірою використовуються при лікуванні болю та запалення. Гідразони, які є подвійними інгібіторами як циклооксигенази та 5-ліпоксигенази, вивчаються як потенційні аналгетичні та протизапальні агенти у порівнянні з НПЗП [</w:t>
      </w:r>
      <w:r w:rsidR="00390008" w:rsidRPr="00112A09">
        <w:rPr>
          <w:color w:val="333333"/>
          <w:sz w:val="28"/>
          <w:szCs w:val="28"/>
          <w:shd w:val="clear" w:color="auto" w:fill="FFFFFF"/>
          <w:lang w:val="uk-UA"/>
        </w:rPr>
        <w:t>9</w:t>
      </w:r>
      <w:r w:rsidR="00FE60C3" w:rsidRPr="00112A09">
        <w:rPr>
          <w:color w:val="333333"/>
          <w:sz w:val="28"/>
          <w:szCs w:val="28"/>
          <w:shd w:val="clear" w:color="auto" w:fill="FFFFFF"/>
          <w:lang w:val="uk-UA"/>
        </w:rPr>
        <w:t>5</w:t>
      </w:r>
      <w:r w:rsidRPr="00112A09">
        <w:rPr>
          <w:color w:val="333333"/>
          <w:sz w:val="28"/>
          <w:szCs w:val="28"/>
          <w:shd w:val="clear" w:color="auto" w:fill="FFFFFF"/>
          <w:lang w:val="uk-UA"/>
        </w:rPr>
        <w:t xml:space="preserve">]. </w:t>
      </w:r>
    </w:p>
    <w:p w14:paraId="62BD19F3" w14:textId="56980C21" w:rsidR="00FD0D07" w:rsidRPr="00112A09" w:rsidRDefault="00FD0D07" w:rsidP="00FD0D07">
      <w:pPr>
        <w:tabs>
          <w:tab w:val="left" w:pos="720"/>
        </w:tabs>
        <w:spacing w:line="360" w:lineRule="auto"/>
        <w:ind w:firstLine="720"/>
        <w:jc w:val="both"/>
        <w:rPr>
          <w:color w:val="333333"/>
          <w:sz w:val="28"/>
          <w:szCs w:val="28"/>
          <w:shd w:val="clear" w:color="auto" w:fill="FFFFFF"/>
          <w:lang w:val="uk-UA"/>
        </w:rPr>
      </w:pPr>
      <w:r w:rsidRPr="00112A09">
        <w:rPr>
          <w:color w:val="333333"/>
          <w:sz w:val="28"/>
          <w:szCs w:val="28"/>
          <w:shd w:val="clear" w:color="auto" w:fill="FFFFFF"/>
          <w:lang w:val="uk-UA"/>
        </w:rPr>
        <w:t>Фактично, результати досліджень показують, що гідразоновий фрагмент, присутній у похідних, має фармакофорний характер для інгібування ЦОГ</w:t>
      </w:r>
      <w:r w:rsidRPr="00112A09">
        <w:rPr>
          <w:color w:val="333333"/>
          <w:sz w:val="28"/>
          <w:szCs w:val="28"/>
          <w:shd w:val="clear" w:color="auto" w:fill="FFFFFF"/>
        </w:rPr>
        <w:t xml:space="preserve"> [</w:t>
      </w:r>
      <w:r w:rsidR="00FE60C3" w:rsidRPr="00112A09">
        <w:rPr>
          <w:color w:val="333333"/>
          <w:sz w:val="28"/>
          <w:szCs w:val="28"/>
          <w:shd w:val="clear" w:color="auto" w:fill="FFFFFF"/>
        </w:rPr>
        <w:t>96</w:t>
      </w:r>
      <w:r w:rsidRPr="00112A09">
        <w:rPr>
          <w:color w:val="333333"/>
          <w:sz w:val="28"/>
          <w:szCs w:val="28"/>
          <w:shd w:val="clear" w:color="auto" w:fill="FFFFFF"/>
        </w:rPr>
        <w:t>]</w:t>
      </w:r>
      <w:r w:rsidRPr="00112A09">
        <w:rPr>
          <w:color w:val="333333"/>
          <w:sz w:val="28"/>
          <w:szCs w:val="28"/>
          <w:shd w:val="clear" w:color="auto" w:fill="FFFFFF"/>
          <w:lang w:val="uk-UA"/>
        </w:rPr>
        <w:t>.</w:t>
      </w:r>
    </w:p>
    <w:p w14:paraId="0B997884" w14:textId="2DD3E2F5" w:rsidR="00FD0D07" w:rsidRPr="00112A09" w:rsidRDefault="00FD0D07" w:rsidP="00FD0D07">
      <w:pPr>
        <w:tabs>
          <w:tab w:val="left" w:pos="720"/>
        </w:tabs>
        <w:spacing w:line="360" w:lineRule="auto"/>
        <w:ind w:firstLine="720"/>
        <w:jc w:val="both"/>
        <w:rPr>
          <w:color w:val="333333"/>
          <w:sz w:val="28"/>
          <w:szCs w:val="28"/>
          <w:shd w:val="clear" w:color="auto" w:fill="FFFFFF"/>
          <w:lang w:val="uk-UA"/>
        </w:rPr>
      </w:pPr>
      <w:r w:rsidRPr="00112A09">
        <w:rPr>
          <w:color w:val="333333"/>
          <w:sz w:val="28"/>
          <w:szCs w:val="28"/>
          <w:shd w:val="clear" w:color="auto" w:fill="FFFFFF"/>
          <w:lang w:val="uk-UA"/>
        </w:rPr>
        <w:t xml:space="preserve">Фармакологічні випробування показали, що піридинове кільце у арильній частині арилгідразону виявляє виражену аналгетичну активність, що переважає таку мефенамінової кислоти. Сполуки, що мали у своїй структурі 4-толіл або 4-фторофеніл, були більш активними, ніж 4-бромфеніл та </w:t>
      </w:r>
      <w:r w:rsidR="00821BED">
        <w:rPr>
          <w:color w:val="333333"/>
          <w:sz w:val="28"/>
          <w:szCs w:val="28"/>
          <w:shd w:val="clear" w:color="auto" w:fill="FFFFFF"/>
          <w:lang w:val="uk-UA"/>
        </w:rPr>
        <w:br/>
      </w:r>
      <w:r w:rsidRPr="00112A09">
        <w:rPr>
          <w:color w:val="333333"/>
          <w:sz w:val="28"/>
          <w:szCs w:val="28"/>
          <w:shd w:val="clear" w:color="auto" w:fill="FFFFFF"/>
          <w:lang w:val="uk-UA"/>
        </w:rPr>
        <w:t>4-N, N-диметиламінофеніл. [</w:t>
      </w:r>
      <w:r w:rsidR="00FE60C3" w:rsidRPr="00B85935">
        <w:rPr>
          <w:color w:val="333333"/>
          <w:sz w:val="28"/>
          <w:szCs w:val="28"/>
          <w:shd w:val="clear" w:color="auto" w:fill="FFFFFF"/>
          <w:lang w:val="uk-UA"/>
        </w:rPr>
        <w:t>97</w:t>
      </w:r>
      <w:r w:rsidRPr="00112A09">
        <w:rPr>
          <w:color w:val="333333"/>
          <w:sz w:val="28"/>
          <w:szCs w:val="28"/>
          <w:shd w:val="clear" w:color="auto" w:fill="FFFFFF"/>
          <w:lang w:val="uk-UA"/>
        </w:rPr>
        <w:t xml:space="preserve">]. Дослідження аналгетичної активності похідних (4z)-3-метил-1-[(2-оксо-2Нхромін-4-іл)карбоніл]-1-піразол-4,5-діон 4-(4-заміщений феніл) гідразон, деякі з них показали значну аналгетичну активність. Знеболювальну активність було вивчено у тесті «оцтові корчі», який показав, що наявність 4-хлор, 4-бром, 3,4-діхлор, 3,4-дібром, та </w:t>
      </w:r>
      <w:r w:rsidR="00821BED">
        <w:rPr>
          <w:color w:val="333333"/>
          <w:sz w:val="28"/>
          <w:szCs w:val="28"/>
          <w:shd w:val="clear" w:color="auto" w:fill="FFFFFF"/>
          <w:lang w:val="uk-UA"/>
        </w:rPr>
        <w:br/>
      </w:r>
      <w:r w:rsidRPr="00112A09">
        <w:rPr>
          <w:color w:val="333333"/>
          <w:sz w:val="28"/>
          <w:szCs w:val="28"/>
          <w:shd w:val="clear" w:color="auto" w:fill="FFFFFF"/>
          <w:lang w:val="uk-UA"/>
        </w:rPr>
        <w:t>4-метильної групи в ароматичному кільці у 4й-позицїї піразол-гідразонового ядра, призводить до посилення аналгетичної активності [</w:t>
      </w:r>
      <w:r w:rsidR="00FE60C3" w:rsidRPr="00112A09">
        <w:rPr>
          <w:color w:val="333333"/>
          <w:sz w:val="28"/>
          <w:szCs w:val="28"/>
          <w:shd w:val="clear" w:color="auto" w:fill="FFFFFF"/>
          <w:lang w:val="uk-UA"/>
        </w:rPr>
        <w:t>98</w:t>
      </w:r>
      <w:r w:rsidRPr="00112A09">
        <w:rPr>
          <w:color w:val="333333"/>
          <w:sz w:val="28"/>
          <w:szCs w:val="28"/>
          <w:shd w:val="clear" w:color="auto" w:fill="FFFFFF"/>
          <w:lang w:val="uk-UA"/>
        </w:rPr>
        <w:t xml:space="preserve">]. </w:t>
      </w:r>
    </w:p>
    <w:p w14:paraId="19B10F63" w14:textId="166B819F" w:rsidR="00FD0D07" w:rsidRPr="00112A09" w:rsidRDefault="00FD0D07" w:rsidP="00FD0D07">
      <w:pPr>
        <w:spacing w:line="360" w:lineRule="auto"/>
        <w:ind w:firstLine="567"/>
        <w:jc w:val="both"/>
        <w:rPr>
          <w:sz w:val="28"/>
          <w:szCs w:val="28"/>
          <w:lang w:val="uk-UA"/>
        </w:rPr>
      </w:pPr>
      <w:r w:rsidRPr="00112A09">
        <w:rPr>
          <w:sz w:val="28"/>
          <w:szCs w:val="28"/>
          <w:lang w:val="uk-UA"/>
        </w:rPr>
        <w:t>Згідно з останніми дослідженнями стало відомо, що гідразонові похідні хіноксалінону, що містять метоксігруппу у пара-положенні проявляють виражену протизапальну активність, пригнічуючи розвиток набряку [</w:t>
      </w:r>
      <w:r w:rsidR="00FE60C3" w:rsidRPr="00112A09">
        <w:rPr>
          <w:sz w:val="28"/>
          <w:szCs w:val="28"/>
          <w:lang w:val="uk-UA"/>
        </w:rPr>
        <w:t>99</w:t>
      </w:r>
      <w:r w:rsidRPr="00112A09">
        <w:rPr>
          <w:sz w:val="28"/>
          <w:szCs w:val="28"/>
          <w:lang w:val="uk-UA"/>
        </w:rPr>
        <w:t>]. Також, будо доведено аналгетичну і протизапальну активність бензілідин гідразидів [1</w:t>
      </w:r>
      <w:r w:rsidR="00390008" w:rsidRPr="00112A09">
        <w:rPr>
          <w:sz w:val="28"/>
          <w:szCs w:val="28"/>
          <w:lang w:val="uk-UA"/>
        </w:rPr>
        <w:t>0</w:t>
      </w:r>
      <w:r w:rsidR="00FE60C3" w:rsidRPr="00112A09">
        <w:rPr>
          <w:sz w:val="28"/>
          <w:szCs w:val="28"/>
          <w:lang w:val="uk-UA"/>
        </w:rPr>
        <w:t>0</w:t>
      </w:r>
      <w:r w:rsidRPr="00112A09">
        <w:rPr>
          <w:sz w:val="28"/>
          <w:szCs w:val="28"/>
          <w:lang w:val="uk-UA"/>
        </w:rPr>
        <w:t>].</w:t>
      </w:r>
    </w:p>
    <w:p w14:paraId="38A7FB9E" w14:textId="35586151" w:rsidR="00FD0D07" w:rsidRPr="00112A09" w:rsidRDefault="00FD0D07" w:rsidP="00FD0D07">
      <w:pPr>
        <w:spacing w:line="360" w:lineRule="auto"/>
        <w:ind w:firstLine="567"/>
        <w:jc w:val="both"/>
        <w:rPr>
          <w:sz w:val="28"/>
          <w:szCs w:val="28"/>
          <w:lang w:val="uk-UA"/>
        </w:rPr>
      </w:pPr>
      <w:r w:rsidRPr="00112A09">
        <w:rPr>
          <w:sz w:val="28"/>
          <w:szCs w:val="28"/>
          <w:lang w:val="uk-UA"/>
        </w:rPr>
        <w:lastRenderedPageBreak/>
        <w:t>Було встановлено, що зміна пара-заміщеної групи на ацилгідразону у структурі бензиліден-/4-бромбензиліден 3-OH-8-CH3-6-феніл-піразоло [3,4-b] тіено- [2,3-D] піридин-2-карбогідразиду, дозволила виявити гідрофільну похідну карбоксилату та гідрофобну похідну брому у якості нових анальгетиків, які є ефективнішими за, ніж діпірон, що мають селективний периферичний або центральний механізми дії [</w:t>
      </w:r>
      <w:r w:rsidR="00390008" w:rsidRPr="00112A09">
        <w:rPr>
          <w:sz w:val="28"/>
          <w:szCs w:val="28"/>
          <w:lang w:val="uk-UA"/>
        </w:rPr>
        <w:t>10</w:t>
      </w:r>
      <w:r w:rsidR="00FE60C3" w:rsidRPr="00112A09">
        <w:rPr>
          <w:sz w:val="28"/>
          <w:szCs w:val="28"/>
          <w:lang w:val="uk-UA"/>
        </w:rPr>
        <w:t>1</w:t>
      </w:r>
      <w:r w:rsidRPr="00112A09">
        <w:rPr>
          <w:sz w:val="28"/>
          <w:szCs w:val="28"/>
          <w:lang w:val="uk-UA"/>
        </w:rPr>
        <w:t>].</w:t>
      </w:r>
    </w:p>
    <w:p w14:paraId="1F6CAE26" w14:textId="3CEE9836" w:rsidR="00FD0D07" w:rsidRPr="008A6B7D" w:rsidRDefault="00FD0D07" w:rsidP="00FD0D07">
      <w:pPr>
        <w:tabs>
          <w:tab w:val="left" w:pos="540"/>
        </w:tabs>
        <w:spacing w:line="360" w:lineRule="auto"/>
        <w:ind w:firstLine="630"/>
        <w:jc w:val="both"/>
        <w:rPr>
          <w:sz w:val="28"/>
          <w:szCs w:val="28"/>
          <w:lang w:val="uk-UA"/>
        </w:rPr>
      </w:pPr>
      <w:r w:rsidRPr="008A6B7D">
        <w:rPr>
          <w:sz w:val="28"/>
          <w:szCs w:val="28"/>
          <w:lang w:val="uk-UA"/>
        </w:rPr>
        <w:t xml:space="preserve">Нові антиноцицептивні сполуки, що належать до класу </w:t>
      </w:r>
      <w:r w:rsidR="00821BED">
        <w:rPr>
          <w:sz w:val="28"/>
          <w:szCs w:val="28"/>
          <w:lang w:val="uk-UA"/>
        </w:rPr>
        <w:br/>
      </w:r>
      <w:r w:rsidRPr="008A6B7D">
        <w:rPr>
          <w:sz w:val="28"/>
          <w:szCs w:val="28"/>
          <w:lang w:val="uk-UA"/>
        </w:rPr>
        <w:t>N-ациларілгідразону, синтезували з природного сафролу. Одна із сполук цього класу</w:t>
      </w:r>
      <w:r w:rsidR="00821BED">
        <w:rPr>
          <w:sz w:val="28"/>
          <w:szCs w:val="28"/>
          <w:lang w:val="uk-UA"/>
        </w:rPr>
        <w:t xml:space="preserve"> </w:t>
      </w:r>
      <w:r w:rsidRPr="008A6B7D">
        <w:rPr>
          <w:sz w:val="28"/>
          <w:szCs w:val="28"/>
          <w:lang w:val="uk-UA"/>
        </w:rPr>
        <w:t>-[(4'-N,N-диметиламінобензиліден-3-(3',4'-метилендіоксіфенил) пропілонілгідразин] виявивилася більш ефективною як антиноцицептивний та протизапальний препарат у порівнянні із індометацином [1</w:t>
      </w:r>
      <w:r w:rsidR="00390008" w:rsidRPr="008A6B7D">
        <w:rPr>
          <w:sz w:val="28"/>
          <w:szCs w:val="28"/>
          <w:lang w:val="uk-UA"/>
        </w:rPr>
        <w:t>0</w:t>
      </w:r>
      <w:r w:rsidR="00FE60C3" w:rsidRPr="008A6B7D">
        <w:rPr>
          <w:sz w:val="28"/>
          <w:szCs w:val="28"/>
          <w:lang w:val="uk-UA"/>
        </w:rPr>
        <w:t>2</w:t>
      </w:r>
      <w:r w:rsidRPr="008A6B7D">
        <w:rPr>
          <w:sz w:val="28"/>
          <w:szCs w:val="28"/>
          <w:lang w:val="uk-UA"/>
        </w:rPr>
        <w:t xml:space="preserve">]. </w:t>
      </w:r>
    </w:p>
    <w:p w14:paraId="2761A1CD" w14:textId="2852349F" w:rsidR="00FD0D07" w:rsidRPr="008A6B7D" w:rsidRDefault="00FD0D07" w:rsidP="00FD0D07">
      <w:pPr>
        <w:tabs>
          <w:tab w:val="left" w:pos="540"/>
        </w:tabs>
        <w:spacing w:line="360" w:lineRule="auto"/>
        <w:ind w:firstLine="630"/>
        <w:jc w:val="both"/>
        <w:rPr>
          <w:sz w:val="28"/>
          <w:szCs w:val="28"/>
          <w:lang w:val="uk-UA"/>
        </w:rPr>
      </w:pPr>
      <w:r w:rsidRPr="008A6B7D">
        <w:rPr>
          <w:sz w:val="28"/>
          <w:szCs w:val="28"/>
          <w:lang w:val="uk-UA"/>
        </w:rPr>
        <w:t>Дослідження взаємозв'язку структура-активність тіазолідинонових гетероциклів на основі хіноліну, свідчать про те, що присутність - Cl у пара-положенні фенольного кільця сполуки 2-(4-хлорфеніл)-3-(хінолін-2-іламіно)</w:t>
      </w:r>
      <w:r w:rsidR="00821BED">
        <w:rPr>
          <w:sz w:val="28"/>
          <w:szCs w:val="28"/>
          <w:lang w:val="uk-UA"/>
        </w:rPr>
        <w:t xml:space="preserve"> </w:t>
      </w:r>
      <w:r w:rsidRPr="008A6B7D">
        <w:rPr>
          <w:sz w:val="28"/>
          <w:szCs w:val="28"/>
          <w:lang w:val="uk-UA"/>
        </w:rPr>
        <w:t>тіазолідин-4-он має значний вплив на пригнічення набряку, у порівнянні із заміщенням на (-OCH</w:t>
      </w:r>
      <w:r w:rsidRPr="008A6B7D">
        <w:rPr>
          <w:sz w:val="28"/>
          <w:szCs w:val="28"/>
          <w:vertAlign w:val="subscript"/>
          <w:lang w:val="uk-UA"/>
        </w:rPr>
        <w:t>3</w:t>
      </w:r>
      <w:r w:rsidRPr="008A6B7D">
        <w:rPr>
          <w:sz w:val="28"/>
          <w:szCs w:val="28"/>
          <w:lang w:val="uk-UA"/>
        </w:rPr>
        <w:t>) та -N (CH</w:t>
      </w:r>
      <w:r w:rsidRPr="008A6B7D">
        <w:rPr>
          <w:sz w:val="28"/>
          <w:szCs w:val="28"/>
          <w:vertAlign w:val="subscript"/>
          <w:lang w:val="uk-UA"/>
        </w:rPr>
        <w:t>3</w:t>
      </w:r>
      <w:r w:rsidRPr="008A6B7D">
        <w:rPr>
          <w:sz w:val="28"/>
          <w:szCs w:val="28"/>
          <w:lang w:val="uk-UA"/>
        </w:rPr>
        <w:t>)</w:t>
      </w:r>
      <w:r w:rsidRPr="008A6B7D">
        <w:rPr>
          <w:sz w:val="28"/>
          <w:szCs w:val="28"/>
          <w:vertAlign w:val="subscript"/>
          <w:lang w:val="uk-UA"/>
        </w:rPr>
        <w:t>2</w:t>
      </w:r>
      <w:r w:rsidRPr="008A6B7D">
        <w:rPr>
          <w:sz w:val="28"/>
          <w:szCs w:val="28"/>
          <w:lang w:val="uk-UA"/>
        </w:rPr>
        <w:t xml:space="preserve"> групи у тому самому положенні [</w:t>
      </w:r>
      <w:r w:rsidR="00390008" w:rsidRPr="008A6B7D">
        <w:rPr>
          <w:sz w:val="28"/>
          <w:szCs w:val="28"/>
          <w:lang w:val="uk-UA"/>
        </w:rPr>
        <w:t>10</w:t>
      </w:r>
      <w:r w:rsidR="00FE60C3" w:rsidRPr="008A6B7D">
        <w:rPr>
          <w:sz w:val="28"/>
          <w:szCs w:val="28"/>
          <w:lang w:val="uk-UA"/>
        </w:rPr>
        <w:t>3</w:t>
      </w:r>
      <w:r w:rsidRPr="008A6B7D">
        <w:rPr>
          <w:sz w:val="28"/>
          <w:szCs w:val="28"/>
          <w:lang w:val="uk-UA"/>
        </w:rPr>
        <w:t>]. Що цікаво, незаміщене фенольне кільце у сполуці 2-феніл-3- (хінолін-2-іламіно) тіазолідин-4-он надає помітний знеболюючий ефект у порівнянні із сполукою, що має  атом –Cl у четвертому положенні [</w:t>
      </w:r>
      <w:r w:rsidR="00FE60C3" w:rsidRPr="008A6B7D">
        <w:rPr>
          <w:sz w:val="28"/>
          <w:szCs w:val="28"/>
          <w:lang w:val="uk-UA"/>
        </w:rPr>
        <w:t>103</w:t>
      </w:r>
      <w:r w:rsidRPr="008A6B7D">
        <w:rPr>
          <w:sz w:val="28"/>
          <w:szCs w:val="28"/>
          <w:lang w:val="uk-UA"/>
        </w:rPr>
        <w:t>].</w:t>
      </w:r>
    </w:p>
    <w:p w14:paraId="6788FF93" w14:textId="0D391C73" w:rsidR="00FD0D07" w:rsidRPr="008A6B7D" w:rsidRDefault="00FD0D07" w:rsidP="00FD0D07">
      <w:pPr>
        <w:tabs>
          <w:tab w:val="left" w:pos="540"/>
        </w:tabs>
        <w:spacing w:line="360" w:lineRule="auto"/>
        <w:ind w:firstLine="630"/>
        <w:jc w:val="both"/>
        <w:rPr>
          <w:rStyle w:val="jlqj4b"/>
          <w:sz w:val="28"/>
          <w:szCs w:val="28"/>
          <w:lang w:val="uk-UA"/>
        </w:rPr>
      </w:pPr>
      <w:r w:rsidRPr="008A6B7D">
        <w:rPr>
          <w:rStyle w:val="jlqj4b"/>
          <w:color w:val="000000"/>
          <w:sz w:val="28"/>
          <w:szCs w:val="28"/>
          <w:lang w:val="uk-UA"/>
        </w:rPr>
        <w:t xml:space="preserve">Також було встановлено, що гідразони, які містять у своїй структурі </w:t>
      </w:r>
      <w:r w:rsidR="00821BED">
        <w:rPr>
          <w:rStyle w:val="jlqj4b"/>
          <w:color w:val="000000"/>
          <w:sz w:val="28"/>
          <w:szCs w:val="28"/>
          <w:lang w:val="uk-UA"/>
        </w:rPr>
        <w:br/>
      </w:r>
      <w:r w:rsidRPr="008A6B7D">
        <w:rPr>
          <w:rStyle w:val="jlqj4b"/>
          <w:color w:val="000000"/>
          <w:sz w:val="28"/>
          <w:szCs w:val="28"/>
          <w:lang w:val="uk-UA"/>
        </w:rPr>
        <w:t>5-метил-2-бензоксазолін, а саме: 2- [2- (5-метил-2-бензоксазолін-3-іл) ацетил] - 4-хлор-/4-метилбензиліденгідразину проявляють більш виразну аналгетичну дію, ніж морфін та ацетилсаліцилова кислота. Крім того, 2- [2- (5-метил-</w:t>
      </w:r>
      <w:r w:rsidR="00821BED">
        <w:rPr>
          <w:rStyle w:val="jlqj4b"/>
          <w:color w:val="000000"/>
          <w:sz w:val="28"/>
          <w:szCs w:val="28"/>
          <w:lang w:val="uk-UA"/>
        </w:rPr>
        <w:br/>
      </w:r>
      <w:r w:rsidRPr="008A6B7D">
        <w:rPr>
          <w:rStyle w:val="jlqj4b"/>
          <w:color w:val="000000"/>
          <w:sz w:val="28"/>
          <w:szCs w:val="28"/>
          <w:lang w:val="uk-UA"/>
        </w:rPr>
        <w:t>2-бензоксазолін-3-іл) ацетил] -4-метоксибензиліденгідразин у дозі 200 мг/кг також проявляв виражену протизапальну активність [</w:t>
      </w:r>
      <w:r w:rsidR="00390008" w:rsidRPr="008A6B7D">
        <w:rPr>
          <w:rStyle w:val="jlqj4b"/>
          <w:color w:val="000000"/>
          <w:sz w:val="28"/>
          <w:szCs w:val="28"/>
          <w:lang w:val="uk-UA"/>
        </w:rPr>
        <w:t>10</w:t>
      </w:r>
      <w:r w:rsidR="00FE60C3" w:rsidRPr="008A6B7D">
        <w:rPr>
          <w:rStyle w:val="jlqj4b"/>
          <w:color w:val="000000"/>
          <w:sz w:val="28"/>
          <w:szCs w:val="28"/>
          <w:lang w:val="uk-UA"/>
        </w:rPr>
        <w:t>4</w:t>
      </w:r>
      <w:r w:rsidRPr="008A6B7D">
        <w:rPr>
          <w:rStyle w:val="jlqj4b"/>
          <w:color w:val="000000"/>
          <w:sz w:val="28"/>
          <w:szCs w:val="28"/>
          <w:lang w:val="uk-UA"/>
        </w:rPr>
        <w:t xml:space="preserve">]. </w:t>
      </w:r>
    </w:p>
    <w:p w14:paraId="0DC19CE5" w14:textId="6305213F" w:rsidR="00FD0D07" w:rsidRPr="008A6B7D" w:rsidRDefault="00FD0D07" w:rsidP="00FD0D07">
      <w:pPr>
        <w:tabs>
          <w:tab w:val="left" w:pos="540"/>
        </w:tabs>
        <w:spacing w:line="360" w:lineRule="auto"/>
        <w:ind w:firstLine="630"/>
        <w:jc w:val="both"/>
        <w:rPr>
          <w:sz w:val="28"/>
          <w:szCs w:val="28"/>
          <w:lang w:val="uk-UA"/>
        </w:rPr>
      </w:pPr>
      <w:r w:rsidRPr="008A6B7D">
        <w:rPr>
          <w:sz w:val="28"/>
          <w:szCs w:val="28"/>
          <w:lang w:val="uk-UA"/>
        </w:rPr>
        <w:t xml:space="preserve">Шляхом структурної модифікації піроксикаму було розроблено серію </w:t>
      </w:r>
      <w:r w:rsidR="00821BED">
        <w:rPr>
          <w:sz w:val="28"/>
          <w:szCs w:val="28"/>
          <w:lang w:val="uk-UA"/>
        </w:rPr>
        <w:br/>
      </w:r>
      <w:r w:rsidRPr="008A6B7D">
        <w:rPr>
          <w:sz w:val="28"/>
          <w:szCs w:val="28"/>
          <w:lang w:val="uk-UA"/>
        </w:rPr>
        <w:t xml:space="preserve">N-ацилгідразонів бензотіазину та встановлено протизапальну та антиноцицептивну активність, що перевищують за своєю ефективністю стандартний препарат піроксикам. Сполуки 2-тіазоліл-ацилгідразон бензотіазину та 2-біфеніл-ацилгідразон бензотіазину були визначені як нові </w:t>
      </w:r>
      <w:r w:rsidRPr="008A6B7D">
        <w:rPr>
          <w:sz w:val="28"/>
          <w:szCs w:val="28"/>
          <w:lang w:val="uk-UA"/>
        </w:rPr>
        <w:lastRenderedPageBreak/>
        <w:t>протизапальні та антиноцицептивні засоби, які здатні інгібувати рекрутування клітин на 70% та 80%, відповідно, на моделях зимозан- та каррагінан-індукованого перетоніту [</w:t>
      </w:r>
      <w:r w:rsidR="00390008" w:rsidRPr="008A6B7D">
        <w:rPr>
          <w:sz w:val="28"/>
          <w:szCs w:val="28"/>
          <w:lang w:val="uk-UA"/>
        </w:rPr>
        <w:t>10</w:t>
      </w:r>
      <w:r w:rsidR="00FE60C3" w:rsidRPr="008A6B7D">
        <w:rPr>
          <w:sz w:val="28"/>
          <w:szCs w:val="28"/>
          <w:lang w:val="uk-UA"/>
        </w:rPr>
        <w:t>5</w:t>
      </w:r>
      <w:r w:rsidRPr="008A6B7D">
        <w:rPr>
          <w:sz w:val="28"/>
          <w:szCs w:val="28"/>
          <w:lang w:val="uk-UA"/>
        </w:rPr>
        <w:t>].</w:t>
      </w:r>
    </w:p>
    <w:p w14:paraId="57ACC5A5" w14:textId="1916E3CC" w:rsidR="00FD0D07" w:rsidRPr="008A6B7D" w:rsidRDefault="00FD0D07" w:rsidP="00FD0D07">
      <w:pPr>
        <w:tabs>
          <w:tab w:val="left" w:pos="540"/>
        </w:tabs>
        <w:spacing w:line="360" w:lineRule="auto"/>
        <w:ind w:firstLine="630"/>
        <w:jc w:val="both"/>
        <w:rPr>
          <w:sz w:val="28"/>
          <w:szCs w:val="28"/>
          <w:lang w:val="uk-UA"/>
        </w:rPr>
      </w:pPr>
      <w:r w:rsidRPr="008A6B7D">
        <w:rPr>
          <w:sz w:val="28"/>
          <w:szCs w:val="28"/>
          <w:lang w:val="uk-UA"/>
        </w:rPr>
        <w:t xml:space="preserve">Проведені фармакологічні дослідження ряду нових синтезованих сполук </w:t>
      </w:r>
      <w:r w:rsidRPr="008A6B7D">
        <w:rPr>
          <w:sz w:val="28"/>
          <w:szCs w:val="28"/>
          <w:lang w:val="en-US"/>
        </w:rPr>
        <w:t>N</w:t>
      </w:r>
      <w:r w:rsidRPr="008A6B7D">
        <w:rPr>
          <w:sz w:val="28"/>
          <w:szCs w:val="28"/>
          <w:lang w:val="uk-UA"/>
        </w:rPr>
        <w:t>-ацилгідразонів піразину для оцінки їх протизапальної та аналгетичної активності на різних моделях болю та запалення («оцтові корчі», формалін-індукований біль, тест «гаряча пластина», зимозан-індукований перитоніт і модель артриту, викликану ад'ювантом Фрейнда) показали, що 2-</w:t>
      </w:r>
      <w:r w:rsidRPr="008A6B7D">
        <w:rPr>
          <w:rFonts w:ascii="Cambria Math" w:hAnsi="Cambria Math" w:cs="Cambria Math"/>
          <w:sz w:val="28"/>
          <w:szCs w:val="28"/>
          <w:lang w:val="uk-UA"/>
        </w:rPr>
        <w:t>𝑁</w:t>
      </w:r>
      <w:r w:rsidRPr="008A6B7D">
        <w:rPr>
          <w:sz w:val="28"/>
          <w:szCs w:val="28"/>
          <w:lang w:val="uk-UA"/>
        </w:rPr>
        <w:t>-[(E)-(3,4,5-трим-этоксіфеніл) метиліден]-2-піразинкарбогідразид проявила високу фармакологічну активність у порівнянні із целекоксибом (інгібітор ЦОГ-2) і індометацином (селективний інгібітор ЦОГ-1) [</w:t>
      </w:r>
      <w:r w:rsidR="00390008" w:rsidRPr="008A6B7D">
        <w:rPr>
          <w:sz w:val="28"/>
          <w:szCs w:val="28"/>
          <w:lang w:val="uk-UA"/>
        </w:rPr>
        <w:t>1</w:t>
      </w:r>
      <w:r w:rsidR="00FE60C3" w:rsidRPr="008A6B7D">
        <w:rPr>
          <w:sz w:val="28"/>
          <w:szCs w:val="28"/>
          <w:lang w:val="uk-UA"/>
        </w:rPr>
        <w:t>06</w:t>
      </w:r>
      <w:r w:rsidRPr="008A6B7D">
        <w:rPr>
          <w:sz w:val="28"/>
          <w:szCs w:val="28"/>
          <w:lang w:val="uk-UA"/>
        </w:rPr>
        <w:t>].</w:t>
      </w:r>
    </w:p>
    <w:p w14:paraId="1A273D96" w14:textId="56D953F0" w:rsidR="00FD0D07" w:rsidRPr="008A6B7D" w:rsidRDefault="00FD0D07" w:rsidP="00FD0D07">
      <w:pPr>
        <w:tabs>
          <w:tab w:val="left" w:pos="540"/>
        </w:tabs>
        <w:spacing w:line="360" w:lineRule="auto"/>
        <w:ind w:firstLine="630"/>
        <w:jc w:val="both"/>
        <w:rPr>
          <w:sz w:val="28"/>
          <w:szCs w:val="28"/>
          <w:lang w:val="uk-UA"/>
        </w:rPr>
      </w:pPr>
      <w:r w:rsidRPr="008A6B7D">
        <w:rPr>
          <w:sz w:val="28"/>
          <w:szCs w:val="28"/>
          <w:lang w:val="uk-UA"/>
        </w:rPr>
        <w:t>Останні дослідження показали, що похідні гідразонів, що містять у своїй структурі гетероциклічне кільце, проявляють більш виражену протизапальну дію у порівнянням із сполуками, що мають ароматичні заміщені елементи [</w:t>
      </w:r>
      <w:r w:rsidR="00390008" w:rsidRPr="008A6B7D">
        <w:rPr>
          <w:sz w:val="28"/>
          <w:szCs w:val="28"/>
          <w:lang w:val="uk-UA"/>
        </w:rPr>
        <w:t>1</w:t>
      </w:r>
      <w:r w:rsidR="00FE60C3" w:rsidRPr="008A6B7D">
        <w:rPr>
          <w:sz w:val="28"/>
          <w:szCs w:val="28"/>
          <w:lang w:val="uk-UA"/>
        </w:rPr>
        <w:t>07</w:t>
      </w:r>
      <w:r w:rsidRPr="008A6B7D">
        <w:rPr>
          <w:sz w:val="28"/>
          <w:szCs w:val="28"/>
          <w:lang w:val="uk-UA"/>
        </w:rPr>
        <w:t xml:space="preserve">]. Більше того, є дані, що свічать про те, що похідні саліцилалдегіду </w:t>
      </w:r>
      <w:r w:rsidR="00821BED">
        <w:rPr>
          <w:sz w:val="28"/>
          <w:szCs w:val="28"/>
          <w:lang w:val="uk-UA"/>
        </w:rPr>
        <w:br/>
      </w:r>
      <w:r w:rsidRPr="008A6B7D">
        <w:rPr>
          <w:sz w:val="28"/>
          <w:szCs w:val="28"/>
          <w:lang w:val="uk-UA"/>
        </w:rPr>
        <w:t>N-ацилгідразону та їх комплекси із цинком (II) продемонстрували інгібірування процесу міграції клітин, перевищуючи за ефективністю індометацин, що вказує на виражений протизапальний профіль [</w:t>
      </w:r>
      <w:r w:rsidR="00390008" w:rsidRPr="008A6B7D">
        <w:rPr>
          <w:sz w:val="28"/>
          <w:szCs w:val="28"/>
          <w:lang w:val="uk-UA"/>
        </w:rPr>
        <w:t>1</w:t>
      </w:r>
      <w:r w:rsidR="00FE60C3" w:rsidRPr="008A6B7D">
        <w:rPr>
          <w:sz w:val="28"/>
          <w:szCs w:val="28"/>
          <w:lang w:val="uk-UA"/>
        </w:rPr>
        <w:t>08</w:t>
      </w:r>
      <w:r w:rsidRPr="008A6B7D">
        <w:rPr>
          <w:sz w:val="28"/>
          <w:szCs w:val="28"/>
          <w:lang w:val="uk-UA"/>
        </w:rPr>
        <w:t xml:space="preserve">]. </w:t>
      </w:r>
    </w:p>
    <w:p w14:paraId="6E725385" w14:textId="77777777" w:rsidR="00FD0D07" w:rsidRPr="008A6B7D" w:rsidRDefault="00FD0D07" w:rsidP="00FD0D07">
      <w:pPr>
        <w:tabs>
          <w:tab w:val="left" w:pos="540"/>
        </w:tabs>
        <w:spacing w:line="360" w:lineRule="auto"/>
        <w:ind w:firstLine="630"/>
        <w:jc w:val="both"/>
        <w:rPr>
          <w:sz w:val="28"/>
          <w:szCs w:val="28"/>
          <w:lang w:val="uk-UA"/>
        </w:rPr>
      </w:pPr>
      <w:r w:rsidRPr="008A6B7D">
        <w:rPr>
          <w:sz w:val="28"/>
          <w:szCs w:val="28"/>
          <w:lang w:val="uk-UA"/>
        </w:rPr>
        <w:t xml:space="preserve">Синтез та дослідження фармакологічної активності похідних ізотину, тобто ізотин-3-[N2- (2-бензаламинотіазол-4-іл)] гідразонів показало їх  протизапальну, знеболюючу та жарознижуючу активності. Дослідження протизапальної дії похідних ізатину показали значне каррагінан-індукованого набряку лапи гострої моделі запалення, шляхом інгібування циклооксигенази. Оцінку знеболюючої активності проводили за тестом «гаряча пластина», введення ізотин-3-[N2- (2-бензаламинотіазол-4-іл)] у дозі 100 мг/кг продемонстровало достовірне збільшення часу настання больової реакції. </w:t>
      </w:r>
    </w:p>
    <w:p w14:paraId="32FAFFB7" w14:textId="0B43855B" w:rsidR="00FD0D07" w:rsidRPr="008A6B7D" w:rsidRDefault="00FD0D07" w:rsidP="00FD0D07">
      <w:pPr>
        <w:tabs>
          <w:tab w:val="left" w:pos="540"/>
        </w:tabs>
        <w:spacing w:line="360" w:lineRule="auto"/>
        <w:ind w:firstLine="630"/>
        <w:jc w:val="both"/>
        <w:rPr>
          <w:sz w:val="28"/>
          <w:szCs w:val="28"/>
          <w:lang w:val="uk-UA"/>
        </w:rPr>
      </w:pPr>
      <w:r w:rsidRPr="008A6B7D">
        <w:rPr>
          <w:sz w:val="28"/>
          <w:szCs w:val="28"/>
          <w:lang w:val="uk-UA"/>
        </w:rPr>
        <w:t>Було встановлено, що нові синтезовані гідразони із піперазиновим фрагментом проявляють протизапальну активність впливаючи на продукцію цитокінів TNF-a та IL-6 [</w:t>
      </w:r>
      <w:r w:rsidR="00390008" w:rsidRPr="008A6B7D">
        <w:rPr>
          <w:sz w:val="28"/>
          <w:szCs w:val="28"/>
          <w:lang w:val="uk-UA"/>
        </w:rPr>
        <w:t>1</w:t>
      </w:r>
      <w:r w:rsidR="00FE60C3" w:rsidRPr="008A6B7D">
        <w:rPr>
          <w:sz w:val="28"/>
          <w:szCs w:val="28"/>
          <w:lang w:val="uk-UA"/>
        </w:rPr>
        <w:t>09</w:t>
      </w:r>
      <w:r w:rsidRPr="008A6B7D">
        <w:rPr>
          <w:sz w:val="28"/>
          <w:szCs w:val="28"/>
          <w:lang w:val="uk-UA"/>
        </w:rPr>
        <w:t xml:space="preserve">]. </w:t>
      </w:r>
    </w:p>
    <w:p w14:paraId="6230E69F" w14:textId="6A760729" w:rsidR="00FD0D07" w:rsidRPr="008A6B7D" w:rsidRDefault="00FD0D07" w:rsidP="00FD0D07">
      <w:pPr>
        <w:tabs>
          <w:tab w:val="left" w:pos="540"/>
        </w:tabs>
        <w:spacing w:line="360" w:lineRule="auto"/>
        <w:ind w:firstLine="630"/>
        <w:jc w:val="both"/>
        <w:rPr>
          <w:color w:val="000000" w:themeColor="text1"/>
          <w:sz w:val="28"/>
          <w:szCs w:val="28"/>
          <w:lang w:val="uk-UA"/>
        </w:rPr>
      </w:pPr>
      <w:r w:rsidRPr="008A6B7D">
        <w:rPr>
          <w:color w:val="000000" w:themeColor="text1"/>
          <w:sz w:val="28"/>
          <w:szCs w:val="28"/>
          <w:lang w:val="uk-UA"/>
        </w:rPr>
        <w:lastRenderedPageBreak/>
        <w:t xml:space="preserve">Дослідження аналгетичної активності бензімідозолу показало наявність їх протибольового ефекту, а саме зниження кількості «корчів» після введення оцтової кислоти, у порівнянні із референс-препаратом аспірином. У дозі </w:t>
      </w:r>
      <w:r w:rsidR="00821BED">
        <w:rPr>
          <w:color w:val="000000" w:themeColor="text1"/>
          <w:sz w:val="28"/>
          <w:szCs w:val="28"/>
          <w:lang w:val="uk-UA"/>
        </w:rPr>
        <w:br/>
      </w:r>
      <w:r w:rsidRPr="008A6B7D">
        <w:rPr>
          <w:color w:val="000000" w:themeColor="text1"/>
          <w:sz w:val="28"/>
          <w:szCs w:val="28"/>
          <w:lang w:val="uk-UA"/>
        </w:rPr>
        <w:t>50 мг/кг випробувані похідні бензомідазолу спричиняли інгібуючу активність до корчів у середньому на 27-67 % у порівнянні з аспірином у тих самих дозах, що доводить їх аналгетичну активність [</w:t>
      </w:r>
      <w:r w:rsidR="00390008" w:rsidRPr="008A6B7D">
        <w:rPr>
          <w:color w:val="000000" w:themeColor="text1"/>
          <w:sz w:val="28"/>
          <w:szCs w:val="28"/>
          <w:lang w:val="uk-UA"/>
        </w:rPr>
        <w:t>11</w:t>
      </w:r>
      <w:r w:rsidR="00FE60C3" w:rsidRPr="008A6B7D">
        <w:rPr>
          <w:color w:val="000000" w:themeColor="text1"/>
          <w:sz w:val="28"/>
          <w:szCs w:val="28"/>
          <w:lang w:val="uk-UA"/>
        </w:rPr>
        <w:t>0</w:t>
      </w:r>
      <w:r w:rsidRPr="008A6B7D">
        <w:rPr>
          <w:color w:val="000000" w:themeColor="text1"/>
          <w:sz w:val="28"/>
          <w:szCs w:val="28"/>
          <w:lang w:val="uk-UA"/>
        </w:rPr>
        <w:t>].</w:t>
      </w:r>
    </w:p>
    <w:p w14:paraId="090C451F" w14:textId="4BB32186" w:rsidR="00FD0D07" w:rsidRPr="008A6B7D" w:rsidRDefault="00FD0D07" w:rsidP="00FD0D07">
      <w:pPr>
        <w:tabs>
          <w:tab w:val="left" w:pos="540"/>
        </w:tabs>
        <w:spacing w:line="360" w:lineRule="auto"/>
        <w:ind w:firstLine="630"/>
        <w:jc w:val="both"/>
        <w:rPr>
          <w:color w:val="000000" w:themeColor="text1"/>
          <w:sz w:val="28"/>
          <w:szCs w:val="28"/>
          <w:lang w:val="uk-UA"/>
        </w:rPr>
      </w:pPr>
      <w:r w:rsidRPr="008A6B7D">
        <w:rPr>
          <w:color w:val="000000" w:themeColor="text1"/>
          <w:sz w:val="28"/>
          <w:szCs w:val="28"/>
          <w:lang w:val="uk-UA"/>
        </w:rPr>
        <w:t xml:space="preserve">Серія нових ацилгідразонів, що містять 2-арилтіазольний фрагмент, була синтезована конденсацією між похідними 4- [2- (4-метил-2-фенілтіазол-5-іл) -2-оксо-етокси] - бензальдегід та 2, 3 або 4- (2-арил-тіазол-4-ілметокси) -бензальдегід, відповідно, та різні гідразиди карбонової кислоти. Ці сполуки було протестовані </w:t>
      </w:r>
      <w:r w:rsidRPr="008A6B7D">
        <w:rPr>
          <w:i/>
          <w:color w:val="000000" w:themeColor="text1"/>
          <w:sz w:val="28"/>
          <w:szCs w:val="28"/>
          <w:lang w:val="uk-UA"/>
        </w:rPr>
        <w:t>in vivo</w:t>
      </w:r>
      <w:r w:rsidRPr="008A6B7D">
        <w:rPr>
          <w:color w:val="000000" w:themeColor="text1"/>
          <w:sz w:val="28"/>
          <w:szCs w:val="28"/>
          <w:lang w:val="uk-UA"/>
        </w:rPr>
        <w:t xml:space="preserve"> і встановлено їх протизапальну активність на моделі гострого експериментального запалення, також було оцінено гостру фазу реакції кісткового мозку, активність фагоцитів та синтез NO. Встановлено, що 5 сполуки із ряду проявляли виражену активність, інгібуючи синтез NO сильніше, ніж референс-препарат Мелоксикам</w:t>
      </w:r>
      <w:r w:rsidRPr="008A6B7D">
        <w:rPr>
          <w:color w:val="000000" w:themeColor="text1"/>
          <w:sz w:val="28"/>
          <w:szCs w:val="28"/>
        </w:rPr>
        <w:t xml:space="preserve"> [</w:t>
      </w:r>
      <w:r w:rsidR="00390008" w:rsidRPr="008A6B7D">
        <w:rPr>
          <w:color w:val="000000" w:themeColor="text1"/>
          <w:sz w:val="28"/>
          <w:szCs w:val="28"/>
        </w:rPr>
        <w:t>11</w:t>
      </w:r>
      <w:r w:rsidR="00FE60C3" w:rsidRPr="008A6B7D">
        <w:rPr>
          <w:color w:val="000000" w:themeColor="text1"/>
          <w:sz w:val="28"/>
          <w:szCs w:val="28"/>
        </w:rPr>
        <w:t>1</w:t>
      </w:r>
      <w:r w:rsidRPr="008A6B7D">
        <w:rPr>
          <w:color w:val="000000" w:themeColor="text1"/>
          <w:sz w:val="28"/>
          <w:szCs w:val="28"/>
        </w:rPr>
        <w:t>]</w:t>
      </w:r>
      <w:r w:rsidRPr="008A6B7D">
        <w:rPr>
          <w:color w:val="000000" w:themeColor="text1"/>
          <w:sz w:val="28"/>
          <w:szCs w:val="28"/>
          <w:lang w:val="uk-UA"/>
        </w:rPr>
        <w:t>.</w:t>
      </w:r>
    </w:p>
    <w:p w14:paraId="274492E7" w14:textId="2CDC87EE" w:rsidR="00FD0D07" w:rsidRPr="008A6B7D" w:rsidRDefault="00FD0D07" w:rsidP="00F05F4E">
      <w:pPr>
        <w:tabs>
          <w:tab w:val="left" w:pos="540"/>
        </w:tabs>
        <w:spacing w:line="360" w:lineRule="auto"/>
        <w:ind w:firstLine="630"/>
        <w:jc w:val="both"/>
        <w:rPr>
          <w:color w:val="000000" w:themeColor="text1"/>
          <w:sz w:val="28"/>
          <w:szCs w:val="28"/>
          <w:lang w:val="uk-UA"/>
        </w:rPr>
      </w:pPr>
      <w:r w:rsidRPr="008A6B7D">
        <w:rPr>
          <w:color w:val="000000" w:themeColor="text1"/>
          <w:sz w:val="28"/>
          <w:szCs w:val="28"/>
          <w:lang w:val="uk-UA"/>
        </w:rPr>
        <w:t>Також варто зазначити, що проведенні дослідження комплексних сполук гідразонів показали їх низький рівень ульцерогенності у порівнянні із ібупрофеном та целекоксибом [</w:t>
      </w:r>
      <w:r w:rsidR="00390008" w:rsidRPr="008A6B7D">
        <w:rPr>
          <w:color w:val="000000" w:themeColor="text1"/>
          <w:sz w:val="28"/>
          <w:szCs w:val="28"/>
          <w:lang w:val="uk-UA"/>
        </w:rPr>
        <w:t>11</w:t>
      </w:r>
      <w:r w:rsidR="00FE60C3" w:rsidRPr="008A6B7D">
        <w:rPr>
          <w:color w:val="000000" w:themeColor="text1"/>
          <w:sz w:val="28"/>
          <w:szCs w:val="28"/>
          <w:lang w:val="uk-UA"/>
        </w:rPr>
        <w:t>1</w:t>
      </w:r>
      <w:r w:rsidRPr="008A6B7D">
        <w:rPr>
          <w:color w:val="000000" w:themeColor="text1"/>
          <w:sz w:val="28"/>
          <w:szCs w:val="28"/>
          <w:lang w:val="uk-UA"/>
        </w:rPr>
        <w:t>].</w:t>
      </w:r>
    </w:p>
    <w:p w14:paraId="0CC47F5D" w14:textId="77777777" w:rsidR="00FD0D07" w:rsidRPr="008A6B7D" w:rsidRDefault="00FD0D07" w:rsidP="00FD0D07">
      <w:pPr>
        <w:tabs>
          <w:tab w:val="left" w:pos="720"/>
        </w:tabs>
        <w:spacing w:line="360" w:lineRule="auto"/>
        <w:ind w:firstLine="720"/>
        <w:jc w:val="both"/>
        <w:rPr>
          <w:color w:val="000000" w:themeColor="text1"/>
          <w:sz w:val="28"/>
          <w:szCs w:val="28"/>
          <w:u w:val="single"/>
          <w:lang w:val="uk-UA"/>
        </w:rPr>
      </w:pPr>
      <w:r w:rsidRPr="008A6B7D">
        <w:rPr>
          <w:color w:val="000000" w:themeColor="text1"/>
          <w:sz w:val="28"/>
          <w:szCs w:val="28"/>
          <w:u w:val="single"/>
          <w:lang w:val="uk-UA"/>
        </w:rPr>
        <w:t>Антидепресивна активність похідних гідразонів</w:t>
      </w:r>
    </w:p>
    <w:p w14:paraId="6956C549" w14:textId="3219EAEC" w:rsidR="00FD0D07" w:rsidRPr="008A6B7D" w:rsidRDefault="00FD0D07" w:rsidP="00FD0D07">
      <w:pPr>
        <w:spacing w:line="360" w:lineRule="auto"/>
        <w:ind w:firstLine="720"/>
        <w:jc w:val="both"/>
        <w:rPr>
          <w:color w:val="000000" w:themeColor="text1"/>
          <w:sz w:val="28"/>
          <w:szCs w:val="28"/>
          <w:shd w:val="clear" w:color="auto" w:fill="FFFFFF"/>
          <w:lang w:val="uk-UA"/>
        </w:rPr>
      </w:pPr>
      <w:r w:rsidRPr="008A6B7D">
        <w:rPr>
          <w:color w:val="000000" w:themeColor="text1"/>
          <w:sz w:val="28"/>
          <w:szCs w:val="28"/>
          <w:shd w:val="clear" w:color="auto" w:fill="FFFFFF"/>
          <w:lang w:val="uk-UA"/>
        </w:rPr>
        <w:t>Епоха антидепресантів почалася з протитуберкульозного препарату, який випадково виявив відчуття ейфорії у пацієнтів, що страждали на туберкульоз. Властивість препарату підвищувати настрій, що вважалась побічним ефектом, стала первинним ефектом для лікування  депресії і спровокувала цілу низку поколінь нових антидепресантів. Це також змістило фокус психіатрів від психодинамічних процесів до біологічної основи хвороби [1</w:t>
      </w:r>
      <w:r w:rsidR="00390008" w:rsidRPr="008A6B7D">
        <w:rPr>
          <w:color w:val="000000" w:themeColor="text1"/>
          <w:sz w:val="28"/>
          <w:szCs w:val="28"/>
          <w:shd w:val="clear" w:color="auto" w:fill="FFFFFF"/>
          <w:lang w:val="uk-UA"/>
        </w:rPr>
        <w:t>1</w:t>
      </w:r>
      <w:r w:rsidR="00FE60C3" w:rsidRPr="008A6B7D">
        <w:rPr>
          <w:color w:val="000000" w:themeColor="text1"/>
          <w:sz w:val="28"/>
          <w:szCs w:val="28"/>
          <w:shd w:val="clear" w:color="auto" w:fill="FFFFFF"/>
          <w:lang w:val="uk-UA"/>
        </w:rPr>
        <w:t>2</w:t>
      </w:r>
      <w:r w:rsidRPr="008A6B7D">
        <w:rPr>
          <w:color w:val="000000" w:themeColor="text1"/>
          <w:sz w:val="28"/>
          <w:szCs w:val="28"/>
          <w:shd w:val="clear" w:color="auto" w:fill="FFFFFF"/>
          <w:lang w:val="uk-UA"/>
        </w:rPr>
        <w:t xml:space="preserve">]. </w:t>
      </w:r>
    </w:p>
    <w:p w14:paraId="546BB9A3" w14:textId="27562006" w:rsidR="00FD0AC4" w:rsidRPr="008A6B7D" w:rsidRDefault="00FD0D07" w:rsidP="00390008">
      <w:pPr>
        <w:spacing w:line="360" w:lineRule="auto"/>
        <w:ind w:firstLine="720"/>
        <w:jc w:val="both"/>
        <w:rPr>
          <w:color w:val="000000" w:themeColor="text1"/>
          <w:sz w:val="28"/>
          <w:szCs w:val="28"/>
          <w:shd w:val="clear" w:color="auto" w:fill="FFFFFF"/>
          <w:lang w:val="uk-UA"/>
        </w:rPr>
      </w:pPr>
      <w:r w:rsidRPr="008A6B7D">
        <w:rPr>
          <w:color w:val="000000" w:themeColor="text1"/>
          <w:sz w:val="28"/>
          <w:szCs w:val="28"/>
          <w:shd w:val="clear" w:color="auto" w:fill="FFFFFF"/>
          <w:lang w:val="uk-UA"/>
        </w:rPr>
        <w:t>Хворі, які піддавалися лікуванню ізоніазидом та іпроніазидом відчували підвищене збудження, гіперсексуальність, та поведінку, що  була описана як «танці в залі» [1</w:t>
      </w:r>
      <w:r w:rsidR="00390008" w:rsidRPr="008A6B7D">
        <w:rPr>
          <w:color w:val="000000" w:themeColor="text1"/>
          <w:sz w:val="28"/>
          <w:szCs w:val="28"/>
          <w:shd w:val="clear" w:color="auto" w:fill="FFFFFF"/>
          <w:lang w:val="uk-UA"/>
        </w:rPr>
        <w:t>1</w:t>
      </w:r>
      <w:r w:rsidR="00FE60C3" w:rsidRPr="008A6B7D">
        <w:rPr>
          <w:color w:val="000000" w:themeColor="text1"/>
          <w:sz w:val="28"/>
          <w:szCs w:val="28"/>
          <w:shd w:val="clear" w:color="auto" w:fill="FFFFFF"/>
          <w:lang w:val="uk-UA"/>
        </w:rPr>
        <w:t>3</w:t>
      </w:r>
      <w:r w:rsidRPr="008A6B7D">
        <w:rPr>
          <w:color w:val="000000" w:themeColor="text1"/>
          <w:sz w:val="28"/>
          <w:szCs w:val="28"/>
          <w:shd w:val="clear" w:color="auto" w:fill="FFFFFF"/>
          <w:lang w:val="uk-UA"/>
        </w:rPr>
        <w:t>].</w:t>
      </w:r>
    </w:p>
    <w:p w14:paraId="33A34F40" w14:textId="6B595E53" w:rsidR="00FD0D07" w:rsidRPr="008A6B7D" w:rsidRDefault="00FD0D07" w:rsidP="00FD0D07">
      <w:pPr>
        <w:tabs>
          <w:tab w:val="left" w:pos="720"/>
        </w:tabs>
        <w:spacing w:line="360" w:lineRule="auto"/>
        <w:ind w:firstLine="720"/>
        <w:jc w:val="both"/>
        <w:rPr>
          <w:color w:val="000000" w:themeColor="text1"/>
          <w:sz w:val="28"/>
          <w:szCs w:val="28"/>
          <w:shd w:val="clear" w:color="auto" w:fill="FFFFFF"/>
          <w:lang w:val="uk-UA"/>
        </w:rPr>
      </w:pPr>
      <w:r w:rsidRPr="008A6B7D">
        <w:rPr>
          <w:color w:val="000000" w:themeColor="text1"/>
          <w:sz w:val="28"/>
          <w:szCs w:val="28"/>
          <w:shd w:val="clear" w:color="auto" w:fill="FFFFFF"/>
          <w:lang w:val="uk-UA"/>
        </w:rPr>
        <w:lastRenderedPageBreak/>
        <w:t>Подальші дослідження клінічних і біохімічних спостережень показали багатообіцяючі результати у лікуванні депресивних розладів. Згодом іпроніазид було залишено в якості протитуберкульозного засобу через непорозуміння серед психіатрів, а також через його гепатотоксичність і нефротоксичність [1</w:t>
      </w:r>
      <w:r w:rsidR="00390008" w:rsidRPr="008A6B7D">
        <w:rPr>
          <w:color w:val="000000" w:themeColor="text1"/>
          <w:sz w:val="28"/>
          <w:szCs w:val="28"/>
          <w:shd w:val="clear" w:color="auto" w:fill="FFFFFF"/>
          <w:lang w:val="uk-UA"/>
        </w:rPr>
        <w:t>1</w:t>
      </w:r>
      <w:r w:rsidR="00FE60C3" w:rsidRPr="008A6B7D">
        <w:rPr>
          <w:color w:val="000000" w:themeColor="text1"/>
          <w:sz w:val="28"/>
          <w:szCs w:val="28"/>
          <w:shd w:val="clear" w:color="auto" w:fill="FFFFFF"/>
          <w:lang w:val="uk-UA"/>
        </w:rPr>
        <w:t>4</w:t>
      </w:r>
      <w:r w:rsidRPr="008A6B7D">
        <w:rPr>
          <w:color w:val="000000" w:themeColor="text1"/>
          <w:sz w:val="28"/>
          <w:szCs w:val="28"/>
          <w:shd w:val="clear" w:color="auto" w:fill="FFFFFF"/>
          <w:lang w:val="uk-UA"/>
        </w:rPr>
        <w:t>]. Препарат і деякі інші похідні гідразину пізніше були зняті з ринку [1</w:t>
      </w:r>
      <w:r w:rsidR="00390008" w:rsidRPr="008A6B7D">
        <w:rPr>
          <w:color w:val="000000" w:themeColor="text1"/>
          <w:sz w:val="28"/>
          <w:szCs w:val="28"/>
          <w:shd w:val="clear" w:color="auto" w:fill="FFFFFF"/>
          <w:lang w:val="uk-UA"/>
        </w:rPr>
        <w:t>1</w:t>
      </w:r>
      <w:r w:rsidR="00FE60C3" w:rsidRPr="008A6B7D">
        <w:rPr>
          <w:color w:val="000000" w:themeColor="text1"/>
          <w:sz w:val="28"/>
          <w:szCs w:val="28"/>
          <w:shd w:val="clear" w:color="auto" w:fill="FFFFFF"/>
          <w:lang w:val="uk-UA"/>
        </w:rPr>
        <w:t>5</w:t>
      </w:r>
      <w:r w:rsidRPr="008A6B7D">
        <w:rPr>
          <w:color w:val="000000" w:themeColor="text1"/>
          <w:sz w:val="28"/>
          <w:szCs w:val="28"/>
          <w:shd w:val="clear" w:color="auto" w:fill="FFFFFF"/>
          <w:lang w:val="uk-UA"/>
        </w:rPr>
        <w:t xml:space="preserve">]. Проте, </w:t>
      </w:r>
      <w:r w:rsidRPr="008A6B7D">
        <w:rPr>
          <w:color w:val="000000" w:themeColor="text1"/>
          <w:sz w:val="28"/>
          <w:szCs w:val="28"/>
          <w:lang w:val="uk-UA"/>
        </w:rPr>
        <w:t>існує багато повідомлень про антидепресант / МАО-інгібуючу активність гідразонів, отриманих з заміщених гідразидів і продуктів відновлення [1</w:t>
      </w:r>
      <w:r w:rsidR="00FE60C3" w:rsidRPr="008A6B7D">
        <w:rPr>
          <w:color w:val="000000" w:themeColor="text1"/>
          <w:sz w:val="28"/>
          <w:szCs w:val="28"/>
          <w:lang w:val="uk-UA"/>
        </w:rPr>
        <w:t>16</w:t>
      </w:r>
      <w:r w:rsidRPr="008A6B7D">
        <w:rPr>
          <w:color w:val="000000" w:themeColor="text1"/>
          <w:sz w:val="28"/>
          <w:szCs w:val="28"/>
          <w:lang w:val="uk-UA"/>
        </w:rPr>
        <w:t>].</w:t>
      </w:r>
    </w:p>
    <w:p w14:paraId="1B2412C8" w14:textId="4CFD9C17" w:rsidR="00FD0D07" w:rsidRPr="008A6B7D" w:rsidRDefault="00FD0D07" w:rsidP="00FD0D07">
      <w:pPr>
        <w:tabs>
          <w:tab w:val="left" w:pos="720"/>
        </w:tabs>
        <w:spacing w:line="360" w:lineRule="auto"/>
        <w:ind w:firstLine="720"/>
        <w:jc w:val="both"/>
        <w:rPr>
          <w:color w:val="000000" w:themeColor="text1"/>
          <w:sz w:val="28"/>
          <w:szCs w:val="28"/>
          <w:lang w:val="uk-UA"/>
        </w:rPr>
      </w:pPr>
      <w:r w:rsidRPr="008A6B7D">
        <w:rPr>
          <w:color w:val="000000" w:themeColor="text1"/>
          <w:sz w:val="28"/>
          <w:szCs w:val="28"/>
          <w:lang w:val="uk-UA"/>
        </w:rPr>
        <w:t>До перших з відомих покращених антидепресантів класу гідразидів/гідразонів належать іпроніазид, ізокарбоксазид та фенелзін, що є інгібіторами ферментів МАО. Ці засоби викликають незворотне інгібування обох ізоформ МАО внаслідок утворення ковалентного зв’язку з флавіновим коферментом [1</w:t>
      </w:r>
      <w:r w:rsidR="00FE60C3" w:rsidRPr="008A6B7D">
        <w:rPr>
          <w:color w:val="000000" w:themeColor="text1"/>
          <w:sz w:val="28"/>
          <w:szCs w:val="28"/>
          <w:lang w:val="uk-UA"/>
        </w:rPr>
        <w:t>17</w:t>
      </w:r>
      <w:r w:rsidRPr="008A6B7D">
        <w:rPr>
          <w:color w:val="000000" w:themeColor="text1"/>
          <w:sz w:val="28"/>
          <w:szCs w:val="28"/>
          <w:lang w:val="uk-UA"/>
        </w:rPr>
        <w:t>]. Саме це незворотне інгібування МАО, яке проявляють гідразони викликає ряд таких побічних ефектів, як зростання маси тіла, гіпотонія, гіпертонія, безсоння та гепатотоксичність [1</w:t>
      </w:r>
      <w:r w:rsidR="00FE60C3" w:rsidRPr="008A6B7D">
        <w:rPr>
          <w:color w:val="000000" w:themeColor="text1"/>
          <w:sz w:val="28"/>
          <w:szCs w:val="28"/>
          <w:lang w:val="uk-UA"/>
        </w:rPr>
        <w:t>18</w:t>
      </w:r>
      <w:r w:rsidRPr="008A6B7D">
        <w:rPr>
          <w:color w:val="000000" w:themeColor="text1"/>
          <w:sz w:val="28"/>
          <w:szCs w:val="28"/>
          <w:lang w:val="uk-UA"/>
        </w:rPr>
        <w:t>]. Потенціал гідразонів, як інгібіторів МАО можна пояснити схожістю їх будови з субстратами МАО, які містять у своїй будові аміно- та іміногрупу [1</w:t>
      </w:r>
      <w:r w:rsidR="00FE60C3" w:rsidRPr="008A6B7D">
        <w:rPr>
          <w:color w:val="000000" w:themeColor="text1"/>
          <w:sz w:val="28"/>
          <w:szCs w:val="28"/>
          <w:lang w:val="uk-UA"/>
        </w:rPr>
        <w:t>19</w:t>
      </w:r>
      <w:r w:rsidRPr="008A6B7D">
        <w:rPr>
          <w:color w:val="000000" w:themeColor="text1"/>
          <w:sz w:val="28"/>
          <w:szCs w:val="28"/>
          <w:lang w:val="uk-UA"/>
        </w:rPr>
        <w:t>]. Існують дані, що свідчать про вплив похідних гідразонів ((4-заміщений-тіазол-2-іл)</w:t>
      </w:r>
      <w:r w:rsidR="00821BED">
        <w:rPr>
          <w:color w:val="000000" w:themeColor="text1"/>
          <w:sz w:val="28"/>
          <w:szCs w:val="28"/>
          <w:lang w:val="uk-UA"/>
        </w:rPr>
        <w:t xml:space="preserve"> </w:t>
      </w:r>
      <w:r w:rsidRPr="008A6B7D">
        <w:rPr>
          <w:color w:val="000000" w:themeColor="text1"/>
          <w:sz w:val="28"/>
          <w:szCs w:val="28"/>
          <w:lang w:val="uk-UA"/>
        </w:rPr>
        <w:t>гідразон) на МАО-В і антихолінестеразу, остання інгібується сполуками в низькому мікромолярному діапазоні за конкурентним механізмом [</w:t>
      </w:r>
      <w:r w:rsidR="00390008" w:rsidRPr="008A6B7D">
        <w:rPr>
          <w:color w:val="000000" w:themeColor="text1"/>
          <w:sz w:val="28"/>
          <w:szCs w:val="28"/>
          <w:lang w:val="uk-UA"/>
        </w:rPr>
        <w:t>12</w:t>
      </w:r>
      <w:r w:rsidR="00FE60C3" w:rsidRPr="008A6B7D">
        <w:rPr>
          <w:color w:val="000000" w:themeColor="text1"/>
          <w:sz w:val="28"/>
          <w:szCs w:val="28"/>
          <w:lang w:val="uk-UA"/>
        </w:rPr>
        <w:t>0</w:t>
      </w:r>
      <w:r w:rsidRPr="008A6B7D">
        <w:rPr>
          <w:color w:val="000000" w:themeColor="text1"/>
          <w:sz w:val="28"/>
          <w:szCs w:val="28"/>
          <w:lang w:val="uk-UA"/>
        </w:rPr>
        <w:t>].</w:t>
      </w:r>
    </w:p>
    <w:p w14:paraId="7B1DEBEE" w14:textId="77777777" w:rsidR="00C57D1F" w:rsidRPr="00112A09" w:rsidRDefault="00C57D1F" w:rsidP="00390008">
      <w:pPr>
        <w:tabs>
          <w:tab w:val="left" w:pos="720"/>
        </w:tabs>
        <w:spacing w:line="360" w:lineRule="auto"/>
        <w:jc w:val="both"/>
        <w:rPr>
          <w:sz w:val="28"/>
          <w:szCs w:val="28"/>
          <w:u w:val="single"/>
          <w:lang w:val="uk-UA"/>
        </w:rPr>
      </w:pPr>
    </w:p>
    <w:p w14:paraId="32795131" w14:textId="73BB7FAC" w:rsidR="00FD0D07" w:rsidRPr="00112A09" w:rsidRDefault="00FD0D07" w:rsidP="00FD0D07">
      <w:pPr>
        <w:tabs>
          <w:tab w:val="left" w:pos="720"/>
        </w:tabs>
        <w:spacing w:line="360" w:lineRule="auto"/>
        <w:ind w:firstLine="720"/>
        <w:jc w:val="both"/>
        <w:rPr>
          <w:sz w:val="28"/>
          <w:szCs w:val="28"/>
          <w:lang w:val="uk-UA"/>
        </w:rPr>
      </w:pPr>
      <w:r w:rsidRPr="00112A09">
        <w:rPr>
          <w:sz w:val="28"/>
          <w:szCs w:val="28"/>
          <w:u w:val="single"/>
          <w:lang w:val="uk-UA"/>
        </w:rPr>
        <w:t>Протисудомна активність похідних гідразонів</w:t>
      </w:r>
    </w:p>
    <w:p w14:paraId="732C8935" w14:textId="385A0349" w:rsidR="00FD0D07" w:rsidRPr="008A6B7D" w:rsidRDefault="00FD0D07" w:rsidP="00FD0D07">
      <w:pPr>
        <w:spacing w:line="360" w:lineRule="auto"/>
        <w:ind w:firstLine="720"/>
        <w:jc w:val="both"/>
        <w:rPr>
          <w:color w:val="000000" w:themeColor="text1"/>
          <w:sz w:val="28"/>
          <w:szCs w:val="28"/>
          <w:lang w:val="uk-UA"/>
        </w:rPr>
      </w:pPr>
      <w:r w:rsidRPr="00112A09">
        <w:rPr>
          <w:sz w:val="28"/>
          <w:szCs w:val="28"/>
          <w:lang w:val="uk-UA"/>
        </w:rPr>
        <w:t>Епілепсія – є не тіль</w:t>
      </w:r>
      <w:r w:rsidRPr="008A6B7D">
        <w:rPr>
          <w:color w:val="000000" w:themeColor="text1"/>
          <w:sz w:val="28"/>
          <w:szCs w:val="28"/>
          <w:lang w:val="uk-UA"/>
        </w:rPr>
        <w:t xml:space="preserve">ки неврологічним розладом, але і збірним терміном для групи синдромів, які включають спонтанну, переривчасту, аномальну електричну активність у мозку. Протягом останніх двадцяти років було розроблено і введено в клінічну практику нові протиепілептичні препарати. </w:t>
      </w:r>
      <w:r w:rsidR="00821BED">
        <w:rPr>
          <w:color w:val="000000" w:themeColor="text1"/>
          <w:sz w:val="28"/>
          <w:szCs w:val="28"/>
          <w:lang w:val="uk-UA"/>
        </w:rPr>
        <w:br/>
      </w:r>
      <w:r w:rsidRPr="008A6B7D">
        <w:rPr>
          <w:color w:val="000000" w:themeColor="text1"/>
          <w:sz w:val="28"/>
          <w:szCs w:val="28"/>
          <w:lang w:val="uk-UA"/>
        </w:rPr>
        <w:t>γ-Аміномасляна кислота (ГАМК) є головним інгібуючим нейромедиатором центральної нервової системи людини та інших ссавців [1</w:t>
      </w:r>
      <w:r w:rsidR="00390008" w:rsidRPr="008A6B7D">
        <w:rPr>
          <w:color w:val="000000" w:themeColor="text1"/>
          <w:sz w:val="28"/>
          <w:szCs w:val="28"/>
          <w:lang w:val="uk-UA"/>
        </w:rPr>
        <w:t>2</w:t>
      </w:r>
      <w:r w:rsidR="00FE60C3" w:rsidRPr="008A6B7D">
        <w:rPr>
          <w:color w:val="000000" w:themeColor="text1"/>
          <w:sz w:val="28"/>
          <w:szCs w:val="28"/>
          <w:lang w:val="uk-UA"/>
        </w:rPr>
        <w:t>1</w:t>
      </w:r>
      <w:r w:rsidRPr="008A6B7D">
        <w:rPr>
          <w:color w:val="000000" w:themeColor="text1"/>
          <w:sz w:val="28"/>
          <w:szCs w:val="28"/>
          <w:lang w:val="uk-UA"/>
        </w:rPr>
        <w:t xml:space="preserve">]. Для вивчення та характеристики протисудомної активності нових препаратів найбільш широко </w:t>
      </w:r>
      <w:r w:rsidRPr="008A6B7D">
        <w:rPr>
          <w:color w:val="000000" w:themeColor="text1"/>
          <w:sz w:val="28"/>
          <w:szCs w:val="28"/>
          <w:lang w:val="uk-UA"/>
        </w:rPr>
        <w:lastRenderedPageBreak/>
        <w:t xml:space="preserve">використовуються тести реакції на максимальний електрошок (MES) і тест на підшкірне введення </w:t>
      </w:r>
      <w:r w:rsidR="00390008" w:rsidRPr="008A6B7D">
        <w:rPr>
          <w:color w:val="000000" w:themeColor="text1"/>
          <w:sz w:val="28"/>
          <w:szCs w:val="28"/>
          <w:lang w:val="uk-UA"/>
        </w:rPr>
        <w:t xml:space="preserve">коразолу </w:t>
      </w:r>
      <w:r w:rsidRPr="008A6B7D">
        <w:rPr>
          <w:color w:val="000000" w:themeColor="text1"/>
          <w:sz w:val="28"/>
          <w:szCs w:val="28"/>
          <w:lang w:val="uk-UA"/>
        </w:rPr>
        <w:t>(PTZ).</w:t>
      </w:r>
    </w:p>
    <w:p w14:paraId="0E98B03E" w14:textId="755667D8" w:rsidR="00FD0D07" w:rsidRPr="008A6B7D" w:rsidRDefault="00FD0D07" w:rsidP="00FD0D07">
      <w:pPr>
        <w:tabs>
          <w:tab w:val="left" w:pos="720"/>
        </w:tabs>
        <w:spacing w:line="360" w:lineRule="auto"/>
        <w:ind w:firstLine="720"/>
        <w:jc w:val="both"/>
        <w:rPr>
          <w:color w:val="000000" w:themeColor="text1"/>
          <w:sz w:val="28"/>
          <w:szCs w:val="28"/>
          <w:lang w:val="uk-UA"/>
        </w:rPr>
      </w:pPr>
      <w:r w:rsidRPr="008A6B7D">
        <w:rPr>
          <w:color w:val="000000" w:themeColor="text1"/>
          <w:sz w:val="28"/>
          <w:szCs w:val="28"/>
          <w:lang w:val="uk-UA"/>
        </w:rPr>
        <w:t>Згідно з дослідженнями наших колег було доведено, що ацетилгідразони проявляли виразну протисудомну активність, у той час як оксамоілгідразони проявляли менш виразну протисудомну дію [1</w:t>
      </w:r>
      <w:r w:rsidR="00390008" w:rsidRPr="008A6B7D">
        <w:rPr>
          <w:color w:val="000000" w:themeColor="text1"/>
          <w:sz w:val="28"/>
          <w:szCs w:val="28"/>
          <w:lang w:val="uk-UA"/>
        </w:rPr>
        <w:t>2</w:t>
      </w:r>
      <w:r w:rsidR="00FE60C3" w:rsidRPr="008A6B7D">
        <w:rPr>
          <w:color w:val="000000" w:themeColor="text1"/>
          <w:sz w:val="28"/>
          <w:szCs w:val="28"/>
          <w:lang w:val="uk-UA"/>
        </w:rPr>
        <w:t>2</w:t>
      </w:r>
      <w:r w:rsidRPr="008A6B7D">
        <w:rPr>
          <w:color w:val="000000" w:themeColor="text1"/>
          <w:sz w:val="28"/>
          <w:szCs w:val="28"/>
          <w:lang w:val="uk-UA"/>
        </w:rPr>
        <w:t>]. Подальші дослідження наших колег запропонували можливий механізм протисудомної дії деяких похідних гідразонів, опираючись на їх структуру [</w:t>
      </w:r>
      <w:r w:rsidR="00390008" w:rsidRPr="008A6B7D">
        <w:rPr>
          <w:color w:val="000000" w:themeColor="text1"/>
          <w:sz w:val="28"/>
          <w:szCs w:val="28"/>
          <w:lang w:val="uk-UA"/>
        </w:rPr>
        <w:t>12</w:t>
      </w:r>
      <w:r w:rsidR="00FE60C3" w:rsidRPr="008A6B7D">
        <w:rPr>
          <w:color w:val="000000" w:themeColor="text1"/>
          <w:sz w:val="28"/>
          <w:szCs w:val="28"/>
          <w:lang w:val="uk-UA"/>
        </w:rPr>
        <w:t>3</w:t>
      </w:r>
      <w:r w:rsidRPr="008A6B7D">
        <w:rPr>
          <w:color w:val="000000" w:themeColor="text1"/>
          <w:sz w:val="28"/>
          <w:szCs w:val="28"/>
          <w:lang w:val="uk-UA"/>
        </w:rPr>
        <w:t>]. З отриманих даних можна зробити висновок про те, що термінальні електронно-донорні групи посилюють можливості водневого зв'язку, тим самим впливаючи на протисудомну дію.</w:t>
      </w:r>
    </w:p>
    <w:p w14:paraId="33E6DAD0" w14:textId="0EDACDB8" w:rsidR="00FD0D07" w:rsidRPr="008A6B7D" w:rsidRDefault="00FD0D07" w:rsidP="00F05F4E">
      <w:pPr>
        <w:tabs>
          <w:tab w:val="left" w:pos="720"/>
        </w:tabs>
        <w:spacing w:line="360" w:lineRule="auto"/>
        <w:ind w:firstLine="720"/>
        <w:jc w:val="both"/>
        <w:rPr>
          <w:color w:val="000000" w:themeColor="text1"/>
          <w:sz w:val="28"/>
          <w:szCs w:val="28"/>
          <w:lang w:val="uk-UA"/>
        </w:rPr>
      </w:pPr>
      <w:r w:rsidRPr="008A6B7D">
        <w:rPr>
          <w:color w:val="000000" w:themeColor="text1"/>
          <w:sz w:val="28"/>
          <w:szCs w:val="28"/>
          <w:lang w:val="uk-UA"/>
        </w:rPr>
        <w:t>Нещодавні дослідження молекулярного стикування фенацилтріазолу гідразона з різними мішенями (НМДА, AMПA, ГАМК</w:t>
      </w:r>
      <w:r w:rsidRPr="008A6B7D">
        <w:rPr>
          <w:color w:val="000000" w:themeColor="text1"/>
          <w:sz w:val="28"/>
          <w:szCs w:val="28"/>
          <w:vertAlign w:val="subscript"/>
          <w:lang w:val="uk-UA"/>
        </w:rPr>
        <w:t>А</w:t>
      </w:r>
      <w:r w:rsidRPr="008A6B7D">
        <w:rPr>
          <w:color w:val="000000" w:themeColor="text1"/>
          <w:sz w:val="28"/>
          <w:szCs w:val="28"/>
          <w:lang w:val="uk-UA"/>
        </w:rPr>
        <w:t xml:space="preserve"> і натрієвий канал) передбачали, що сполука діє переважно через рецептори ГАМК</w:t>
      </w:r>
      <w:r w:rsidRPr="008A6B7D">
        <w:rPr>
          <w:color w:val="000000" w:themeColor="text1"/>
          <w:sz w:val="28"/>
          <w:szCs w:val="28"/>
          <w:vertAlign w:val="subscript"/>
          <w:lang w:val="uk-UA"/>
        </w:rPr>
        <w:t xml:space="preserve">A </w:t>
      </w:r>
      <w:r w:rsidRPr="008A6B7D">
        <w:rPr>
          <w:color w:val="000000" w:themeColor="text1"/>
          <w:sz w:val="28"/>
          <w:szCs w:val="28"/>
          <w:lang w:val="uk-UA"/>
        </w:rPr>
        <w:t>[</w:t>
      </w:r>
      <w:r w:rsidR="00390008" w:rsidRPr="008A6B7D">
        <w:rPr>
          <w:color w:val="000000" w:themeColor="text1"/>
          <w:sz w:val="28"/>
          <w:szCs w:val="28"/>
          <w:lang w:val="uk-UA"/>
        </w:rPr>
        <w:t>12</w:t>
      </w:r>
      <w:r w:rsidR="00FE60C3" w:rsidRPr="008A6B7D">
        <w:rPr>
          <w:color w:val="000000" w:themeColor="text1"/>
          <w:sz w:val="28"/>
          <w:szCs w:val="28"/>
          <w:lang w:val="uk-UA"/>
        </w:rPr>
        <w:t>4</w:t>
      </w:r>
      <w:r w:rsidRPr="008A6B7D">
        <w:rPr>
          <w:color w:val="000000" w:themeColor="text1"/>
          <w:sz w:val="28"/>
          <w:szCs w:val="28"/>
          <w:lang w:val="uk-UA"/>
        </w:rPr>
        <w:t>].</w:t>
      </w:r>
    </w:p>
    <w:p w14:paraId="31F90F81" w14:textId="77777777" w:rsidR="00F05F4E" w:rsidRPr="008A6B7D" w:rsidRDefault="00F05F4E" w:rsidP="00F05F4E">
      <w:pPr>
        <w:tabs>
          <w:tab w:val="left" w:pos="720"/>
        </w:tabs>
        <w:spacing w:line="360" w:lineRule="auto"/>
        <w:ind w:firstLine="720"/>
        <w:jc w:val="both"/>
        <w:rPr>
          <w:color w:val="000000" w:themeColor="text1"/>
          <w:sz w:val="28"/>
          <w:szCs w:val="28"/>
          <w:lang w:val="uk-UA"/>
        </w:rPr>
      </w:pPr>
    </w:p>
    <w:p w14:paraId="3A65330E" w14:textId="7331DE8C" w:rsidR="00FD0D07" w:rsidRPr="008A6B7D" w:rsidRDefault="00FD0D07" w:rsidP="00FD0D07">
      <w:pPr>
        <w:pStyle w:val="20"/>
        <w:ind w:firstLine="720"/>
        <w:rPr>
          <w:b/>
          <w:color w:val="000000" w:themeColor="text1"/>
          <w:szCs w:val="28"/>
        </w:rPr>
      </w:pPr>
      <w:bookmarkStart w:id="3" w:name="_Toc63336074"/>
      <w:r w:rsidRPr="008A6B7D">
        <w:rPr>
          <w:b/>
          <w:color w:val="000000" w:themeColor="text1"/>
          <w:szCs w:val="28"/>
        </w:rPr>
        <w:t>1.</w:t>
      </w:r>
      <w:r w:rsidR="00C57D1F" w:rsidRPr="008A6B7D">
        <w:rPr>
          <w:b/>
          <w:color w:val="000000" w:themeColor="text1"/>
          <w:szCs w:val="28"/>
        </w:rPr>
        <w:t>3</w:t>
      </w:r>
      <w:r w:rsidRPr="008A6B7D">
        <w:rPr>
          <w:b/>
          <w:color w:val="000000" w:themeColor="text1"/>
          <w:szCs w:val="28"/>
        </w:rPr>
        <w:t xml:space="preserve"> Продукти комплексоутворення саліцилоїлгідразонів</w:t>
      </w:r>
      <w:bookmarkEnd w:id="3"/>
    </w:p>
    <w:p w14:paraId="57648397" w14:textId="7724E0CC" w:rsidR="00FD0D07" w:rsidRPr="008A6B7D" w:rsidRDefault="00FD0D07" w:rsidP="00FD0D07">
      <w:pPr>
        <w:spacing w:line="360" w:lineRule="auto"/>
        <w:ind w:firstLine="709"/>
        <w:jc w:val="both"/>
        <w:rPr>
          <w:color w:val="000000" w:themeColor="text1"/>
          <w:sz w:val="28"/>
          <w:szCs w:val="28"/>
          <w:lang w:val="uk-UA"/>
        </w:rPr>
      </w:pPr>
      <w:r w:rsidRPr="008A6B7D">
        <w:rPr>
          <w:color w:val="000000" w:themeColor="text1"/>
          <w:sz w:val="28"/>
          <w:szCs w:val="28"/>
          <w:lang w:val="uk-UA"/>
        </w:rPr>
        <w:t>Існують дані про те, що комплекси ацилгідразону легко координуються з різними іонами перехідних металів, які можуть виявляти цікаві фізико-хімічні та біологічні властивості [</w:t>
      </w:r>
      <w:r w:rsidR="00390008" w:rsidRPr="008A6B7D">
        <w:rPr>
          <w:color w:val="000000" w:themeColor="text1"/>
          <w:sz w:val="28"/>
          <w:szCs w:val="28"/>
          <w:lang w:val="uk-UA"/>
        </w:rPr>
        <w:t>1</w:t>
      </w:r>
      <w:r w:rsidR="00FE60C3" w:rsidRPr="008A6B7D">
        <w:rPr>
          <w:color w:val="000000" w:themeColor="text1"/>
          <w:sz w:val="28"/>
          <w:szCs w:val="28"/>
          <w:lang w:val="uk-UA"/>
        </w:rPr>
        <w:t>25</w:t>
      </w:r>
      <w:r w:rsidRPr="008A6B7D">
        <w:rPr>
          <w:color w:val="000000" w:themeColor="text1"/>
          <w:sz w:val="28"/>
          <w:szCs w:val="28"/>
          <w:lang w:val="uk-UA"/>
        </w:rPr>
        <w:t>]. Хімія комплексів з металами, що містять донорські ліганди О, N, S, уявляє особливий інтерес через їх координаційну здатність та фармакологічну активність. Нещодавно було показано, що металеві комплекси є більш ефективними і менш токсичними у багатьох випадках у порівнянні з вихідною сполукою [</w:t>
      </w:r>
      <w:r w:rsidR="00390008" w:rsidRPr="008A6B7D">
        <w:rPr>
          <w:color w:val="000000" w:themeColor="text1"/>
          <w:sz w:val="28"/>
          <w:szCs w:val="28"/>
          <w:lang w:val="uk-UA"/>
        </w:rPr>
        <w:t>1</w:t>
      </w:r>
      <w:r w:rsidR="00FE60C3" w:rsidRPr="008A6B7D">
        <w:rPr>
          <w:color w:val="000000" w:themeColor="text1"/>
          <w:sz w:val="28"/>
          <w:szCs w:val="28"/>
          <w:lang w:val="uk-UA"/>
        </w:rPr>
        <w:t>26</w:t>
      </w:r>
      <w:r w:rsidRPr="008A6B7D">
        <w:rPr>
          <w:color w:val="000000" w:themeColor="text1"/>
          <w:sz w:val="28"/>
          <w:szCs w:val="28"/>
          <w:lang w:val="uk-UA"/>
        </w:rPr>
        <w:t>]. Біологічна активність комплексних сполук гідразонів, в основному пов’язана з наявністю фрагменту -CONHN = CH- [</w:t>
      </w:r>
      <w:r w:rsidR="00390008" w:rsidRPr="008A6B7D">
        <w:rPr>
          <w:color w:val="000000" w:themeColor="text1"/>
          <w:sz w:val="28"/>
          <w:szCs w:val="28"/>
          <w:lang w:val="uk-UA"/>
        </w:rPr>
        <w:t>1</w:t>
      </w:r>
      <w:r w:rsidR="00FE60C3" w:rsidRPr="008A6B7D">
        <w:rPr>
          <w:color w:val="000000" w:themeColor="text1"/>
          <w:sz w:val="28"/>
          <w:szCs w:val="28"/>
          <w:lang w:val="uk-UA"/>
        </w:rPr>
        <w:t>27</w:t>
      </w:r>
      <w:r w:rsidRPr="008A6B7D">
        <w:rPr>
          <w:color w:val="000000" w:themeColor="text1"/>
          <w:sz w:val="28"/>
          <w:szCs w:val="28"/>
          <w:lang w:val="uk-UA"/>
        </w:rPr>
        <w:t>] та їх здатністю утворювати стабільні хелати, а також мультикоординаційні центри з іонами металів.</w:t>
      </w:r>
    </w:p>
    <w:p w14:paraId="46191A16" w14:textId="78350507" w:rsidR="00FD0D07" w:rsidRPr="008A6B7D" w:rsidRDefault="00FD0D07" w:rsidP="00FD0D07">
      <w:pPr>
        <w:spacing w:line="360" w:lineRule="auto"/>
        <w:ind w:firstLine="709"/>
        <w:jc w:val="both"/>
        <w:rPr>
          <w:color w:val="000000" w:themeColor="text1"/>
          <w:sz w:val="28"/>
          <w:szCs w:val="28"/>
          <w:lang w:val="uk-UA"/>
        </w:rPr>
      </w:pPr>
      <w:r w:rsidRPr="008A6B7D">
        <w:rPr>
          <w:color w:val="000000" w:themeColor="text1"/>
          <w:sz w:val="28"/>
          <w:szCs w:val="28"/>
          <w:lang w:val="uk-UA"/>
        </w:rPr>
        <w:t>Попередні дослідження фармакологічної активності комплексних сполук саліцилоїлгідразонів з хлоридом германію свідчать про те, що ці комплекси сприяють полегшеному перебігу гострого запалення та попереджують перехід його у імунну фазу [1</w:t>
      </w:r>
      <w:r w:rsidR="00FE60C3" w:rsidRPr="008A6B7D">
        <w:rPr>
          <w:color w:val="000000" w:themeColor="text1"/>
          <w:sz w:val="28"/>
          <w:szCs w:val="28"/>
          <w:lang w:val="uk-UA"/>
        </w:rPr>
        <w:t>28</w:t>
      </w:r>
      <w:r w:rsidRPr="008A6B7D">
        <w:rPr>
          <w:color w:val="000000" w:themeColor="text1"/>
          <w:sz w:val="28"/>
          <w:szCs w:val="28"/>
          <w:lang w:val="uk-UA"/>
        </w:rPr>
        <w:t xml:space="preserve">]. Подальші дослідження вивчали вплив комплексних сполук германію на основний вміст лімфоцитів </w:t>
      </w:r>
      <w:r w:rsidRPr="008A6B7D">
        <w:rPr>
          <w:color w:val="000000" w:themeColor="text1"/>
          <w:sz w:val="28"/>
          <w:szCs w:val="28"/>
          <w:lang w:val="uk-UA"/>
        </w:rPr>
        <w:lastRenderedPageBreak/>
        <w:t>під час запального процесу на моделі зімозанового запалення при різних типах введення [1</w:t>
      </w:r>
      <w:r w:rsidR="00FE60C3" w:rsidRPr="008A6B7D">
        <w:rPr>
          <w:color w:val="000000" w:themeColor="text1"/>
          <w:sz w:val="28"/>
          <w:szCs w:val="28"/>
          <w:lang w:val="uk-UA"/>
        </w:rPr>
        <w:t>29</w:t>
      </w:r>
      <w:r w:rsidRPr="008A6B7D">
        <w:rPr>
          <w:color w:val="000000" w:themeColor="text1"/>
          <w:sz w:val="28"/>
          <w:szCs w:val="28"/>
          <w:lang w:val="uk-UA"/>
        </w:rPr>
        <w:t>]. Олово є аналогом Ge (IV), цим він викликав інтерес у наших колег. Дослідження нових синтезованих комплексних сполук ізоникотиноїлгідразонів 2-гидроксинафт-, 4-діаметиламінобензальдегідів зі Sn(IV) показали антимікробну активність, викликаючи пригнічення росту умовно-патогенних мікроорганізмів [1</w:t>
      </w:r>
      <w:r w:rsidR="00390008" w:rsidRPr="008A6B7D">
        <w:rPr>
          <w:color w:val="000000" w:themeColor="text1"/>
          <w:sz w:val="28"/>
          <w:szCs w:val="28"/>
          <w:lang w:val="uk-UA"/>
        </w:rPr>
        <w:t>3</w:t>
      </w:r>
      <w:r w:rsidR="00FE60C3" w:rsidRPr="008A6B7D">
        <w:rPr>
          <w:color w:val="000000" w:themeColor="text1"/>
          <w:sz w:val="28"/>
          <w:szCs w:val="28"/>
          <w:lang w:val="uk-UA"/>
        </w:rPr>
        <w:t>0</w:t>
      </w:r>
      <w:r w:rsidRPr="008A6B7D">
        <w:rPr>
          <w:color w:val="000000" w:themeColor="text1"/>
          <w:sz w:val="28"/>
          <w:szCs w:val="28"/>
          <w:lang w:val="uk-UA"/>
        </w:rPr>
        <w:t>]. З цієї причини дослідження останніх років були зосереджені на розробці та синтезі сильнодіючих препаратів на основі металів з більш ефективними терапевтичними властивостями. Взаємодія металу олова з органічною групою гідразону через зв’язки O – Sn та N – Sn викликає значний інтерес для досліджень [</w:t>
      </w:r>
      <w:r w:rsidR="00B85935" w:rsidRPr="008A6B7D">
        <w:rPr>
          <w:color w:val="000000" w:themeColor="text1"/>
          <w:sz w:val="28"/>
          <w:szCs w:val="28"/>
          <w:lang w:val="uk-UA"/>
        </w:rPr>
        <w:t>19</w:t>
      </w:r>
      <w:r w:rsidRPr="008A6B7D">
        <w:rPr>
          <w:color w:val="000000" w:themeColor="text1"/>
          <w:sz w:val="28"/>
          <w:szCs w:val="28"/>
          <w:lang w:val="uk-UA"/>
        </w:rPr>
        <w:t xml:space="preserve">]. Сполуки, що містять у собі ковалентний зв’язок станнуму (IV) із вуглецем відомі як Органотін, а синтез цих сполук, що мають у структурі різні ліганди, використовуються для розробки нових біологічно активних сполук. </w:t>
      </w:r>
    </w:p>
    <w:p w14:paraId="4C0A9CDA" w14:textId="703CD4B1" w:rsidR="00FD0D07" w:rsidRPr="008A6B7D" w:rsidRDefault="00FD0D07" w:rsidP="00FD0D07">
      <w:pPr>
        <w:spacing w:line="360" w:lineRule="auto"/>
        <w:ind w:firstLine="709"/>
        <w:jc w:val="both"/>
        <w:rPr>
          <w:color w:val="000000" w:themeColor="text1"/>
          <w:sz w:val="28"/>
          <w:szCs w:val="28"/>
          <w:lang w:val="uk-UA"/>
        </w:rPr>
      </w:pPr>
      <w:r w:rsidRPr="008A6B7D">
        <w:rPr>
          <w:color w:val="000000" w:themeColor="text1"/>
          <w:sz w:val="28"/>
          <w:szCs w:val="28"/>
          <w:lang w:val="uk-UA"/>
        </w:rPr>
        <w:t>Органотинові комплекси сімейства карбонової кислоти та оксикаму широко оцінювали як нестероїдні протизапальні препарати [</w:t>
      </w:r>
      <w:r w:rsidR="00390008" w:rsidRPr="008A6B7D">
        <w:rPr>
          <w:color w:val="000000" w:themeColor="text1"/>
          <w:sz w:val="28"/>
          <w:szCs w:val="28"/>
          <w:lang w:val="uk-UA"/>
        </w:rPr>
        <w:t>13</w:t>
      </w:r>
      <w:r w:rsidR="00B85935" w:rsidRPr="008A6B7D">
        <w:rPr>
          <w:color w:val="000000" w:themeColor="text1"/>
          <w:sz w:val="28"/>
          <w:szCs w:val="28"/>
        </w:rPr>
        <w:t>1</w:t>
      </w:r>
      <w:r w:rsidRPr="008A6B7D">
        <w:rPr>
          <w:color w:val="000000" w:themeColor="text1"/>
          <w:sz w:val="28"/>
          <w:szCs w:val="28"/>
          <w:lang w:val="uk-UA"/>
        </w:rPr>
        <w:t>]. Дослідження похідних ди- та триорганотіну триптофанілгліцину показали протизапальний ефект сполук на моделі запалення індукованого каррагінаном. Серед досліджуваних комплексів у експерименті найбільш виражену протизапальну активність показали комплекси діорганотіну триптофанілгліцину у порівнянні із фенілбутазоном [</w:t>
      </w:r>
      <w:r w:rsidR="00390008" w:rsidRPr="008A6B7D">
        <w:rPr>
          <w:color w:val="000000" w:themeColor="text1"/>
          <w:sz w:val="28"/>
          <w:szCs w:val="28"/>
          <w:lang w:val="uk-UA"/>
        </w:rPr>
        <w:t>13</w:t>
      </w:r>
      <w:r w:rsidR="00B85935" w:rsidRPr="008A6B7D">
        <w:rPr>
          <w:color w:val="000000" w:themeColor="text1"/>
          <w:sz w:val="28"/>
          <w:szCs w:val="28"/>
          <w:lang w:val="uk-UA"/>
        </w:rPr>
        <w:t>2</w:t>
      </w:r>
      <w:r w:rsidRPr="008A6B7D">
        <w:rPr>
          <w:color w:val="000000" w:themeColor="text1"/>
          <w:sz w:val="28"/>
          <w:szCs w:val="28"/>
          <w:lang w:val="uk-UA"/>
        </w:rPr>
        <w:t>]. В ході інших досліджень було встановлено, що органотинові комплекси з гідразонами, отримані конденсацією тіс(2-аміноетил) аміну та 4-метил-5-імідазолкарбоксальдегіду] також проявляють протизапальну активність [</w:t>
      </w:r>
      <w:r w:rsidR="00390008" w:rsidRPr="008A6B7D">
        <w:rPr>
          <w:color w:val="000000" w:themeColor="text1"/>
          <w:sz w:val="28"/>
          <w:szCs w:val="28"/>
          <w:lang w:val="uk-UA"/>
        </w:rPr>
        <w:t>13</w:t>
      </w:r>
      <w:r w:rsidR="00B85935" w:rsidRPr="008A6B7D">
        <w:rPr>
          <w:color w:val="000000" w:themeColor="text1"/>
          <w:sz w:val="28"/>
          <w:szCs w:val="28"/>
          <w:lang w:val="uk-UA"/>
        </w:rPr>
        <w:t>3</w:t>
      </w:r>
      <w:r w:rsidRPr="008A6B7D">
        <w:rPr>
          <w:color w:val="000000" w:themeColor="text1"/>
          <w:sz w:val="28"/>
          <w:szCs w:val="28"/>
          <w:lang w:val="uk-UA"/>
        </w:rPr>
        <w:t>]. Встановлено, що сполуки триорганотін Me</w:t>
      </w:r>
      <w:r w:rsidRPr="008A6B7D">
        <w:rPr>
          <w:color w:val="000000" w:themeColor="text1"/>
          <w:sz w:val="28"/>
          <w:szCs w:val="28"/>
          <w:vertAlign w:val="subscript"/>
          <w:lang w:val="uk-UA"/>
        </w:rPr>
        <w:t>3</w:t>
      </w:r>
      <w:r w:rsidRPr="008A6B7D">
        <w:rPr>
          <w:color w:val="000000" w:themeColor="text1"/>
          <w:sz w:val="28"/>
          <w:szCs w:val="28"/>
          <w:lang w:val="uk-UA"/>
        </w:rPr>
        <w:t>Sn(H</w:t>
      </w:r>
      <w:r w:rsidRPr="008A6B7D">
        <w:rPr>
          <w:color w:val="000000" w:themeColor="text1"/>
          <w:sz w:val="28"/>
          <w:szCs w:val="28"/>
          <w:vertAlign w:val="subscript"/>
          <w:lang w:val="uk-UA"/>
        </w:rPr>
        <w:t>2</w:t>
      </w:r>
      <w:r w:rsidRPr="008A6B7D">
        <w:rPr>
          <w:color w:val="000000" w:themeColor="text1"/>
          <w:sz w:val="28"/>
          <w:szCs w:val="28"/>
          <w:lang w:val="uk-UA"/>
        </w:rPr>
        <w:t>L) інгібували запалення на 8,89% та були більш ефективними за діорганотін Me</w:t>
      </w:r>
      <w:r w:rsidRPr="008A6B7D">
        <w:rPr>
          <w:color w:val="000000" w:themeColor="text1"/>
          <w:sz w:val="28"/>
          <w:szCs w:val="28"/>
          <w:vertAlign w:val="subscript"/>
          <w:lang w:val="uk-UA"/>
        </w:rPr>
        <w:t>2</w:t>
      </w:r>
      <w:r w:rsidRPr="008A6B7D">
        <w:rPr>
          <w:color w:val="000000" w:themeColor="text1"/>
          <w:sz w:val="28"/>
          <w:szCs w:val="28"/>
          <w:lang w:val="uk-UA"/>
        </w:rPr>
        <w:t>Sn(HL), показники інгібування якого складали 6,38% [</w:t>
      </w:r>
      <w:r w:rsidR="00390008" w:rsidRPr="008A6B7D">
        <w:rPr>
          <w:color w:val="000000" w:themeColor="text1"/>
          <w:sz w:val="28"/>
          <w:szCs w:val="28"/>
          <w:lang w:val="uk-UA"/>
        </w:rPr>
        <w:t>1</w:t>
      </w:r>
      <w:r w:rsidR="00FE60C3" w:rsidRPr="008A6B7D">
        <w:rPr>
          <w:color w:val="000000" w:themeColor="text1"/>
          <w:sz w:val="28"/>
          <w:szCs w:val="28"/>
          <w:lang w:val="uk-UA"/>
        </w:rPr>
        <w:t>3</w:t>
      </w:r>
      <w:r w:rsidR="00B85935" w:rsidRPr="008A6B7D">
        <w:rPr>
          <w:color w:val="000000" w:themeColor="text1"/>
          <w:sz w:val="28"/>
          <w:szCs w:val="28"/>
        </w:rPr>
        <w:t>4</w:t>
      </w:r>
      <w:r w:rsidRPr="008A6B7D">
        <w:rPr>
          <w:color w:val="000000" w:themeColor="text1"/>
          <w:sz w:val="28"/>
          <w:szCs w:val="28"/>
          <w:lang w:val="uk-UA"/>
        </w:rPr>
        <w:t xml:space="preserve">]. Дослідження похідних три-i-пропілтіну та діорганотіну гуанозину, також було досліджено на наявність протизапальної дії, показники інгібування запального процесу складали </w:t>
      </w:r>
      <w:r w:rsidR="00821BED">
        <w:rPr>
          <w:color w:val="000000" w:themeColor="text1"/>
          <w:sz w:val="28"/>
          <w:szCs w:val="28"/>
          <w:lang w:val="uk-UA"/>
        </w:rPr>
        <w:br/>
      </w:r>
      <w:r w:rsidRPr="008A6B7D">
        <w:rPr>
          <w:color w:val="000000" w:themeColor="text1"/>
          <w:sz w:val="28"/>
          <w:szCs w:val="28"/>
          <w:lang w:val="uk-UA"/>
        </w:rPr>
        <w:t>7,51–9,21% [</w:t>
      </w:r>
      <w:r w:rsidR="00390008" w:rsidRPr="008A6B7D">
        <w:rPr>
          <w:color w:val="000000" w:themeColor="text1"/>
          <w:sz w:val="28"/>
          <w:szCs w:val="28"/>
          <w:lang w:val="uk-UA"/>
        </w:rPr>
        <w:t>1</w:t>
      </w:r>
      <w:r w:rsidR="00FE60C3" w:rsidRPr="008A6B7D">
        <w:rPr>
          <w:color w:val="000000" w:themeColor="text1"/>
          <w:sz w:val="28"/>
          <w:szCs w:val="28"/>
          <w:lang w:val="uk-UA"/>
        </w:rPr>
        <w:t>3</w:t>
      </w:r>
      <w:r w:rsidR="00B85935" w:rsidRPr="008A6B7D">
        <w:rPr>
          <w:color w:val="000000" w:themeColor="text1"/>
          <w:sz w:val="28"/>
          <w:szCs w:val="28"/>
          <w:lang w:val="uk-UA"/>
        </w:rPr>
        <w:t>5</w:t>
      </w:r>
      <w:r w:rsidRPr="008A6B7D">
        <w:rPr>
          <w:color w:val="000000" w:themeColor="text1"/>
          <w:sz w:val="28"/>
          <w:szCs w:val="28"/>
          <w:lang w:val="uk-UA"/>
        </w:rPr>
        <w:t xml:space="preserve">]. </w:t>
      </w:r>
    </w:p>
    <w:p w14:paraId="4E302F63" w14:textId="6F59FCC3" w:rsidR="00FD0D07" w:rsidRPr="008A6B7D" w:rsidRDefault="00FD0D07" w:rsidP="00FD0D07">
      <w:pPr>
        <w:spacing w:line="360" w:lineRule="auto"/>
        <w:ind w:firstLine="709"/>
        <w:jc w:val="both"/>
        <w:rPr>
          <w:color w:val="000000" w:themeColor="text1"/>
          <w:sz w:val="28"/>
          <w:szCs w:val="28"/>
          <w:lang w:val="uk-UA"/>
        </w:rPr>
      </w:pPr>
      <w:r w:rsidRPr="008A6B7D">
        <w:rPr>
          <w:color w:val="000000" w:themeColor="text1"/>
          <w:sz w:val="28"/>
          <w:szCs w:val="28"/>
          <w:lang w:val="uk-UA"/>
        </w:rPr>
        <w:lastRenderedPageBreak/>
        <w:t xml:space="preserve">Варто зазначити, що дослідження протизапальної активності </w:t>
      </w:r>
      <w:r w:rsidRPr="008A6B7D">
        <w:rPr>
          <w:i/>
          <w:color w:val="000000" w:themeColor="text1"/>
          <w:sz w:val="28"/>
          <w:szCs w:val="28"/>
          <w:lang w:val="uk-UA"/>
        </w:rPr>
        <w:t>іn vivo</w:t>
      </w:r>
      <w:r w:rsidRPr="008A6B7D">
        <w:rPr>
          <w:color w:val="000000" w:themeColor="text1"/>
          <w:sz w:val="28"/>
          <w:szCs w:val="28"/>
          <w:lang w:val="uk-UA"/>
        </w:rPr>
        <w:t xml:space="preserve"> оротатів три- та діорганотіну показали, що оротати діорганотину є більш ефективними ніж похідні триорганотіну. Встановлено, що протизапальна активність оротату триорганотіну (Ph</w:t>
      </w:r>
      <w:r w:rsidRPr="008A6B7D">
        <w:rPr>
          <w:color w:val="000000" w:themeColor="text1"/>
          <w:sz w:val="28"/>
          <w:szCs w:val="28"/>
          <w:vertAlign w:val="subscript"/>
          <w:lang w:val="uk-UA"/>
        </w:rPr>
        <w:t>3</w:t>
      </w:r>
      <w:r w:rsidRPr="008A6B7D">
        <w:rPr>
          <w:color w:val="000000" w:themeColor="text1"/>
          <w:sz w:val="28"/>
          <w:szCs w:val="28"/>
          <w:lang w:val="uk-UA"/>
        </w:rPr>
        <w:t>Sn (H</w:t>
      </w:r>
      <w:r w:rsidRPr="008A6B7D">
        <w:rPr>
          <w:color w:val="000000" w:themeColor="text1"/>
          <w:sz w:val="28"/>
          <w:szCs w:val="28"/>
          <w:vertAlign w:val="subscript"/>
          <w:lang w:val="uk-UA"/>
        </w:rPr>
        <w:t>2</w:t>
      </w:r>
      <w:r w:rsidRPr="008A6B7D">
        <w:rPr>
          <w:color w:val="000000" w:themeColor="text1"/>
          <w:sz w:val="28"/>
          <w:szCs w:val="28"/>
          <w:lang w:val="uk-UA"/>
        </w:rPr>
        <w:t>Or)) була зумовлена утворенням і транспортуванням іонів Ph</w:t>
      </w:r>
      <w:r w:rsidRPr="008A6B7D">
        <w:rPr>
          <w:color w:val="000000" w:themeColor="text1"/>
          <w:sz w:val="28"/>
          <w:szCs w:val="28"/>
          <w:vertAlign w:val="subscript"/>
          <w:lang w:val="uk-UA"/>
        </w:rPr>
        <w:t>3</w:t>
      </w:r>
      <w:r w:rsidRPr="008A6B7D">
        <w:rPr>
          <w:color w:val="000000" w:themeColor="text1"/>
          <w:sz w:val="28"/>
          <w:szCs w:val="28"/>
          <w:lang w:val="uk-UA"/>
        </w:rPr>
        <w:t>Sn(IV)</w:t>
      </w:r>
      <w:r w:rsidRPr="008A6B7D">
        <w:rPr>
          <w:color w:val="000000" w:themeColor="text1"/>
          <w:sz w:val="28"/>
          <w:szCs w:val="28"/>
          <w:vertAlign w:val="superscript"/>
          <w:lang w:val="uk-UA"/>
        </w:rPr>
        <w:t xml:space="preserve">+ </w:t>
      </w:r>
      <w:r w:rsidRPr="008A6B7D">
        <w:rPr>
          <w:color w:val="000000" w:themeColor="text1"/>
          <w:sz w:val="28"/>
          <w:szCs w:val="28"/>
          <w:lang w:val="uk-UA"/>
        </w:rPr>
        <w:t>через клітинні мембрани [</w:t>
      </w:r>
      <w:r w:rsidR="00390008" w:rsidRPr="008A6B7D">
        <w:rPr>
          <w:color w:val="000000" w:themeColor="text1"/>
          <w:sz w:val="28"/>
          <w:szCs w:val="28"/>
          <w:lang w:val="uk-UA"/>
        </w:rPr>
        <w:t>1</w:t>
      </w:r>
      <w:r w:rsidR="00FE60C3" w:rsidRPr="008A6B7D">
        <w:rPr>
          <w:color w:val="000000" w:themeColor="text1"/>
          <w:sz w:val="28"/>
          <w:szCs w:val="28"/>
          <w:lang w:val="uk-UA"/>
        </w:rPr>
        <w:t>3</w:t>
      </w:r>
      <w:r w:rsidR="00B85935" w:rsidRPr="008A6B7D">
        <w:rPr>
          <w:color w:val="000000" w:themeColor="text1"/>
          <w:sz w:val="28"/>
          <w:szCs w:val="28"/>
          <w:lang w:val="uk-UA"/>
        </w:rPr>
        <w:t>6</w:t>
      </w:r>
      <w:r w:rsidRPr="008A6B7D">
        <w:rPr>
          <w:color w:val="000000" w:themeColor="text1"/>
          <w:sz w:val="28"/>
          <w:szCs w:val="28"/>
          <w:lang w:val="uk-UA"/>
        </w:rPr>
        <w:t xml:space="preserve">]. Протизапальний характер комплексних сполук станнуму, утворених в результаті синезу ібупрофеному та коричної кислоти, шляхом інгібування циклооксигеназ (ЦОГ-1 та ЦОГ-2). Спорідненість та селективність комплексних сполук було перевірено </w:t>
      </w:r>
      <w:r w:rsidRPr="008A6B7D">
        <w:rPr>
          <w:i/>
          <w:color w:val="000000" w:themeColor="text1"/>
          <w:sz w:val="28"/>
          <w:szCs w:val="28"/>
          <w:lang w:val="uk-UA"/>
        </w:rPr>
        <w:t>іn silico</w:t>
      </w:r>
      <w:r w:rsidRPr="008A6B7D">
        <w:rPr>
          <w:color w:val="000000" w:themeColor="text1"/>
          <w:sz w:val="28"/>
          <w:szCs w:val="28"/>
          <w:lang w:val="uk-UA"/>
        </w:rPr>
        <w:t xml:space="preserve"> відносно ферменту циклооксигенази. [</w:t>
      </w:r>
      <w:r w:rsidR="00390008" w:rsidRPr="008A6B7D">
        <w:rPr>
          <w:color w:val="000000" w:themeColor="text1"/>
          <w:sz w:val="28"/>
          <w:szCs w:val="28"/>
          <w:lang w:val="uk-UA"/>
        </w:rPr>
        <w:t>1</w:t>
      </w:r>
      <w:r w:rsidR="00FE60C3" w:rsidRPr="008A6B7D">
        <w:rPr>
          <w:color w:val="000000" w:themeColor="text1"/>
          <w:sz w:val="28"/>
          <w:szCs w:val="28"/>
          <w:lang w:val="uk-UA"/>
        </w:rPr>
        <w:t>3</w:t>
      </w:r>
      <w:r w:rsidR="00B85935" w:rsidRPr="001759D5">
        <w:rPr>
          <w:color w:val="000000" w:themeColor="text1"/>
          <w:sz w:val="28"/>
          <w:szCs w:val="28"/>
        </w:rPr>
        <w:t>7</w:t>
      </w:r>
      <w:r w:rsidRPr="008A6B7D">
        <w:rPr>
          <w:color w:val="000000" w:themeColor="text1"/>
          <w:sz w:val="28"/>
          <w:szCs w:val="28"/>
          <w:lang w:val="uk-UA"/>
        </w:rPr>
        <w:t>]. Також, було встановлено, протизапальну дію гептакоординованих сполук станнуму (IV), що містять піридинові фрагменти, проявляють доза залежний ефект на моделі ТРА-індукованого запалення вуха. [</w:t>
      </w:r>
      <w:r w:rsidR="00390008" w:rsidRPr="008A6B7D">
        <w:rPr>
          <w:color w:val="000000" w:themeColor="text1"/>
          <w:sz w:val="28"/>
          <w:szCs w:val="28"/>
          <w:lang w:val="uk-UA"/>
        </w:rPr>
        <w:t>1</w:t>
      </w:r>
      <w:r w:rsidR="00FE60C3" w:rsidRPr="008A6B7D">
        <w:rPr>
          <w:color w:val="000000" w:themeColor="text1"/>
          <w:sz w:val="28"/>
          <w:szCs w:val="28"/>
          <w:lang w:val="uk-UA"/>
        </w:rPr>
        <w:t>3</w:t>
      </w:r>
      <w:r w:rsidR="00B85935" w:rsidRPr="008A6B7D">
        <w:rPr>
          <w:color w:val="000000" w:themeColor="text1"/>
          <w:sz w:val="28"/>
          <w:szCs w:val="28"/>
        </w:rPr>
        <w:t>8</w:t>
      </w:r>
      <w:r w:rsidRPr="008A6B7D">
        <w:rPr>
          <w:color w:val="000000" w:themeColor="text1"/>
          <w:sz w:val="28"/>
          <w:szCs w:val="28"/>
          <w:lang w:val="uk-UA"/>
        </w:rPr>
        <w:t>].</w:t>
      </w:r>
    </w:p>
    <w:p w14:paraId="2996BACA" w14:textId="658BA321" w:rsidR="00FD0D07" w:rsidRPr="008A6B7D" w:rsidRDefault="00FD0D07" w:rsidP="00FD0D07">
      <w:pPr>
        <w:spacing w:line="360" w:lineRule="auto"/>
        <w:ind w:firstLine="709"/>
        <w:jc w:val="both"/>
        <w:rPr>
          <w:color w:val="000000" w:themeColor="text1"/>
          <w:sz w:val="28"/>
          <w:szCs w:val="28"/>
          <w:lang w:val="uk-UA"/>
        </w:rPr>
      </w:pPr>
      <w:r w:rsidRPr="008A6B7D">
        <w:rPr>
          <w:color w:val="000000" w:themeColor="text1"/>
          <w:sz w:val="28"/>
          <w:szCs w:val="28"/>
          <w:lang w:val="uk-UA"/>
        </w:rPr>
        <w:t>Нашими колегами було встановлено, що олово, як і його хлорид, може полегшувати нервово-м'язову передачу, прискорюючи вивільнення трансміттеру з нервових закінчень миші [</w:t>
      </w:r>
      <w:r w:rsidR="00390008" w:rsidRPr="008A6B7D">
        <w:rPr>
          <w:color w:val="000000" w:themeColor="text1"/>
          <w:sz w:val="28"/>
          <w:szCs w:val="28"/>
          <w:lang w:val="uk-UA"/>
        </w:rPr>
        <w:t>1</w:t>
      </w:r>
      <w:r w:rsidR="00B85935" w:rsidRPr="008A6B7D">
        <w:rPr>
          <w:color w:val="000000" w:themeColor="text1"/>
          <w:sz w:val="28"/>
          <w:szCs w:val="28"/>
        </w:rPr>
        <w:t>39</w:t>
      </w:r>
      <w:r w:rsidRPr="008A6B7D">
        <w:rPr>
          <w:color w:val="000000" w:themeColor="text1"/>
          <w:sz w:val="28"/>
          <w:szCs w:val="28"/>
          <w:lang w:val="uk-UA"/>
        </w:rPr>
        <w:t>]. Введення цієї солі лабораторним тваринам, може викликати стимуляцію або пригнічення центральної нервової системи. Оскільки приплив іонів кальцію (Ca</w:t>
      </w:r>
      <w:r w:rsidRPr="008A6B7D">
        <w:rPr>
          <w:color w:val="000000" w:themeColor="text1"/>
          <w:sz w:val="28"/>
          <w:szCs w:val="28"/>
          <w:vertAlign w:val="superscript"/>
          <w:lang w:val="uk-UA"/>
        </w:rPr>
        <w:t>2+</w:t>
      </w:r>
      <w:r w:rsidRPr="008A6B7D">
        <w:rPr>
          <w:color w:val="000000" w:themeColor="text1"/>
          <w:sz w:val="28"/>
          <w:szCs w:val="28"/>
          <w:lang w:val="uk-UA"/>
        </w:rPr>
        <w:t>) в цитоплазму клітини є необхідним для вивільнення трансміттера, можливо, саме SnCl</w:t>
      </w:r>
      <w:r w:rsidRPr="008A6B7D">
        <w:rPr>
          <w:color w:val="000000" w:themeColor="text1"/>
          <w:sz w:val="28"/>
          <w:szCs w:val="28"/>
          <w:vertAlign w:val="subscript"/>
          <w:lang w:val="uk-UA"/>
        </w:rPr>
        <w:t>2</w:t>
      </w:r>
      <w:r w:rsidRPr="008A6B7D">
        <w:rPr>
          <w:color w:val="000000" w:themeColor="text1"/>
          <w:sz w:val="28"/>
          <w:szCs w:val="28"/>
          <w:lang w:val="uk-UA"/>
        </w:rPr>
        <w:t xml:space="preserve"> збільшує приплив іонів Ca</w:t>
      </w:r>
      <w:r w:rsidRPr="008A6B7D">
        <w:rPr>
          <w:color w:val="000000" w:themeColor="text1"/>
          <w:sz w:val="28"/>
          <w:szCs w:val="28"/>
          <w:vertAlign w:val="superscript"/>
          <w:lang w:val="uk-UA"/>
        </w:rPr>
        <w:t>2+</w:t>
      </w:r>
      <w:r w:rsidRPr="008A6B7D">
        <w:rPr>
          <w:color w:val="000000" w:themeColor="text1"/>
          <w:sz w:val="28"/>
          <w:szCs w:val="28"/>
          <w:lang w:val="uk-UA"/>
        </w:rPr>
        <w:t xml:space="preserve"> в нервові закінчення, при цьому не блокуючи К</w:t>
      </w:r>
      <w:r w:rsidRPr="008A6B7D">
        <w:rPr>
          <w:color w:val="000000" w:themeColor="text1"/>
          <w:sz w:val="28"/>
          <w:szCs w:val="28"/>
          <w:vertAlign w:val="superscript"/>
          <w:lang w:val="uk-UA"/>
        </w:rPr>
        <w:t xml:space="preserve">+ </w:t>
      </w:r>
      <w:r w:rsidRPr="008A6B7D">
        <w:rPr>
          <w:color w:val="000000" w:themeColor="text1"/>
          <w:sz w:val="28"/>
          <w:szCs w:val="28"/>
          <w:lang w:val="uk-UA"/>
        </w:rPr>
        <w:t>канали [</w:t>
      </w:r>
      <w:r w:rsidR="00390008" w:rsidRPr="008A6B7D">
        <w:rPr>
          <w:color w:val="000000" w:themeColor="text1"/>
          <w:sz w:val="28"/>
          <w:szCs w:val="28"/>
          <w:lang w:val="uk-UA"/>
        </w:rPr>
        <w:t>14</w:t>
      </w:r>
      <w:r w:rsidR="00B85935" w:rsidRPr="008A6B7D">
        <w:rPr>
          <w:color w:val="000000" w:themeColor="text1"/>
          <w:sz w:val="28"/>
          <w:szCs w:val="28"/>
          <w:lang w:val="uk-UA"/>
        </w:rPr>
        <w:t>0</w:t>
      </w:r>
      <w:r w:rsidRPr="008A6B7D">
        <w:rPr>
          <w:color w:val="000000" w:themeColor="text1"/>
          <w:sz w:val="28"/>
          <w:szCs w:val="28"/>
          <w:lang w:val="uk-UA"/>
        </w:rPr>
        <w:t>]. Іншими вченими було досліджено, що лікування хлоридом олова (ІІ) кролів та щурів, які піддавалися стресу, викликало цитопротекцію та протизапальний ефект [</w:t>
      </w:r>
      <w:r w:rsidR="00390008" w:rsidRPr="008A6B7D">
        <w:rPr>
          <w:color w:val="000000" w:themeColor="text1"/>
          <w:sz w:val="28"/>
          <w:szCs w:val="28"/>
          <w:lang w:val="uk-UA"/>
        </w:rPr>
        <w:t>14</w:t>
      </w:r>
      <w:r w:rsidR="00B85935" w:rsidRPr="008A6B7D">
        <w:rPr>
          <w:color w:val="000000" w:themeColor="text1"/>
          <w:sz w:val="28"/>
          <w:szCs w:val="28"/>
          <w:lang w:val="uk-UA"/>
        </w:rPr>
        <w:t>1</w:t>
      </w:r>
      <w:r w:rsidRPr="008A6B7D">
        <w:rPr>
          <w:color w:val="000000" w:themeColor="text1"/>
          <w:sz w:val="28"/>
          <w:szCs w:val="28"/>
          <w:lang w:val="uk-UA"/>
        </w:rPr>
        <w:t xml:space="preserve">]. </w:t>
      </w:r>
    </w:p>
    <w:p w14:paraId="16889859" w14:textId="0B2A82AA" w:rsidR="00FD0D07" w:rsidRPr="008A6B7D" w:rsidRDefault="00FD0D07" w:rsidP="00FD0D07">
      <w:pPr>
        <w:spacing w:line="360" w:lineRule="auto"/>
        <w:ind w:firstLine="709"/>
        <w:jc w:val="both"/>
        <w:rPr>
          <w:color w:val="000000" w:themeColor="text1"/>
          <w:sz w:val="28"/>
          <w:szCs w:val="28"/>
          <w:lang w:val="uk-UA"/>
        </w:rPr>
      </w:pPr>
      <w:r w:rsidRPr="008A6B7D">
        <w:rPr>
          <w:color w:val="000000" w:themeColor="text1"/>
          <w:sz w:val="28"/>
          <w:szCs w:val="28"/>
          <w:lang w:val="uk-UA"/>
        </w:rPr>
        <w:t xml:space="preserve">Встановлено, що заміщення  у молекулі саліцилової кислоти, а саме </w:t>
      </w:r>
      <w:r w:rsidR="00821BED">
        <w:rPr>
          <w:color w:val="000000" w:themeColor="text1"/>
          <w:sz w:val="28"/>
          <w:szCs w:val="28"/>
          <w:lang w:val="uk-UA"/>
        </w:rPr>
        <w:br/>
      </w:r>
      <w:r w:rsidRPr="008A6B7D">
        <w:rPr>
          <w:color w:val="000000" w:themeColor="text1"/>
          <w:sz w:val="28"/>
          <w:szCs w:val="28"/>
          <w:lang w:val="uk-UA"/>
        </w:rPr>
        <w:t>4-бромо-3-метилфенілазо</w:t>
      </w:r>
      <w:r w:rsidRPr="008A6B7D">
        <w:rPr>
          <w:color w:val="000000" w:themeColor="text1"/>
          <w:sz w:val="28"/>
          <w:szCs w:val="28"/>
          <w:lang w:val="en-US"/>
        </w:rPr>
        <w:t>c</w:t>
      </w:r>
      <w:r w:rsidRPr="008A6B7D">
        <w:rPr>
          <w:color w:val="000000" w:themeColor="text1"/>
          <w:sz w:val="28"/>
          <w:szCs w:val="28"/>
          <w:lang w:val="uk-UA"/>
        </w:rPr>
        <w:t>аліцилова кислота, викликає значущу знеболювальну активність, показники пригнічення запальної реакції складали 46,10% [</w:t>
      </w:r>
      <w:r w:rsidR="00390008" w:rsidRPr="008A6B7D">
        <w:rPr>
          <w:color w:val="000000" w:themeColor="text1"/>
          <w:sz w:val="28"/>
          <w:szCs w:val="28"/>
          <w:lang w:val="uk-UA"/>
        </w:rPr>
        <w:t>14</w:t>
      </w:r>
      <w:r w:rsidR="00B85935" w:rsidRPr="008A6B7D">
        <w:rPr>
          <w:color w:val="000000" w:themeColor="text1"/>
          <w:sz w:val="28"/>
          <w:szCs w:val="28"/>
          <w:lang w:val="uk-UA"/>
        </w:rPr>
        <w:t>2</w:t>
      </w:r>
      <w:r w:rsidRPr="008A6B7D">
        <w:rPr>
          <w:color w:val="000000" w:themeColor="text1"/>
          <w:sz w:val="28"/>
          <w:szCs w:val="28"/>
          <w:lang w:val="uk-UA"/>
        </w:rPr>
        <w:t xml:space="preserve">]. Введення атому брому у структуру комплексу у гідразидному фрагменті призводить до посилення фармакологічного ефекту. Вивчення фармакологічної дії саліцилоїлгідразонів заміщених бензальдегідами у </w:t>
      </w:r>
      <w:r w:rsidR="00821BED">
        <w:rPr>
          <w:color w:val="000000" w:themeColor="text1"/>
          <w:sz w:val="28"/>
          <w:szCs w:val="28"/>
          <w:lang w:val="uk-UA"/>
        </w:rPr>
        <w:br/>
      </w:r>
      <w:r w:rsidRPr="008A6B7D">
        <w:rPr>
          <w:color w:val="000000" w:themeColor="text1"/>
          <w:sz w:val="28"/>
          <w:szCs w:val="28"/>
          <w:lang w:val="uk-UA"/>
        </w:rPr>
        <w:t xml:space="preserve">пара / мета положеннях, показало, що дані сполуки проявляють протисудомну </w:t>
      </w:r>
      <w:r w:rsidRPr="008A6B7D">
        <w:rPr>
          <w:color w:val="000000" w:themeColor="text1"/>
          <w:sz w:val="28"/>
          <w:szCs w:val="28"/>
          <w:lang w:val="uk-UA"/>
        </w:rPr>
        <w:lastRenderedPageBreak/>
        <w:t xml:space="preserve">активність на моделях судом, що викликалися введенням судомного агенту – </w:t>
      </w:r>
      <w:r w:rsidR="00390008" w:rsidRPr="008A6B7D">
        <w:rPr>
          <w:color w:val="000000" w:themeColor="text1"/>
          <w:sz w:val="28"/>
          <w:szCs w:val="28"/>
          <w:lang w:val="uk-UA"/>
        </w:rPr>
        <w:t xml:space="preserve">коразолу </w:t>
      </w:r>
      <w:r w:rsidRPr="008A6B7D">
        <w:rPr>
          <w:color w:val="000000" w:themeColor="text1"/>
          <w:sz w:val="28"/>
          <w:szCs w:val="28"/>
          <w:lang w:val="uk-UA"/>
        </w:rPr>
        <w:t>у хвостову вену мишей [1</w:t>
      </w:r>
      <w:r w:rsidR="00112A09" w:rsidRPr="008A6B7D">
        <w:rPr>
          <w:color w:val="000000" w:themeColor="text1"/>
          <w:sz w:val="28"/>
          <w:szCs w:val="28"/>
        </w:rPr>
        <w:t>7</w:t>
      </w:r>
      <w:r w:rsidRPr="008A6B7D">
        <w:rPr>
          <w:color w:val="000000" w:themeColor="text1"/>
          <w:sz w:val="28"/>
          <w:szCs w:val="28"/>
          <w:lang w:val="uk-UA"/>
        </w:rPr>
        <w:t>]. Дані наших колег свідчать про те, що введення атому брому в пара-положення арильного кільця призводить до посилення протисудомної дії – запобігає появі генералізованих клонічно-тонічних судом та появі клоніко-тонічної екстензії [1</w:t>
      </w:r>
      <w:r w:rsidR="00112A09" w:rsidRPr="008A6B7D">
        <w:rPr>
          <w:color w:val="000000" w:themeColor="text1"/>
          <w:sz w:val="28"/>
          <w:szCs w:val="28"/>
        </w:rPr>
        <w:t>7</w:t>
      </w:r>
      <w:r w:rsidRPr="008A6B7D">
        <w:rPr>
          <w:color w:val="000000" w:themeColor="text1"/>
          <w:sz w:val="28"/>
          <w:szCs w:val="28"/>
          <w:lang w:val="uk-UA"/>
        </w:rPr>
        <w:t xml:space="preserve">]. </w:t>
      </w:r>
    </w:p>
    <w:p w14:paraId="11495451" w14:textId="063D73FB" w:rsidR="00FD0D07" w:rsidRPr="008A6B7D" w:rsidRDefault="00FD0D07" w:rsidP="00FD0D07">
      <w:pPr>
        <w:tabs>
          <w:tab w:val="left" w:pos="540"/>
        </w:tabs>
        <w:spacing w:line="360" w:lineRule="auto"/>
        <w:ind w:firstLine="630"/>
        <w:jc w:val="both"/>
        <w:rPr>
          <w:color w:val="000000" w:themeColor="text1"/>
          <w:sz w:val="28"/>
          <w:szCs w:val="28"/>
          <w:lang w:val="uk-UA"/>
        </w:rPr>
      </w:pPr>
      <w:r w:rsidRPr="008A6B7D">
        <w:rPr>
          <w:color w:val="000000" w:themeColor="text1"/>
          <w:sz w:val="28"/>
          <w:szCs w:val="28"/>
          <w:lang w:val="uk-UA"/>
        </w:rPr>
        <w:t xml:space="preserve">Було проведено синтез нової серії заміщених </w:t>
      </w:r>
      <w:r w:rsidRPr="008A6B7D">
        <w:rPr>
          <w:rFonts w:ascii="Cambria Math" w:hAnsi="Cambria Math" w:cs="Cambria Math"/>
          <w:color w:val="000000" w:themeColor="text1"/>
          <w:sz w:val="28"/>
          <w:szCs w:val="28"/>
          <w:lang w:val="uk-UA"/>
        </w:rPr>
        <w:t>𝑁</w:t>
      </w:r>
      <w:r w:rsidRPr="008A6B7D">
        <w:rPr>
          <w:color w:val="000000" w:themeColor="text1"/>
          <w:sz w:val="28"/>
          <w:szCs w:val="28"/>
          <w:lang w:val="uk-UA"/>
        </w:rPr>
        <w:t xml:space="preserve">-[(1E)-заміщених аналогів фенилметиліден] бензогідразиду та оцінка їх протизапальної, антимікробної та антиоксидантної активності </w:t>
      </w:r>
      <w:r w:rsidRPr="008A6B7D">
        <w:rPr>
          <w:i/>
          <w:color w:val="000000" w:themeColor="text1"/>
          <w:sz w:val="28"/>
          <w:szCs w:val="28"/>
          <w:lang w:val="uk-UA"/>
        </w:rPr>
        <w:t>in vitro</w:t>
      </w:r>
      <w:r w:rsidRPr="008A6B7D">
        <w:rPr>
          <w:color w:val="000000" w:themeColor="text1"/>
          <w:sz w:val="28"/>
          <w:szCs w:val="28"/>
          <w:lang w:val="uk-UA"/>
        </w:rPr>
        <w:t>. Оцінку протизапальної активності проводили шляхом денатурації альбуміну, у якості референс-препарату використовували диклофенак натрію. Було встановлено, що три сполуки із заміщеними 4-нітро-, 4-метильної та 2-гідроксильної груп, відповідно, виявляли виражену протизапальну активність [</w:t>
      </w:r>
      <w:r w:rsidR="00390008" w:rsidRPr="008A6B7D">
        <w:rPr>
          <w:color w:val="000000" w:themeColor="text1"/>
          <w:sz w:val="28"/>
          <w:szCs w:val="28"/>
          <w:lang w:val="uk-UA"/>
        </w:rPr>
        <w:t>14</w:t>
      </w:r>
      <w:r w:rsidR="00B85935" w:rsidRPr="008A6B7D">
        <w:rPr>
          <w:color w:val="000000" w:themeColor="text1"/>
          <w:sz w:val="28"/>
          <w:szCs w:val="28"/>
        </w:rPr>
        <w:t>3</w:t>
      </w:r>
      <w:r w:rsidRPr="008A6B7D">
        <w:rPr>
          <w:color w:val="000000" w:themeColor="text1"/>
          <w:sz w:val="28"/>
          <w:szCs w:val="28"/>
          <w:lang w:val="uk-UA"/>
        </w:rPr>
        <w:t>].</w:t>
      </w:r>
    </w:p>
    <w:p w14:paraId="08503666" w14:textId="064276C2" w:rsidR="00FD0D07" w:rsidRPr="008A6B7D" w:rsidRDefault="00FD0D07" w:rsidP="00390008">
      <w:pPr>
        <w:spacing w:line="360" w:lineRule="auto"/>
        <w:ind w:firstLine="709"/>
        <w:jc w:val="both"/>
        <w:rPr>
          <w:color w:val="000000" w:themeColor="text1"/>
          <w:sz w:val="28"/>
          <w:szCs w:val="28"/>
          <w:lang w:val="uk-UA"/>
        </w:rPr>
      </w:pPr>
      <w:r w:rsidRPr="008A6B7D">
        <w:rPr>
          <w:color w:val="000000" w:themeColor="text1"/>
          <w:sz w:val="28"/>
          <w:szCs w:val="28"/>
          <w:lang w:val="uk-UA"/>
        </w:rPr>
        <w:t>Дослідження протизапальної активності нових синтезованих сполук комплексних сполук на основі бензальдегіду та саліцилальдегіду, показали, що більш виразний протизапальний ефект здійснювала комплексна сполука на основі саліцилальдегіду. Імовірно, вона може реалізувати свій протизапальний ефект, головним чином, за рахунок включення замісника сульфаніламідної групи до ароматичного кільця і додатково завдяки подвійному зв'язку азометину. Дослідження проводили на моделі запалення лапи щура, індукованого альбуміном</w:t>
      </w:r>
      <w:r w:rsidRPr="008A6B7D">
        <w:rPr>
          <w:color w:val="000000" w:themeColor="text1"/>
          <w:sz w:val="28"/>
          <w:szCs w:val="28"/>
        </w:rPr>
        <w:t xml:space="preserve"> [</w:t>
      </w:r>
      <w:r w:rsidR="00390008" w:rsidRPr="008A6B7D">
        <w:rPr>
          <w:color w:val="000000" w:themeColor="text1"/>
          <w:sz w:val="28"/>
          <w:szCs w:val="28"/>
        </w:rPr>
        <w:t>1</w:t>
      </w:r>
      <w:r w:rsidR="00FE60C3" w:rsidRPr="008A6B7D">
        <w:rPr>
          <w:color w:val="000000" w:themeColor="text1"/>
          <w:sz w:val="28"/>
          <w:szCs w:val="28"/>
        </w:rPr>
        <w:t>4</w:t>
      </w:r>
      <w:r w:rsidR="00B85935" w:rsidRPr="008A6B7D">
        <w:rPr>
          <w:color w:val="000000" w:themeColor="text1"/>
          <w:sz w:val="28"/>
          <w:szCs w:val="28"/>
        </w:rPr>
        <w:t>4</w:t>
      </w:r>
      <w:r w:rsidRPr="008A6B7D">
        <w:rPr>
          <w:color w:val="000000" w:themeColor="text1"/>
          <w:sz w:val="28"/>
          <w:szCs w:val="28"/>
        </w:rPr>
        <w:t>]</w:t>
      </w:r>
      <w:r w:rsidRPr="008A6B7D">
        <w:rPr>
          <w:color w:val="000000" w:themeColor="text1"/>
          <w:sz w:val="28"/>
          <w:szCs w:val="28"/>
          <w:lang w:val="uk-UA"/>
        </w:rPr>
        <w:t xml:space="preserve">. Доведено, що пероральне введення бензальдегіду викликає інгібування ЦОГ-2 </w:t>
      </w:r>
      <w:r w:rsidRPr="008A6B7D">
        <w:rPr>
          <w:color w:val="000000" w:themeColor="text1"/>
          <w:sz w:val="28"/>
          <w:szCs w:val="28"/>
        </w:rPr>
        <w:t>[</w:t>
      </w:r>
      <w:r w:rsidR="00390008" w:rsidRPr="008A6B7D">
        <w:rPr>
          <w:color w:val="000000" w:themeColor="text1"/>
          <w:sz w:val="28"/>
          <w:szCs w:val="28"/>
        </w:rPr>
        <w:t>1</w:t>
      </w:r>
      <w:r w:rsidR="00FE60C3" w:rsidRPr="008A6B7D">
        <w:rPr>
          <w:color w:val="000000" w:themeColor="text1"/>
          <w:sz w:val="28"/>
          <w:szCs w:val="28"/>
        </w:rPr>
        <w:t>4</w:t>
      </w:r>
      <w:r w:rsidR="00B85935" w:rsidRPr="008A6B7D">
        <w:rPr>
          <w:color w:val="000000" w:themeColor="text1"/>
          <w:sz w:val="28"/>
          <w:szCs w:val="28"/>
        </w:rPr>
        <w:t>5</w:t>
      </w:r>
      <w:r w:rsidRPr="008A6B7D">
        <w:rPr>
          <w:color w:val="000000" w:themeColor="text1"/>
          <w:sz w:val="28"/>
          <w:szCs w:val="28"/>
        </w:rPr>
        <w:t>].</w:t>
      </w:r>
    </w:p>
    <w:p w14:paraId="08439EBB" w14:textId="6A06767D" w:rsidR="00C57D1F" w:rsidRPr="008A6B7D" w:rsidRDefault="00FD0D07" w:rsidP="00FD0D07">
      <w:pPr>
        <w:spacing w:line="360" w:lineRule="auto"/>
        <w:ind w:firstLine="709"/>
        <w:jc w:val="both"/>
        <w:rPr>
          <w:color w:val="000000" w:themeColor="text1"/>
          <w:sz w:val="28"/>
          <w:szCs w:val="28"/>
          <w:lang w:val="uk-UA"/>
        </w:rPr>
      </w:pPr>
      <w:r w:rsidRPr="008A6B7D">
        <w:rPr>
          <w:color w:val="000000" w:themeColor="text1"/>
          <w:sz w:val="28"/>
          <w:szCs w:val="28"/>
          <w:lang w:val="uk-UA"/>
        </w:rPr>
        <w:t>Враховуючи попередні дані, отримані із різних джерел, можна зробити висновок про потенціальний широкий спектр фармакологічної дії комплексних сполук хлориду олова із саліцилоїлгідразонами бензальдегіду та 4-бомбензальдегіду.</w:t>
      </w:r>
    </w:p>
    <w:p w14:paraId="23510893" w14:textId="46222BB2" w:rsidR="00F05F4E" w:rsidRPr="008A6B7D" w:rsidRDefault="00C57D1F" w:rsidP="00C57D1F">
      <w:pPr>
        <w:rPr>
          <w:sz w:val="28"/>
          <w:szCs w:val="28"/>
          <w:lang w:val="uk-UA"/>
        </w:rPr>
      </w:pPr>
      <w:r w:rsidRPr="00112A09">
        <w:rPr>
          <w:sz w:val="28"/>
          <w:szCs w:val="28"/>
          <w:lang w:val="uk-UA"/>
        </w:rPr>
        <w:br w:type="page"/>
      </w:r>
    </w:p>
    <w:p w14:paraId="618B0850" w14:textId="77777777" w:rsidR="00F05F4E" w:rsidRPr="008A6B7D" w:rsidRDefault="00F05F4E" w:rsidP="00F05F4E">
      <w:pPr>
        <w:pStyle w:val="10"/>
        <w:rPr>
          <w:color w:val="000000" w:themeColor="text1"/>
          <w:szCs w:val="28"/>
          <w:lang w:val="uk-UA"/>
        </w:rPr>
      </w:pPr>
      <w:bookmarkStart w:id="4" w:name="_Toc63336075"/>
      <w:bookmarkStart w:id="5" w:name="_Toc63336099"/>
      <w:r w:rsidRPr="008A6B7D">
        <w:rPr>
          <w:color w:val="000000" w:themeColor="text1"/>
          <w:szCs w:val="28"/>
          <w:lang w:val="uk-UA"/>
        </w:rPr>
        <w:lastRenderedPageBreak/>
        <w:t>РОЗДІЛ 2</w:t>
      </w:r>
    </w:p>
    <w:p w14:paraId="2DCACD10" w14:textId="77777777" w:rsidR="00F05F4E" w:rsidRPr="008A6B7D" w:rsidRDefault="00F05F4E" w:rsidP="00F05F4E">
      <w:pPr>
        <w:pStyle w:val="10"/>
        <w:rPr>
          <w:color w:val="000000" w:themeColor="text1"/>
          <w:szCs w:val="28"/>
          <w:lang w:val="uk-UA"/>
        </w:rPr>
      </w:pPr>
      <w:r w:rsidRPr="008A6B7D">
        <w:rPr>
          <w:color w:val="000000" w:themeColor="text1"/>
          <w:szCs w:val="28"/>
          <w:lang w:val="uk-UA"/>
        </w:rPr>
        <w:t>МАТЕРІАЛИ ТА МЕТОДИ ДОСЛІДЖЕНН</w:t>
      </w:r>
      <w:bookmarkEnd w:id="4"/>
      <w:r w:rsidRPr="008A6B7D">
        <w:rPr>
          <w:color w:val="000000" w:themeColor="text1"/>
          <w:szCs w:val="28"/>
          <w:lang w:val="uk-UA"/>
        </w:rPr>
        <w:t>Я</w:t>
      </w:r>
    </w:p>
    <w:p w14:paraId="544A2894" w14:textId="0768A1F4" w:rsidR="00F05F4E" w:rsidRPr="008A6B7D" w:rsidRDefault="00F05F4E" w:rsidP="00F05F4E">
      <w:pPr>
        <w:spacing w:line="360" w:lineRule="auto"/>
        <w:ind w:firstLine="709"/>
        <w:jc w:val="both"/>
        <w:rPr>
          <w:sz w:val="28"/>
          <w:szCs w:val="28"/>
          <w:lang w:val="uk-UA"/>
        </w:rPr>
      </w:pPr>
      <w:r w:rsidRPr="008A6B7D">
        <w:rPr>
          <w:sz w:val="28"/>
          <w:szCs w:val="28"/>
          <w:lang w:val="uk-UA"/>
        </w:rPr>
        <w:t>Експериментальна частина роботи</w:t>
      </w:r>
      <w:r w:rsidR="00390008" w:rsidRPr="008A6B7D">
        <w:rPr>
          <w:sz w:val="28"/>
          <w:szCs w:val="28"/>
          <w:lang w:val="uk-UA"/>
        </w:rPr>
        <w:t xml:space="preserve">, а також всі розрахунково-математичні процедури та статистичний аналіз були </w:t>
      </w:r>
      <w:r w:rsidRPr="008A6B7D">
        <w:rPr>
          <w:sz w:val="28"/>
          <w:szCs w:val="28"/>
          <w:lang w:val="uk-UA"/>
        </w:rPr>
        <w:t>виконан</w:t>
      </w:r>
      <w:r w:rsidR="00390008" w:rsidRPr="008A6B7D">
        <w:rPr>
          <w:sz w:val="28"/>
          <w:szCs w:val="28"/>
          <w:lang w:val="uk-UA"/>
        </w:rPr>
        <w:t xml:space="preserve">і </w:t>
      </w:r>
      <w:r w:rsidRPr="008A6B7D">
        <w:rPr>
          <w:sz w:val="28"/>
          <w:szCs w:val="28"/>
          <w:lang w:val="uk-UA"/>
        </w:rPr>
        <w:t>на базі Одеського національного політехнічного університету, кафедра органічних та фармацевтичних технологій (завідувач – д.біол.н., професор Кравченко І.А.) на кафедрі фармацевтичної хімії ОНУ ім. І.І. Мечнікова (завідувач – дім.х.н., професор Андронаті С.А.).</w:t>
      </w:r>
    </w:p>
    <w:p w14:paraId="3C03A46F" w14:textId="78E36FFF" w:rsidR="00F05F4E" w:rsidRPr="008A6B7D" w:rsidRDefault="00F05F4E" w:rsidP="00F05F4E">
      <w:pPr>
        <w:spacing w:line="360" w:lineRule="auto"/>
        <w:ind w:firstLine="709"/>
        <w:jc w:val="both"/>
        <w:rPr>
          <w:sz w:val="28"/>
          <w:szCs w:val="28"/>
          <w:lang w:val="uk-UA"/>
        </w:rPr>
      </w:pPr>
      <w:r w:rsidRPr="008A6B7D">
        <w:rPr>
          <w:sz w:val="28"/>
          <w:szCs w:val="28"/>
          <w:lang w:val="uk-UA"/>
        </w:rPr>
        <w:t>Для дослідження було відібрано 11 комплексних сполук тетрахлоро-</w:t>
      </w:r>
      <w:r w:rsidR="00821BED">
        <w:rPr>
          <w:sz w:val="28"/>
          <w:szCs w:val="28"/>
          <w:lang w:val="uk-UA"/>
        </w:rPr>
        <w:br/>
      </w:r>
      <w:r w:rsidRPr="008A6B7D">
        <w:rPr>
          <w:sz w:val="28"/>
          <w:szCs w:val="28"/>
          <w:lang w:val="uk-UA"/>
        </w:rPr>
        <w:t>(</w:t>
      </w:r>
      <w:r w:rsidRPr="008A6B7D">
        <w:rPr>
          <w:sz w:val="28"/>
          <w:szCs w:val="28"/>
        </w:rPr>
        <w:t>N</w:t>
      </w:r>
      <w:r w:rsidRPr="008A6B7D">
        <w:rPr>
          <w:sz w:val="28"/>
          <w:szCs w:val="28"/>
          <w:lang w:val="uk-UA"/>
        </w:rPr>
        <w:t>-4-</w:t>
      </w:r>
      <w:r w:rsidRPr="008A6B7D">
        <w:rPr>
          <w:sz w:val="28"/>
          <w:szCs w:val="28"/>
        </w:rPr>
        <w:t>R</w:t>
      </w:r>
      <w:r w:rsidRPr="008A6B7D">
        <w:rPr>
          <w:sz w:val="28"/>
          <w:szCs w:val="28"/>
          <w:lang w:val="uk-UA"/>
        </w:rPr>
        <w:t xml:space="preserve">-бензиліденасаліцилоїл-гідразинато- </w:t>
      </w:r>
      <w:r w:rsidRPr="008A6B7D">
        <w:rPr>
          <w:sz w:val="28"/>
          <w:szCs w:val="28"/>
        </w:rPr>
        <w:t>R</w:t>
      </w:r>
      <w:r w:rsidRPr="008A6B7D">
        <w:rPr>
          <w:sz w:val="28"/>
          <w:szCs w:val="28"/>
          <w:lang w:val="uk-UA"/>
        </w:rPr>
        <w:t>) станнуму (</w:t>
      </w:r>
      <w:r w:rsidRPr="008A6B7D">
        <w:rPr>
          <w:sz w:val="28"/>
          <w:szCs w:val="28"/>
        </w:rPr>
        <w:t>IV</w:t>
      </w:r>
      <w:r w:rsidRPr="008A6B7D">
        <w:rPr>
          <w:sz w:val="28"/>
          <w:szCs w:val="28"/>
          <w:lang w:val="uk-UA"/>
        </w:rPr>
        <w:t xml:space="preserve">), синтезованих на кафедрі </w:t>
      </w:r>
      <w:r w:rsidR="00461A45" w:rsidRPr="008A6B7D">
        <w:rPr>
          <w:sz w:val="28"/>
          <w:szCs w:val="28"/>
          <w:lang w:val="uk-UA"/>
        </w:rPr>
        <w:t>прикладної</w:t>
      </w:r>
      <w:r w:rsidRPr="008A6B7D">
        <w:rPr>
          <w:sz w:val="28"/>
          <w:szCs w:val="28"/>
          <w:lang w:val="uk-UA"/>
        </w:rPr>
        <w:t xml:space="preserve"> хімії та</w:t>
      </w:r>
      <w:r w:rsidR="00461A45" w:rsidRPr="008A6B7D">
        <w:rPr>
          <w:sz w:val="28"/>
          <w:szCs w:val="28"/>
          <w:lang w:val="uk-UA"/>
        </w:rPr>
        <w:t xml:space="preserve"> хімічної освіти</w:t>
      </w:r>
      <w:r w:rsidRPr="008A6B7D">
        <w:rPr>
          <w:sz w:val="28"/>
          <w:szCs w:val="28"/>
          <w:lang w:val="uk-UA"/>
        </w:rPr>
        <w:t xml:space="preserve"> ОНУ ім. І.І. Мечнікова (завідувачка – д.хім.н., професор Сейфулліна І.Й.). Всі дослідження виконані на достатній кількості експериментальних тварин. </w:t>
      </w:r>
    </w:p>
    <w:p w14:paraId="72C81B06" w14:textId="77777777" w:rsidR="00F05F4E" w:rsidRPr="008A6B7D" w:rsidRDefault="00F05F4E" w:rsidP="00F05F4E">
      <w:pPr>
        <w:spacing w:line="360" w:lineRule="auto"/>
        <w:ind w:firstLine="709"/>
        <w:jc w:val="both"/>
        <w:rPr>
          <w:b/>
          <w:sz w:val="28"/>
          <w:szCs w:val="28"/>
          <w:lang w:val="uk-UA"/>
        </w:rPr>
      </w:pPr>
      <w:r w:rsidRPr="008A6B7D">
        <w:rPr>
          <w:b/>
          <w:sz w:val="28"/>
          <w:szCs w:val="28"/>
          <w:lang w:val="uk-UA"/>
        </w:rPr>
        <w:t>2.1.</w:t>
      </w:r>
      <w:r w:rsidRPr="008A6B7D">
        <w:rPr>
          <w:sz w:val="28"/>
          <w:szCs w:val="28"/>
          <w:lang w:val="uk-UA"/>
        </w:rPr>
        <w:t xml:space="preserve"> </w:t>
      </w:r>
      <w:r w:rsidRPr="008A6B7D">
        <w:rPr>
          <w:b/>
          <w:sz w:val="28"/>
          <w:szCs w:val="28"/>
          <w:lang w:val="uk-UA"/>
        </w:rPr>
        <w:t>Дизайн дослідження</w:t>
      </w:r>
    </w:p>
    <w:p w14:paraId="01C1BA2E" w14:textId="21913D43" w:rsidR="00F05F4E" w:rsidRPr="008A6B7D" w:rsidRDefault="00F05F4E" w:rsidP="00F05F4E">
      <w:pPr>
        <w:widowControl w:val="0"/>
        <w:spacing w:line="360" w:lineRule="auto"/>
        <w:ind w:firstLine="709"/>
        <w:jc w:val="both"/>
        <w:rPr>
          <w:sz w:val="28"/>
          <w:szCs w:val="28"/>
          <w:lang w:val="uk-UA" w:eastAsia="uk-UA"/>
        </w:rPr>
      </w:pPr>
      <w:r w:rsidRPr="008A6B7D">
        <w:rPr>
          <w:sz w:val="28"/>
          <w:szCs w:val="28"/>
          <w:lang w:val="uk-UA" w:eastAsia="uk-UA"/>
        </w:rPr>
        <w:t xml:space="preserve"> </w:t>
      </w:r>
      <w:r w:rsidR="00821BED">
        <w:rPr>
          <w:noProof/>
          <w:sz w:val="28"/>
          <w:szCs w:val="28"/>
          <w:lang w:val="uk-UA" w:eastAsia="uk-UA"/>
        </w:rPr>
        <w:drawing>
          <wp:inline distT="0" distB="0" distL="0" distR="0" wp14:anchorId="5BE7FDBE" wp14:editId="6AB3E008">
            <wp:extent cx="3822700" cy="4610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нимок экрана 2021-04-20 в 2.58.49 PM.png"/>
                    <pic:cNvPicPr/>
                  </pic:nvPicPr>
                  <pic:blipFill>
                    <a:blip r:embed="rId8">
                      <a:extLst>
                        <a:ext uri="{28A0092B-C50C-407E-A947-70E740481C1C}">
                          <a14:useLocalDpi xmlns:a14="http://schemas.microsoft.com/office/drawing/2010/main" val="0"/>
                        </a:ext>
                      </a:extLst>
                    </a:blip>
                    <a:stretch>
                      <a:fillRect/>
                    </a:stretch>
                  </pic:blipFill>
                  <pic:spPr>
                    <a:xfrm>
                      <a:off x="0" y="0"/>
                      <a:ext cx="3828287" cy="4616838"/>
                    </a:xfrm>
                    <a:prstGeom prst="rect">
                      <a:avLst/>
                    </a:prstGeom>
                  </pic:spPr>
                </pic:pic>
              </a:graphicData>
            </a:graphic>
          </wp:inline>
        </w:drawing>
      </w:r>
    </w:p>
    <w:p w14:paraId="00103A13" w14:textId="77777777" w:rsidR="00F05F4E" w:rsidRPr="008A6B7D" w:rsidRDefault="00F05F4E" w:rsidP="00F05F4E">
      <w:pPr>
        <w:widowControl w:val="0"/>
        <w:spacing w:line="360" w:lineRule="auto"/>
        <w:ind w:firstLine="709"/>
        <w:jc w:val="both"/>
        <w:rPr>
          <w:sz w:val="28"/>
          <w:szCs w:val="28"/>
          <w:lang w:val="uk-UA" w:eastAsia="uk-UA"/>
        </w:rPr>
      </w:pPr>
      <w:r w:rsidRPr="008A6B7D">
        <w:rPr>
          <w:sz w:val="28"/>
          <w:szCs w:val="28"/>
          <w:lang w:val="uk-UA" w:eastAsia="uk-UA"/>
        </w:rPr>
        <w:t>Рис. 2.1. Дизайн дослідження.</w:t>
      </w:r>
    </w:p>
    <w:p w14:paraId="059DD442" w14:textId="60C56D83" w:rsidR="001759D5" w:rsidRPr="00AC396C" w:rsidRDefault="00310514" w:rsidP="00AC396C">
      <w:pPr>
        <w:spacing w:line="360" w:lineRule="auto"/>
        <w:ind w:firstLine="630"/>
        <w:jc w:val="both"/>
        <w:rPr>
          <w:b/>
          <w:sz w:val="28"/>
          <w:szCs w:val="28"/>
          <w:lang w:val="uk-UA"/>
        </w:rPr>
      </w:pPr>
      <w:r w:rsidRPr="008A6B7D">
        <w:rPr>
          <w:b/>
          <w:sz w:val="28"/>
          <w:szCs w:val="28"/>
          <w:lang w:val="uk-UA"/>
        </w:rPr>
        <w:lastRenderedPageBreak/>
        <w:t>2.2. Матеріали та реактиви</w:t>
      </w:r>
    </w:p>
    <w:p w14:paraId="2144629E" w14:textId="77777777" w:rsidR="001759D5" w:rsidRPr="008A6B7D" w:rsidRDefault="001759D5" w:rsidP="001759D5">
      <w:pPr>
        <w:pStyle w:val="a6"/>
        <w:spacing w:before="0" w:beforeAutospacing="0" w:after="0" w:afterAutospacing="0" w:line="360" w:lineRule="auto"/>
        <w:ind w:firstLine="562"/>
        <w:jc w:val="both"/>
        <w:rPr>
          <w:b/>
          <w:sz w:val="28"/>
          <w:szCs w:val="28"/>
        </w:rPr>
      </w:pPr>
      <w:r w:rsidRPr="008A6B7D">
        <w:rPr>
          <w:b/>
          <w:sz w:val="28"/>
          <w:szCs w:val="28"/>
        </w:rPr>
        <w:t>Експериментальні тварини</w:t>
      </w:r>
    </w:p>
    <w:p w14:paraId="57881998" w14:textId="4EC11813" w:rsidR="001759D5" w:rsidRPr="008A6B7D" w:rsidRDefault="001759D5" w:rsidP="001759D5">
      <w:pPr>
        <w:pStyle w:val="a6"/>
        <w:spacing w:before="0" w:beforeAutospacing="0" w:after="0" w:afterAutospacing="0" w:line="360" w:lineRule="auto"/>
        <w:ind w:firstLine="562"/>
        <w:jc w:val="both"/>
        <w:rPr>
          <w:sz w:val="28"/>
          <w:szCs w:val="28"/>
          <w:lang w:val="uk-UA"/>
        </w:rPr>
      </w:pPr>
      <w:r w:rsidRPr="008A6B7D">
        <w:rPr>
          <w:i/>
          <w:sz w:val="28"/>
          <w:szCs w:val="28"/>
        </w:rPr>
        <w:t xml:space="preserve"> </w:t>
      </w:r>
      <w:r w:rsidRPr="008A6B7D">
        <w:rPr>
          <w:sz w:val="28"/>
          <w:szCs w:val="28"/>
          <w:lang w:val="uk-UA"/>
        </w:rPr>
        <w:t xml:space="preserve">Експерименти проводились на статевозрілих білих мишах (вага 18-22 г) і щурах (вага 180-220 г) лінії Wistar обох полів </w:t>
      </w:r>
      <w:r w:rsidR="00AC396C">
        <w:rPr>
          <w:sz w:val="28"/>
          <w:szCs w:val="28"/>
          <w:lang w:val="uk-UA"/>
        </w:rPr>
        <w:t>(</w:t>
      </w:r>
      <w:r w:rsidR="00AC396C" w:rsidRPr="00DF7A40">
        <w:rPr>
          <w:sz w:val="28"/>
          <w:szCs w:val="28"/>
          <w:lang w:val="uk-UA"/>
        </w:rPr>
        <w:t>686 мишей та 150 щурів</w:t>
      </w:r>
      <w:r w:rsidR="00AC396C">
        <w:rPr>
          <w:sz w:val="28"/>
          <w:szCs w:val="28"/>
          <w:lang w:val="uk-UA"/>
        </w:rPr>
        <w:t>).</w:t>
      </w:r>
      <w:r w:rsidR="00AC396C" w:rsidRPr="008A6B7D">
        <w:rPr>
          <w:sz w:val="28"/>
          <w:szCs w:val="28"/>
          <w:lang w:val="uk-UA"/>
        </w:rPr>
        <w:t xml:space="preserve"> </w:t>
      </w:r>
      <w:r w:rsidRPr="008A6B7D">
        <w:rPr>
          <w:sz w:val="28"/>
          <w:szCs w:val="28"/>
          <w:lang w:val="uk-UA"/>
        </w:rPr>
        <w:t xml:space="preserve">Піддослідних тварин було отримано із віварію Одеського національного медичного університету, кожну групу утримували в окремій клітці в умовах вільного доступу до їжі і води при 12 годинному світловому режимі </w:t>
      </w:r>
      <w:r w:rsidRPr="008A6B7D">
        <w:rPr>
          <w:color w:val="000000"/>
          <w:sz w:val="28"/>
          <w:szCs w:val="28"/>
          <w:lang w:val="uk-UA"/>
        </w:rPr>
        <w:t xml:space="preserve">при температурі від 18 до 25 </w:t>
      </w:r>
      <w:r w:rsidRPr="008A6B7D">
        <w:rPr>
          <w:color w:val="000000"/>
          <w:sz w:val="28"/>
          <w:szCs w:val="28"/>
          <w:vertAlign w:val="superscript"/>
          <w:lang w:val="uk-UA"/>
        </w:rPr>
        <w:t>о</w:t>
      </w:r>
      <w:r w:rsidRPr="008A6B7D">
        <w:rPr>
          <w:color w:val="000000"/>
          <w:sz w:val="28"/>
          <w:szCs w:val="28"/>
          <w:lang w:val="uk-UA"/>
        </w:rPr>
        <w:t>С</w:t>
      </w:r>
      <w:r w:rsidRPr="008A6B7D">
        <w:rPr>
          <w:sz w:val="28"/>
          <w:szCs w:val="28"/>
          <w:lang w:val="uk-UA"/>
        </w:rPr>
        <w:t>.</w:t>
      </w:r>
    </w:p>
    <w:p w14:paraId="0E0F263C" w14:textId="11A680FB" w:rsidR="00310514" w:rsidRPr="001759D5" w:rsidRDefault="001759D5" w:rsidP="001759D5">
      <w:pPr>
        <w:pStyle w:val="a6"/>
        <w:spacing w:before="0" w:beforeAutospacing="0" w:after="0" w:afterAutospacing="0" w:line="360" w:lineRule="auto"/>
        <w:ind w:firstLine="562"/>
        <w:jc w:val="both"/>
        <w:rPr>
          <w:color w:val="211E1E"/>
          <w:sz w:val="28"/>
          <w:szCs w:val="28"/>
          <w:lang w:val="uk-UA"/>
        </w:rPr>
      </w:pPr>
      <w:r w:rsidRPr="008A6B7D">
        <w:rPr>
          <w:color w:val="211E1E"/>
          <w:sz w:val="28"/>
          <w:szCs w:val="28"/>
          <w:lang w:val="uk-UA"/>
        </w:rPr>
        <w:t xml:space="preserve">Експериментальні дослідження проводили відповідно до правил </w:t>
      </w:r>
      <w:r w:rsidRPr="008A6B7D">
        <w:rPr>
          <w:color w:val="211E1E"/>
          <w:sz w:val="28"/>
          <w:szCs w:val="28"/>
          <w:lang w:val="en-US"/>
        </w:rPr>
        <w:t>ICH</w:t>
      </w:r>
      <w:r w:rsidRPr="008A6B7D">
        <w:rPr>
          <w:color w:val="211E1E"/>
          <w:sz w:val="28"/>
          <w:szCs w:val="28"/>
          <w:lang w:val="uk-UA"/>
        </w:rPr>
        <w:t>/</w:t>
      </w:r>
      <w:r w:rsidRPr="008A6B7D">
        <w:rPr>
          <w:color w:val="211E1E"/>
          <w:sz w:val="28"/>
          <w:szCs w:val="28"/>
          <w:lang w:val="en-US"/>
        </w:rPr>
        <w:t>GLP</w:t>
      </w:r>
      <w:r w:rsidRPr="008A6B7D">
        <w:rPr>
          <w:color w:val="211E1E"/>
          <w:sz w:val="28"/>
          <w:szCs w:val="28"/>
          <w:lang w:val="uk-UA"/>
        </w:rPr>
        <w:t xml:space="preserve">, у відповідності до законодавства України: Закон України </w:t>
      </w:r>
      <w:r w:rsidR="00821BED">
        <w:rPr>
          <w:color w:val="211E1E"/>
          <w:sz w:val="28"/>
          <w:szCs w:val="28"/>
          <w:lang w:val="uk-UA"/>
        </w:rPr>
        <w:br/>
      </w:r>
      <w:r w:rsidRPr="008A6B7D">
        <w:rPr>
          <w:color w:val="211E1E"/>
          <w:sz w:val="28"/>
          <w:szCs w:val="28"/>
          <w:lang w:val="uk-UA"/>
        </w:rPr>
        <w:t>№ 3447-</w:t>
      </w:r>
      <w:r w:rsidRPr="008A6B7D">
        <w:rPr>
          <w:color w:val="211E1E"/>
          <w:sz w:val="28"/>
          <w:szCs w:val="28"/>
          <w:lang w:val="en-US"/>
        </w:rPr>
        <w:t>VI</w:t>
      </w:r>
      <w:r w:rsidRPr="008A6B7D">
        <w:rPr>
          <w:color w:val="211E1E"/>
          <w:sz w:val="28"/>
          <w:szCs w:val="28"/>
          <w:lang w:val="uk-UA"/>
        </w:rPr>
        <w:t xml:space="preserve"> «Про захист тварин від жорстокого поводження»</w:t>
      </w:r>
      <w:r w:rsidRPr="008A6B7D">
        <w:rPr>
          <w:sz w:val="28"/>
          <w:szCs w:val="28"/>
          <w:lang w:val="uk-UA"/>
        </w:rPr>
        <w:t xml:space="preserve"> (протокол №1 від 15.10.2013 р.)</w:t>
      </w:r>
      <w:r w:rsidRPr="008A6B7D">
        <w:rPr>
          <w:color w:val="211E1E"/>
          <w:sz w:val="28"/>
          <w:szCs w:val="28"/>
          <w:lang w:val="uk-UA"/>
        </w:rPr>
        <w:t>, правилами узгоджених із положенням «Європейської конвенції з захисту хребетних тварин, що використовуються в експериментальних та інших дослідних цілях» Страсбург, Франція, 1986) [146] стосовно проведення експериментальних та клінічних досліджень.</w:t>
      </w:r>
    </w:p>
    <w:p w14:paraId="0990A9B3" w14:textId="335CE6CD" w:rsidR="00F05F4E" w:rsidRPr="008A6B7D" w:rsidRDefault="00F05F4E" w:rsidP="00F05F4E">
      <w:pPr>
        <w:spacing w:line="360" w:lineRule="auto"/>
        <w:jc w:val="both"/>
        <w:rPr>
          <w:sz w:val="28"/>
          <w:szCs w:val="28"/>
          <w:lang w:val="uk-UA"/>
        </w:rPr>
      </w:pPr>
      <w:r w:rsidRPr="008A6B7D">
        <w:rPr>
          <w:sz w:val="28"/>
          <w:szCs w:val="28"/>
          <w:lang w:val="uk-UA"/>
        </w:rPr>
        <w:t>Для проведення експериментальних досліджень було використано наступні допоміжні сполуки (табл. 2.1).</w:t>
      </w:r>
    </w:p>
    <w:p w14:paraId="0DCAE462" w14:textId="77777777" w:rsidR="00F05F4E" w:rsidRPr="008A6B7D" w:rsidRDefault="00F05F4E" w:rsidP="00F05F4E">
      <w:pPr>
        <w:spacing w:line="360" w:lineRule="auto"/>
        <w:jc w:val="right"/>
        <w:rPr>
          <w:i/>
          <w:sz w:val="28"/>
          <w:szCs w:val="28"/>
          <w:lang w:val="uk-UA"/>
        </w:rPr>
      </w:pPr>
      <w:r w:rsidRPr="008A6B7D">
        <w:rPr>
          <w:i/>
          <w:sz w:val="28"/>
          <w:szCs w:val="28"/>
          <w:lang w:val="uk-UA"/>
        </w:rPr>
        <w:t xml:space="preserve">Таблиця 2.1 </w:t>
      </w:r>
    </w:p>
    <w:p w14:paraId="3BA83A7D" w14:textId="3BA9EE77" w:rsidR="00F05F4E" w:rsidRPr="008A6B7D" w:rsidRDefault="00461A45" w:rsidP="00F05F4E">
      <w:pPr>
        <w:spacing w:line="360" w:lineRule="auto"/>
        <w:jc w:val="center"/>
        <w:rPr>
          <w:i/>
          <w:iCs/>
          <w:sz w:val="28"/>
          <w:szCs w:val="28"/>
          <w:lang w:val="uk-UA"/>
        </w:rPr>
      </w:pPr>
      <w:r w:rsidRPr="008A6B7D">
        <w:rPr>
          <w:b/>
          <w:sz w:val="28"/>
          <w:szCs w:val="28"/>
          <w:lang w:val="uk-UA"/>
        </w:rPr>
        <w:t>Аналізатори та реактиви</w:t>
      </w:r>
      <w:r w:rsidR="00F05F4E" w:rsidRPr="008A6B7D">
        <w:rPr>
          <w:b/>
          <w:sz w:val="28"/>
          <w:szCs w:val="28"/>
          <w:lang w:val="uk-UA"/>
        </w:rPr>
        <w:t>, які були використані в дослідженнях</w:t>
      </w:r>
      <w:r w:rsidR="00F05F4E" w:rsidRPr="008A6B7D">
        <w:rPr>
          <w:b/>
          <w:i/>
          <w:iCs/>
          <w:sz w:val="28"/>
          <w:szCs w:val="28"/>
          <w:lang w:val="uk-UA"/>
        </w:rPr>
        <w:t xml:space="preserve"> </w:t>
      </w:r>
      <w:r w:rsidR="00F05F4E" w:rsidRPr="008A6B7D">
        <w:rPr>
          <w:b/>
          <w:i/>
          <w:sz w:val="28"/>
          <w:szCs w:val="28"/>
          <w:lang w:val="uk-UA"/>
        </w:rPr>
        <w:t>in vivo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2"/>
        <w:gridCol w:w="4087"/>
      </w:tblGrid>
      <w:tr w:rsidR="00F05F4E" w:rsidRPr="003D4179" w14:paraId="1708C049" w14:textId="77777777" w:rsidTr="00AF759D">
        <w:trPr>
          <w:trHeight w:val="458"/>
        </w:trPr>
        <w:tc>
          <w:tcPr>
            <w:tcW w:w="5252" w:type="dxa"/>
            <w:shd w:val="clear" w:color="auto" w:fill="auto"/>
          </w:tcPr>
          <w:p w14:paraId="3FD8960E" w14:textId="77777777" w:rsidR="00F05F4E" w:rsidRPr="008A6B7D" w:rsidRDefault="00F05F4E" w:rsidP="00AF759D">
            <w:pPr>
              <w:spacing w:line="360" w:lineRule="auto"/>
              <w:jc w:val="both"/>
              <w:rPr>
                <w:sz w:val="28"/>
                <w:szCs w:val="28"/>
                <w:lang w:val="uk-UA"/>
              </w:rPr>
            </w:pPr>
            <w:r w:rsidRPr="008A6B7D">
              <w:rPr>
                <w:sz w:val="28"/>
                <w:szCs w:val="28"/>
                <w:lang w:val="en-US"/>
              </w:rPr>
              <w:t>Tween</w:t>
            </w:r>
            <w:r w:rsidRPr="008A6B7D">
              <w:rPr>
                <w:sz w:val="28"/>
                <w:szCs w:val="28"/>
                <w:lang w:val="uk-UA"/>
              </w:rPr>
              <w:t xml:space="preserve">-80 </w:t>
            </w:r>
          </w:p>
        </w:tc>
        <w:tc>
          <w:tcPr>
            <w:tcW w:w="4087" w:type="dxa"/>
            <w:shd w:val="clear" w:color="auto" w:fill="auto"/>
          </w:tcPr>
          <w:p w14:paraId="73016190" w14:textId="77777777" w:rsidR="00F05F4E" w:rsidRPr="008A6B7D" w:rsidRDefault="00F05F4E" w:rsidP="00AF759D">
            <w:pPr>
              <w:spacing w:line="360" w:lineRule="auto"/>
              <w:jc w:val="both"/>
              <w:rPr>
                <w:color w:val="000000"/>
                <w:sz w:val="28"/>
                <w:szCs w:val="28"/>
                <w:lang w:val="uk-UA"/>
              </w:rPr>
            </w:pPr>
            <w:r w:rsidRPr="008A6B7D">
              <w:rPr>
                <w:color w:val="000000"/>
                <w:sz w:val="28"/>
                <w:szCs w:val="28"/>
                <w:lang w:val="uk-UA"/>
              </w:rPr>
              <w:t xml:space="preserve">ч.д.а, </w:t>
            </w:r>
            <w:r w:rsidRPr="008A6B7D">
              <w:rPr>
                <w:color w:val="000000"/>
                <w:sz w:val="28"/>
                <w:szCs w:val="28"/>
                <w:lang w:val="en-US"/>
              </w:rPr>
              <w:t>Mer</w:t>
            </w:r>
            <w:r w:rsidRPr="008A6B7D">
              <w:rPr>
                <w:color w:val="000000"/>
                <w:sz w:val="28"/>
                <w:szCs w:val="28"/>
                <w:lang w:val="uk-UA"/>
              </w:rPr>
              <w:t>с</w:t>
            </w:r>
            <w:r w:rsidRPr="008A6B7D">
              <w:rPr>
                <w:color w:val="000000"/>
                <w:sz w:val="28"/>
                <w:szCs w:val="28"/>
                <w:lang w:val="en-US"/>
              </w:rPr>
              <w:t>k</w:t>
            </w:r>
            <w:r w:rsidRPr="008A6B7D">
              <w:rPr>
                <w:color w:val="000000"/>
                <w:sz w:val="28"/>
                <w:szCs w:val="28"/>
                <w:lang w:val="uk-UA"/>
              </w:rPr>
              <w:t>, Німеччина</w:t>
            </w:r>
          </w:p>
        </w:tc>
      </w:tr>
      <w:tr w:rsidR="00F05F4E" w:rsidRPr="008A6B7D" w14:paraId="048ACE70" w14:textId="77777777" w:rsidTr="00AF759D">
        <w:trPr>
          <w:trHeight w:val="332"/>
        </w:trPr>
        <w:tc>
          <w:tcPr>
            <w:tcW w:w="5252" w:type="dxa"/>
            <w:shd w:val="clear" w:color="auto" w:fill="auto"/>
          </w:tcPr>
          <w:p w14:paraId="45C56472" w14:textId="77777777" w:rsidR="00F05F4E" w:rsidRPr="008A6B7D" w:rsidRDefault="00F05F4E" w:rsidP="00AF759D">
            <w:pPr>
              <w:spacing w:line="360" w:lineRule="auto"/>
              <w:jc w:val="both"/>
              <w:rPr>
                <w:sz w:val="28"/>
                <w:szCs w:val="28"/>
                <w:lang w:val="en-US"/>
              </w:rPr>
            </w:pPr>
            <w:r w:rsidRPr="008A6B7D">
              <w:rPr>
                <w:sz w:val="28"/>
                <w:szCs w:val="28"/>
                <w:lang w:val="uk-UA"/>
              </w:rPr>
              <w:t>Аллілізотіоціанат</w:t>
            </w:r>
          </w:p>
        </w:tc>
        <w:tc>
          <w:tcPr>
            <w:tcW w:w="4087" w:type="dxa"/>
            <w:shd w:val="clear" w:color="auto" w:fill="auto"/>
          </w:tcPr>
          <w:p w14:paraId="40AB3E88" w14:textId="77777777" w:rsidR="00F05F4E" w:rsidRPr="008A6B7D" w:rsidRDefault="00F05F4E" w:rsidP="00AF759D">
            <w:pPr>
              <w:spacing w:line="360" w:lineRule="auto"/>
              <w:jc w:val="both"/>
              <w:rPr>
                <w:sz w:val="28"/>
                <w:szCs w:val="28"/>
                <w:lang w:val="uk-UA"/>
              </w:rPr>
            </w:pPr>
            <w:r w:rsidRPr="008A6B7D">
              <w:rPr>
                <w:sz w:val="28"/>
                <w:szCs w:val="28"/>
                <w:lang w:val="uk-UA"/>
              </w:rPr>
              <w:t xml:space="preserve">97%, </w:t>
            </w:r>
            <w:r w:rsidRPr="008A6B7D">
              <w:rPr>
                <w:sz w:val="28"/>
                <w:szCs w:val="28"/>
                <w:lang w:val="en-US"/>
              </w:rPr>
              <w:t>Sigma</w:t>
            </w:r>
            <w:r w:rsidRPr="008A6B7D">
              <w:rPr>
                <w:sz w:val="28"/>
                <w:szCs w:val="28"/>
                <w:lang w:val="uk-UA"/>
              </w:rPr>
              <w:t>, Німеччина</w:t>
            </w:r>
            <w:r w:rsidRPr="008A6B7D">
              <w:rPr>
                <w:color w:val="000000"/>
                <w:sz w:val="28"/>
                <w:szCs w:val="28"/>
                <w:lang w:val="uk-UA"/>
              </w:rPr>
              <w:t xml:space="preserve"> </w:t>
            </w:r>
          </w:p>
        </w:tc>
      </w:tr>
      <w:tr w:rsidR="00F05F4E" w:rsidRPr="008A6B7D" w14:paraId="53405D84" w14:textId="77777777" w:rsidTr="00AF759D">
        <w:trPr>
          <w:trHeight w:val="215"/>
        </w:trPr>
        <w:tc>
          <w:tcPr>
            <w:tcW w:w="5252" w:type="dxa"/>
            <w:shd w:val="clear" w:color="auto" w:fill="auto"/>
          </w:tcPr>
          <w:p w14:paraId="5C1E48CC" w14:textId="77777777" w:rsidR="00F05F4E" w:rsidRPr="008A6B7D" w:rsidRDefault="00F05F4E" w:rsidP="00AF759D">
            <w:pPr>
              <w:spacing w:line="360" w:lineRule="auto"/>
              <w:jc w:val="both"/>
              <w:rPr>
                <w:sz w:val="28"/>
                <w:szCs w:val="28"/>
                <w:lang w:val="uk-UA"/>
              </w:rPr>
            </w:pPr>
            <w:r w:rsidRPr="008A6B7D">
              <w:rPr>
                <w:sz w:val="28"/>
                <w:szCs w:val="28"/>
                <w:lang w:val="uk-UA"/>
              </w:rPr>
              <w:t>Капсаїцин</w:t>
            </w:r>
          </w:p>
        </w:tc>
        <w:tc>
          <w:tcPr>
            <w:tcW w:w="4087" w:type="dxa"/>
            <w:shd w:val="clear" w:color="auto" w:fill="auto"/>
          </w:tcPr>
          <w:p w14:paraId="10DB9719" w14:textId="77777777" w:rsidR="00F05F4E" w:rsidRPr="008A6B7D" w:rsidRDefault="00F05F4E" w:rsidP="00AF759D">
            <w:pPr>
              <w:spacing w:line="360" w:lineRule="auto"/>
              <w:rPr>
                <w:sz w:val="28"/>
                <w:szCs w:val="28"/>
                <w:lang w:val="uk-UA"/>
              </w:rPr>
            </w:pPr>
            <w:r w:rsidRPr="008A6B7D">
              <w:rPr>
                <w:color w:val="000000"/>
                <w:sz w:val="28"/>
                <w:szCs w:val="28"/>
                <w:lang w:val="en-US"/>
              </w:rPr>
              <w:t>Wako</w:t>
            </w:r>
            <w:r w:rsidRPr="008A6B7D">
              <w:rPr>
                <w:color w:val="000000"/>
                <w:sz w:val="28"/>
                <w:szCs w:val="28"/>
                <w:lang w:val="uk-UA"/>
              </w:rPr>
              <w:t xml:space="preserve"> </w:t>
            </w:r>
            <w:r w:rsidRPr="008A6B7D">
              <w:rPr>
                <w:color w:val="000000"/>
                <w:sz w:val="28"/>
                <w:szCs w:val="28"/>
                <w:shd w:val="clear" w:color="auto" w:fill="FFFFFF"/>
                <w:lang w:val="en-US"/>
              </w:rPr>
              <w:t>Chemicals</w:t>
            </w:r>
            <w:r w:rsidRPr="008A6B7D">
              <w:rPr>
                <w:sz w:val="28"/>
                <w:szCs w:val="28"/>
                <w:lang w:val="uk-UA"/>
              </w:rPr>
              <w:t>, Японіяї</w:t>
            </w:r>
          </w:p>
        </w:tc>
      </w:tr>
      <w:tr w:rsidR="00F05F4E" w:rsidRPr="003D4179" w14:paraId="12623296" w14:textId="77777777" w:rsidTr="00AF759D">
        <w:trPr>
          <w:trHeight w:val="512"/>
        </w:trPr>
        <w:tc>
          <w:tcPr>
            <w:tcW w:w="5252" w:type="dxa"/>
            <w:shd w:val="clear" w:color="auto" w:fill="auto"/>
          </w:tcPr>
          <w:p w14:paraId="67507D13" w14:textId="77777777" w:rsidR="00F05F4E" w:rsidRPr="008A6B7D" w:rsidRDefault="00F05F4E" w:rsidP="00AF759D">
            <w:pPr>
              <w:spacing w:line="360" w:lineRule="auto"/>
              <w:jc w:val="both"/>
              <w:rPr>
                <w:sz w:val="28"/>
                <w:szCs w:val="28"/>
                <w:lang w:val="uk-UA"/>
              </w:rPr>
            </w:pPr>
            <w:r w:rsidRPr="008A6B7D">
              <w:rPr>
                <w:sz w:val="28"/>
                <w:szCs w:val="28"/>
                <w:lang w:val="uk-UA"/>
              </w:rPr>
              <w:t>Трипсин</w:t>
            </w:r>
          </w:p>
        </w:tc>
        <w:tc>
          <w:tcPr>
            <w:tcW w:w="4087" w:type="dxa"/>
            <w:shd w:val="clear" w:color="auto" w:fill="auto"/>
          </w:tcPr>
          <w:p w14:paraId="15DB1FDE" w14:textId="77777777" w:rsidR="00F05F4E" w:rsidRPr="008A6B7D" w:rsidRDefault="00F05F4E" w:rsidP="00AF759D">
            <w:pPr>
              <w:spacing w:line="360" w:lineRule="auto"/>
              <w:rPr>
                <w:sz w:val="28"/>
                <w:szCs w:val="28"/>
                <w:lang w:val="uk-UA"/>
              </w:rPr>
            </w:pPr>
            <w:r w:rsidRPr="008A6B7D">
              <w:rPr>
                <w:color w:val="000000"/>
                <w:sz w:val="28"/>
                <w:szCs w:val="28"/>
                <w:lang w:val="uk-UA"/>
              </w:rPr>
              <w:t xml:space="preserve">ч.д.а, </w:t>
            </w:r>
            <w:r w:rsidRPr="008A6B7D">
              <w:rPr>
                <w:color w:val="000000"/>
                <w:sz w:val="28"/>
                <w:szCs w:val="28"/>
                <w:lang w:val="en-US"/>
              </w:rPr>
              <w:t>Mer</w:t>
            </w:r>
            <w:r w:rsidRPr="008A6B7D">
              <w:rPr>
                <w:color w:val="000000"/>
                <w:sz w:val="28"/>
                <w:szCs w:val="28"/>
                <w:lang w:val="uk-UA"/>
              </w:rPr>
              <w:t>с</w:t>
            </w:r>
            <w:r w:rsidRPr="008A6B7D">
              <w:rPr>
                <w:color w:val="000000"/>
                <w:sz w:val="28"/>
                <w:szCs w:val="28"/>
                <w:lang w:val="en-US"/>
              </w:rPr>
              <w:t>k</w:t>
            </w:r>
            <w:r w:rsidRPr="008A6B7D">
              <w:rPr>
                <w:color w:val="000000"/>
                <w:sz w:val="28"/>
                <w:szCs w:val="28"/>
                <w:lang w:val="uk-UA"/>
              </w:rPr>
              <w:t>, Німеччина</w:t>
            </w:r>
          </w:p>
        </w:tc>
      </w:tr>
      <w:tr w:rsidR="00F05F4E" w:rsidRPr="008A6B7D" w14:paraId="33ADAC1C" w14:textId="77777777" w:rsidTr="00AF759D">
        <w:tc>
          <w:tcPr>
            <w:tcW w:w="5252" w:type="dxa"/>
            <w:shd w:val="clear" w:color="auto" w:fill="auto"/>
          </w:tcPr>
          <w:p w14:paraId="5C3B5B0A" w14:textId="77777777" w:rsidR="00F05F4E" w:rsidRPr="008A6B7D" w:rsidRDefault="00F05F4E" w:rsidP="00AF759D">
            <w:pPr>
              <w:spacing w:line="360" w:lineRule="auto"/>
              <w:jc w:val="both"/>
              <w:rPr>
                <w:sz w:val="28"/>
                <w:szCs w:val="28"/>
                <w:lang w:val="uk-UA"/>
              </w:rPr>
            </w:pPr>
            <w:r w:rsidRPr="008A6B7D">
              <w:rPr>
                <w:sz w:val="28"/>
                <w:szCs w:val="28"/>
                <w:lang w:val="uk-UA"/>
              </w:rPr>
              <w:t>Формалін</w:t>
            </w:r>
          </w:p>
        </w:tc>
        <w:tc>
          <w:tcPr>
            <w:tcW w:w="4087" w:type="dxa"/>
            <w:shd w:val="clear" w:color="auto" w:fill="auto"/>
          </w:tcPr>
          <w:p w14:paraId="6C207176" w14:textId="77777777" w:rsidR="00F05F4E" w:rsidRPr="008A6B7D" w:rsidRDefault="00F05F4E" w:rsidP="00AF759D">
            <w:pPr>
              <w:spacing w:line="360" w:lineRule="auto"/>
              <w:rPr>
                <w:sz w:val="28"/>
                <w:szCs w:val="28"/>
                <w:lang w:val="en-US"/>
              </w:rPr>
            </w:pPr>
            <w:r w:rsidRPr="008A6B7D">
              <w:rPr>
                <w:sz w:val="28"/>
                <w:szCs w:val="28"/>
                <w:lang w:val="uk-UA"/>
              </w:rPr>
              <w:t>37%, ГОСТ 1625-89</w:t>
            </w:r>
          </w:p>
        </w:tc>
      </w:tr>
      <w:tr w:rsidR="00F05F4E" w:rsidRPr="008A6B7D" w14:paraId="0C64108C" w14:textId="77777777" w:rsidTr="00AF759D">
        <w:tc>
          <w:tcPr>
            <w:tcW w:w="5252" w:type="dxa"/>
            <w:shd w:val="clear" w:color="auto" w:fill="auto"/>
          </w:tcPr>
          <w:p w14:paraId="28B08BE9" w14:textId="77777777" w:rsidR="00F05F4E" w:rsidRPr="008A6B7D" w:rsidRDefault="00F05F4E" w:rsidP="00AF759D">
            <w:pPr>
              <w:spacing w:line="360" w:lineRule="auto"/>
              <w:jc w:val="both"/>
              <w:rPr>
                <w:sz w:val="28"/>
                <w:szCs w:val="28"/>
                <w:lang w:val="uk-UA"/>
              </w:rPr>
            </w:pPr>
            <w:r w:rsidRPr="008A6B7D">
              <w:rPr>
                <w:sz w:val="28"/>
                <w:szCs w:val="28"/>
                <w:lang w:val="uk-UA"/>
              </w:rPr>
              <w:t>Каррагінан</w:t>
            </w:r>
          </w:p>
        </w:tc>
        <w:tc>
          <w:tcPr>
            <w:tcW w:w="4087" w:type="dxa"/>
            <w:shd w:val="clear" w:color="auto" w:fill="auto"/>
          </w:tcPr>
          <w:p w14:paraId="17F4260A" w14:textId="77777777" w:rsidR="00F05F4E" w:rsidRPr="008A6B7D" w:rsidRDefault="00F05F4E" w:rsidP="00AF759D">
            <w:pPr>
              <w:spacing w:line="360" w:lineRule="auto"/>
              <w:rPr>
                <w:color w:val="000000"/>
                <w:sz w:val="28"/>
                <w:szCs w:val="28"/>
                <w:lang w:val="uk-UA"/>
              </w:rPr>
            </w:pPr>
            <w:r w:rsidRPr="008A6B7D">
              <w:rPr>
                <w:sz w:val="28"/>
                <w:szCs w:val="28"/>
                <w:lang w:val="en-US"/>
              </w:rPr>
              <w:t>Wako</w:t>
            </w:r>
            <w:r w:rsidRPr="008A6B7D">
              <w:rPr>
                <w:sz w:val="28"/>
                <w:szCs w:val="28"/>
                <w:lang w:val="uk-UA"/>
              </w:rPr>
              <w:t xml:space="preserve">, </w:t>
            </w:r>
            <w:r w:rsidRPr="008A6B7D">
              <w:rPr>
                <w:sz w:val="28"/>
                <w:szCs w:val="28"/>
                <w:lang w:val="en-US"/>
              </w:rPr>
              <w:t>Japan</w:t>
            </w:r>
            <w:r w:rsidRPr="008A6B7D">
              <w:rPr>
                <w:sz w:val="28"/>
                <w:szCs w:val="28"/>
                <w:lang w:val="uk-UA"/>
              </w:rPr>
              <w:t xml:space="preserve">, </w:t>
            </w:r>
            <w:r w:rsidRPr="008A6B7D">
              <w:rPr>
                <w:sz w:val="28"/>
                <w:szCs w:val="28"/>
              </w:rPr>
              <w:t>EC</w:t>
            </w:r>
            <w:r w:rsidRPr="008A6B7D">
              <w:rPr>
                <w:sz w:val="28"/>
                <w:szCs w:val="28"/>
                <w:lang w:val="uk-UA"/>
              </w:rPr>
              <w:t xml:space="preserve"> № 2329535;</w:t>
            </w:r>
          </w:p>
        </w:tc>
      </w:tr>
      <w:tr w:rsidR="00F05F4E" w:rsidRPr="008A6B7D" w14:paraId="167BAAFF" w14:textId="77777777" w:rsidTr="00AF759D">
        <w:tc>
          <w:tcPr>
            <w:tcW w:w="5252" w:type="dxa"/>
            <w:shd w:val="clear" w:color="auto" w:fill="auto"/>
          </w:tcPr>
          <w:p w14:paraId="75DB8633" w14:textId="77777777" w:rsidR="00F05F4E" w:rsidRPr="008A6B7D" w:rsidRDefault="00F05F4E" w:rsidP="00AF759D">
            <w:pPr>
              <w:spacing w:line="360" w:lineRule="auto"/>
              <w:jc w:val="both"/>
              <w:rPr>
                <w:sz w:val="28"/>
                <w:szCs w:val="28"/>
                <w:lang w:val="uk-UA"/>
              </w:rPr>
            </w:pPr>
            <w:r w:rsidRPr="008A6B7D">
              <w:rPr>
                <w:sz w:val="28"/>
                <w:szCs w:val="28"/>
                <w:lang w:val="uk-UA"/>
              </w:rPr>
              <w:t>ПЕГ-1500</w:t>
            </w:r>
          </w:p>
        </w:tc>
        <w:tc>
          <w:tcPr>
            <w:tcW w:w="4087" w:type="dxa"/>
            <w:shd w:val="clear" w:color="auto" w:fill="auto"/>
          </w:tcPr>
          <w:p w14:paraId="01B84D57" w14:textId="77777777" w:rsidR="00F05F4E" w:rsidRPr="008A6B7D" w:rsidRDefault="00F05F4E" w:rsidP="00AF759D">
            <w:pPr>
              <w:spacing w:line="360" w:lineRule="auto"/>
              <w:rPr>
                <w:color w:val="000000"/>
                <w:sz w:val="28"/>
                <w:szCs w:val="28"/>
                <w:lang w:val="uk-UA"/>
              </w:rPr>
            </w:pPr>
            <w:r w:rsidRPr="008A6B7D">
              <w:rPr>
                <w:color w:val="000000"/>
                <w:sz w:val="28"/>
                <w:szCs w:val="28"/>
                <w:lang w:val="uk-UA"/>
              </w:rPr>
              <w:t xml:space="preserve">ч.д.а, Укроргсинтез </w:t>
            </w:r>
          </w:p>
        </w:tc>
      </w:tr>
      <w:tr w:rsidR="00F05F4E" w:rsidRPr="003D4179" w14:paraId="177B4C4D" w14:textId="77777777" w:rsidTr="00AF759D">
        <w:tc>
          <w:tcPr>
            <w:tcW w:w="5252" w:type="dxa"/>
            <w:shd w:val="clear" w:color="auto" w:fill="auto"/>
          </w:tcPr>
          <w:p w14:paraId="215BA872" w14:textId="77777777" w:rsidR="00F05F4E" w:rsidRPr="008A6B7D" w:rsidRDefault="00F05F4E" w:rsidP="00AF759D">
            <w:pPr>
              <w:spacing w:line="360" w:lineRule="auto"/>
              <w:jc w:val="both"/>
              <w:rPr>
                <w:sz w:val="28"/>
                <w:szCs w:val="28"/>
                <w:lang w:val="uk-UA"/>
              </w:rPr>
            </w:pPr>
            <w:r w:rsidRPr="008A6B7D">
              <w:rPr>
                <w:sz w:val="28"/>
                <w:szCs w:val="28"/>
                <w:lang w:val="uk-UA"/>
              </w:rPr>
              <w:t>ПЕО-400</w:t>
            </w:r>
          </w:p>
        </w:tc>
        <w:tc>
          <w:tcPr>
            <w:tcW w:w="4087" w:type="dxa"/>
            <w:shd w:val="clear" w:color="auto" w:fill="auto"/>
          </w:tcPr>
          <w:p w14:paraId="5459E38C" w14:textId="77777777" w:rsidR="00F05F4E" w:rsidRPr="008A6B7D" w:rsidRDefault="00F05F4E" w:rsidP="00AF759D">
            <w:pPr>
              <w:spacing w:line="360" w:lineRule="auto"/>
              <w:rPr>
                <w:sz w:val="28"/>
                <w:szCs w:val="28"/>
                <w:lang w:val="uk-UA"/>
              </w:rPr>
            </w:pPr>
            <w:r w:rsidRPr="008A6B7D">
              <w:rPr>
                <w:color w:val="000000"/>
                <w:sz w:val="28"/>
                <w:szCs w:val="28"/>
                <w:lang w:val="uk-UA"/>
              </w:rPr>
              <w:t xml:space="preserve">ч.д.а, </w:t>
            </w:r>
            <w:r w:rsidRPr="008A6B7D">
              <w:rPr>
                <w:color w:val="000000"/>
                <w:sz w:val="28"/>
                <w:szCs w:val="28"/>
                <w:lang w:val="en-US"/>
              </w:rPr>
              <w:t>Mer</w:t>
            </w:r>
            <w:r w:rsidRPr="008A6B7D">
              <w:rPr>
                <w:color w:val="000000"/>
                <w:sz w:val="28"/>
                <w:szCs w:val="28"/>
                <w:lang w:val="uk-UA"/>
              </w:rPr>
              <w:t>с</w:t>
            </w:r>
            <w:r w:rsidRPr="008A6B7D">
              <w:rPr>
                <w:color w:val="000000"/>
                <w:sz w:val="28"/>
                <w:szCs w:val="28"/>
                <w:lang w:val="en-US"/>
              </w:rPr>
              <w:t>k</w:t>
            </w:r>
            <w:r w:rsidRPr="008A6B7D">
              <w:rPr>
                <w:color w:val="000000"/>
                <w:sz w:val="28"/>
                <w:szCs w:val="28"/>
                <w:lang w:val="uk-UA"/>
              </w:rPr>
              <w:t>, Німеччина</w:t>
            </w:r>
            <w:r w:rsidRPr="008A6B7D">
              <w:rPr>
                <w:sz w:val="28"/>
                <w:szCs w:val="28"/>
                <w:lang w:val="uk-UA"/>
              </w:rPr>
              <w:t xml:space="preserve"> </w:t>
            </w:r>
          </w:p>
        </w:tc>
      </w:tr>
      <w:tr w:rsidR="00F05F4E" w:rsidRPr="003D4179" w14:paraId="01A50FCC" w14:textId="77777777" w:rsidTr="00AF759D">
        <w:tc>
          <w:tcPr>
            <w:tcW w:w="5252" w:type="dxa"/>
            <w:shd w:val="clear" w:color="auto" w:fill="auto"/>
          </w:tcPr>
          <w:p w14:paraId="702AE2A9" w14:textId="77777777" w:rsidR="00F05F4E" w:rsidRPr="008A6B7D" w:rsidRDefault="00F05F4E" w:rsidP="00AF759D">
            <w:pPr>
              <w:spacing w:line="360" w:lineRule="auto"/>
              <w:jc w:val="both"/>
              <w:rPr>
                <w:color w:val="000000"/>
                <w:sz w:val="28"/>
                <w:szCs w:val="28"/>
                <w:lang w:val="uk-UA"/>
              </w:rPr>
            </w:pPr>
            <w:r w:rsidRPr="008A6B7D">
              <w:rPr>
                <w:color w:val="000000"/>
                <w:sz w:val="28"/>
                <w:szCs w:val="28"/>
                <w:lang w:val="uk-UA"/>
              </w:rPr>
              <w:t>1,2-пропіленгліколь</w:t>
            </w:r>
          </w:p>
        </w:tc>
        <w:tc>
          <w:tcPr>
            <w:tcW w:w="4087" w:type="dxa"/>
            <w:shd w:val="clear" w:color="auto" w:fill="auto"/>
          </w:tcPr>
          <w:p w14:paraId="3846728B" w14:textId="77777777" w:rsidR="00F05F4E" w:rsidRPr="008A6B7D" w:rsidRDefault="00F05F4E" w:rsidP="00AF759D">
            <w:pPr>
              <w:spacing w:line="360" w:lineRule="auto"/>
              <w:rPr>
                <w:sz w:val="28"/>
                <w:szCs w:val="28"/>
                <w:lang w:val="uk-UA"/>
              </w:rPr>
            </w:pPr>
            <w:r w:rsidRPr="008A6B7D">
              <w:rPr>
                <w:color w:val="000000"/>
                <w:sz w:val="28"/>
                <w:szCs w:val="28"/>
                <w:lang w:val="uk-UA"/>
              </w:rPr>
              <w:t xml:space="preserve">ч.д.а, </w:t>
            </w:r>
            <w:r w:rsidRPr="008A6B7D">
              <w:rPr>
                <w:color w:val="000000"/>
                <w:sz w:val="28"/>
                <w:szCs w:val="28"/>
                <w:lang w:val="en-US"/>
              </w:rPr>
              <w:t>Mer</w:t>
            </w:r>
            <w:r w:rsidRPr="008A6B7D">
              <w:rPr>
                <w:color w:val="000000"/>
                <w:sz w:val="28"/>
                <w:szCs w:val="28"/>
                <w:lang w:val="uk-UA"/>
              </w:rPr>
              <w:t>с</w:t>
            </w:r>
            <w:r w:rsidRPr="008A6B7D">
              <w:rPr>
                <w:color w:val="000000"/>
                <w:sz w:val="28"/>
                <w:szCs w:val="28"/>
                <w:lang w:val="en-US"/>
              </w:rPr>
              <w:t>k</w:t>
            </w:r>
            <w:r w:rsidRPr="008A6B7D">
              <w:rPr>
                <w:color w:val="000000"/>
                <w:sz w:val="28"/>
                <w:szCs w:val="28"/>
                <w:lang w:val="uk-UA"/>
              </w:rPr>
              <w:t>, Німеччина</w:t>
            </w:r>
            <w:r w:rsidRPr="008A6B7D">
              <w:rPr>
                <w:sz w:val="28"/>
                <w:szCs w:val="28"/>
                <w:lang w:val="uk-UA"/>
              </w:rPr>
              <w:t xml:space="preserve"> </w:t>
            </w:r>
          </w:p>
        </w:tc>
      </w:tr>
      <w:tr w:rsidR="00F05F4E" w:rsidRPr="008A6B7D" w14:paraId="785039AA" w14:textId="77777777" w:rsidTr="00AF759D">
        <w:tc>
          <w:tcPr>
            <w:tcW w:w="5252" w:type="dxa"/>
            <w:shd w:val="clear" w:color="auto" w:fill="auto"/>
          </w:tcPr>
          <w:p w14:paraId="345BBBA9" w14:textId="10FFD8D6" w:rsidR="00F05F4E" w:rsidRPr="008A6B7D" w:rsidRDefault="00F05F4E" w:rsidP="00AF759D">
            <w:pPr>
              <w:spacing w:line="360" w:lineRule="auto"/>
              <w:jc w:val="both"/>
              <w:rPr>
                <w:sz w:val="28"/>
                <w:szCs w:val="28"/>
                <w:lang w:val="uk-UA"/>
              </w:rPr>
            </w:pPr>
            <w:r w:rsidRPr="008A6B7D">
              <w:rPr>
                <w:color w:val="000000"/>
                <w:sz w:val="28"/>
                <w:szCs w:val="28"/>
                <w:lang w:val="uk-UA"/>
              </w:rPr>
              <w:t>Коразол</w:t>
            </w:r>
            <w:r w:rsidR="00390008" w:rsidRPr="008A6B7D">
              <w:rPr>
                <w:color w:val="000000"/>
                <w:sz w:val="28"/>
                <w:szCs w:val="28"/>
                <w:lang w:val="uk-UA"/>
              </w:rPr>
              <w:t xml:space="preserve"> (пентилентетразол)</w:t>
            </w:r>
          </w:p>
        </w:tc>
        <w:tc>
          <w:tcPr>
            <w:tcW w:w="4087" w:type="dxa"/>
            <w:shd w:val="clear" w:color="auto" w:fill="auto"/>
          </w:tcPr>
          <w:p w14:paraId="3E3AFEDD" w14:textId="77777777" w:rsidR="00F05F4E" w:rsidRPr="008A6B7D" w:rsidRDefault="00F05F4E" w:rsidP="00AF759D">
            <w:pPr>
              <w:spacing w:line="360" w:lineRule="auto"/>
              <w:jc w:val="both"/>
              <w:rPr>
                <w:color w:val="000000"/>
                <w:sz w:val="28"/>
                <w:szCs w:val="28"/>
                <w:lang w:val="uk-UA"/>
              </w:rPr>
            </w:pPr>
            <w:r w:rsidRPr="008A6B7D">
              <w:rPr>
                <w:color w:val="000000"/>
                <w:sz w:val="28"/>
                <w:szCs w:val="28"/>
                <w:lang w:val="en-US"/>
              </w:rPr>
              <w:t>Wako</w:t>
            </w:r>
            <w:r w:rsidRPr="008A6B7D">
              <w:rPr>
                <w:color w:val="000000"/>
                <w:sz w:val="28"/>
                <w:szCs w:val="28"/>
                <w:lang w:val="uk-UA"/>
              </w:rPr>
              <w:t xml:space="preserve"> </w:t>
            </w:r>
            <w:r w:rsidRPr="008A6B7D">
              <w:rPr>
                <w:color w:val="000000"/>
                <w:sz w:val="28"/>
                <w:szCs w:val="28"/>
                <w:shd w:val="clear" w:color="auto" w:fill="FFFFFF"/>
                <w:lang w:val="en-US"/>
              </w:rPr>
              <w:t>Chemicals</w:t>
            </w:r>
            <w:r w:rsidRPr="008A6B7D">
              <w:rPr>
                <w:sz w:val="28"/>
                <w:szCs w:val="28"/>
                <w:lang w:val="uk-UA"/>
              </w:rPr>
              <w:t>, Японія</w:t>
            </w:r>
          </w:p>
        </w:tc>
      </w:tr>
    </w:tbl>
    <w:p w14:paraId="6333E791" w14:textId="35BA5E35" w:rsidR="00F05F4E" w:rsidRPr="008A6B7D" w:rsidRDefault="00F05F4E" w:rsidP="00F05F4E">
      <w:pPr>
        <w:pStyle w:val="20"/>
        <w:ind w:firstLine="0"/>
        <w:rPr>
          <w:color w:val="000000" w:themeColor="text1"/>
          <w:szCs w:val="28"/>
          <w:lang w:val="en-US"/>
        </w:rPr>
      </w:pPr>
      <w:r w:rsidRPr="008A6B7D">
        <w:rPr>
          <w:color w:val="000000" w:themeColor="text1"/>
          <w:szCs w:val="28"/>
        </w:rPr>
        <w:lastRenderedPageBreak/>
        <w:t>Прилади</w:t>
      </w:r>
      <w:r w:rsidRPr="008A6B7D">
        <w:rPr>
          <w:color w:val="000000" w:themeColor="text1"/>
          <w:szCs w:val="28"/>
          <w:lang w:val="en-US"/>
        </w:rPr>
        <w:t>:</w:t>
      </w:r>
    </w:p>
    <w:p w14:paraId="59479937" w14:textId="77777777" w:rsidR="00F05F4E" w:rsidRPr="008A6B7D" w:rsidRDefault="00F05F4E" w:rsidP="00F05F4E">
      <w:pPr>
        <w:spacing w:line="360" w:lineRule="auto"/>
        <w:rPr>
          <w:color w:val="000000" w:themeColor="text1"/>
          <w:sz w:val="28"/>
          <w:szCs w:val="28"/>
          <w:lang w:val="en-US"/>
        </w:rPr>
      </w:pPr>
      <w:r w:rsidRPr="008A6B7D">
        <w:rPr>
          <w:color w:val="000000" w:themeColor="text1"/>
          <w:sz w:val="28"/>
          <w:szCs w:val="28"/>
          <w:lang w:val="en-US"/>
        </w:rPr>
        <w:t>Hot</w:t>
      </w:r>
      <w:r w:rsidRPr="008A6B7D">
        <w:rPr>
          <w:color w:val="000000" w:themeColor="text1"/>
          <w:sz w:val="28"/>
          <w:szCs w:val="28"/>
          <w:lang w:val="uk-UA"/>
        </w:rPr>
        <w:t xml:space="preserve"> </w:t>
      </w:r>
      <w:r w:rsidRPr="008A6B7D">
        <w:rPr>
          <w:color w:val="000000" w:themeColor="text1"/>
          <w:sz w:val="28"/>
          <w:szCs w:val="28"/>
          <w:lang w:val="en-US"/>
        </w:rPr>
        <w:t>plate</w:t>
      </w:r>
      <w:r w:rsidRPr="008A6B7D">
        <w:rPr>
          <w:color w:val="000000" w:themeColor="text1"/>
          <w:sz w:val="28"/>
          <w:szCs w:val="28"/>
          <w:lang w:val="uk-UA"/>
        </w:rPr>
        <w:t xml:space="preserve">-метр – 1440 </w:t>
      </w:r>
      <w:r w:rsidRPr="008A6B7D">
        <w:rPr>
          <w:color w:val="000000" w:themeColor="text1"/>
          <w:sz w:val="28"/>
          <w:szCs w:val="28"/>
          <w:lang w:val="en-US"/>
        </w:rPr>
        <w:t>Analgesia</w:t>
      </w:r>
      <w:r w:rsidRPr="008A6B7D">
        <w:rPr>
          <w:color w:val="000000" w:themeColor="text1"/>
          <w:sz w:val="28"/>
          <w:szCs w:val="28"/>
          <w:lang w:val="uk-UA"/>
        </w:rPr>
        <w:t xml:space="preserve"> </w:t>
      </w:r>
      <w:r w:rsidRPr="008A6B7D">
        <w:rPr>
          <w:color w:val="000000" w:themeColor="text1"/>
          <w:sz w:val="28"/>
          <w:szCs w:val="28"/>
          <w:lang w:val="en-US"/>
        </w:rPr>
        <w:t>Hot</w:t>
      </w:r>
      <w:r w:rsidRPr="008A6B7D">
        <w:rPr>
          <w:color w:val="000000" w:themeColor="text1"/>
          <w:sz w:val="28"/>
          <w:szCs w:val="28"/>
          <w:lang w:val="uk-UA"/>
        </w:rPr>
        <w:t xml:space="preserve"> </w:t>
      </w:r>
      <w:r w:rsidRPr="008A6B7D">
        <w:rPr>
          <w:color w:val="000000" w:themeColor="text1"/>
          <w:sz w:val="28"/>
          <w:szCs w:val="28"/>
          <w:lang w:val="en-US"/>
        </w:rPr>
        <w:t xml:space="preserve">Plate (Columbus Instruments, </w:t>
      </w:r>
      <w:r w:rsidRPr="008A6B7D">
        <w:rPr>
          <w:color w:val="000000" w:themeColor="text1"/>
          <w:sz w:val="28"/>
          <w:szCs w:val="28"/>
          <w:lang w:val="uk-UA"/>
        </w:rPr>
        <w:t>США)</w:t>
      </w:r>
      <w:r w:rsidRPr="008A6B7D">
        <w:rPr>
          <w:color w:val="000000" w:themeColor="text1"/>
          <w:sz w:val="28"/>
          <w:szCs w:val="28"/>
          <w:lang w:val="en-US"/>
        </w:rPr>
        <w:t>;</w:t>
      </w:r>
    </w:p>
    <w:p w14:paraId="2ACDB045" w14:textId="77777777" w:rsidR="00F05F4E" w:rsidRPr="008A6B7D" w:rsidRDefault="00F05F4E" w:rsidP="00F05F4E">
      <w:pPr>
        <w:spacing w:line="360" w:lineRule="auto"/>
        <w:rPr>
          <w:color w:val="000000" w:themeColor="text1"/>
          <w:sz w:val="28"/>
          <w:szCs w:val="28"/>
          <w:lang w:val="uk-UA"/>
        </w:rPr>
      </w:pPr>
      <w:r w:rsidRPr="008A6B7D">
        <w:rPr>
          <w:color w:val="000000" w:themeColor="text1"/>
          <w:sz w:val="28"/>
          <w:szCs w:val="28"/>
          <w:lang w:val="uk-UA"/>
        </w:rPr>
        <w:t>Ваги лабораторні ВЛР-200</w:t>
      </w:r>
      <w:r w:rsidRPr="008A6B7D">
        <w:rPr>
          <w:color w:val="000000" w:themeColor="text1"/>
          <w:sz w:val="28"/>
          <w:szCs w:val="28"/>
          <w:lang w:val="en-US"/>
        </w:rPr>
        <w:t>;</w:t>
      </w:r>
      <w:r w:rsidRPr="008A6B7D">
        <w:rPr>
          <w:color w:val="000000" w:themeColor="text1"/>
          <w:sz w:val="28"/>
          <w:szCs w:val="28"/>
          <w:lang w:val="en-US"/>
        </w:rPr>
        <w:br/>
      </w:r>
      <w:r w:rsidRPr="008A6B7D">
        <w:rPr>
          <w:color w:val="000000" w:themeColor="text1"/>
          <w:sz w:val="28"/>
          <w:szCs w:val="28"/>
          <w:lang w:val="uk-UA"/>
        </w:rPr>
        <w:t xml:space="preserve">Плетизмометр </w:t>
      </w:r>
      <w:r w:rsidRPr="008A6B7D">
        <w:rPr>
          <w:color w:val="000000" w:themeColor="text1"/>
          <w:sz w:val="28"/>
          <w:szCs w:val="28"/>
          <w:lang w:val="en-US"/>
        </w:rPr>
        <w:t xml:space="preserve">Digital Plethysmometer PLM 01 (Orchid Scientific, </w:t>
      </w:r>
      <w:r w:rsidRPr="008A6B7D">
        <w:rPr>
          <w:color w:val="000000" w:themeColor="text1"/>
          <w:sz w:val="28"/>
          <w:szCs w:val="28"/>
          <w:lang w:val="uk-UA"/>
        </w:rPr>
        <w:t>Індія)</w:t>
      </w:r>
      <w:r w:rsidRPr="008A6B7D">
        <w:rPr>
          <w:color w:val="000000" w:themeColor="text1"/>
          <w:sz w:val="28"/>
          <w:szCs w:val="28"/>
          <w:lang w:val="en-US"/>
        </w:rPr>
        <w:t>;</w:t>
      </w:r>
      <w:r w:rsidRPr="008A6B7D">
        <w:rPr>
          <w:color w:val="000000" w:themeColor="text1"/>
          <w:sz w:val="28"/>
          <w:szCs w:val="28"/>
          <w:lang w:val="uk-UA"/>
        </w:rPr>
        <w:br/>
        <w:t xml:space="preserve">Цифровий штангенциркуль </w:t>
      </w:r>
      <w:r w:rsidRPr="008A6B7D">
        <w:rPr>
          <w:color w:val="000000" w:themeColor="text1"/>
          <w:sz w:val="28"/>
          <w:szCs w:val="28"/>
          <w:lang w:val="en-US"/>
        </w:rPr>
        <w:t>YT-7201 (YATO,</w:t>
      </w:r>
      <w:r w:rsidRPr="008A6B7D">
        <w:rPr>
          <w:color w:val="000000" w:themeColor="text1"/>
          <w:sz w:val="28"/>
          <w:szCs w:val="28"/>
          <w:lang w:val="uk-UA"/>
        </w:rPr>
        <w:t xml:space="preserve"> Польща)</w:t>
      </w:r>
      <w:r w:rsidRPr="008A6B7D">
        <w:rPr>
          <w:color w:val="000000" w:themeColor="text1"/>
          <w:sz w:val="28"/>
          <w:szCs w:val="28"/>
          <w:lang w:val="en-US"/>
        </w:rPr>
        <w:t>;</w:t>
      </w:r>
    </w:p>
    <w:p w14:paraId="2FF00003" w14:textId="77777777" w:rsidR="00F05F4E" w:rsidRPr="008A6B7D" w:rsidRDefault="00F05F4E" w:rsidP="00F05F4E">
      <w:pPr>
        <w:spacing w:line="360" w:lineRule="auto"/>
        <w:rPr>
          <w:color w:val="000000" w:themeColor="text1"/>
          <w:sz w:val="28"/>
          <w:szCs w:val="28"/>
          <w:shd w:val="clear" w:color="auto" w:fill="FFFFFF"/>
          <w:lang w:val="uk-UA"/>
        </w:rPr>
      </w:pPr>
      <w:r w:rsidRPr="008A6B7D">
        <w:rPr>
          <w:color w:val="000000" w:themeColor="text1"/>
          <w:sz w:val="28"/>
          <w:szCs w:val="28"/>
          <w:lang w:val="uk-UA"/>
        </w:rPr>
        <w:t xml:space="preserve">Цифровий термометр ветеринарний </w:t>
      </w:r>
      <w:r w:rsidRPr="008A6B7D">
        <w:rPr>
          <w:color w:val="000000" w:themeColor="text1"/>
          <w:sz w:val="28"/>
          <w:szCs w:val="28"/>
        </w:rPr>
        <w:t>Digi-Vet SC 12</w:t>
      </w:r>
      <w:r w:rsidRPr="008A6B7D">
        <w:rPr>
          <w:color w:val="000000" w:themeColor="text1"/>
          <w:sz w:val="28"/>
          <w:szCs w:val="28"/>
          <w:lang w:val="uk-UA"/>
        </w:rPr>
        <w:t xml:space="preserve"> (</w:t>
      </w:r>
      <w:r w:rsidRPr="008A6B7D">
        <w:rPr>
          <w:color w:val="000000" w:themeColor="text1"/>
          <w:sz w:val="28"/>
          <w:szCs w:val="28"/>
          <w:lang w:val="en-US"/>
        </w:rPr>
        <w:t>Kruuse</w:t>
      </w:r>
      <w:r w:rsidRPr="008A6B7D">
        <w:rPr>
          <w:color w:val="000000" w:themeColor="text1"/>
          <w:sz w:val="28"/>
          <w:szCs w:val="28"/>
          <w:lang w:val="uk-UA"/>
        </w:rPr>
        <w:t>, Данія).</w:t>
      </w:r>
      <w:r w:rsidRPr="008A6B7D">
        <w:rPr>
          <w:color w:val="000000" w:themeColor="text1"/>
          <w:sz w:val="28"/>
          <w:szCs w:val="28"/>
          <w:lang w:val="uk-UA"/>
        </w:rPr>
        <w:br/>
        <w:t xml:space="preserve">Лабораторний термометр ТЛ-2, </w:t>
      </w:r>
      <w:r w:rsidRPr="008A6B7D">
        <w:rPr>
          <w:color w:val="000000" w:themeColor="text1"/>
          <w:sz w:val="28"/>
          <w:szCs w:val="28"/>
          <w:shd w:val="clear" w:color="auto" w:fill="FFFFFF"/>
        </w:rPr>
        <w:t>У 25-2021.003-088 ( "Стандарт-М", Україна</w:t>
      </w:r>
      <w:r w:rsidRPr="008A6B7D">
        <w:rPr>
          <w:color w:val="000000" w:themeColor="text1"/>
          <w:sz w:val="28"/>
          <w:szCs w:val="28"/>
          <w:shd w:val="clear" w:color="auto" w:fill="FFFFFF"/>
          <w:lang w:val="uk-UA"/>
        </w:rPr>
        <w:t>)</w:t>
      </w:r>
    </w:p>
    <w:p w14:paraId="36ED971E" w14:textId="77777777" w:rsidR="00F05F4E" w:rsidRPr="008A6B7D" w:rsidRDefault="00F05F4E" w:rsidP="00F05F4E">
      <w:pPr>
        <w:spacing w:line="360" w:lineRule="auto"/>
        <w:jc w:val="both"/>
        <w:rPr>
          <w:i/>
          <w:iCs/>
          <w:sz w:val="28"/>
          <w:szCs w:val="28"/>
          <w:lang w:val="uk-UA"/>
        </w:rPr>
      </w:pPr>
    </w:p>
    <w:p w14:paraId="53CB311D" w14:textId="3BAECA24" w:rsidR="00F05F4E" w:rsidRPr="008A6B7D" w:rsidRDefault="00461A45" w:rsidP="00F05F4E">
      <w:pPr>
        <w:tabs>
          <w:tab w:val="left" w:pos="720"/>
        </w:tabs>
        <w:spacing w:line="360" w:lineRule="auto"/>
        <w:ind w:firstLine="720"/>
        <w:jc w:val="both"/>
        <w:rPr>
          <w:sz w:val="28"/>
          <w:szCs w:val="28"/>
          <w:lang w:val="uk-UA"/>
        </w:rPr>
      </w:pPr>
      <w:r w:rsidRPr="008A6B7D">
        <w:rPr>
          <w:b/>
          <w:iCs/>
          <w:sz w:val="28"/>
          <w:szCs w:val="28"/>
          <w:lang w:val="uk-UA"/>
        </w:rPr>
        <w:t>Досліджувані сполуки</w:t>
      </w:r>
      <w:r w:rsidR="00F05F4E" w:rsidRPr="008A6B7D">
        <w:rPr>
          <w:b/>
          <w:iCs/>
          <w:sz w:val="28"/>
          <w:szCs w:val="28"/>
          <w:lang w:val="uk-UA"/>
        </w:rPr>
        <w:t>.</w:t>
      </w:r>
      <w:r w:rsidR="00F05F4E" w:rsidRPr="008A6B7D">
        <w:rPr>
          <w:i/>
          <w:iCs/>
          <w:sz w:val="28"/>
          <w:szCs w:val="28"/>
          <w:lang w:val="uk-UA"/>
        </w:rPr>
        <w:t xml:space="preserve"> </w:t>
      </w:r>
      <w:r w:rsidR="00F05F4E" w:rsidRPr="008A6B7D">
        <w:rPr>
          <w:iCs/>
          <w:sz w:val="28"/>
          <w:szCs w:val="28"/>
          <w:lang w:val="uk-UA"/>
        </w:rPr>
        <w:t xml:space="preserve">Вивчено фармакологічні </w:t>
      </w:r>
      <w:r w:rsidR="00F05F4E" w:rsidRPr="008A6B7D">
        <w:rPr>
          <w:sz w:val="28"/>
          <w:szCs w:val="28"/>
          <w:lang w:val="uk-UA"/>
        </w:rPr>
        <w:t xml:space="preserve">властивості комплексних сполук </w:t>
      </w:r>
      <w:r w:rsidR="00F05F4E" w:rsidRPr="008A6B7D">
        <w:rPr>
          <w:sz w:val="28"/>
          <w:szCs w:val="28"/>
        </w:rPr>
        <w:t>S</w:t>
      </w:r>
      <w:r w:rsidR="00F05F4E" w:rsidRPr="008A6B7D">
        <w:rPr>
          <w:sz w:val="28"/>
          <w:szCs w:val="28"/>
          <w:lang w:val="en-US"/>
        </w:rPr>
        <w:t>n</w:t>
      </w:r>
      <w:r w:rsidR="00F05F4E" w:rsidRPr="008A6B7D">
        <w:rPr>
          <w:sz w:val="28"/>
          <w:szCs w:val="28"/>
        </w:rPr>
        <w:t>C</w:t>
      </w:r>
      <w:r w:rsidR="00F05F4E" w:rsidRPr="008A6B7D">
        <w:rPr>
          <w:sz w:val="28"/>
          <w:szCs w:val="28"/>
          <w:lang w:val="en-US"/>
        </w:rPr>
        <w:t>l</w:t>
      </w:r>
      <w:r w:rsidR="00F05F4E" w:rsidRPr="008A6B7D">
        <w:rPr>
          <w:sz w:val="28"/>
          <w:szCs w:val="28"/>
          <w:vertAlign w:val="subscript"/>
          <w:lang w:val="uk-UA"/>
        </w:rPr>
        <w:t>4</w:t>
      </w:r>
      <w:r w:rsidR="00F05F4E" w:rsidRPr="008A6B7D">
        <w:rPr>
          <w:sz w:val="28"/>
          <w:szCs w:val="28"/>
          <w:lang w:val="uk-UA"/>
        </w:rPr>
        <w:t xml:space="preserve"> з саліцилоїлгідразонами бензальдегіду та </w:t>
      </w:r>
      <w:r w:rsidR="00821BED">
        <w:rPr>
          <w:sz w:val="28"/>
          <w:szCs w:val="28"/>
          <w:lang w:val="uk-UA"/>
        </w:rPr>
        <w:br/>
      </w:r>
      <w:r w:rsidR="00F05F4E" w:rsidRPr="008A6B7D">
        <w:rPr>
          <w:sz w:val="28"/>
          <w:szCs w:val="28"/>
          <w:lang w:val="uk-UA"/>
        </w:rPr>
        <w:t>4-бромбензальдегіду та їх структурних складових. Структуру та дози сполук подано у таблиці 2.2.</w:t>
      </w:r>
    </w:p>
    <w:p w14:paraId="35280FDC" w14:textId="77777777" w:rsidR="00F05F4E" w:rsidRPr="008A6B7D" w:rsidRDefault="00F05F4E" w:rsidP="00F05F4E">
      <w:pPr>
        <w:spacing w:line="360" w:lineRule="auto"/>
        <w:ind w:left="7788"/>
        <w:jc w:val="both"/>
        <w:rPr>
          <w:i/>
          <w:sz w:val="28"/>
          <w:szCs w:val="28"/>
          <w:lang w:val="uk-UA"/>
        </w:rPr>
      </w:pPr>
    </w:p>
    <w:p w14:paraId="5CF53B18" w14:textId="77777777" w:rsidR="00F05F4E" w:rsidRPr="008A6B7D" w:rsidRDefault="00F05F4E" w:rsidP="00F05F4E">
      <w:pPr>
        <w:spacing w:line="360" w:lineRule="auto"/>
        <w:ind w:left="7788"/>
        <w:jc w:val="center"/>
        <w:rPr>
          <w:i/>
          <w:sz w:val="28"/>
          <w:szCs w:val="28"/>
          <w:lang w:val="uk-UA"/>
        </w:rPr>
      </w:pPr>
      <w:r w:rsidRPr="008A6B7D">
        <w:rPr>
          <w:i/>
          <w:sz w:val="28"/>
          <w:szCs w:val="28"/>
          <w:lang w:val="uk-UA"/>
        </w:rPr>
        <w:t>Таблиця 2.2</w:t>
      </w:r>
    </w:p>
    <w:p w14:paraId="46E8EF32" w14:textId="60DD157B" w:rsidR="00F05F4E" w:rsidRPr="008A6B7D" w:rsidRDefault="00F05F4E" w:rsidP="00F05F4E">
      <w:pPr>
        <w:spacing w:line="360" w:lineRule="auto"/>
        <w:jc w:val="center"/>
        <w:rPr>
          <w:b/>
          <w:sz w:val="28"/>
          <w:szCs w:val="28"/>
          <w:lang w:val="uk-UA"/>
        </w:rPr>
      </w:pPr>
      <w:r w:rsidRPr="008A6B7D">
        <w:rPr>
          <w:b/>
          <w:sz w:val="28"/>
          <w:szCs w:val="28"/>
          <w:lang w:val="uk-UA"/>
        </w:rPr>
        <w:t xml:space="preserve">Структурні формули, молекулярна маса і дози </w:t>
      </w:r>
      <w:r w:rsidR="00310514" w:rsidRPr="008A6B7D">
        <w:rPr>
          <w:b/>
          <w:sz w:val="28"/>
          <w:szCs w:val="28"/>
          <w:lang w:val="uk-UA"/>
        </w:rPr>
        <w:t>досліджуєимих сполук</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2672"/>
        <w:gridCol w:w="3169"/>
        <w:gridCol w:w="2042"/>
        <w:gridCol w:w="918"/>
      </w:tblGrid>
      <w:tr w:rsidR="00F05F4E" w:rsidRPr="001759D5" w14:paraId="1E37E6B7" w14:textId="77777777" w:rsidTr="00AF759D">
        <w:trPr>
          <w:trHeight w:val="865"/>
        </w:trPr>
        <w:tc>
          <w:tcPr>
            <w:tcW w:w="644" w:type="dxa"/>
          </w:tcPr>
          <w:p w14:paraId="712D2515" w14:textId="77777777" w:rsidR="00F05F4E" w:rsidRPr="001759D5" w:rsidRDefault="00F05F4E" w:rsidP="00AF759D">
            <w:pPr>
              <w:spacing w:line="360" w:lineRule="auto"/>
              <w:jc w:val="center"/>
              <w:rPr>
                <w:b/>
                <w:sz w:val="28"/>
                <w:szCs w:val="28"/>
                <w:lang w:val="uk-UA"/>
              </w:rPr>
            </w:pPr>
            <w:r w:rsidRPr="001759D5">
              <w:rPr>
                <w:b/>
                <w:sz w:val="28"/>
                <w:szCs w:val="28"/>
                <w:lang w:val="uk-UA"/>
              </w:rPr>
              <w:t>№</w:t>
            </w:r>
          </w:p>
        </w:tc>
        <w:tc>
          <w:tcPr>
            <w:tcW w:w="2672" w:type="dxa"/>
          </w:tcPr>
          <w:p w14:paraId="6BF48140" w14:textId="77777777" w:rsidR="00F05F4E" w:rsidRPr="001759D5" w:rsidRDefault="00F05F4E" w:rsidP="00AF759D">
            <w:pPr>
              <w:spacing w:line="360" w:lineRule="auto"/>
              <w:jc w:val="center"/>
              <w:rPr>
                <w:b/>
                <w:sz w:val="28"/>
                <w:szCs w:val="28"/>
                <w:lang w:val="uk-UA"/>
              </w:rPr>
            </w:pPr>
            <w:r w:rsidRPr="001759D5">
              <w:rPr>
                <w:b/>
                <w:sz w:val="28"/>
                <w:szCs w:val="28"/>
                <w:lang w:val="uk-UA"/>
              </w:rPr>
              <w:t>Сполука</w:t>
            </w:r>
          </w:p>
        </w:tc>
        <w:tc>
          <w:tcPr>
            <w:tcW w:w="3169" w:type="dxa"/>
          </w:tcPr>
          <w:p w14:paraId="1E0F6060" w14:textId="77777777" w:rsidR="00F05F4E" w:rsidRPr="001759D5" w:rsidRDefault="00F05F4E" w:rsidP="00AF759D">
            <w:pPr>
              <w:spacing w:line="360" w:lineRule="auto"/>
              <w:jc w:val="center"/>
              <w:rPr>
                <w:b/>
                <w:sz w:val="28"/>
                <w:szCs w:val="28"/>
                <w:lang w:val="uk-UA"/>
              </w:rPr>
            </w:pPr>
            <w:r w:rsidRPr="001759D5">
              <w:rPr>
                <w:b/>
                <w:sz w:val="28"/>
                <w:szCs w:val="28"/>
                <w:lang w:val="uk-UA"/>
              </w:rPr>
              <w:t>формула</w:t>
            </w:r>
          </w:p>
        </w:tc>
        <w:tc>
          <w:tcPr>
            <w:tcW w:w="2042" w:type="dxa"/>
          </w:tcPr>
          <w:p w14:paraId="4EF0FA8C" w14:textId="77777777" w:rsidR="00F05F4E" w:rsidRPr="001759D5" w:rsidRDefault="00F05F4E" w:rsidP="00AF759D">
            <w:pPr>
              <w:spacing w:line="360" w:lineRule="auto"/>
              <w:jc w:val="center"/>
              <w:rPr>
                <w:b/>
                <w:sz w:val="28"/>
                <w:szCs w:val="28"/>
                <w:lang w:val="uk-UA"/>
              </w:rPr>
            </w:pPr>
            <w:r w:rsidRPr="001759D5">
              <w:rPr>
                <w:b/>
                <w:sz w:val="28"/>
                <w:szCs w:val="28"/>
                <w:lang w:val="uk-UA"/>
              </w:rPr>
              <w:t>Молекулярна маса, г/моль</w:t>
            </w:r>
          </w:p>
        </w:tc>
        <w:tc>
          <w:tcPr>
            <w:tcW w:w="918" w:type="dxa"/>
          </w:tcPr>
          <w:p w14:paraId="0DC8A521" w14:textId="77777777" w:rsidR="00F05F4E" w:rsidRPr="001759D5" w:rsidRDefault="00F05F4E" w:rsidP="00AF759D">
            <w:pPr>
              <w:spacing w:line="360" w:lineRule="auto"/>
              <w:jc w:val="center"/>
              <w:rPr>
                <w:b/>
                <w:sz w:val="28"/>
                <w:szCs w:val="28"/>
                <w:lang w:val="uk-UA"/>
              </w:rPr>
            </w:pPr>
            <w:r w:rsidRPr="001759D5">
              <w:rPr>
                <w:b/>
                <w:sz w:val="28"/>
                <w:szCs w:val="28"/>
                <w:lang w:val="uk-UA"/>
              </w:rPr>
              <w:t>Доза,</w:t>
            </w:r>
          </w:p>
          <w:p w14:paraId="6573956A" w14:textId="77777777" w:rsidR="00F05F4E" w:rsidRPr="001759D5" w:rsidRDefault="00F05F4E" w:rsidP="00AF759D">
            <w:pPr>
              <w:spacing w:line="360" w:lineRule="auto"/>
              <w:jc w:val="center"/>
              <w:rPr>
                <w:b/>
                <w:sz w:val="28"/>
                <w:szCs w:val="28"/>
                <w:lang w:val="uk-UA"/>
              </w:rPr>
            </w:pPr>
            <w:r w:rsidRPr="001759D5">
              <w:rPr>
                <w:b/>
                <w:sz w:val="28"/>
                <w:szCs w:val="28"/>
                <w:lang w:val="uk-UA"/>
              </w:rPr>
              <w:t>мг/кг</w:t>
            </w:r>
          </w:p>
        </w:tc>
      </w:tr>
      <w:tr w:rsidR="001759D5" w:rsidRPr="001759D5" w14:paraId="0550D266" w14:textId="77777777" w:rsidTr="001759D5">
        <w:trPr>
          <w:trHeight w:val="314"/>
        </w:trPr>
        <w:tc>
          <w:tcPr>
            <w:tcW w:w="644" w:type="dxa"/>
          </w:tcPr>
          <w:p w14:paraId="653ACD26" w14:textId="08A4560B" w:rsidR="001759D5" w:rsidRPr="001759D5" w:rsidRDefault="001759D5" w:rsidP="00AF759D">
            <w:pPr>
              <w:spacing w:line="360" w:lineRule="auto"/>
              <w:jc w:val="center"/>
              <w:rPr>
                <w:b/>
                <w:sz w:val="28"/>
                <w:szCs w:val="28"/>
                <w:lang w:val="uk-UA"/>
              </w:rPr>
            </w:pPr>
            <w:r>
              <w:rPr>
                <w:b/>
                <w:sz w:val="28"/>
                <w:szCs w:val="28"/>
                <w:lang w:val="uk-UA"/>
              </w:rPr>
              <w:t>1</w:t>
            </w:r>
          </w:p>
        </w:tc>
        <w:tc>
          <w:tcPr>
            <w:tcW w:w="2672" w:type="dxa"/>
          </w:tcPr>
          <w:p w14:paraId="1BDD113C" w14:textId="2385A64F" w:rsidR="001759D5" w:rsidRPr="001759D5" w:rsidRDefault="001759D5" w:rsidP="00AF759D">
            <w:pPr>
              <w:spacing w:line="360" w:lineRule="auto"/>
              <w:jc w:val="center"/>
              <w:rPr>
                <w:b/>
                <w:sz w:val="28"/>
                <w:szCs w:val="28"/>
                <w:lang w:val="uk-UA"/>
              </w:rPr>
            </w:pPr>
            <w:r>
              <w:rPr>
                <w:b/>
                <w:sz w:val="28"/>
                <w:szCs w:val="28"/>
                <w:lang w:val="uk-UA"/>
              </w:rPr>
              <w:t>2</w:t>
            </w:r>
          </w:p>
        </w:tc>
        <w:tc>
          <w:tcPr>
            <w:tcW w:w="3169" w:type="dxa"/>
          </w:tcPr>
          <w:p w14:paraId="0AEAE9E4" w14:textId="5949F505" w:rsidR="001759D5" w:rsidRPr="001759D5" w:rsidRDefault="001759D5" w:rsidP="00AF759D">
            <w:pPr>
              <w:spacing w:line="360" w:lineRule="auto"/>
              <w:jc w:val="center"/>
              <w:rPr>
                <w:b/>
                <w:sz w:val="28"/>
                <w:szCs w:val="28"/>
                <w:lang w:val="uk-UA"/>
              </w:rPr>
            </w:pPr>
            <w:r>
              <w:rPr>
                <w:b/>
                <w:sz w:val="28"/>
                <w:szCs w:val="28"/>
                <w:lang w:val="uk-UA"/>
              </w:rPr>
              <w:t>3</w:t>
            </w:r>
          </w:p>
        </w:tc>
        <w:tc>
          <w:tcPr>
            <w:tcW w:w="2042" w:type="dxa"/>
          </w:tcPr>
          <w:p w14:paraId="711B810E" w14:textId="0549B63C" w:rsidR="001759D5" w:rsidRPr="001759D5" w:rsidRDefault="001759D5" w:rsidP="00AF759D">
            <w:pPr>
              <w:spacing w:line="360" w:lineRule="auto"/>
              <w:jc w:val="center"/>
              <w:rPr>
                <w:b/>
                <w:sz w:val="28"/>
                <w:szCs w:val="28"/>
                <w:lang w:val="uk-UA"/>
              </w:rPr>
            </w:pPr>
            <w:r>
              <w:rPr>
                <w:b/>
                <w:sz w:val="28"/>
                <w:szCs w:val="28"/>
                <w:lang w:val="uk-UA"/>
              </w:rPr>
              <w:t>4</w:t>
            </w:r>
          </w:p>
        </w:tc>
        <w:tc>
          <w:tcPr>
            <w:tcW w:w="918" w:type="dxa"/>
          </w:tcPr>
          <w:p w14:paraId="4732DCE3" w14:textId="77E0C11C" w:rsidR="001759D5" w:rsidRPr="001759D5" w:rsidRDefault="001759D5" w:rsidP="00AF759D">
            <w:pPr>
              <w:spacing w:line="360" w:lineRule="auto"/>
              <w:jc w:val="center"/>
              <w:rPr>
                <w:b/>
                <w:sz w:val="28"/>
                <w:szCs w:val="28"/>
                <w:lang w:val="uk-UA"/>
              </w:rPr>
            </w:pPr>
            <w:r>
              <w:rPr>
                <w:b/>
                <w:sz w:val="28"/>
                <w:szCs w:val="28"/>
                <w:lang w:val="uk-UA"/>
              </w:rPr>
              <w:t>5</w:t>
            </w:r>
          </w:p>
        </w:tc>
      </w:tr>
      <w:tr w:rsidR="00F05F4E" w:rsidRPr="001759D5" w14:paraId="73B8188E" w14:textId="77777777" w:rsidTr="00AF759D">
        <w:trPr>
          <w:trHeight w:val="1476"/>
        </w:trPr>
        <w:tc>
          <w:tcPr>
            <w:tcW w:w="644" w:type="dxa"/>
          </w:tcPr>
          <w:p w14:paraId="619AC0D6" w14:textId="77777777" w:rsidR="00F05F4E" w:rsidRPr="001759D5" w:rsidRDefault="00F05F4E" w:rsidP="00AF759D">
            <w:pPr>
              <w:spacing w:line="360" w:lineRule="auto"/>
              <w:jc w:val="center"/>
              <w:rPr>
                <w:b/>
                <w:sz w:val="28"/>
                <w:szCs w:val="28"/>
                <w:lang w:val="uk-UA"/>
              </w:rPr>
            </w:pPr>
            <w:r w:rsidRPr="001759D5">
              <w:rPr>
                <w:b/>
                <w:sz w:val="28"/>
                <w:szCs w:val="28"/>
                <w:lang w:val="uk-UA"/>
              </w:rPr>
              <w:t>1</w:t>
            </w:r>
          </w:p>
        </w:tc>
        <w:tc>
          <w:tcPr>
            <w:tcW w:w="2672" w:type="dxa"/>
          </w:tcPr>
          <w:p w14:paraId="08E4C117" w14:textId="77777777" w:rsidR="00F05F4E" w:rsidRPr="001759D5" w:rsidRDefault="00F05F4E" w:rsidP="00AF759D">
            <w:pPr>
              <w:pStyle w:val="14"/>
              <w:spacing w:line="360" w:lineRule="auto"/>
              <w:rPr>
                <w:szCs w:val="28"/>
                <w:lang w:val="uk-UA"/>
              </w:rPr>
            </w:pPr>
            <w:r w:rsidRPr="001759D5">
              <w:rPr>
                <w:szCs w:val="28"/>
                <w:lang w:val="uk-UA"/>
              </w:rPr>
              <w:t xml:space="preserve">Комплекс І </w:t>
            </w:r>
          </w:p>
          <w:p w14:paraId="4AD03FAF" w14:textId="77777777" w:rsidR="00F05F4E" w:rsidRPr="001759D5" w:rsidRDefault="00F05F4E" w:rsidP="00AF759D">
            <w:pPr>
              <w:pStyle w:val="14"/>
              <w:spacing w:line="360" w:lineRule="auto"/>
              <w:rPr>
                <w:szCs w:val="28"/>
              </w:rPr>
            </w:pPr>
          </w:p>
        </w:tc>
        <w:tc>
          <w:tcPr>
            <w:tcW w:w="3169" w:type="dxa"/>
          </w:tcPr>
          <w:p w14:paraId="3227FC7C" w14:textId="77777777" w:rsidR="00F05F4E" w:rsidRPr="001759D5" w:rsidRDefault="00362209" w:rsidP="00AF759D">
            <w:pPr>
              <w:spacing w:line="360" w:lineRule="auto"/>
              <w:rPr>
                <w:b/>
                <w:sz w:val="28"/>
                <w:szCs w:val="28"/>
                <w:lang w:val="uk-UA"/>
              </w:rPr>
            </w:pPr>
            <w:r>
              <w:rPr>
                <w:sz w:val="28"/>
                <w:szCs w:val="28"/>
              </w:rPr>
              <w:object w:dxaOrig="1440" w:dyaOrig="1440" w14:anchorId="02D28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14.1pt;margin-top:-.15pt;width:123.15pt;height:72.1pt;z-index:251659264;mso-wrap-edited:f;mso-width-percent:0;mso-height-percent:0;mso-position-horizontal-relative:text;mso-position-vertical-relative:text;mso-width-percent:0;mso-height-percent:0">
                  <v:imagedata r:id="rId9" o:title=""/>
                </v:shape>
                <o:OLEObject Type="Embed" ProgID="ISISServer" ShapeID="_x0000_s1027" DrawAspect="Content" ObjectID="_1680697660" r:id="rId10"/>
              </w:object>
            </w:r>
          </w:p>
          <w:p w14:paraId="430DE7B4" w14:textId="77777777" w:rsidR="00F05F4E" w:rsidRPr="001759D5" w:rsidRDefault="00F05F4E" w:rsidP="00AF759D">
            <w:pPr>
              <w:spacing w:line="360" w:lineRule="auto"/>
              <w:rPr>
                <w:sz w:val="28"/>
                <w:szCs w:val="28"/>
                <w:lang w:val="uk-UA"/>
              </w:rPr>
            </w:pPr>
          </w:p>
          <w:p w14:paraId="077EC93F" w14:textId="77777777" w:rsidR="00F05F4E" w:rsidRPr="001759D5" w:rsidRDefault="00F05F4E" w:rsidP="00AF759D">
            <w:pPr>
              <w:spacing w:line="360" w:lineRule="auto"/>
              <w:rPr>
                <w:sz w:val="28"/>
                <w:szCs w:val="28"/>
                <w:lang w:val="uk-UA"/>
              </w:rPr>
            </w:pPr>
          </w:p>
        </w:tc>
        <w:tc>
          <w:tcPr>
            <w:tcW w:w="2042" w:type="dxa"/>
          </w:tcPr>
          <w:p w14:paraId="25FB3C19" w14:textId="77777777" w:rsidR="00F05F4E" w:rsidRPr="001759D5" w:rsidRDefault="00F05F4E" w:rsidP="00AF759D">
            <w:pPr>
              <w:spacing w:line="360" w:lineRule="auto"/>
              <w:jc w:val="center"/>
              <w:rPr>
                <w:sz w:val="28"/>
                <w:szCs w:val="28"/>
                <w:lang w:val="uk-UA"/>
              </w:rPr>
            </w:pPr>
            <w:r w:rsidRPr="001759D5">
              <w:rPr>
                <w:sz w:val="28"/>
                <w:szCs w:val="28"/>
                <w:lang w:val="uk-UA"/>
              </w:rPr>
              <w:t xml:space="preserve">501 </w:t>
            </w:r>
          </w:p>
        </w:tc>
        <w:tc>
          <w:tcPr>
            <w:tcW w:w="918" w:type="dxa"/>
          </w:tcPr>
          <w:p w14:paraId="323D4620" w14:textId="77777777" w:rsidR="00F05F4E" w:rsidRPr="001759D5" w:rsidRDefault="00F05F4E" w:rsidP="00AF759D">
            <w:pPr>
              <w:spacing w:line="360" w:lineRule="auto"/>
              <w:jc w:val="center"/>
              <w:rPr>
                <w:sz w:val="28"/>
                <w:szCs w:val="28"/>
                <w:lang w:val="uk-UA"/>
              </w:rPr>
            </w:pPr>
            <w:r w:rsidRPr="001759D5">
              <w:rPr>
                <w:sz w:val="28"/>
                <w:szCs w:val="28"/>
                <w:lang w:val="uk-UA"/>
              </w:rPr>
              <w:t>147</w:t>
            </w:r>
          </w:p>
        </w:tc>
      </w:tr>
      <w:tr w:rsidR="00F05F4E" w:rsidRPr="001759D5" w14:paraId="69D737BB" w14:textId="77777777" w:rsidTr="00AF759D">
        <w:trPr>
          <w:trHeight w:val="1476"/>
        </w:trPr>
        <w:tc>
          <w:tcPr>
            <w:tcW w:w="644" w:type="dxa"/>
          </w:tcPr>
          <w:p w14:paraId="7893051B" w14:textId="77777777" w:rsidR="00F05F4E" w:rsidRPr="001759D5" w:rsidRDefault="00F05F4E" w:rsidP="00AF759D">
            <w:pPr>
              <w:spacing w:line="360" w:lineRule="auto"/>
              <w:jc w:val="center"/>
              <w:rPr>
                <w:b/>
                <w:sz w:val="28"/>
                <w:szCs w:val="28"/>
                <w:lang w:val="uk-UA"/>
              </w:rPr>
            </w:pPr>
            <w:r w:rsidRPr="001759D5">
              <w:rPr>
                <w:b/>
                <w:sz w:val="28"/>
                <w:szCs w:val="28"/>
                <w:lang w:val="uk-UA"/>
              </w:rPr>
              <w:t>2</w:t>
            </w:r>
          </w:p>
        </w:tc>
        <w:tc>
          <w:tcPr>
            <w:tcW w:w="2672" w:type="dxa"/>
          </w:tcPr>
          <w:p w14:paraId="3B37D106" w14:textId="77777777" w:rsidR="00F05F4E" w:rsidRPr="001759D5" w:rsidRDefault="00F05F4E" w:rsidP="00AF759D">
            <w:pPr>
              <w:spacing w:line="360" w:lineRule="auto"/>
              <w:rPr>
                <w:sz w:val="28"/>
                <w:szCs w:val="28"/>
                <w:lang w:val="uk-UA"/>
              </w:rPr>
            </w:pPr>
            <w:r w:rsidRPr="001759D5">
              <w:rPr>
                <w:sz w:val="28"/>
                <w:szCs w:val="28"/>
                <w:lang w:val="uk-UA"/>
              </w:rPr>
              <w:t>Комплекс ІІ</w:t>
            </w:r>
          </w:p>
        </w:tc>
        <w:tc>
          <w:tcPr>
            <w:tcW w:w="3169" w:type="dxa"/>
          </w:tcPr>
          <w:p w14:paraId="675AA287" w14:textId="77777777" w:rsidR="00F05F4E" w:rsidRPr="001759D5" w:rsidRDefault="00362209" w:rsidP="00AF759D">
            <w:pPr>
              <w:spacing w:line="360" w:lineRule="auto"/>
              <w:rPr>
                <w:b/>
                <w:sz w:val="28"/>
                <w:szCs w:val="28"/>
                <w:lang w:val="uk-UA"/>
              </w:rPr>
            </w:pPr>
            <w:r>
              <w:rPr>
                <w:sz w:val="28"/>
                <w:szCs w:val="28"/>
              </w:rPr>
              <w:object w:dxaOrig="1440" w:dyaOrig="1440" w14:anchorId="4DE07C73">
                <v:shape id="_x0000_s1026" type="#_x0000_t75" alt="" style="position:absolute;margin-left:8.65pt;margin-top:2.7pt;width:132.6pt;height:72.25pt;z-index:251660288;mso-wrap-edited:f;mso-width-percent:0;mso-height-percent:0;mso-position-horizontal-relative:text;mso-position-vertical-relative:text;mso-width-percent:0;mso-height-percent:0" fillcolor="#4f81bd">
                  <v:imagedata r:id="rId11" o:title=""/>
                </v:shape>
                <o:OLEObject Type="Embed" ProgID="ISISServer" ShapeID="_x0000_s1026" DrawAspect="Content" ObjectID="_1680697659" r:id="rId12"/>
              </w:object>
            </w:r>
          </w:p>
          <w:p w14:paraId="1B19FC99" w14:textId="77777777" w:rsidR="00F05F4E" w:rsidRPr="001759D5" w:rsidRDefault="00F05F4E" w:rsidP="00AF759D">
            <w:pPr>
              <w:spacing w:line="360" w:lineRule="auto"/>
              <w:rPr>
                <w:sz w:val="28"/>
                <w:szCs w:val="28"/>
                <w:lang w:val="uk-UA"/>
              </w:rPr>
            </w:pPr>
          </w:p>
          <w:p w14:paraId="4EFC2E1B" w14:textId="77777777" w:rsidR="00F05F4E" w:rsidRPr="001759D5" w:rsidRDefault="00F05F4E" w:rsidP="00AF759D">
            <w:pPr>
              <w:spacing w:line="360" w:lineRule="auto"/>
              <w:rPr>
                <w:sz w:val="28"/>
                <w:szCs w:val="28"/>
                <w:lang w:val="uk-UA"/>
              </w:rPr>
            </w:pPr>
          </w:p>
        </w:tc>
        <w:tc>
          <w:tcPr>
            <w:tcW w:w="2042" w:type="dxa"/>
          </w:tcPr>
          <w:p w14:paraId="3B81A850" w14:textId="77777777" w:rsidR="00F05F4E" w:rsidRPr="001759D5" w:rsidRDefault="00F05F4E" w:rsidP="00AF759D">
            <w:pPr>
              <w:spacing w:line="360" w:lineRule="auto"/>
              <w:jc w:val="center"/>
              <w:rPr>
                <w:sz w:val="28"/>
                <w:szCs w:val="28"/>
                <w:lang w:val="uk-UA"/>
              </w:rPr>
            </w:pPr>
            <w:r w:rsidRPr="001759D5">
              <w:rPr>
                <w:sz w:val="28"/>
                <w:szCs w:val="28"/>
                <w:lang w:val="uk-UA"/>
              </w:rPr>
              <w:t xml:space="preserve">580 </w:t>
            </w:r>
          </w:p>
        </w:tc>
        <w:tc>
          <w:tcPr>
            <w:tcW w:w="918" w:type="dxa"/>
          </w:tcPr>
          <w:p w14:paraId="7822CB1E" w14:textId="77777777" w:rsidR="00F05F4E" w:rsidRPr="001759D5" w:rsidRDefault="00F05F4E" w:rsidP="00AF759D">
            <w:pPr>
              <w:spacing w:line="360" w:lineRule="auto"/>
              <w:jc w:val="center"/>
              <w:rPr>
                <w:sz w:val="28"/>
                <w:szCs w:val="28"/>
                <w:lang w:val="uk-UA"/>
              </w:rPr>
            </w:pPr>
            <w:r w:rsidRPr="001759D5">
              <w:rPr>
                <w:sz w:val="28"/>
                <w:szCs w:val="28"/>
                <w:lang w:val="uk-UA"/>
              </w:rPr>
              <w:t>168</w:t>
            </w:r>
            <w:r w:rsidRPr="001759D5">
              <w:rPr>
                <w:sz w:val="28"/>
                <w:szCs w:val="28"/>
                <w:lang w:val="uk-UA"/>
              </w:rPr>
              <w:br/>
            </w:r>
          </w:p>
        </w:tc>
      </w:tr>
      <w:tr w:rsidR="00F05F4E" w:rsidRPr="001759D5" w14:paraId="31EEFFC0" w14:textId="77777777" w:rsidTr="00AF759D">
        <w:trPr>
          <w:trHeight w:val="1169"/>
        </w:trPr>
        <w:tc>
          <w:tcPr>
            <w:tcW w:w="644" w:type="dxa"/>
          </w:tcPr>
          <w:p w14:paraId="0081E844" w14:textId="77777777" w:rsidR="00F05F4E" w:rsidRPr="001759D5" w:rsidRDefault="00F05F4E" w:rsidP="00AF759D">
            <w:pPr>
              <w:spacing w:line="360" w:lineRule="auto"/>
              <w:jc w:val="center"/>
              <w:rPr>
                <w:b/>
                <w:sz w:val="28"/>
                <w:szCs w:val="28"/>
                <w:lang w:val="uk-UA"/>
              </w:rPr>
            </w:pPr>
            <w:r w:rsidRPr="001759D5">
              <w:rPr>
                <w:b/>
                <w:sz w:val="28"/>
                <w:szCs w:val="28"/>
                <w:lang w:val="uk-UA"/>
              </w:rPr>
              <w:t>3</w:t>
            </w:r>
          </w:p>
        </w:tc>
        <w:tc>
          <w:tcPr>
            <w:tcW w:w="2672" w:type="dxa"/>
          </w:tcPr>
          <w:p w14:paraId="12B81853" w14:textId="77777777" w:rsidR="00F05F4E" w:rsidRPr="001759D5" w:rsidRDefault="00F05F4E" w:rsidP="00AF759D">
            <w:pPr>
              <w:spacing w:line="360" w:lineRule="auto"/>
              <w:rPr>
                <w:b/>
                <w:sz w:val="28"/>
                <w:szCs w:val="28"/>
                <w:lang w:val="uk-UA"/>
              </w:rPr>
            </w:pPr>
            <w:r w:rsidRPr="001759D5">
              <w:rPr>
                <w:sz w:val="28"/>
                <w:szCs w:val="28"/>
                <w:lang w:val="uk-UA"/>
              </w:rPr>
              <w:t>саліцилоїлгідразон бензальдегіду (СГБ)</w:t>
            </w:r>
          </w:p>
        </w:tc>
        <w:tc>
          <w:tcPr>
            <w:tcW w:w="3169" w:type="dxa"/>
          </w:tcPr>
          <w:p w14:paraId="3B89F4A8" w14:textId="77777777" w:rsidR="00F05F4E" w:rsidRPr="001759D5" w:rsidRDefault="00362209" w:rsidP="00AF759D">
            <w:pPr>
              <w:spacing w:line="360" w:lineRule="auto"/>
              <w:rPr>
                <w:b/>
                <w:sz w:val="28"/>
                <w:szCs w:val="28"/>
                <w:lang w:val="uk-UA"/>
              </w:rPr>
            </w:pPr>
            <w:r w:rsidRPr="00473445">
              <w:rPr>
                <w:noProof/>
                <w:sz w:val="28"/>
                <w:szCs w:val="28"/>
              </w:rPr>
              <w:object w:dxaOrig="3024" w:dyaOrig="1440" w14:anchorId="11F46890">
                <v:shape id="_x0000_i1031" type="#_x0000_t75" alt="" style="width:125.3pt;height:60.5pt;mso-width-percent:0;mso-height-percent:0;mso-width-percent:0;mso-height-percent:0" o:ole="">
                  <v:imagedata r:id="rId13" o:title=""/>
                </v:shape>
                <o:OLEObject Type="Embed" ProgID="ACD.ChemSketch.20" ShapeID="_x0000_i1031" DrawAspect="Content" ObjectID="_1680697654" r:id="rId14"/>
              </w:object>
            </w:r>
          </w:p>
        </w:tc>
        <w:tc>
          <w:tcPr>
            <w:tcW w:w="2042" w:type="dxa"/>
          </w:tcPr>
          <w:p w14:paraId="367BA178" w14:textId="77777777" w:rsidR="00F05F4E" w:rsidRPr="001759D5" w:rsidRDefault="00F05F4E" w:rsidP="00AF759D">
            <w:pPr>
              <w:tabs>
                <w:tab w:val="center" w:pos="918"/>
                <w:tab w:val="right" w:pos="1836"/>
              </w:tabs>
              <w:spacing w:line="360" w:lineRule="auto"/>
              <w:jc w:val="center"/>
              <w:rPr>
                <w:sz w:val="28"/>
                <w:szCs w:val="28"/>
                <w:lang w:val="uk-UA"/>
              </w:rPr>
            </w:pPr>
            <w:r w:rsidRPr="001759D5">
              <w:rPr>
                <w:sz w:val="28"/>
                <w:szCs w:val="28"/>
                <w:lang w:val="uk-UA"/>
              </w:rPr>
              <w:t>319</w:t>
            </w:r>
          </w:p>
        </w:tc>
        <w:tc>
          <w:tcPr>
            <w:tcW w:w="918" w:type="dxa"/>
          </w:tcPr>
          <w:p w14:paraId="3FEE3EE0" w14:textId="77777777" w:rsidR="00F05F4E" w:rsidRPr="001759D5" w:rsidRDefault="00F05F4E" w:rsidP="00AF759D">
            <w:pPr>
              <w:spacing w:line="360" w:lineRule="auto"/>
              <w:jc w:val="center"/>
              <w:rPr>
                <w:sz w:val="28"/>
                <w:szCs w:val="28"/>
                <w:lang w:val="uk-UA"/>
              </w:rPr>
            </w:pPr>
            <w:r w:rsidRPr="001759D5">
              <w:rPr>
                <w:sz w:val="28"/>
                <w:szCs w:val="28"/>
                <w:lang w:val="uk-UA"/>
              </w:rPr>
              <w:t>94</w:t>
            </w:r>
          </w:p>
        </w:tc>
      </w:tr>
      <w:tr w:rsidR="00F05F4E" w:rsidRPr="001759D5" w14:paraId="1B71E495" w14:textId="77777777" w:rsidTr="00AF759D">
        <w:trPr>
          <w:trHeight w:val="1223"/>
        </w:trPr>
        <w:tc>
          <w:tcPr>
            <w:tcW w:w="644" w:type="dxa"/>
          </w:tcPr>
          <w:p w14:paraId="38D64390" w14:textId="77777777" w:rsidR="00F05F4E" w:rsidRPr="001759D5" w:rsidRDefault="00F05F4E" w:rsidP="00AF759D">
            <w:pPr>
              <w:spacing w:line="360" w:lineRule="auto"/>
              <w:jc w:val="center"/>
              <w:rPr>
                <w:b/>
                <w:sz w:val="28"/>
                <w:szCs w:val="28"/>
                <w:lang w:val="uk-UA"/>
              </w:rPr>
            </w:pPr>
            <w:r w:rsidRPr="001759D5">
              <w:rPr>
                <w:b/>
                <w:sz w:val="28"/>
                <w:szCs w:val="28"/>
                <w:lang w:val="uk-UA"/>
              </w:rPr>
              <w:t>4</w:t>
            </w:r>
          </w:p>
        </w:tc>
        <w:tc>
          <w:tcPr>
            <w:tcW w:w="2672" w:type="dxa"/>
          </w:tcPr>
          <w:p w14:paraId="0EEACAD9" w14:textId="77777777" w:rsidR="00F05F4E" w:rsidRPr="001759D5" w:rsidRDefault="00F05F4E" w:rsidP="00AF759D">
            <w:pPr>
              <w:spacing w:line="360" w:lineRule="auto"/>
              <w:rPr>
                <w:b/>
                <w:sz w:val="28"/>
                <w:szCs w:val="28"/>
                <w:lang w:val="uk-UA"/>
              </w:rPr>
            </w:pPr>
            <w:r w:rsidRPr="001759D5">
              <w:rPr>
                <w:sz w:val="28"/>
                <w:szCs w:val="28"/>
                <w:lang w:val="uk-UA"/>
              </w:rPr>
              <w:t>саліцилоїлгідразон бромбензальдегіду (СГБр)</w:t>
            </w:r>
          </w:p>
        </w:tc>
        <w:tc>
          <w:tcPr>
            <w:tcW w:w="3169" w:type="dxa"/>
          </w:tcPr>
          <w:p w14:paraId="6074B102" w14:textId="77777777" w:rsidR="00F05F4E" w:rsidRPr="001759D5" w:rsidRDefault="00362209" w:rsidP="00AF759D">
            <w:pPr>
              <w:spacing w:line="360" w:lineRule="auto"/>
              <w:rPr>
                <w:b/>
                <w:sz w:val="28"/>
                <w:szCs w:val="28"/>
                <w:lang w:val="uk-UA"/>
              </w:rPr>
            </w:pPr>
            <w:r w:rsidRPr="00473445">
              <w:rPr>
                <w:noProof/>
                <w:sz w:val="28"/>
                <w:szCs w:val="28"/>
              </w:rPr>
              <w:object w:dxaOrig="2880" w:dyaOrig="1128" w14:anchorId="0CC3808A">
                <v:shape id="_x0000_i1030" type="#_x0000_t75" alt="" style="width:2in;height:57.6pt;mso-width-percent:0;mso-height-percent:0;mso-width-percent:0;mso-height-percent:0" o:ole="">
                  <v:imagedata r:id="rId15" o:title=""/>
                </v:shape>
                <o:OLEObject Type="Embed" ProgID="ACD.ChemSketch.20" ShapeID="_x0000_i1030" DrawAspect="Content" ObjectID="_1680697655" r:id="rId16"/>
              </w:object>
            </w:r>
          </w:p>
        </w:tc>
        <w:tc>
          <w:tcPr>
            <w:tcW w:w="2042" w:type="dxa"/>
          </w:tcPr>
          <w:p w14:paraId="77B7932F" w14:textId="77777777" w:rsidR="00F05F4E" w:rsidRPr="001759D5" w:rsidRDefault="00F05F4E" w:rsidP="00AF759D">
            <w:pPr>
              <w:spacing w:line="360" w:lineRule="auto"/>
              <w:jc w:val="center"/>
              <w:rPr>
                <w:sz w:val="28"/>
                <w:szCs w:val="28"/>
                <w:lang w:val="uk-UA"/>
              </w:rPr>
            </w:pPr>
            <w:r w:rsidRPr="001759D5">
              <w:rPr>
                <w:sz w:val="28"/>
                <w:szCs w:val="28"/>
                <w:lang w:val="uk-UA"/>
              </w:rPr>
              <w:t xml:space="preserve">320 </w:t>
            </w:r>
          </w:p>
        </w:tc>
        <w:tc>
          <w:tcPr>
            <w:tcW w:w="918" w:type="dxa"/>
          </w:tcPr>
          <w:p w14:paraId="58965CC5" w14:textId="77777777" w:rsidR="00F05F4E" w:rsidRPr="001759D5" w:rsidRDefault="00F05F4E" w:rsidP="00AF759D">
            <w:pPr>
              <w:spacing w:line="360" w:lineRule="auto"/>
              <w:jc w:val="center"/>
              <w:rPr>
                <w:b/>
                <w:sz w:val="28"/>
                <w:szCs w:val="28"/>
                <w:lang w:val="uk-UA"/>
              </w:rPr>
            </w:pPr>
            <w:r w:rsidRPr="001759D5">
              <w:rPr>
                <w:sz w:val="28"/>
                <w:szCs w:val="28"/>
                <w:lang w:val="uk-UA"/>
              </w:rPr>
              <w:t>93</w:t>
            </w:r>
          </w:p>
        </w:tc>
      </w:tr>
    </w:tbl>
    <w:p w14:paraId="0229FAEC" w14:textId="24C9CD53" w:rsidR="001759D5" w:rsidRPr="001759D5" w:rsidRDefault="001759D5" w:rsidP="001759D5">
      <w:pPr>
        <w:spacing w:line="360" w:lineRule="auto"/>
        <w:ind w:firstLine="630"/>
        <w:jc w:val="right"/>
        <w:rPr>
          <w:rFonts w:eastAsia="Calibri"/>
          <w:sz w:val="28"/>
          <w:szCs w:val="28"/>
          <w:lang w:val="uk-UA"/>
        </w:rPr>
      </w:pPr>
      <w:r w:rsidRPr="001759D5">
        <w:rPr>
          <w:rFonts w:eastAsia="Calibri"/>
          <w:sz w:val="28"/>
          <w:szCs w:val="28"/>
        </w:rPr>
        <w:lastRenderedPageBreak/>
        <w:t>Продовження табл</w:t>
      </w:r>
      <w:r w:rsidRPr="001759D5">
        <w:rPr>
          <w:rFonts w:eastAsia="Calibri"/>
          <w:sz w:val="28"/>
          <w:szCs w:val="28"/>
          <w:lang w:val="uk-UA"/>
        </w:rPr>
        <w:t>иці 2.2</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2672"/>
        <w:gridCol w:w="3169"/>
        <w:gridCol w:w="2042"/>
        <w:gridCol w:w="918"/>
      </w:tblGrid>
      <w:tr w:rsidR="001759D5" w:rsidRPr="001759D5" w14:paraId="0937BA10" w14:textId="77777777" w:rsidTr="001759D5">
        <w:trPr>
          <w:trHeight w:val="233"/>
        </w:trPr>
        <w:tc>
          <w:tcPr>
            <w:tcW w:w="644" w:type="dxa"/>
          </w:tcPr>
          <w:p w14:paraId="3B0222FC" w14:textId="77777777" w:rsidR="001759D5" w:rsidRPr="001759D5" w:rsidRDefault="001759D5" w:rsidP="001759D5">
            <w:pPr>
              <w:spacing w:line="360" w:lineRule="auto"/>
              <w:jc w:val="center"/>
              <w:rPr>
                <w:b/>
                <w:sz w:val="28"/>
                <w:szCs w:val="28"/>
                <w:lang w:val="uk-UA"/>
              </w:rPr>
            </w:pPr>
            <w:r>
              <w:rPr>
                <w:b/>
                <w:sz w:val="28"/>
                <w:szCs w:val="28"/>
                <w:lang w:val="uk-UA"/>
              </w:rPr>
              <w:t>1</w:t>
            </w:r>
          </w:p>
        </w:tc>
        <w:tc>
          <w:tcPr>
            <w:tcW w:w="2672" w:type="dxa"/>
          </w:tcPr>
          <w:p w14:paraId="5C04F882" w14:textId="77777777" w:rsidR="001759D5" w:rsidRPr="001759D5" w:rsidRDefault="001759D5" w:rsidP="001759D5">
            <w:pPr>
              <w:spacing w:line="360" w:lineRule="auto"/>
              <w:jc w:val="center"/>
              <w:rPr>
                <w:sz w:val="28"/>
                <w:szCs w:val="28"/>
                <w:lang w:val="uk-UA"/>
              </w:rPr>
            </w:pPr>
            <w:r>
              <w:rPr>
                <w:b/>
                <w:sz w:val="28"/>
                <w:szCs w:val="28"/>
                <w:lang w:val="uk-UA"/>
              </w:rPr>
              <w:t>2</w:t>
            </w:r>
          </w:p>
        </w:tc>
        <w:tc>
          <w:tcPr>
            <w:tcW w:w="3169" w:type="dxa"/>
          </w:tcPr>
          <w:p w14:paraId="45BE80B2" w14:textId="77777777" w:rsidR="001759D5" w:rsidRPr="001759D5" w:rsidRDefault="001759D5" w:rsidP="001759D5">
            <w:pPr>
              <w:spacing w:line="360" w:lineRule="auto"/>
              <w:jc w:val="center"/>
              <w:rPr>
                <w:sz w:val="28"/>
                <w:szCs w:val="28"/>
                <w:lang w:val="uk-UA"/>
              </w:rPr>
            </w:pPr>
            <w:r>
              <w:rPr>
                <w:b/>
                <w:sz w:val="28"/>
                <w:szCs w:val="28"/>
                <w:lang w:val="uk-UA"/>
              </w:rPr>
              <w:t>3</w:t>
            </w:r>
          </w:p>
        </w:tc>
        <w:tc>
          <w:tcPr>
            <w:tcW w:w="2042" w:type="dxa"/>
          </w:tcPr>
          <w:p w14:paraId="385C14F7" w14:textId="77777777" w:rsidR="001759D5" w:rsidRPr="001759D5" w:rsidRDefault="001759D5" w:rsidP="001759D5">
            <w:pPr>
              <w:spacing w:line="360" w:lineRule="auto"/>
              <w:jc w:val="center"/>
              <w:rPr>
                <w:sz w:val="28"/>
                <w:szCs w:val="28"/>
                <w:lang w:val="uk-UA"/>
              </w:rPr>
            </w:pPr>
            <w:r>
              <w:rPr>
                <w:b/>
                <w:sz w:val="28"/>
                <w:szCs w:val="28"/>
                <w:lang w:val="uk-UA"/>
              </w:rPr>
              <w:t>4</w:t>
            </w:r>
          </w:p>
        </w:tc>
        <w:tc>
          <w:tcPr>
            <w:tcW w:w="918" w:type="dxa"/>
          </w:tcPr>
          <w:p w14:paraId="3F9D1B93" w14:textId="77777777" w:rsidR="001759D5" w:rsidRPr="001759D5" w:rsidRDefault="001759D5" w:rsidP="001759D5">
            <w:pPr>
              <w:spacing w:line="360" w:lineRule="auto"/>
              <w:jc w:val="center"/>
              <w:rPr>
                <w:sz w:val="28"/>
                <w:szCs w:val="28"/>
                <w:lang w:val="uk-UA"/>
              </w:rPr>
            </w:pPr>
            <w:r>
              <w:rPr>
                <w:b/>
                <w:sz w:val="28"/>
                <w:szCs w:val="28"/>
                <w:lang w:val="uk-UA"/>
              </w:rPr>
              <w:t>5</w:t>
            </w:r>
          </w:p>
        </w:tc>
      </w:tr>
      <w:tr w:rsidR="001759D5" w:rsidRPr="001759D5" w14:paraId="4549F289" w14:textId="77777777" w:rsidTr="003D4179">
        <w:trPr>
          <w:trHeight w:val="1214"/>
        </w:trPr>
        <w:tc>
          <w:tcPr>
            <w:tcW w:w="644" w:type="dxa"/>
          </w:tcPr>
          <w:p w14:paraId="39E99B41" w14:textId="77777777" w:rsidR="001759D5" w:rsidRPr="001759D5" w:rsidRDefault="001759D5" w:rsidP="003D4179">
            <w:pPr>
              <w:spacing w:line="360" w:lineRule="auto"/>
              <w:jc w:val="center"/>
              <w:rPr>
                <w:b/>
                <w:sz w:val="28"/>
                <w:szCs w:val="28"/>
                <w:lang w:val="uk-UA"/>
              </w:rPr>
            </w:pPr>
            <w:r w:rsidRPr="001759D5">
              <w:rPr>
                <w:b/>
                <w:sz w:val="28"/>
                <w:szCs w:val="28"/>
                <w:lang w:val="uk-UA"/>
              </w:rPr>
              <w:t>5</w:t>
            </w:r>
          </w:p>
        </w:tc>
        <w:tc>
          <w:tcPr>
            <w:tcW w:w="2672" w:type="dxa"/>
          </w:tcPr>
          <w:p w14:paraId="51F5E33B" w14:textId="77777777" w:rsidR="001759D5" w:rsidRPr="001759D5" w:rsidRDefault="001759D5" w:rsidP="003D4179">
            <w:pPr>
              <w:spacing w:line="360" w:lineRule="auto"/>
              <w:rPr>
                <w:sz w:val="28"/>
                <w:szCs w:val="28"/>
                <w:lang w:val="uk-UA"/>
              </w:rPr>
            </w:pPr>
            <w:r w:rsidRPr="001759D5">
              <w:rPr>
                <w:sz w:val="28"/>
                <w:szCs w:val="28"/>
                <w:lang w:val="uk-UA"/>
              </w:rPr>
              <w:t>Бензальдегід (БА)</w:t>
            </w:r>
          </w:p>
        </w:tc>
        <w:tc>
          <w:tcPr>
            <w:tcW w:w="3169" w:type="dxa"/>
          </w:tcPr>
          <w:p w14:paraId="611B275F" w14:textId="77777777" w:rsidR="001759D5" w:rsidRPr="001759D5" w:rsidRDefault="001759D5" w:rsidP="003D4179">
            <w:pPr>
              <w:spacing w:line="360" w:lineRule="auto"/>
              <w:rPr>
                <w:b/>
                <w:sz w:val="28"/>
                <w:szCs w:val="28"/>
                <w:lang w:val="uk-UA"/>
              </w:rPr>
            </w:pPr>
            <w:r w:rsidRPr="001759D5">
              <w:rPr>
                <w:sz w:val="28"/>
                <w:szCs w:val="28"/>
                <w:lang w:val="uk-UA"/>
              </w:rPr>
              <w:t xml:space="preserve">               </w:t>
            </w:r>
            <w:r w:rsidR="00362209" w:rsidRPr="00473445">
              <w:rPr>
                <w:noProof/>
                <w:sz w:val="28"/>
                <w:szCs w:val="28"/>
              </w:rPr>
              <w:object w:dxaOrig="792" w:dyaOrig="1368" w14:anchorId="2E3B946D">
                <v:shape id="_x0000_i1029" type="#_x0000_t75" alt="" style="width:41.75pt;height:66.25pt;mso-width-percent:0;mso-height-percent:0;mso-width-percent:0;mso-height-percent:0" o:ole="">
                  <v:imagedata r:id="rId17" o:title=""/>
                </v:shape>
                <o:OLEObject Type="Embed" ProgID="ACD.ChemSketch.20" ShapeID="_x0000_i1029" DrawAspect="Content" ObjectID="_1680697656" r:id="rId18"/>
              </w:object>
            </w:r>
          </w:p>
        </w:tc>
        <w:tc>
          <w:tcPr>
            <w:tcW w:w="2042" w:type="dxa"/>
          </w:tcPr>
          <w:p w14:paraId="69C258A7" w14:textId="77777777" w:rsidR="001759D5" w:rsidRPr="001759D5" w:rsidRDefault="001759D5" w:rsidP="003D4179">
            <w:pPr>
              <w:spacing w:line="360" w:lineRule="auto"/>
              <w:jc w:val="center"/>
              <w:rPr>
                <w:sz w:val="28"/>
                <w:szCs w:val="28"/>
                <w:lang w:val="uk-UA"/>
              </w:rPr>
            </w:pPr>
            <w:r w:rsidRPr="001759D5">
              <w:rPr>
                <w:sz w:val="28"/>
                <w:szCs w:val="28"/>
                <w:lang w:val="uk-UA"/>
              </w:rPr>
              <w:t xml:space="preserve">106 </w:t>
            </w:r>
          </w:p>
        </w:tc>
        <w:tc>
          <w:tcPr>
            <w:tcW w:w="918" w:type="dxa"/>
          </w:tcPr>
          <w:p w14:paraId="5FCFE325" w14:textId="77777777" w:rsidR="001759D5" w:rsidRPr="001759D5" w:rsidRDefault="001759D5" w:rsidP="003D4179">
            <w:pPr>
              <w:spacing w:line="360" w:lineRule="auto"/>
              <w:jc w:val="center"/>
              <w:rPr>
                <w:sz w:val="28"/>
                <w:szCs w:val="28"/>
                <w:lang w:val="uk-UA"/>
              </w:rPr>
            </w:pPr>
            <w:r w:rsidRPr="001759D5">
              <w:rPr>
                <w:sz w:val="28"/>
                <w:szCs w:val="28"/>
                <w:lang w:val="uk-UA"/>
              </w:rPr>
              <w:t>31</w:t>
            </w:r>
          </w:p>
        </w:tc>
      </w:tr>
      <w:tr w:rsidR="001759D5" w:rsidRPr="001759D5" w14:paraId="7DC5630A" w14:textId="77777777" w:rsidTr="003D4179">
        <w:trPr>
          <w:trHeight w:val="1335"/>
        </w:trPr>
        <w:tc>
          <w:tcPr>
            <w:tcW w:w="644" w:type="dxa"/>
          </w:tcPr>
          <w:p w14:paraId="40EA416B" w14:textId="77777777" w:rsidR="001759D5" w:rsidRPr="001759D5" w:rsidRDefault="001759D5" w:rsidP="003D4179">
            <w:pPr>
              <w:spacing w:line="360" w:lineRule="auto"/>
              <w:jc w:val="center"/>
              <w:rPr>
                <w:b/>
                <w:sz w:val="28"/>
                <w:szCs w:val="28"/>
                <w:lang w:val="uk-UA"/>
              </w:rPr>
            </w:pPr>
            <w:r w:rsidRPr="001759D5">
              <w:rPr>
                <w:b/>
                <w:sz w:val="28"/>
                <w:szCs w:val="28"/>
                <w:lang w:val="uk-UA"/>
              </w:rPr>
              <w:t>6</w:t>
            </w:r>
          </w:p>
        </w:tc>
        <w:tc>
          <w:tcPr>
            <w:tcW w:w="2672" w:type="dxa"/>
          </w:tcPr>
          <w:p w14:paraId="75DC82EE" w14:textId="77777777" w:rsidR="001759D5" w:rsidRPr="001759D5" w:rsidRDefault="001759D5" w:rsidP="003D4179">
            <w:pPr>
              <w:spacing w:line="360" w:lineRule="auto"/>
              <w:jc w:val="center"/>
              <w:rPr>
                <w:sz w:val="28"/>
                <w:szCs w:val="28"/>
                <w:lang w:val="uk-UA"/>
              </w:rPr>
            </w:pPr>
            <w:r w:rsidRPr="001759D5">
              <w:rPr>
                <w:sz w:val="28"/>
                <w:szCs w:val="28"/>
                <w:lang w:val="uk-UA"/>
              </w:rPr>
              <w:t>4-бромбензальдегід (БрБА)</w:t>
            </w:r>
          </w:p>
        </w:tc>
        <w:tc>
          <w:tcPr>
            <w:tcW w:w="3169" w:type="dxa"/>
          </w:tcPr>
          <w:p w14:paraId="2797D53B" w14:textId="77777777" w:rsidR="001759D5" w:rsidRPr="001759D5" w:rsidRDefault="001759D5" w:rsidP="003D4179">
            <w:pPr>
              <w:spacing w:line="360" w:lineRule="auto"/>
              <w:rPr>
                <w:sz w:val="28"/>
                <w:szCs w:val="28"/>
                <w:lang w:val="uk-UA"/>
              </w:rPr>
            </w:pPr>
            <w:r w:rsidRPr="001759D5">
              <w:rPr>
                <w:sz w:val="28"/>
                <w:szCs w:val="28"/>
                <w:lang w:val="uk-UA"/>
              </w:rPr>
              <w:t xml:space="preserve">           </w:t>
            </w:r>
            <w:r w:rsidR="00362209" w:rsidRPr="00473445">
              <w:rPr>
                <w:noProof/>
                <w:sz w:val="28"/>
                <w:szCs w:val="28"/>
              </w:rPr>
              <w:object w:dxaOrig="744" w:dyaOrig="1440" w14:anchorId="75B8C11B">
                <v:shape id="_x0000_i1028" type="#_x0000_t75" alt="" style="width:41.75pt;height:1in;mso-width-percent:0;mso-height-percent:0;mso-width-percent:0;mso-height-percent:0" o:ole="">
                  <v:imagedata r:id="rId19" o:title=""/>
                </v:shape>
                <o:OLEObject Type="Embed" ProgID="ACD.ChemSketch.20" ShapeID="_x0000_i1028" DrawAspect="Content" ObjectID="_1680697657" r:id="rId20"/>
              </w:object>
            </w:r>
          </w:p>
        </w:tc>
        <w:tc>
          <w:tcPr>
            <w:tcW w:w="2042" w:type="dxa"/>
          </w:tcPr>
          <w:p w14:paraId="06DBFA26" w14:textId="77777777" w:rsidR="001759D5" w:rsidRPr="001759D5" w:rsidRDefault="001759D5" w:rsidP="003D4179">
            <w:pPr>
              <w:spacing w:line="360" w:lineRule="auto"/>
              <w:jc w:val="center"/>
              <w:rPr>
                <w:sz w:val="28"/>
                <w:szCs w:val="28"/>
                <w:lang w:val="uk-UA"/>
              </w:rPr>
            </w:pPr>
            <w:r w:rsidRPr="001759D5">
              <w:rPr>
                <w:sz w:val="28"/>
                <w:szCs w:val="28"/>
                <w:lang w:val="uk-UA"/>
              </w:rPr>
              <w:t xml:space="preserve">185 </w:t>
            </w:r>
          </w:p>
        </w:tc>
        <w:tc>
          <w:tcPr>
            <w:tcW w:w="918" w:type="dxa"/>
          </w:tcPr>
          <w:p w14:paraId="401842BF" w14:textId="77777777" w:rsidR="001759D5" w:rsidRPr="001759D5" w:rsidRDefault="001759D5" w:rsidP="003D4179">
            <w:pPr>
              <w:spacing w:line="360" w:lineRule="auto"/>
              <w:jc w:val="center"/>
              <w:rPr>
                <w:b/>
                <w:sz w:val="28"/>
                <w:szCs w:val="28"/>
                <w:lang w:val="uk-UA"/>
              </w:rPr>
            </w:pPr>
            <w:r w:rsidRPr="001759D5">
              <w:rPr>
                <w:sz w:val="28"/>
                <w:szCs w:val="28"/>
                <w:lang w:val="uk-UA"/>
              </w:rPr>
              <w:t>54</w:t>
            </w:r>
          </w:p>
        </w:tc>
      </w:tr>
      <w:tr w:rsidR="001759D5" w:rsidRPr="001759D5" w14:paraId="072BAA04" w14:textId="77777777" w:rsidTr="003D4179">
        <w:trPr>
          <w:trHeight w:val="620"/>
        </w:trPr>
        <w:tc>
          <w:tcPr>
            <w:tcW w:w="644" w:type="dxa"/>
          </w:tcPr>
          <w:p w14:paraId="187565AE" w14:textId="77777777" w:rsidR="001759D5" w:rsidRPr="001759D5" w:rsidRDefault="001759D5" w:rsidP="003D4179">
            <w:pPr>
              <w:spacing w:line="360" w:lineRule="auto"/>
              <w:jc w:val="center"/>
              <w:rPr>
                <w:b/>
                <w:sz w:val="28"/>
                <w:szCs w:val="28"/>
                <w:lang w:val="uk-UA"/>
              </w:rPr>
            </w:pPr>
            <w:r w:rsidRPr="001759D5">
              <w:rPr>
                <w:b/>
                <w:sz w:val="28"/>
                <w:szCs w:val="28"/>
                <w:lang w:val="uk-UA"/>
              </w:rPr>
              <w:t>7</w:t>
            </w:r>
          </w:p>
        </w:tc>
        <w:tc>
          <w:tcPr>
            <w:tcW w:w="2672" w:type="dxa"/>
          </w:tcPr>
          <w:p w14:paraId="6ACA7F2D" w14:textId="77777777" w:rsidR="001759D5" w:rsidRPr="001759D5" w:rsidRDefault="001759D5" w:rsidP="003D4179">
            <w:pPr>
              <w:spacing w:line="360" w:lineRule="auto"/>
              <w:jc w:val="center"/>
              <w:rPr>
                <w:b/>
                <w:sz w:val="28"/>
                <w:szCs w:val="28"/>
                <w:lang w:val="uk-UA"/>
              </w:rPr>
            </w:pPr>
            <w:r w:rsidRPr="001759D5">
              <w:rPr>
                <w:sz w:val="28"/>
                <w:szCs w:val="28"/>
                <w:lang w:val="uk-UA"/>
              </w:rPr>
              <w:t>хлорид олова (ІІ)</w:t>
            </w:r>
          </w:p>
        </w:tc>
        <w:tc>
          <w:tcPr>
            <w:tcW w:w="3169" w:type="dxa"/>
          </w:tcPr>
          <w:p w14:paraId="757DDFAD" w14:textId="77777777" w:rsidR="001759D5" w:rsidRPr="001759D5" w:rsidRDefault="001759D5" w:rsidP="003D4179">
            <w:pPr>
              <w:spacing w:line="360" w:lineRule="auto"/>
              <w:jc w:val="center"/>
              <w:rPr>
                <w:sz w:val="28"/>
                <w:szCs w:val="28"/>
                <w:lang w:val="en-US"/>
              </w:rPr>
            </w:pPr>
            <w:r w:rsidRPr="001759D5">
              <w:rPr>
                <w:sz w:val="28"/>
                <w:szCs w:val="28"/>
                <w:lang w:val="en-US"/>
              </w:rPr>
              <w:t>SnCl</w:t>
            </w:r>
            <w:r w:rsidRPr="001759D5">
              <w:rPr>
                <w:sz w:val="28"/>
                <w:szCs w:val="28"/>
                <w:vertAlign w:val="subscript"/>
                <w:lang w:val="en-US"/>
              </w:rPr>
              <w:t>2</w:t>
            </w:r>
          </w:p>
        </w:tc>
        <w:tc>
          <w:tcPr>
            <w:tcW w:w="2042" w:type="dxa"/>
          </w:tcPr>
          <w:p w14:paraId="78FAD346" w14:textId="77777777" w:rsidR="001759D5" w:rsidRPr="001759D5" w:rsidRDefault="001759D5" w:rsidP="003D4179">
            <w:pPr>
              <w:spacing w:line="360" w:lineRule="auto"/>
              <w:jc w:val="center"/>
              <w:rPr>
                <w:sz w:val="28"/>
                <w:szCs w:val="28"/>
                <w:lang w:val="uk-UA"/>
              </w:rPr>
            </w:pPr>
            <w:r w:rsidRPr="001759D5">
              <w:rPr>
                <w:sz w:val="28"/>
                <w:szCs w:val="28"/>
                <w:lang w:val="uk-UA"/>
              </w:rPr>
              <w:t xml:space="preserve">189 </w:t>
            </w:r>
          </w:p>
        </w:tc>
        <w:tc>
          <w:tcPr>
            <w:tcW w:w="918" w:type="dxa"/>
          </w:tcPr>
          <w:p w14:paraId="49882621" w14:textId="77777777" w:rsidR="001759D5" w:rsidRPr="001759D5" w:rsidRDefault="001759D5" w:rsidP="003D4179">
            <w:pPr>
              <w:spacing w:line="360" w:lineRule="auto"/>
              <w:jc w:val="center"/>
              <w:rPr>
                <w:b/>
                <w:sz w:val="28"/>
                <w:szCs w:val="28"/>
                <w:lang w:val="uk-UA"/>
              </w:rPr>
            </w:pPr>
            <w:r w:rsidRPr="001759D5">
              <w:rPr>
                <w:sz w:val="28"/>
                <w:szCs w:val="28"/>
                <w:lang w:val="uk-UA"/>
              </w:rPr>
              <w:t>56</w:t>
            </w:r>
          </w:p>
        </w:tc>
      </w:tr>
      <w:tr w:rsidR="001759D5" w:rsidRPr="001759D5" w14:paraId="00B76F51" w14:textId="77777777" w:rsidTr="003D4179">
        <w:trPr>
          <w:trHeight w:val="980"/>
        </w:trPr>
        <w:tc>
          <w:tcPr>
            <w:tcW w:w="644" w:type="dxa"/>
          </w:tcPr>
          <w:p w14:paraId="31260FC1" w14:textId="77777777" w:rsidR="001759D5" w:rsidRPr="001759D5" w:rsidRDefault="001759D5" w:rsidP="003D4179">
            <w:pPr>
              <w:spacing w:line="360" w:lineRule="auto"/>
              <w:jc w:val="center"/>
              <w:rPr>
                <w:b/>
                <w:sz w:val="28"/>
                <w:szCs w:val="28"/>
                <w:lang w:val="uk-UA"/>
              </w:rPr>
            </w:pPr>
            <w:r w:rsidRPr="001759D5">
              <w:rPr>
                <w:b/>
                <w:sz w:val="28"/>
                <w:szCs w:val="28"/>
                <w:lang w:val="uk-UA"/>
              </w:rPr>
              <w:t>8</w:t>
            </w:r>
          </w:p>
        </w:tc>
        <w:tc>
          <w:tcPr>
            <w:tcW w:w="2672" w:type="dxa"/>
          </w:tcPr>
          <w:p w14:paraId="1C3730B6" w14:textId="77777777" w:rsidR="001759D5" w:rsidRPr="001759D5" w:rsidRDefault="001759D5" w:rsidP="003D4179">
            <w:pPr>
              <w:spacing w:line="360" w:lineRule="auto"/>
              <w:jc w:val="center"/>
              <w:rPr>
                <w:b/>
                <w:sz w:val="28"/>
                <w:szCs w:val="28"/>
                <w:lang w:val="uk-UA"/>
              </w:rPr>
            </w:pPr>
            <w:r w:rsidRPr="001759D5">
              <w:rPr>
                <w:sz w:val="28"/>
                <w:szCs w:val="28"/>
                <w:lang w:val="uk-UA"/>
              </w:rPr>
              <w:t>саліцилова кислота (СК)</w:t>
            </w:r>
          </w:p>
        </w:tc>
        <w:tc>
          <w:tcPr>
            <w:tcW w:w="3169" w:type="dxa"/>
          </w:tcPr>
          <w:p w14:paraId="0C54888B" w14:textId="77777777" w:rsidR="001759D5" w:rsidRPr="001759D5" w:rsidRDefault="00362209" w:rsidP="003D4179">
            <w:pPr>
              <w:spacing w:line="360" w:lineRule="auto"/>
              <w:jc w:val="center"/>
              <w:rPr>
                <w:b/>
                <w:sz w:val="28"/>
                <w:szCs w:val="28"/>
                <w:lang w:val="uk-UA"/>
              </w:rPr>
            </w:pPr>
            <w:r w:rsidRPr="00473445">
              <w:rPr>
                <w:noProof/>
                <w:sz w:val="28"/>
                <w:szCs w:val="28"/>
              </w:rPr>
              <w:object w:dxaOrig="1320" w:dyaOrig="864" w14:anchorId="6F09804A">
                <v:shape id="_x0000_i1027" type="#_x0000_t75" alt="" style="width:66.25pt;height:48.95pt;mso-width-percent:0;mso-height-percent:0;mso-width-percent:0;mso-height-percent:0" o:ole="">
                  <v:imagedata r:id="rId21" o:title=""/>
                </v:shape>
                <o:OLEObject Type="Embed" ProgID="ACD.ChemSketch.20" ShapeID="_x0000_i1027" DrawAspect="Content" ObjectID="_1680697658" r:id="rId22"/>
              </w:object>
            </w:r>
          </w:p>
        </w:tc>
        <w:tc>
          <w:tcPr>
            <w:tcW w:w="2042" w:type="dxa"/>
          </w:tcPr>
          <w:p w14:paraId="2206E87B" w14:textId="77777777" w:rsidR="001759D5" w:rsidRPr="001759D5" w:rsidRDefault="001759D5" w:rsidP="003D4179">
            <w:pPr>
              <w:spacing w:line="360" w:lineRule="auto"/>
              <w:jc w:val="center"/>
              <w:rPr>
                <w:sz w:val="28"/>
                <w:szCs w:val="28"/>
                <w:lang w:val="uk-UA"/>
              </w:rPr>
            </w:pPr>
            <w:r w:rsidRPr="001759D5">
              <w:rPr>
                <w:sz w:val="28"/>
                <w:szCs w:val="28"/>
                <w:lang w:val="uk-UA"/>
              </w:rPr>
              <w:t xml:space="preserve">138 </w:t>
            </w:r>
          </w:p>
        </w:tc>
        <w:tc>
          <w:tcPr>
            <w:tcW w:w="918" w:type="dxa"/>
          </w:tcPr>
          <w:p w14:paraId="7E11820F" w14:textId="77777777" w:rsidR="001759D5" w:rsidRPr="001759D5" w:rsidRDefault="001759D5" w:rsidP="003D4179">
            <w:pPr>
              <w:spacing w:line="360" w:lineRule="auto"/>
              <w:jc w:val="center"/>
              <w:rPr>
                <w:b/>
                <w:sz w:val="28"/>
                <w:szCs w:val="28"/>
              </w:rPr>
            </w:pPr>
            <w:r w:rsidRPr="001759D5">
              <w:rPr>
                <w:sz w:val="28"/>
                <w:szCs w:val="28"/>
                <w:lang w:val="uk-UA"/>
              </w:rPr>
              <w:t>40</w:t>
            </w:r>
          </w:p>
        </w:tc>
      </w:tr>
    </w:tbl>
    <w:p w14:paraId="26B9A52B" w14:textId="77777777" w:rsidR="001759D5" w:rsidRDefault="001759D5" w:rsidP="00F05F4E">
      <w:pPr>
        <w:spacing w:line="360" w:lineRule="auto"/>
        <w:ind w:firstLine="630"/>
        <w:jc w:val="both"/>
        <w:rPr>
          <w:rFonts w:eastAsia="Calibri"/>
          <w:b/>
          <w:sz w:val="28"/>
          <w:szCs w:val="28"/>
        </w:rPr>
      </w:pPr>
    </w:p>
    <w:p w14:paraId="542B0208" w14:textId="10F9BC7C" w:rsidR="001759D5" w:rsidRPr="001759D5" w:rsidRDefault="00F05F4E" w:rsidP="001759D5">
      <w:pPr>
        <w:spacing w:line="360" w:lineRule="auto"/>
        <w:ind w:firstLine="630"/>
        <w:jc w:val="both"/>
        <w:rPr>
          <w:b/>
          <w:iCs/>
          <w:sz w:val="28"/>
          <w:szCs w:val="28"/>
          <w:lang w:val="uk-UA"/>
        </w:rPr>
      </w:pPr>
      <w:r w:rsidRPr="008A6B7D">
        <w:rPr>
          <w:b/>
          <w:iCs/>
          <w:sz w:val="28"/>
          <w:szCs w:val="28"/>
          <w:lang w:val="uk-UA"/>
        </w:rPr>
        <w:t>Характеристика сполук, що досліджувалися</w:t>
      </w:r>
    </w:p>
    <w:p w14:paraId="3FCA7277" w14:textId="3364083E" w:rsidR="00F05F4E" w:rsidRPr="008A6B7D" w:rsidRDefault="00F05F4E" w:rsidP="00F05F4E">
      <w:pPr>
        <w:spacing w:line="360" w:lineRule="auto"/>
        <w:ind w:firstLine="630"/>
        <w:jc w:val="both"/>
        <w:rPr>
          <w:sz w:val="28"/>
          <w:szCs w:val="28"/>
          <w:lang w:val="uk-UA"/>
        </w:rPr>
      </w:pPr>
      <w:r w:rsidRPr="008A6B7D">
        <w:rPr>
          <w:sz w:val="28"/>
          <w:szCs w:val="28"/>
          <w:lang w:val="uk-UA"/>
        </w:rPr>
        <w:t>Було вивчено</w:t>
      </w:r>
      <w:r w:rsidRPr="008A6B7D">
        <w:rPr>
          <w:rStyle w:val="a7"/>
          <w:sz w:val="28"/>
          <w:szCs w:val="28"/>
          <w:lang w:val="uk-UA"/>
        </w:rPr>
        <w:t xml:space="preserve"> К</w:t>
      </w:r>
      <w:r w:rsidRPr="008A6B7D">
        <w:rPr>
          <w:sz w:val="28"/>
          <w:szCs w:val="28"/>
          <w:lang w:val="uk-UA"/>
        </w:rPr>
        <w:t>омплексну сполуку І (комплекс S</w:t>
      </w:r>
      <w:r w:rsidRPr="008A6B7D">
        <w:rPr>
          <w:sz w:val="28"/>
          <w:szCs w:val="28"/>
          <w:lang w:val="en-US"/>
        </w:rPr>
        <w:t>n</w:t>
      </w:r>
      <w:r w:rsidRPr="008A6B7D">
        <w:rPr>
          <w:sz w:val="28"/>
          <w:szCs w:val="28"/>
          <w:lang w:val="uk-UA"/>
        </w:rPr>
        <w:t>C</w:t>
      </w:r>
      <w:r w:rsidRPr="008A6B7D">
        <w:rPr>
          <w:sz w:val="28"/>
          <w:szCs w:val="28"/>
          <w:lang w:val="en-US"/>
        </w:rPr>
        <w:t>l</w:t>
      </w:r>
      <w:r w:rsidRPr="008A6B7D">
        <w:rPr>
          <w:sz w:val="28"/>
          <w:szCs w:val="28"/>
          <w:vertAlign w:val="subscript"/>
          <w:lang w:val="uk-UA"/>
        </w:rPr>
        <w:t>4</w:t>
      </w:r>
      <w:r w:rsidRPr="008A6B7D">
        <w:rPr>
          <w:b/>
          <w:sz w:val="28"/>
          <w:szCs w:val="28"/>
          <w:lang w:val="uk-UA"/>
        </w:rPr>
        <w:t xml:space="preserve"> </w:t>
      </w:r>
      <w:r w:rsidRPr="008A6B7D">
        <w:rPr>
          <w:sz w:val="28"/>
          <w:szCs w:val="28"/>
          <w:lang w:val="uk-UA"/>
        </w:rPr>
        <w:t>з</w:t>
      </w:r>
      <w:r w:rsidRPr="008A6B7D">
        <w:rPr>
          <w:b/>
          <w:sz w:val="28"/>
          <w:szCs w:val="28"/>
          <w:lang w:val="uk-UA"/>
        </w:rPr>
        <w:t xml:space="preserve"> </w:t>
      </w:r>
      <w:r w:rsidRPr="008A6B7D">
        <w:rPr>
          <w:sz w:val="28"/>
          <w:szCs w:val="28"/>
          <w:lang w:val="uk-UA"/>
        </w:rPr>
        <w:t>саліцилоїлгідразоном бензальдегіду) і Комплексну сполуку ІІ (комплекс S</w:t>
      </w:r>
      <w:r w:rsidRPr="008A6B7D">
        <w:rPr>
          <w:sz w:val="28"/>
          <w:szCs w:val="28"/>
          <w:lang w:val="en-US"/>
        </w:rPr>
        <w:t>n</w:t>
      </w:r>
      <w:r w:rsidRPr="008A6B7D">
        <w:rPr>
          <w:sz w:val="28"/>
          <w:szCs w:val="28"/>
          <w:lang w:val="uk-UA"/>
        </w:rPr>
        <w:t>C</w:t>
      </w:r>
      <w:r w:rsidRPr="008A6B7D">
        <w:rPr>
          <w:sz w:val="28"/>
          <w:szCs w:val="28"/>
          <w:lang w:val="en-US"/>
        </w:rPr>
        <w:t>l</w:t>
      </w:r>
      <w:r w:rsidRPr="008A6B7D">
        <w:rPr>
          <w:sz w:val="28"/>
          <w:szCs w:val="28"/>
          <w:vertAlign w:val="subscript"/>
          <w:lang w:val="uk-UA"/>
        </w:rPr>
        <w:t>4</w:t>
      </w:r>
      <w:r w:rsidRPr="008A6B7D">
        <w:rPr>
          <w:b/>
          <w:sz w:val="28"/>
          <w:szCs w:val="28"/>
          <w:lang w:val="uk-UA"/>
        </w:rPr>
        <w:t xml:space="preserve"> </w:t>
      </w:r>
      <w:r w:rsidRPr="008A6B7D">
        <w:rPr>
          <w:sz w:val="28"/>
          <w:szCs w:val="28"/>
          <w:lang w:val="uk-UA"/>
        </w:rPr>
        <w:t>саліцилоїлгідразоном 4-бензальдегіду). Дані сполуки були синтезовані</w:t>
      </w:r>
      <w:r w:rsidRPr="008A6B7D">
        <w:rPr>
          <w:sz w:val="28"/>
          <w:szCs w:val="28"/>
          <w:vertAlign w:val="subscript"/>
          <w:lang w:val="uk-UA"/>
        </w:rPr>
        <w:t xml:space="preserve"> </w:t>
      </w:r>
      <w:r w:rsidRPr="008A6B7D">
        <w:rPr>
          <w:sz w:val="28"/>
          <w:szCs w:val="28"/>
          <w:lang w:val="uk-UA"/>
        </w:rPr>
        <w:t>на кафедрі загальної хімії та полімерів ОНУ ім. Мечнікова МОН України, д.х.н., проф. Сейфулліной І.Й. та доц., к.х.н.  Шматковою  Н. В. Дози комплексів розраховували виходячи із однакового вмісту залишку саліцилової кислоти у їх молекулах (для саліцилової кислоти 40 мг/кг) [1</w:t>
      </w:r>
      <w:r w:rsidR="00FE60C3" w:rsidRPr="008A6B7D">
        <w:rPr>
          <w:sz w:val="28"/>
          <w:szCs w:val="28"/>
          <w:lang w:val="uk-UA"/>
        </w:rPr>
        <w:t>4</w:t>
      </w:r>
      <w:r w:rsidR="00B85935" w:rsidRPr="008A6B7D">
        <w:rPr>
          <w:sz w:val="28"/>
          <w:szCs w:val="28"/>
          <w:lang w:val="uk-UA"/>
        </w:rPr>
        <w:t>7</w:t>
      </w:r>
      <w:r w:rsidRPr="008A6B7D">
        <w:rPr>
          <w:sz w:val="28"/>
          <w:szCs w:val="28"/>
          <w:lang w:val="uk-UA"/>
        </w:rPr>
        <w:t xml:space="preserve">]. </w:t>
      </w:r>
    </w:p>
    <w:p w14:paraId="54960FED" w14:textId="5BF71542" w:rsidR="00F05F4E" w:rsidRPr="008A6B7D" w:rsidRDefault="00F05F4E" w:rsidP="00F05F4E">
      <w:pPr>
        <w:spacing w:line="360" w:lineRule="auto"/>
        <w:ind w:firstLine="630"/>
        <w:jc w:val="both"/>
        <w:rPr>
          <w:sz w:val="28"/>
          <w:szCs w:val="28"/>
          <w:lang w:val="uk-UA"/>
        </w:rPr>
      </w:pPr>
      <w:r w:rsidRPr="008A6B7D">
        <w:rPr>
          <w:sz w:val="28"/>
          <w:szCs w:val="28"/>
          <w:lang w:val="uk-UA"/>
        </w:rPr>
        <w:t xml:space="preserve">Для вивчення вкладу складових у фармакологічну активність комплексів було використано наступні сполуки при пероральному введенні (табл 1), у вигляді твінової емульсії при пероральному введенні. Дози сполук, що вивчалися, для встановлення вкладу функціональних груп у фармакологічну структуру комплексів, було розраховано виходячи із еквімолярного співвідношення на масу комплексів. Саліцилова кислота (Sigma) у дозі </w:t>
      </w:r>
      <w:r w:rsidR="00821BED">
        <w:rPr>
          <w:sz w:val="28"/>
          <w:szCs w:val="28"/>
          <w:lang w:val="uk-UA"/>
        </w:rPr>
        <w:br/>
      </w:r>
      <w:r w:rsidRPr="008A6B7D">
        <w:rPr>
          <w:sz w:val="28"/>
          <w:szCs w:val="28"/>
          <w:lang w:val="uk-UA"/>
        </w:rPr>
        <w:t xml:space="preserve">40 мг/кг; хлорид олова (чда, ГОСТ 36-88) дозою 55 мг/кг, бензальдегід (чда, ГОСТ 157-78) дозою 31 мг/кг; 4-бромбензальдегід (чда, Укроргсінтез) дозою 54 мг/кг; саліцілоїлгідразон бензальдегіду (синтезовано Шматковою Н.В.) у </w:t>
      </w:r>
      <w:r w:rsidRPr="008A6B7D">
        <w:rPr>
          <w:sz w:val="28"/>
          <w:szCs w:val="28"/>
          <w:lang w:val="uk-UA"/>
        </w:rPr>
        <w:lastRenderedPageBreak/>
        <w:t>дозі 94 мг/кг; саліцилоїлгідразон бромбензальдегіду  (синтезовано Шматковою Н.В.) у дозі 92,6 мг/кг.</w:t>
      </w:r>
    </w:p>
    <w:p w14:paraId="1BEDE8FE" w14:textId="434C2A14" w:rsidR="00F05F4E" w:rsidRPr="008A6B7D" w:rsidRDefault="00F05F4E" w:rsidP="00F05F4E">
      <w:pPr>
        <w:pStyle w:val="a0"/>
        <w:spacing w:line="360" w:lineRule="auto"/>
        <w:ind w:left="0" w:firstLine="720"/>
        <w:jc w:val="both"/>
        <w:rPr>
          <w:sz w:val="28"/>
          <w:szCs w:val="28"/>
          <w:lang w:val="uk-UA" w:eastAsia="zh-CN"/>
        </w:rPr>
      </w:pPr>
      <w:r w:rsidRPr="008A6B7D">
        <w:rPr>
          <w:b/>
          <w:sz w:val="28"/>
          <w:szCs w:val="28"/>
          <w:lang w:val="uk-UA"/>
        </w:rPr>
        <w:t>Методика приготування м’якої лікарської форми.</w:t>
      </w:r>
      <w:r w:rsidRPr="008A6B7D">
        <w:rPr>
          <w:i/>
          <w:sz w:val="28"/>
          <w:szCs w:val="28"/>
          <w:lang w:val="uk-UA"/>
        </w:rPr>
        <w:t xml:space="preserve"> </w:t>
      </w:r>
      <w:r w:rsidRPr="008A6B7D">
        <w:rPr>
          <w:sz w:val="28"/>
          <w:szCs w:val="28"/>
          <w:lang w:val="uk-UA" w:eastAsia="zh-CN"/>
        </w:rPr>
        <w:t xml:space="preserve">Для місцевого введення комплексних сполук, що вивчалися, було важливим обрати основу з оптимальним складом, яка не буде вступати в реакцію з компонентами, матиме оптимальні реологічні властивості, нейтральну </w:t>
      </w:r>
      <w:r w:rsidRPr="008A6B7D">
        <w:rPr>
          <w:sz w:val="28"/>
          <w:szCs w:val="28"/>
          <w:lang w:val="en-US" w:eastAsia="zh-CN"/>
        </w:rPr>
        <w:t>pH</w:t>
      </w:r>
      <w:r w:rsidRPr="008A6B7D">
        <w:rPr>
          <w:sz w:val="28"/>
          <w:szCs w:val="28"/>
          <w:lang w:val="uk-UA" w:eastAsia="zh-CN"/>
        </w:rPr>
        <w:t xml:space="preserve"> та викликає </w:t>
      </w:r>
      <w:r w:rsidR="00821BED">
        <w:rPr>
          <w:sz w:val="28"/>
          <w:szCs w:val="28"/>
          <w:lang w:val="uk-UA" w:eastAsia="zh-CN"/>
        </w:rPr>
        <w:br/>
      </w:r>
      <w:r w:rsidRPr="008A6B7D">
        <w:rPr>
          <w:sz w:val="28"/>
          <w:szCs w:val="28"/>
          <w:lang w:val="uk-UA" w:eastAsia="zh-CN"/>
        </w:rPr>
        <w:t>будь-яких біологічних реакцій (алергія, сенсибілізація, подразнення) [1</w:t>
      </w:r>
      <w:r w:rsidR="00FE60C3" w:rsidRPr="008A6B7D">
        <w:rPr>
          <w:sz w:val="28"/>
          <w:szCs w:val="28"/>
          <w:lang w:val="uk-UA" w:eastAsia="zh-CN"/>
        </w:rPr>
        <w:t>4</w:t>
      </w:r>
      <w:r w:rsidR="00B85935" w:rsidRPr="008A6B7D">
        <w:rPr>
          <w:sz w:val="28"/>
          <w:szCs w:val="28"/>
          <w:lang w:val="uk-UA" w:eastAsia="zh-CN"/>
        </w:rPr>
        <w:t>8</w:t>
      </w:r>
      <w:r w:rsidRPr="008A6B7D">
        <w:rPr>
          <w:sz w:val="28"/>
          <w:szCs w:val="28"/>
          <w:lang w:val="uk-UA" w:eastAsia="zh-CN"/>
        </w:rPr>
        <w:t xml:space="preserve">]. </w:t>
      </w:r>
      <w:r w:rsidRPr="008A6B7D">
        <w:rPr>
          <w:sz w:val="28"/>
          <w:szCs w:val="28"/>
          <w:lang w:val="uk-UA"/>
        </w:rPr>
        <w:t xml:space="preserve">Поліетиленоксидна основа – добре розчиняє як гідрофільні, так і гідрофобні сполуки, попереджає розвиток мікроорганізмів. Поліетиленоксидні основи є гідрофільними, не викликають подразнення шкіри, не токсичні. Дані основи не одразу проникають у нижчі слої шкіри та легко змиваються з неї, проявляють осмотичний та дегідраційний ефект. Після ретельного аналізу літератури було обрано оптимальну основу наступного складу: поліетиленгліколь (ПЕГ)-1500, поліетиленоксид (ПЕО)–400, </w:t>
      </w:r>
      <w:r w:rsidR="00821BED">
        <w:rPr>
          <w:sz w:val="28"/>
          <w:szCs w:val="28"/>
          <w:lang w:val="uk-UA"/>
        </w:rPr>
        <w:br/>
      </w:r>
      <w:r w:rsidRPr="008A6B7D">
        <w:rPr>
          <w:sz w:val="28"/>
          <w:szCs w:val="28"/>
          <w:lang w:val="uk-UA"/>
        </w:rPr>
        <w:t>1,2-пропіленгліколь, яку готували шляхом сплавлення при температурі 60-70</w:t>
      </w:r>
      <w:r w:rsidRPr="008A6B7D">
        <w:rPr>
          <w:sz w:val="28"/>
          <w:szCs w:val="28"/>
          <w:lang w:val="uk-UA"/>
        </w:rPr>
        <w:sym w:font="Symbol" w:char="F0B0"/>
      </w:r>
      <w:r w:rsidRPr="008A6B7D">
        <w:rPr>
          <w:sz w:val="28"/>
          <w:szCs w:val="28"/>
          <w:lang w:val="uk-UA"/>
        </w:rPr>
        <w:t>С у співвідношенні компонентів 4:2:3. Усі сполуки, що вивчалися, готували у вигляді м’яких лікарських форм, що складають 2% кінцевої концентрації активної речовини за массою. На кінцівку миші наносили приблизно 10 мг мазі, яку легко втирали у шкірні покриви стопи.</w:t>
      </w:r>
    </w:p>
    <w:p w14:paraId="30299037" w14:textId="08125F9E" w:rsidR="00F05F4E" w:rsidRPr="008A6B7D" w:rsidRDefault="00F05F4E" w:rsidP="001759D5">
      <w:pPr>
        <w:spacing w:line="360" w:lineRule="auto"/>
        <w:ind w:firstLine="630"/>
        <w:jc w:val="both"/>
        <w:rPr>
          <w:sz w:val="28"/>
          <w:szCs w:val="28"/>
          <w:lang w:val="uk-UA"/>
        </w:rPr>
      </w:pPr>
      <w:r w:rsidRPr="008A6B7D">
        <w:rPr>
          <w:sz w:val="28"/>
          <w:szCs w:val="28"/>
          <w:lang w:val="uk-UA"/>
        </w:rPr>
        <w:t>Підбір доз референс-препаратів здійснювали відповідно до аналізу літературних джерел: амітриптилін (ТОВ «Дос. завод “ГНЦЛС”», Україна) (миші) - 20 мг/кг [1</w:t>
      </w:r>
      <w:r w:rsidR="00B85935" w:rsidRPr="008A6B7D">
        <w:rPr>
          <w:sz w:val="28"/>
          <w:szCs w:val="28"/>
          <w:lang w:val="uk-UA"/>
        </w:rPr>
        <w:t>49</w:t>
      </w:r>
      <w:r w:rsidRPr="008A6B7D">
        <w:rPr>
          <w:sz w:val="28"/>
          <w:szCs w:val="28"/>
          <w:lang w:val="uk-UA"/>
        </w:rPr>
        <w:t>]; вальпроєвої кислоти (</w:t>
      </w:r>
      <w:r w:rsidRPr="008A6B7D">
        <w:rPr>
          <w:color w:val="000000"/>
          <w:sz w:val="28"/>
          <w:szCs w:val="28"/>
          <w:lang w:val="uk-UA"/>
        </w:rPr>
        <w:t xml:space="preserve">ч.д.а, </w:t>
      </w:r>
      <w:r w:rsidRPr="008A6B7D">
        <w:rPr>
          <w:color w:val="000000"/>
          <w:sz w:val="28"/>
          <w:szCs w:val="28"/>
          <w:lang w:val="en-US"/>
        </w:rPr>
        <w:t>Mer</w:t>
      </w:r>
      <w:r w:rsidRPr="008A6B7D">
        <w:rPr>
          <w:color w:val="000000"/>
          <w:sz w:val="28"/>
          <w:szCs w:val="28"/>
          <w:lang w:val="uk-UA"/>
        </w:rPr>
        <w:t>с</w:t>
      </w:r>
      <w:r w:rsidRPr="008A6B7D">
        <w:rPr>
          <w:color w:val="000000"/>
          <w:sz w:val="28"/>
          <w:szCs w:val="28"/>
          <w:lang w:val="en-US"/>
        </w:rPr>
        <w:t>k</w:t>
      </w:r>
      <w:r w:rsidRPr="008A6B7D">
        <w:rPr>
          <w:color w:val="000000"/>
          <w:sz w:val="28"/>
          <w:szCs w:val="28"/>
          <w:lang w:val="uk-UA"/>
        </w:rPr>
        <w:t>, Німеччина</w:t>
      </w:r>
      <w:r w:rsidRPr="008A6B7D">
        <w:rPr>
          <w:sz w:val="28"/>
          <w:szCs w:val="28"/>
          <w:lang w:val="uk-UA"/>
        </w:rPr>
        <w:t>) (миші) – 400 мг/кг [1</w:t>
      </w:r>
      <w:r w:rsidR="00390008" w:rsidRPr="008A6B7D">
        <w:rPr>
          <w:sz w:val="28"/>
          <w:szCs w:val="28"/>
          <w:lang w:val="uk-UA"/>
        </w:rPr>
        <w:t>5</w:t>
      </w:r>
      <w:r w:rsidR="00B85935" w:rsidRPr="008A6B7D">
        <w:rPr>
          <w:sz w:val="28"/>
          <w:szCs w:val="28"/>
          <w:lang w:val="uk-UA"/>
        </w:rPr>
        <w:t>0</w:t>
      </w:r>
      <w:r w:rsidRPr="008A6B7D">
        <w:rPr>
          <w:sz w:val="28"/>
          <w:szCs w:val="28"/>
          <w:lang w:val="uk-UA"/>
        </w:rPr>
        <w:t>]; доза ібупрофену (SANDOZ, Словенія) (щури) – 15 мг/кг [1</w:t>
      </w:r>
      <w:r w:rsidR="00390008" w:rsidRPr="008A6B7D">
        <w:rPr>
          <w:sz w:val="28"/>
          <w:szCs w:val="28"/>
          <w:lang w:val="uk-UA"/>
        </w:rPr>
        <w:t>5</w:t>
      </w:r>
      <w:r w:rsidR="00B85935" w:rsidRPr="008A6B7D">
        <w:rPr>
          <w:sz w:val="28"/>
          <w:szCs w:val="28"/>
          <w:lang w:val="uk-UA"/>
        </w:rPr>
        <w:t>1</w:t>
      </w:r>
      <w:r w:rsidRPr="008A6B7D">
        <w:rPr>
          <w:sz w:val="28"/>
          <w:szCs w:val="28"/>
          <w:lang w:val="uk-UA"/>
        </w:rPr>
        <w:t xml:space="preserve">], </w:t>
      </w:r>
      <w:r w:rsidRPr="008A6B7D">
        <w:rPr>
          <w:color w:val="000000"/>
          <w:sz w:val="28"/>
          <w:szCs w:val="28"/>
          <w:lang w:val="uk-UA"/>
        </w:rPr>
        <w:t xml:space="preserve">фабомотізол («Афобазол» ОТСфарм, Росія) (миші) </w:t>
      </w:r>
      <w:r w:rsidRPr="008A6B7D">
        <w:rPr>
          <w:sz w:val="28"/>
          <w:szCs w:val="28"/>
          <w:lang w:val="uk-UA"/>
        </w:rPr>
        <w:t>– 5 мг/кг [1</w:t>
      </w:r>
      <w:r w:rsidR="00390008" w:rsidRPr="008A6B7D">
        <w:rPr>
          <w:sz w:val="28"/>
          <w:szCs w:val="28"/>
          <w:lang w:val="uk-UA"/>
        </w:rPr>
        <w:t>5</w:t>
      </w:r>
      <w:r w:rsidR="00B85935" w:rsidRPr="008A6B7D">
        <w:rPr>
          <w:sz w:val="28"/>
          <w:szCs w:val="28"/>
          <w:lang w:val="uk-UA"/>
        </w:rPr>
        <w:t>2</w:t>
      </w:r>
      <w:r w:rsidRPr="008A6B7D">
        <w:rPr>
          <w:sz w:val="28"/>
          <w:szCs w:val="28"/>
          <w:lang w:val="uk-UA"/>
        </w:rPr>
        <w:t>].</w:t>
      </w:r>
    </w:p>
    <w:p w14:paraId="023A8016" w14:textId="1C4679E2" w:rsidR="00F05F4E" w:rsidRPr="008A6B7D" w:rsidRDefault="00F05F4E" w:rsidP="00F05F4E">
      <w:pPr>
        <w:spacing w:line="360" w:lineRule="auto"/>
        <w:ind w:firstLine="630"/>
        <w:rPr>
          <w:b/>
          <w:sz w:val="28"/>
          <w:szCs w:val="28"/>
          <w:lang w:val="uk-UA"/>
        </w:rPr>
      </w:pPr>
      <w:r w:rsidRPr="008A6B7D">
        <w:rPr>
          <w:b/>
          <w:sz w:val="28"/>
          <w:szCs w:val="28"/>
          <w:lang w:val="uk-UA"/>
        </w:rPr>
        <w:t>2.</w:t>
      </w:r>
      <w:r w:rsidR="00C57D1F" w:rsidRPr="008A6B7D">
        <w:rPr>
          <w:b/>
          <w:sz w:val="28"/>
          <w:szCs w:val="28"/>
          <w:lang w:val="uk-UA"/>
        </w:rPr>
        <w:t>3</w:t>
      </w:r>
      <w:r w:rsidRPr="008A6B7D">
        <w:rPr>
          <w:b/>
          <w:sz w:val="28"/>
          <w:szCs w:val="28"/>
          <w:lang w:val="uk-UA"/>
        </w:rPr>
        <w:t xml:space="preserve"> Методи</w:t>
      </w:r>
      <w:r w:rsidR="00310514" w:rsidRPr="008A6B7D">
        <w:rPr>
          <w:b/>
          <w:sz w:val="28"/>
          <w:szCs w:val="28"/>
          <w:lang w:val="uk-UA"/>
        </w:rPr>
        <w:t xml:space="preserve"> </w:t>
      </w:r>
      <w:r w:rsidRPr="008A6B7D">
        <w:rPr>
          <w:b/>
          <w:sz w:val="28"/>
          <w:szCs w:val="28"/>
          <w:lang w:val="uk-UA"/>
        </w:rPr>
        <w:t xml:space="preserve"> дослідження фармакологічної активності сполук</w:t>
      </w:r>
      <w:r w:rsidR="00310514" w:rsidRPr="008A6B7D">
        <w:rPr>
          <w:b/>
          <w:sz w:val="28"/>
          <w:szCs w:val="28"/>
          <w:lang w:val="uk-UA"/>
        </w:rPr>
        <w:t xml:space="preserve"> </w:t>
      </w:r>
    </w:p>
    <w:p w14:paraId="1950882A" w14:textId="6E811F81" w:rsidR="00F05F4E" w:rsidRPr="008A6B7D" w:rsidRDefault="00F05F4E" w:rsidP="00F05F4E">
      <w:pPr>
        <w:spacing w:line="360" w:lineRule="auto"/>
        <w:rPr>
          <w:b/>
          <w:color w:val="000000" w:themeColor="text1"/>
          <w:sz w:val="28"/>
          <w:szCs w:val="28"/>
          <w:lang w:val="uk-UA"/>
        </w:rPr>
      </w:pPr>
      <w:r w:rsidRPr="008A6B7D">
        <w:rPr>
          <w:b/>
          <w:color w:val="000000" w:themeColor="text1"/>
          <w:sz w:val="28"/>
          <w:szCs w:val="28"/>
          <w:lang w:val="uk-UA"/>
        </w:rPr>
        <w:t>2.</w:t>
      </w:r>
      <w:r w:rsidR="00C57D1F" w:rsidRPr="008A6B7D">
        <w:rPr>
          <w:b/>
          <w:color w:val="000000" w:themeColor="text1"/>
          <w:sz w:val="28"/>
          <w:szCs w:val="28"/>
          <w:lang w:val="uk-UA"/>
        </w:rPr>
        <w:t>3</w:t>
      </w:r>
      <w:r w:rsidRPr="008A6B7D">
        <w:rPr>
          <w:b/>
          <w:color w:val="000000" w:themeColor="text1"/>
          <w:sz w:val="28"/>
          <w:szCs w:val="28"/>
          <w:lang w:val="uk-UA"/>
        </w:rPr>
        <w:t xml:space="preserve">.1. </w:t>
      </w:r>
      <w:r w:rsidR="00310514" w:rsidRPr="008A6B7D">
        <w:rPr>
          <w:b/>
          <w:color w:val="000000" w:themeColor="text1"/>
          <w:sz w:val="28"/>
          <w:szCs w:val="28"/>
          <w:lang w:val="uk-UA"/>
        </w:rPr>
        <w:t>К</w:t>
      </w:r>
      <w:r w:rsidRPr="008A6B7D">
        <w:rPr>
          <w:b/>
          <w:color w:val="000000" w:themeColor="text1"/>
          <w:sz w:val="28"/>
          <w:szCs w:val="28"/>
          <w:lang w:val="uk-UA"/>
        </w:rPr>
        <w:t>омп’ютерн</w:t>
      </w:r>
      <w:r w:rsidR="00310514" w:rsidRPr="008A6B7D">
        <w:rPr>
          <w:b/>
          <w:color w:val="000000" w:themeColor="text1"/>
          <w:sz w:val="28"/>
          <w:szCs w:val="28"/>
          <w:lang w:val="uk-UA"/>
        </w:rPr>
        <w:t>ий</w:t>
      </w:r>
      <w:r w:rsidRPr="008A6B7D">
        <w:rPr>
          <w:b/>
          <w:color w:val="000000" w:themeColor="text1"/>
          <w:sz w:val="28"/>
          <w:szCs w:val="28"/>
          <w:lang w:val="uk-UA"/>
        </w:rPr>
        <w:t xml:space="preserve"> прогноз</w:t>
      </w:r>
      <w:r w:rsidR="00310514" w:rsidRPr="008A6B7D">
        <w:rPr>
          <w:b/>
          <w:color w:val="000000" w:themeColor="text1"/>
          <w:sz w:val="28"/>
          <w:szCs w:val="28"/>
          <w:lang w:val="uk-UA"/>
        </w:rPr>
        <w:t xml:space="preserve"> </w:t>
      </w:r>
      <w:r w:rsidRPr="008A6B7D">
        <w:rPr>
          <w:b/>
          <w:color w:val="000000" w:themeColor="text1"/>
          <w:sz w:val="28"/>
          <w:szCs w:val="28"/>
          <w:lang w:val="uk-UA"/>
        </w:rPr>
        <w:t xml:space="preserve">біологічної активності </w:t>
      </w:r>
    </w:p>
    <w:p w14:paraId="41846144" w14:textId="43EAD616" w:rsidR="00F05F4E" w:rsidRPr="008A6B7D" w:rsidRDefault="00F05F4E" w:rsidP="00F05F4E">
      <w:pPr>
        <w:spacing w:line="360" w:lineRule="auto"/>
        <w:ind w:firstLine="630"/>
        <w:jc w:val="both"/>
        <w:rPr>
          <w:color w:val="000000" w:themeColor="text1"/>
          <w:sz w:val="28"/>
          <w:szCs w:val="28"/>
          <w:lang w:val="uk-UA"/>
        </w:rPr>
      </w:pPr>
      <w:r w:rsidRPr="008A6B7D">
        <w:rPr>
          <w:color w:val="000000" w:themeColor="text1"/>
          <w:sz w:val="28"/>
          <w:szCs w:val="28"/>
          <w:lang w:val="uk-UA"/>
        </w:rPr>
        <w:t xml:space="preserve">PASS - це веб-програмне забезпечення, яке використовується для прогнозування спектру біологічної активності біологічно активних сполук на основі їх структури. Інструмент прогнозування використовує двовимірну структуру сполук, як основний, і передбачає активність навіть тих сполук, які </w:t>
      </w:r>
      <w:r w:rsidRPr="008A6B7D">
        <w:rPr>
          <w:color w:val="000000" w:themeColor="text1"/>
          <w:sz w:val="28"/>
          <w:szCs w:val="28"/>
          <w:lang w:val="uk-UA"/>
        </w:rPr>
        <w:lastRenderedPageBreak/>
        <w:t>ще не синтезовані та хімічно не випробувані, тобто доступна лише інформація про їх структурну формулу [</w:t>
      </w:r>
      <w:r w:rsidR="00390008" w:rsidRPr="008A6B7D">
        <w:rPr>
          <w:color w:val="000000" w:themeColor="text1"/>
          <w:sz w:val="28"/>
          <w:szCs w:val="28"/>
          <w:lang w:val="uk-UA"/>
        </w:rPr>
        <w:t>15</w:t>
      </w:r>
      <w:r w:rsidR="00B85935" w:rsidRPr="008A6B7D">
        <w:rPr>
          <w:color w:val="000000" w:themeColor="text1"/>
          <w:sz w:val="28"/>
          <w:szCs w:val="28"/>
          <w:lang w:val="uk-UA"/>
        </w:rPr>
        <w:t>3</w:t>
      </w:r>
      <w:r w:rsidRPr="008A6B7D">
        <w:rPr>
          <w:color w:val="000000" w:themeColor="text1"/>
          <w:sz w:val="28"/>
          <w:szCs w:val="28"/>
          <w:lang w:val="uk-UA"/>
        </w:rPr>
        <w:t xml:space="preserve">]. </w:t>
      </w:r>
    </w:p>
    <w:p w14:paraId="0E944C6A" w14:textId="30F77692" w:rsidR="00F05F4E" w:rsidRPr="008A6B7D" w:rsidRDefault="00F05F4E" w:rsidP="00F05F4E">
      <w:pPr>
        <w:spacing w:line="360" w:lineRule="auto"/>
        <w:ind w:firstLine="630"/>
        <w:jc w:val="both"/>
        <w:rPr>
          <w:color w:val="000000" w:themeColor="text1"/>
          <w:sz w:val="28"/>
          <w:szCs w:val="28"/>
          <w:lang w:val="uk-UA"/>
        </w:rPr>
      </w:pPr>
      <w:r w:rsidRPr="008A6B7D">
        <w:rPr>
          <w:color w:val="000000" w:themeColor="text1"/>
          <w:sz w:val="28"/>
          <w:szCs w:val="28"/>
          <w:lang w:val="uk-UA"/>
        </w:rPr>
        <w:t>Отже, порівняння структури, яка може бути досліджена, із структурами, які є базі даних програмного забезпечення, надають спектр активності для досліджуваної сполуки. Для отримання очікуваного профілю біологічної активності сполуки необхідна виключно структурна/молекулярна формула, тому прогнозування можливо навіть для таких віртуальних структур, що розроблені в комп'ютері, але ще не синтезовані.</w:t>
      </w:r>
      <w:r w:rsidRPr="008A6B7D">
        <w:rPr>
          <w:sz w:val="28"/>
          <w:szCs w:val="28"/>
        </w:rPr>
        <w:t xml:space="preserve"> </w:t>
      </w:r>
      <w:r w:rsidRPr="008A6B7D">
        <w:rPr>
          <w:color w:val="000000" w:themeColor="text1"/>
          <w:sz w:val="28"/>
          <w:szCs w:val="28"/>
          <w:lang w:val="uk-UA"/>
        </w:rPr>
        <w:t xml:space="preserve">PASS Online надає можливість передбачити понад 4000 різних видів біологічної активності, які включають терапевтичні, токсичні, несприятливі ефекти, ферментну взаємодію, механізми дії тощо. База даних програми PASS зберігає понад </w:t>
      </w:r>
      <w:r w:rsidR="00821BED">
        <w:rPr>
          <w:color w:val="000000" w:themeColor="text1"/>
          <w:sz w:val="28"/>
          <w:szCs w:val="28"/>
          <w:lang w:val="uk-UA"/>
        </w:rPr>
        <w:br/>
      </w:r>
      <w:r w:rsidRPr="008A6B7D">
        <w:rPr>
          <w:color w:val="000000" w:themeColor="text1"/>
          <w:sz w:val="28"/>
          <w:szCs w:val="28"/>
          <w:lang w:val="uk-UA"/>
        </w:rPr>
        <w:t>180000 біологічно активних сполук і постійно оновлюється та повторно зберігається</w:t>
      </w:r>
      <w:r w:rsidRPr="008A6B7D">
        <w:rPr>
          <w:color w:val="000000" w:themeColor="text1"/>
          <w:sz w:val="28"/>
          <w:szCs w:val="28"/>
        </w:rPr>
        <w:t xml:space="preserve"> [</w:t>
      </w:r>
      <w:r w:rsidR="00390008" w:rsidRPr="008A6B7D">
        <w:rPr>
          <w:color w:val="000000" w:themeColor="text1"/>
          <w:sz w:val="28"/>
          <w:szCs w:val="28"/>
        </w:rPr>
        <w:t>1</w:t>
      </w:r>
      <w:r w:rsidR="00FE60C3" w:rsidRPr="008A6B7D">
        <w:rPr>
          <w:color w:val="000000" w:themeColor="text1"/>
          <w:sz w:val="28"/>
          <w:szCs w:val="28"/>
        </w:rPr>
        <w:t>5</w:t>
      </w:r>
      <w:r w:rsidR="00B85935" w:rsidRPr="008A6B7D">
        <w:rPr>
          <w:color w:val="000000" w:themeColor="text1"/>
          <w:sz w:val="28"/>
          <w:szCs w:val="28"/>
        </w:rPr>
        <w:t>4</w:t>
      </w:r>
      <w:r w:rsidRPr="008A6B7D">
        <w:rPr>
          <w:color w:val="000000" w:themeColor="text1"/>
          <w:sz w:val="28"/>
          <w:szCs w:val="28"/>
        </w:rPr>
        <w:t>]</w:t>
      </w:r>
      <w:r w:rsidRPr="008A6B7D">
        <w:rPr>
          <w:color w:val="000000" w:themeColor="text1"/>
          <w:sz w:val="28"/>
          <w:szCs w:val="28"/>
          <w:lang w:val="uk-UA"/>
        </w:rPr>
        <w:t>. Це допомагає одночасно прогнозувати понад 780 фармакологічних ефектів та механізмів досліджуваних сполук залежно від 2D-структури вхідної молекули. Можливість онлайн-програми PASS для прогнозування охоплює понад 3678 фармакологічних ефектів, токсичності та механізмів лікарських засобів.</w:t>
      </w:r>
    </w:p>
    <w:p w14:paraId="3D2CACAE" w14:textId="110727EA" w:rsidR="00A55657" w:rsidRPr="001759D5" w:rsidRDefault="00F05F4E" w:rsidP="00F05F4E">
      <w:pPr>
        <w:spacing w:line="360" w:lineRule="auto"/>
        <w:jc w:val="both"/>
        <w:rPr>
          <w:sz w:val="28"/>
          <w:szCs w:val="28"/>
          <w:lang w:val="uk-UA"/>
        </w:rPr>
      </w:pPr>
      <w:r w:rsidRPr="008A6B7D">
        <w:rPr>
          <w:color w:val="000000" w:themeColor="text1"/>
          <w:sz w:val="28"/>
          <w:szCs w:val="28"/>
          <w:lang w:val="uk-UA"/>
        </w:rPr>
        <w:t xml:space="preserve">PASS прогнозування відображає біологічну активність (включаючи фармакотерапевтичні/токсичні ефекти) вхідної 2D-структури як результат прогнозування співвідношень ймовірності Pa : Pi (імовірність </w:t>
      </w:r>
      <w:r w:rsidR="00821BED">
        <w:rPr>
          <w:color w:val="000000" w:themeColor="text1"/>
          <w:sz w:val="28"/>
          <w:szCs w:val="28"/>
          <w:lang w:val="uk-UA"/>
        </w:rPr>
        <w:br/>
      </w:r>
      <w:r w:rsidRPr="008A6B7D">
        <w:rPr>
          <w:color w:val="000000" w:themeColor="text1"/>
          <w:sz w:val="28"/>
          <w:szCs w:val="28"/>
          <w:lang w:val="uk-UA"/>
        </w:rPr>
        <w:t xml:space="preserve">активності : імовірність неактивності), отже, наводить список у порядку видів їх найвищих активностей. </w:t>
      </w:r>
      <w:r w:rsidRPr="008A6B7D">
        <w:rPr>
          <w:color w:val="000000" w:themeColor="text1"/>
          <w:sz w:val="28"/>
          <w:szCs w:val="28"/>
        </w:rPr>
        <w:t>У раз</w:t>
      </w:r>
      <w:r w:rsidRPr="008A6B7D">
        <w:rPr>
          <w:color w:val="000000" w:themeColor="text1"/>
          <w:sz w:val="28"/>
          <w:szCs w:val="28"/>
          <w:lang w:val="uk-UA"/>
        </w:rPr>
        <w:t>і, коли значення Pa</w:t>
      </w:r>
      <w:r w:rsidRPr="008A6B7D">
        <w:rPr>
          <w:sz w:val="28"/>
          <w:szCs w:val="28"/>
          <w:lang w:val="uk-UA"/>
        </w:rPr>
        <w:t xml:space="preserve"> </w:t>
      </w:r>
      <w:r w:rsidRPr="008A6B7D">
        <w:rPr>
          <w:color w:val="000000"/>
          <w:sz w:val="28"/>
          <w:szCs w:val="28"/>
          <w:shd w:val="clear" w:color="auto" w:fill="FFFFFF"/>
        </w:rPr>
        <w:t>&gt; 0.7</w:t>
      </w:r>
      <w:r w:rsidRPr="008A6B7D">
        <w:rPr>
          <w:color w:val="000000"/>
          <w:sz w:val="28"/>
          <w:szCs w:val="28"/>
          <w:shd w:val="clear" w:color="auto" w:fill="FFFFFF"/>
          <w:lang w:val="uk-UA"/>
        </w:rPr>
        <w:t xml:space="preserve">, це може свідчити як про високу ймовірність наявності даної активності, так і про подібність структури до вже існуючих лікарських засобів. У випадку, коли 0.5 &lt; </w:t>
      </w:r>
      <w:r w:rsidRPr="008A6B7D">
        <w:rPr>
          <w:color w:val="000000"/>
          <w:sz w:val="28"/>
          <w:szCs w:val="28"/>
          <w:shd w:val="clear" w:color="auto" w:fill="FFFFFF"/>
        </w:rPr>
        <w:t>Pa</w:t>
      </w:r>
      <w:r w:rsidRPr="008A6B7D">
        <w:rPr>
          <w:color w:val="000000"/>
          <w:sz w:val="28"/>
          <w:szCs w:val="28"/>
          <w:shd w:val="clear" w:color="auto" w:fill="FFFFFF"/>
          <w:lang w:val="uk-UA"/>
        </w:rPr>
        <w:t xml:space="preserve"> &lt; 0.7 ймовірність наявності даної активності є нижчою, але це також може свідчити про те, що досліджувана сполука не має фармацевтичних аналогів. Якщо показники </w:t>
      </w:r>
      <w:r w:rsidR="00821BED">
        <w:rPr>
          <w:color w:val="000000"/>
          <w:sz w:val="28"/>
          <w:szCs w:val="28"/>
          <w:shd w:val="clear" w:color="auto" w:fill="FFFFFF"/>
          <w:lang w:val="uk-UA"/>
        </w:rPr>
        <w:br/>
      </w:r>
      <w:r w:rsidRPr="008A6B7D">
        <w:rPr>
          <w:color w:val="000000"/>
          <w:sz w:val="28"/>
          <w:szCs w:val="28"/>
          <w:shd w:val="clear" w:color="auto" w:fill="FFFFFF"/>
        </w:rPr>
        <w:t>Pa &lt; 0.5</w:t>
      </w:r>
      <w:r w:rsidRPr="008A6B7D">
        <w:rPr>
          <w:color w:val="000000"/>
          <w:sz w:val="28"/>
          <w:szCs w:val="28"/>
          <w:shd w:val="clear" w:color="auto" w:fill="FFFFFF"/>
          <w:lang w:val="uk-UA"/>
        </w:rPr>
        <w:t xml:space="preserve">, можливість встановити дану активність в експерименті є істотно нижчою, але це також може свідчити про радикально нову сполуку, що не має аналогів </w:t>
      </w:r>
      <w:r w:rsidRPr="008A6B7D">
        <w:rPr>
          <w:sz w:val="28"/>
          <w:szCs w:val="28"/>
          <w:lang w:val="uk-UA"/>
        </w:rPr>
        <w:t>[</w:t>
      </w:r>
      <w:r w:rsidR="00390008" w:rsidRPr="008A6B7D">
        <w:rPr>
          <w:sz w:val="28"/>
          <w:szCs w:val="28"/>
          <w:lang w:val="uk-UA"/>
        </w:rPr>
        <w:t>1</w:t>
      </w:r>
      <w:r w:rsidR="00FE60C3" w:rsidRPr="008A6B7D">
        <w:rPr>
          <w:sz w:val="28"/>
          <w:szCs w:val="28"/>
          <w:lang w:val="uk-UA"/>
        </w:rPr>
        <w:t>5</w:t>
      </w:r>
      <w:r w:rsidR="00B85935" w:rsidRPr="008A6B7D">
        <w:rPr>
          <w:sz w:val="28"/>
          <w:szCs w:val="28"/>
        </w:rPr>
        <w:t>5</w:t>
      </w:r>
      <w:r w:rsidRPr="008A6B7D">
        <w:rPr>
          <w:sz w:val="28"/>
          <w:szCs w:val="28"/>
          <w:lang w:val="uk-UA"/>
        </w:rPr>
        <w:t>].</w:t>
      </w:r>
    </w:p>
    <w:p w14:paraId="48E8967F" w14:textId="28AFF2BA" w:rsidR="00F05F4E" w:rsidRPr="008A6B7D" w:rsidRDefault="00F05F4E" w:rsidP="00F05F4E">
      <w:pPr>
        <w:spacing w:line="360" w:lineRule="auto"/>
        <w:ind w:firstLine="630"/>
        <w:rPr>
          <w:b/>
          <w:color w:val="000000" w:themeColor="text1"/>
          <w:sz w:val="28"/>
          <w:szCs w:val="28"/>
          <w:lang w:val="uk-UA"/>
        </w:rPr>
      </w:pPr>
      <w:r w:rsidRPr="008A6B7D">
        <w:rPr>
          <w:b/>
          <w:color w:val="000000" w:themeColor="text1"/>
          <w:sz w:val="28"/>
          <w:szCs w:val="28"/>
          <w:lang w:val="uk-UA"/>
        </w:rPr>
        <w:lastRenderedPageBreak/>
        <w:t>2.</w:t>
      </w:r>
      <w:r w:rsidR="00C57D1F" w:rsidRPr="008A6B7D">
        <w:rPr>
          <w:b/>
          <w:color w:val="000000" w:themeColor="text1"/>
          <w:sz w:val="28"/>
          <w:szCs w:val="28"/>
          <w:lang w:val="uk-UA"/>
        </w:rPr>
        <w:t>3</w:t>
      </w:r>
      <w:r w:rsidRPr="008A6B7D">
        <w:rPr>
          <w:b/>
          <w:color w:val="000000" w:themeColor="text1"/>
          <w:sz w:val="28"/>
          <w:szCs w:val="28"/>
          <w:lang w:val="uk-UA"/>
        </w:rPr>
        <w:t>.2 Дослідження гострої токсичності</w:t>
      </w:r>
    </w:p>
    <w:p w14:paraId="1DE2532A" w14:textId="75E95497" w:rsidR="00F05F4E" w:rsidRPr="008A6B7D" w:rsidRDefault="00F05F4E" w:rsidP="00F05F4E">
      <w:pPr>
        <w:spacing w:line="360" w:lineRule="auto"/>
        <w:ind w:firstLine="630"/>
        <w:jc w:val="both"/>
        <w:rPr>
          <w:color w:val="000000" w:themeColor="text1"/>
          <w:sz w:val="28"/>
          <w:szCs w:val="28"/>
          <w:lang w:val="uk-UA"/>
        </w:rPr>
      </w:pPr>
      <w:r w:rsidRPr="008A6B7D">
        <w:rPr>
          <w:color w:val="000000" w:themeColor="text1"/>
          <w:sz w:val="28"/>
          <w:szCs w:val="28"/>
          <w:lang w:val="uk-UA"/>
        </w:rPr>
        <w:t>Оцінку результатів та визначення середньої летальної дозі (ЛД</w:t>
      </w:r>
      <w:r w:rsidRPr="008A6B7D">
        <w:rPr>
          <w:color w:val="000000" w:themeColor="text1"/>
          <w:sz w:val="28"/>
          <w:szCs w:val="28"/>
          <w:vertAlign w:val="subscript"/>
          <w:lang w:val="uk-UA"/>
        </w:rPr>
        <w:t>50</w:t>
      </w:r>
      <w:r w:rsidRPr="008A6B7D">
        <w:rPr>
          <w:color w:val="000000" w:themeColor="text1"/>
          <w:sz w:val="28"/>
          <w:szCs w:val="28"/>
          <w:lang w:val="uk-UA"/>
        </w:rPr>
        <w:t xml:space="preserve">) проводили за методом Прозоровського </w:t>
      </w:r>
      <w:r w:rsidRPr="008A6B7D">
        <w:rPr>
          <w:color w:val="000000" w:themeColor="text1"/>
          <w:sz w:val="28"/>
          <w:szCs w:val="28"/>
        </w:rPr>
        <w:t>[</w:t>
      </w:r>
      <w:r w:rsidR="00390008" w:rsidRPr="008A6B7D">
        <w:rPr>
          <w:color w:val="000000" w:themeColor="text1"/>
          <w:sz w:val="28"/>
          <w:szCs w:val="28"/>
        </w:rPr>
        <w:t>1</w:t>
      </w:r>
      <w:r w:rsidR="00FE60C3" w:rsidRPr="008A6B7D">
        <w:rPr>
          <w:color w:val="000000" w:themeColor="text1"/>
          <w:sz w:val="28"/>
          <w:szCs w:val="28"/>
        </w:rPr>
        <w:t>5</w:t>
      </w:r>
      <w:r w:rsidR="00B85935" w:rsidRPr="008A6B7D">
        <w:rPr>
          <w:color w:val="000000" w:themeColor="text1"/>
          <w:sz w:val="28"/>
          <w:szCs w:val="28"/>
        </w:rPr>
        <w:t>6</w:t>
      </w:r>
      <w:r w:rsidRPr="008A6B7D">
        <w:rPr>
          <w:color w:val="000000" w:themeColor="text1"/>
          <w:sz w:val="28"/>
          <w:szCs w:val="28"/>
        </w:rPr>
        <w:t>]</w:t>
      </w:r>
      <w:r w:rsidRPr="008A6B7D">
        <w:rPr>
          <w:color w:val="000000" w:themeColor="text1"/>
          <w:sz w:val="28"/>
          <w:szCs w:val="28"/>
          <w:lang w:val="uk-UA"/>
        </w:rPr>
        <w:t>.</w:t>
      </w:r>
    </w:p>
    <w:p w14:paraId="0E9D419C" w14:textId="77777777" w:rsidR="00F05F4E" w:rsidRPr="008A6B7D" w:rsidRDefault="00F05F4E" w:rsidP="00F05F4E">
      <w:pPr>
        <w:spacing w:line="360" w:lineRule="auto"/>
        <w:ind w:firstLine="630"/>
        <w:jc w:val="both"/>
        <w:rPr>
          <w:color w:val="000000" w:themeColor="text1"/>
          <w:sz w:val="28"/>
          <w:szCs w:val="28"/>
          <w:lang w:val="uk-UA"/>
        </w:rPr>
      </w:pPr>
      <w:r w:rsidRPr="008A6B7D">
        <w:rPr>
          <w:color w:val="000000" w:themeColor="text1"/>
          <w:sz w:val="28"/>
          <w:szCs w:val="28"/>
          <w:lang w:val="uk-UA"/>
        </w:rPr>
        <w:t>Дослідження гострої токсичності обох комплексних сполук проводили на здорових статевозрілих мишах обох статей, масою 18-22 г, які попередньо перебували на карантині в умовах віварію протягом 14 діб. У кожній досліджуваній групі було по 6 тварин.</w:t>
      </w:r>
    </w:p>
    <w:p w14:paraId="41EABEDC" w14:textId="135F2CB4" w:rsidR="00F05F4E" w:rsidRPr="008A6B7D" w:rsidRDefault="00F05F4E" w:rsidP="00F05F4E">
      <w:pPr>
        <w:spacing w:line="360" w:lineRule="auto"/>
        <w:ind w:firstLine="567"/>
        <w:jc w:val="both"/>
        <w:rPr>
          <w:color w:val="000000" w:themeColor="text1"/>
          <w:sz w:val="28"/>
          <w:szCs w:val="28"/>
          <w:lang w:val="uk-UA"/>
        </w:rPr>
      </w:pPr>
      <w:r w:rsidRPr="008A6B7D">
        <w:rPr>
          <w:color w:val="000000" w:themeColor="text1"/>
          <w:sz w:val="28"/>
          <w:szCs w:val="28"/>
          <w:lang w:val="uk-UA"/>
        </w:rPr>
        <w:t xml:space="preserve">За відсутності даних про гостру токсичність сполук, стартовою дозою було обрано 175 мг/кг </w:t>
      </w:r>
      <w:r w:rsidRPr="008A6B7D">
        <w:rPr>
          <w:color w:val="000000" w:themeColor="text1"/>
          <w:sz w:val="28"/>
          <w:szCs w:val="28"/>
        </w:rPr>
        <w:t>[1</w:t>
      </w:r>
      <w:r w:rsidR="00FE60C3" w:rsidRPr="008A6B7D">
        <w:rPr>
          <w:color w:val="000000" w:themeColor="text1"/>
          <w:sz w:val="28"/>
          <w:szCs w:val="28"/>
        </w:rPr>
        <w:t>5</w:t>
      </w:r>
      <w:r w:rsidR="00B85935" w:rsidRPr="008A6B7D">
        <w:rPr>
          <w:color w:val="000000" w:themeColor="text1"/>
          <w:sz w:val="28"/>
          <w:szCs w:val="28"/>
        </w:rPr>
        <w:t>7</w:t>
      </w:r>
      <w:r w:rsidRPr="008A6B7D">
        <w:rPr>
          <w:color w:val="000000" w:themeColor="text1"/>
          <w:sz w:val="28"/>
          <w:szCs w:val="28"/>
        </w:rPr>
        <w:t>].</w:t>
      </w:r>
      <w:r w:rsidRPr="008A6B7D">
        <w:rPr>
          <w:color w:val="000000" w:themeColor="text1"/>
          <w:sz w:val="28"/>
          <w:szCs w:val="28"/>
          <w:lang w:val="uk-UA"/>
        </w:rPr>
        <w:t xml:space="preserve"> Тестування проводили при однократному пероральному введенні комплексних сполук у</w:t>
      </w:r>
      <w:r w:rsidRPr="008A6B7D">
        <w:rPr>
          <w:color w:val="000000" w:themeColor="text1"/>
          <w:sz w:val="28"/>
          <w:szCs w:val="28"/>
        </w:rPr>
        <w:t xml:space="preserve"> </w:t>
      </w:r>
      <w:r w:rsidRPr="008A6B7D">
        <w:rPr>
          <w:color w:val="000000" w:themeColor="text1"/>
          <w:sz w:val="28"/>
          <w:szCs w:val="28"/>
          <w:lang w:val="uk-UA"/>
        </w:rPr>
        <w:t>водно-твіновій (твін 80) емульсії у дозах: 175, 375, 810, 1750 мг/кг. Контрольна група тварин отримувала водно-твінову емульсію у такому самому об’ємі, як і тварини експериментальних груп. Подальше збільшення дози було неможливим, завдяки низькій розчинності комплексних сполук. Після введення за тваринами спостерігали впродовж 2 діб після однократного введення досліджуваних сполук. Протягом цього часу проводили спостереження за загальним станом тварин, їх поведінкою, станом шкіри та слизових оболонок, кількістю тварин, що вижили/загинули.</w:t>
      </w:r>
    </w:p>
    <w:p w14:paraId="65A8D8CF" w14:textId="351BBA9B" w:rsidR="00F05F4E" w:rsidRPr="008A6B7D" w:rsidRDefault="00F05F4E" w:rsidP="00F05F4E">
      <w:pPr>
        <w:spacing w:line="360" w:lineRule="auto"/>
        <w:rPr>
          <w:color w:val="000000" w:themeColor="text1"/>
          <w:sz w:val="28"/>
          <w:szCs w:val="28"/>
          <w:lang w:val="uk-UA"/>
        </w:rPr>
      </w:pPr>
    </w:p>
    <w:p w14:paraId="41D86183" w14:textId="10DC4425" w:rsidR="00C57D1F" w:rsidRPr="008A6B7D" w:rsidRDefault="00C57D1F" w:rsidP="00C57D1F">
      <w:pPr>
        <w:spacing w:line="360" w:lineRule="auto"/>
        <w:ind w:firstLine="630"/>
        <w:rPr>
          <w:b/>
          <w:color w:val="000000" w:themeColor="text1"/>
          <w:sz w:val="28"/>
          <w:szCs w:val="28"/>
          <w:lang w:val="uk-UA"/>
        </w:rPr>
      </w:pPr>
      <w:r w:rsidRPr="008A6B7D">
        <w:rPr>
          <w:b/>
          <w:color w:val="000000" w:themeColor="text1"/>
          <w:sz w:val="28"/>
          <w:szCs w:val="28"/>
          <w:lang w:val="uk-UA"/>
        </w:rPr>
        <w:t xml:space="preserve">2.3.3 Методи вивчення протизапальної активності </w:t>
      </w:r>
    </w:p>
    <w:p w14:paraId="2521C445" w14:textId="77777777" w:rsidR="00C57D1F" w:rsidRPr="008A6B7D" w:rsidRDefault="00C57D1F" w:rsidP="00C57D1F">
      <w:pPr>
        <w:spacing w:line="360" w:lineRule="auto"/>
        <w:ind w:firstLine="630"/>
        <w:rPr>
          <w:rFonts w:eastAsia="MS Mincho"/>
          <w:b/>
          <w:color w:val="000000" w:themeColor="text1"/>
          <w:sz w:val="28"/>
          <w:szCs w:val="28"/>
          <w:lang w:val="uk-UA"/>
        </w:rPr>
      </w:pPr>
      <w:r w:rsidRPr="008A6B7D">
        <w:rPr>
          <w:rFonts w:eastAsia="MS Mincho"/>
          <w:b/>
          <w:color w:val="000000" w:themeColor="text1"/>
          <w:sz w:val="28"/>
          <w:szCs w:val="28"/>
          <w:lang w:val="uk-UA"/>
        </w:rPr>
        <w:t>Модель індукування каррагінанового запалення у щурів</w:t>
      </w:r>
    </w:p>
    <w:p w14:paraId="1B735134" w14:textId="4542B501" w:rsidR="00C57D1F" w:rsidRPr="008A6B7D" w:rsidRDefault="00C57D1F" w:rsidP="00C57D1F">
      <w:pPr>
        <w:spacing w:line="360" w:lineRule="auto"/>
        <w:ind w:firstLine="630"/>
        <w:jc w:val="both"/>
        <w:rPr>
          <w:rFonts w:eastAsiaTheme="minorHAnsi"/>
          <w:color w:val="000000" w:themeColor="text1"/>
          <w:sz w:val="28"/>
          <w:szCs w:val="28"/>
          <w:lang w:val="uk-UA"/>
        </w:rPr>
      </w:pPr>
      <w:r w:rsidRPr="008A6B7D">
        <w:rPr>
          <w:color w:val="000000" w:themeColor="text1"/>
          <w:sz w:val="28"/>
          <w:szCs w:val="28"/>
          <w:lang w:val="uk-UA"/>
        </w:rPr>
        <w:t xml:space="preserve">Протизапальну дію усіх сполук, що вивчалися, досліджували на моделі каррагінанового запалення. Введення флогогенного агенту каррагінану викликає каскад біохімічних реакцій та вивільнення медіаторів запалення: простагландинів, гістаміну, кінінів (брадикінін, каллідін та ін). </w:t>
      </w:r>
      <w:r w:rsidRPr="008A6B7D">
        <w:rPr>
          <w:color w:val="000000" w:themeColor="text1"/>
          <w:sz w:val="28"/>
          <w:szCs w:val="28"/>
        </w:rPr>
        <w:t>Даний тест дозволяє визначити вплив досліджуваних сполук на ЦОГ-2 [1</w:t>
      </w:r>
      <w:r w:rsidR="00FE60C3" w:rsidRPr="008A6B7D">
        <w:rPr>
          <w:color w:val="000000" w:themeColor="text1"/>
          <w:sz w:val="28"/>
          <w:szCs w:val="28"/>
        </w:rPr>
        <w:t>5</w:t>
      </w:r>
      <w:r w:rsidR="00B85935" w:rsidRPr="001759D5">
        <w:rPr>
          <w:color w:val="000000" w:themeColor="text1"/>
          <w:sz w:val="28"/>
          <w:szCs w:val="28"/>
        </w:rPr>
        <w:t>8</w:t>
      </w:r>
      <w:r w:rsidRPr="008A6B7D">
        <w:rPr>
          <w:color w:val="000000" w:themeColor="text1"/>
          <w:sz w:val="28"/>
          <w:szCs w:val="28"/>
        </w:rPr>
        <w:t>].</w:t>
      </w:r>
    </w:p>
    <w:p w14:paraId="31FEEBF8" w14:textId="2B26C95F" w:rsidR="00C57D1F" w:rsidRPr="008A6B7D" w:rsidRDefault="00C57D1F" w:rsidP="00C57D1F">
      <w:pPr>
        <w:pStyle w:val="HTML"/>
        <w:spacing w:line="360" w:lineRule="auto"/>
        <w:ind w:firstLine="567"/>
        <w:jc w:val="both"/>
        <w:rPr>
          <w:rFonts w:ascii="Times New Roman" w:hAnsi="Times New Roman"/>
          <w:color w:val="000000" w:themeColor="text1"/>
          <w:sz w:val="28"/>
          <w:szCs w:val="28"/>
          <w:lang w:val="uk-UA"/>
        </w:rPr>
      </w:pPr>
      <w:r w:rsidRPr="008A6B7D">
        <w:rPr>
          <w:rFonts w:ascii="Times New Roman" w:hAnsi="Times New Roman"/>
          <w:color w:val="000000" w:themeColor="text1"/>
          <w:sz w:val="28"/>
          <w:szCs w:val="28"/>
          <w:lang w:val="uk-UA"/>
        </w:rPr>
        <w:t xml:space="preserve">Гостру запальну реакцію викликали субплантарним введенням 0,1 мл 0,2% водного розчину </w:t>
      </w:r>
      <w:r w:rsidRPr="008A6B7D">
        <w:rPr>
          <w:rFonts w:ascii="Times New Roman" w:hAnsi="Times New Roman"/>
          <w:color w:val="000000" w:themeColor="text1"/>
          <w:sz w:val="28"/>
          <w:szCs w:val="28"/>
          <w:lang w:val="uk-UA"/>
        </w:rPr>
        <w:sym w:font="Symbol" w:char="F061"/>
      </w:r>
      <w:r w:rsidRPr="008A6B7D">
        <w:rPr>
          <w:rFonts w:ascii="Times New Roman" w:hAnsi="Times New Roman"/>
          <w:color w:val="000000" w:themeColor="text1"/>
          <w:sz w:val="28"/>
          <w:szCs w:val="28"/>
          <w:lang w:val="uk-UA"/>
        </w:rPr>
        <w:t>-каррагінану [</w:t>
      </w:r>
      <w:r w:rsidR="00FE60C3" w:rsidRPr="008A6B7D">
        <w:rPr>
          <w:rFonts w:ascii="Times New Roman" w:hAnsi="Times New Roman"/>
          <w:color w:val="000000" w:themeColor="text1"/>
          <w:sz w:val="28"/>
          <w:szCs w:val="28"/>
          <w:lang w:val="uk-UA"/>
        </w:rPr>
        <w:t>1</w:t>
      </w:r>
      <w:r w:rsidR="00B85935" w:rsidRPr="008A6B7D">
        <w:rPr>
          <w:rFonts w:ascii="Times New Roman" w:hAnsi="Times New Roman"/>
          <w:color w:val="000000" w:themeColor="text1"/>
          <w:sz w:val="28"/>
          <w:szCs w:val="28"/>
          <w:lang w:val="ru-RU"/>
        </w:rPr>
        <w:t>59</w:t>
      </w:r>
      <w:r w:rsidRPr="008A6B7D">
        <w:rPr>
          <w:rFonts w:ascii="Times New Roman" w:hAnsi="Times New Roman"/>
          <w:color w:val="000000" w:themeColor="text1"/>
          <w:sz w:val="28"/>
          <w:szCs w:val="28"/>
          <w:lang w:val="uk-UA"/>
        </w:rPr>
        <w:t xml:space="preserve">]. Спостереження за функціональним станом щурів проводили протягом 9 діб. Лікування проводили через добу </w:t>
      </w:r>
      <w:r w:rsidRPr="008A6B7D">
        <w:rPr>
          <w:rFonts w:ascii="Times New Roman" w:hAnsi="Times New Roman"/>
          <w:color w:val="000000" w:themeColor="text1"/>
          <w:sz w:val="28"/>
          <w:szCs w:val="28"/>
          <w:lang w:val="uk-UA"/>
        </w:rPr>
        <w:lastRenderedPageBreak/>
        <w:t xml:space="preserve">після розвитку запальної реакції протягом 72 годин. Досліджувані сполуки вводили перорально у твіновій емульсії за допомогою зонду. </w:t>
      </w:r>
    </w:p>
    <w:p w14:paraId="1BAF45CA" w14:textId="0A080B78" w:rsidR="00C57D1F" w:rsidRPr="008A6B7D" w:rsidRDefault="00C57D1F" w:rsidP="00C57D1F">
      <w:pPr>
        <w:spacing w:line="360" w:lineRule="auto"/>
        <w:ind w:firstLine="567"/>
        <w:jc w:val="both"/>
        <w:rPr>
          <w:color w:val="000000" w:themeColor="text1"/>
          <w:sz w:val="28"/>
          <w:szCs w:val="28"/>
          <w:lang w:val="uk-UA"/>
        </w:rPr>
      </w:pPr>
      <w:r w:rsidRPr="008A6B7D">
        <w:rPr>
          <w:color w:val="000000" w:themeColor="text1"/>
          <w:sz w:val="28"/>
          <w:szCs w:val="28"/>
          <w:lang w:val="uk-UA"/>
        </w:rPr>
        <w:t>Наявність протизапальної активності оцінювали за реєструючи динаміку зміни таких морфологічних показників як товщина та об’єм запаленої кінцівки. Товщину фіксували за допомогою електронного штангенциркуля, об’єм визначали методом волюметрії</w:t>
      </w:r>
      <w:r w:rsidRPr="008A6B7D">
        <w:rPr>
          <w:color w:val="000000" w:themeColor="text1"/>
          <w:sz w:val="28"/>
          <w:szCs w:val="28"/>
        </w:rPr>
        <w:t xml:space="preserve"> [1</w:t>
      </w:r>
      <w:r w:rsidR="00390008" w:rsidRPr="008A6B7D">
        <w:rPr>
          <w:color w:val="000000" w:themeColor="text1"/>
          <w:sz w:val="28"/>
          <w:szCs w:val="28"/>
        </w:rPr>
        <w:t>6</w:t>
      </w:r>
      <w:r w:rsidR="00B85935" w:rsidRPr="008A6B7D">
        <w:rPr>
          <w:color w:val="000000" w:themeColor="text1"/>
          <w:sz w:val="28"/>
          <w:szCs w:val="28"/>
        </w:rPr>
        <w:t>0</w:t>
      </w:r>
      <w:r w:rsidRPr="008A6B7D">
        <w:rPr>
          <w:color w:val="000000" w:themeColor="text1"/>
          <w:sz w:val="28"/>
          <w:szCs w:val="28"/>
        </w:rPr>
        <w:t>]</w:t>
      </w:r>
      <w:r w:rsidRPr="008A6B7D">
        <w:rPr>
          <w:color w:val="000000" w:themeColor="text1"/>
          <w:sz w:val="28"/>
          <w:szCs w:val="28"/>
          <w:lang w:val="uk-UA"/>
        </w:rPr>
        <w:t>. Приріст об’єму розраховували за формулою 1. Показники товщини запаленої</w:t>
      </w:r>
      <w:r w:rsidRPr="008A6B7D">
        <w:rPr>
          <w:color w:val="000000" w:themeColor="text1"/>
          <w:sz w:val="28"/>
          <w:szCs w:val="28"/>
        </w:rPr>
        <w:t xml:space="preserve"> </w:t>
      </w:r>
      <w:r w:rsidRPr="008A6B7D">
        <w:rPr>
          <w:color w:val="000000" w:themeColor="text1"/>
          <w:sz w:val="28"/>
          <w:szCs w:val="28"/>
          <w:lang w:val="uk-UA"/>
        </w:rPr>
        <w:t>кінцівки щурів виражали у відсотках відносно вихідних даних.</w:t>
      </w:r>
    </w:p>
    <w:p w14:paraId="2E150ECE" w14:textId="77777777" w:rsidR="00C57D1F" w:rsidRPr="008A6B7D" w:rsidRDefault="00C57D1F" w:rsidP="00C57D1F">
      <w:pPr>
        <w:widowControl w:val="0"/>
        <w:autoSpaceDE w:val="0"/>
        <w:autoSpaceDN w:val="0"/>
        <w:adjustRightInd w:val="0"/>
        <w:spacing w:line="360" w:lineRule="auto"/>
        <w:ind w:firstLine="567"/>
        <w:jc w:val="both"/>
        <w:rPr>
          <w:sz w:val="28"/>
          <w:szCs w:val="28"/>
          <w:lang w:val="uk-UA"/>
        </w:rPr>
      </w:pPr>
      <w:r w:rsidRPr="008A6B7D">
        <w:rPr>
          <w:sz w:val="28"/>
          <w:szCs w:val="28"/>
          <w:lang w:val="uk-UA"/>
        </w:rPr>
        <w:t>Розрахунок приросту об’єму  (ПО)  у відсотках проводили за наступною формулою:</w:t>
      </w:r>
    </w:p>
    <w:p w14:paraId="78E5C60E" w14:textId="77777777" w:rsidR="00C57D1F" w:rsidRPr="008A6B7D" w:rsidRDefault="00362209" w:rsidP="00C57D1F">
      <w:pPr>
        <w:widowControl w:val="0"/>
        <w:autoSpaceDE w:val="0"/>
        <w:autoSpaceDN w:val="0"/>
        <w:adjustRightInd w:val="0"/>
        <w:spacing w:line="360" w:lineRule="auto"/>
        <w:ind w:firstLine="567"/>
        <w:jc w:val="center"/>
        <w:rPr>
          <w:sz w:val="28"/>
          <w:szCs w:val="28"/>
          <w:lang w:val="uk-UA"/>
        </w:rPr>
      </w:pPr>
      <w:r>
        <w:rPr>
          <w:noProof/>
          <w:sz w:val="28"/>
          <w:szCs w:val="28"/>
        </w:rPr>
        <w:pict w14:anchorId="4A67A3D1">
          <v:shape id="_x0000_i1026" type="#_x0000_t75" alt="" style="width:149.75pt;height:30.2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5D5&quot;/&gt;&lt;wsp:rsid wsp:val=&quot;00000DD2&quot;/&gt;&lt;wsp:rsid wsp:val=&quot;00004F93&quot;/&gt;&lt;wsp:rsid wsp:val=&quot;00007D83&quot;/&gt;&lt;wsp:rsid wsp:val=&quot;00010053&quot;/&gt;&lt;wsp:rsid wsp:val=&quot;00012061&quot;/&gt;&lt;wsp:rsid wsp:val=&quot;000137C6&quot;/&gt;&lt;wsp:rsid wsp:val=&quot;0001420C&quot;/&gt;&lt;wsp:rsid wsp:val=&quot;00031528&quot;/&gt;&lt;wsp:rsid wsp:val=&quot;00034F15&quot;/&gt;&lt;wsp:rsid wsp:val=&quot;000423A5&quot;/&gt;&lt;wsp:rsid wsp:val=&quot;0004285D&quot;/&gt;&lt;wsp:rsid wsp:val=&quot;00042DDB&quot;/&gt;&lt;wsp:rsid wsp:val=&quot;00043DA4&quot;/&gt;&lt;wsp:rsid wsp:val=&quot;000474A7&quot;/&gt;&lt;wsp:rsid wsp:val=&quot;000528BC&quot;/&gt;&lt;wsp:rsid wsp:val=&quot;000605E1&quot;/&gt;&lt;wsp:rsid wsp:val=&quot;00061CF4&quot;/&gt;&lt;wsp:rsid wsp:val=&quot;0006218C&quot;/&gt;&lt;wsp:rsid wsp:val=&quot;000629CC&quot;/&gt;&lt;wsp:rsid wsp:val=&quot;00065AA9&quot;/&gt;&lt;wsp:rsid wsp:val=&quot;000665C3&quot;/&gt;&lt;wsp:rsid wsp:val=&quot;000741E9&quot;/&gt;&lt;wsp:rsid wsp:val=&quot;00077FC5&quot;/&gt;&lt;wsp:rsid wsp:val=&quot;00083C35&quot;/&gt;&lt;wsp:rsid wsp:val=&quot;00084273&quot;/&gt;&lt;wsp:rsid wsp:val=&quot;00084B43&quot;/&gt;&lt;wsp:rsid wsp:val=&quot;000857DF&quot;/&gt;&lt;wsp:rsid wsp:val=&quot;00094744&quot;/&gt;&lt;wsp:rsid wsp:val=&quot;000A3909&quot;/&gt;&lt;wsp:rsid wsp:val=&quot;000A4FF4&quot;/&gt;&lt;wsp:rsid wsp:val=&quot;000B26E5&quot;/&gt;&lt;wsp:rsid wsp:val=&quot;000B6DD3&quot;/&gt;&lt;wsp:rsid wsp:val=&quot;000C302E&quot;/&gt;&lt;wsp:rsid wsp:val=&quot;000C4CC4&quot;/&gt;&lt;wsp:rsid wsp:val=&quot;000C74D7&quot;/&gt;&lt;wsp:rsid wsp:val=&quot;000D0EA8&quot;/&gt;&lt;wsp:rsid wsp:val=&quot;000D20F0&quot;/&gt;&lt;wsp:rsid wsp:val=&quot;000D3BC1&quot;/&gt;&lt;wsp:rsid wsp:val=&quot;000D3C61&quot;/&gt;&lt;wsp:rsid wsp:val=&quot;000D45E0&quot;/&gt;&lt;wsp:rsid wsp:val=&quot;000D6E01&quot;/&gt;&lt;wsp:rsid wsp:val=&quot;000E0AED&quot;/&gt;&lt;wsp:rsid wsp:val=&quot;000E2894&quot;/&gt;&lt;wsp:rsid wsp:val=&quot;000F00BD&quot;/&gt;&lt;wsp:rsid wsp:val=&quot;000F2FB9&quot;/&gt;&lt;wsp:rsid wsp:val=&quot;000F77A0&quot;/&gt;&lt;wsp:rsid wsp:val=&quot;001002B4&quot;/&gt;&lt;wsp:rsid wsp:val=&quot;00106FA5&quot;/&gt;&lt;wsp:rsid wsp:val=&quot;00111890&quot;/&gt;&lt;wsp:rsid wsp:val=&quot;001119A3&quot;/&gt;&lt;wsp:rsid wsp:val=&quot;0011374C&quot;/&gt;&lt;wsp:rsid wsp:val=&quot;00115A1B&quot;/&gt;&lt;wsp:rsid wsp:val=&quot;001163D9&quot;/&gt;&lt;wsp:rsid wsp:val=&quot;00116BF5&quot;/&gt;&lt;wsp:rsid wsp:val=&quot;00120001&quot;/&gt;&lt;wsp:rsid wsp:val=&quot;00121150&quot;/&gt;&lt;wsp:rsid wsp:val=&quot;00122AB2&quot;/&gt;&lt;wsp:rsid wsp:val=&quot;00124A70&quot;/&gt;&lt;wsp:rsid wsp:val=&quot;00124FA5&quot;/&gt;&lt;wsp:rsid wsp:val=&quot;00126AFB&quot;/&gt;&lt;wsp:rsid wsp:val=&quot;001318F9&quot;/&gt;&lt;wsp:rsid wsp:val=&quot;0013287C&quot;/&gt;&lt;wsp:rsid wsp:val=&quot;0014257A&quot;/&gt;&lt;wsp:rsid wsp:val=&quot;00144A57&quot;/&gt;&lt;wsp:rsid wsp:val=&quot;001465FE&quot;/&gt;&lt;wsp:rsid wsp:val=&quot;001522B5&quot;/&gt;&lt;wsp:rsid wsp:val=&quot;00154A55&quot;/&gt;&lt;wsp:rsid wsp:val=&quot;00155271&quot;/&gt;&lt;wsp:rsid wsp:val=&quot;00160FE8&quot;/&gt;&lt;wsp:rsid wsp:val=&quot;001623FF&quot;/&gt;&lt;wsp:rsid wsp:val=&quot;001637F3&quot;/&gt;&lt;wsp:rsid wsp:val=&quot;00163F31&quot;/&gt;&lt;wsp:rsid wsp:val=&quot;0016405A&quot;/&gt;&lt;wsp:rsid wsp:val=&quot;00165816&quot;/&gt;&lt;wsp:rsid wsp:val=&quot;00167BB2&quot;/&gt;&lt;wsp:rsid wsp:val=&quot;00170023&quot;/&gt;&lt;wsp:rsid wsp:val=&quot;00175D44&quot;/&gt;&lt;wsp:rsid wsp:val=&quot;00180AC2&quot;/&gt;&lt;wsp:rsid wsp:val=&quot;00180E16&quot;/&gt;&lt;wsp:rsid wsp:val=&quot;00181FFC&quot;/&gt;&lt;wsp:rsid wsp:val=&quot;0018581B&quot;/&gt;&lt;wsp:rsid wsp:val=&quot;00187C05&quot;/&gt;&lt;wsp:rsid wsp:val=&quot;001A08E5&quot;/&gt;&lt;wsp:rsid wsp:val=&quot;001A3A17&quot;/&gt;&lt;wsp:rsid wsp:val=&quot;001A43CC&quot;/&gt;&lt;wsp:rsid wsp:val=&quot;001A5380&quot;/&gt;&lt;wsp:rsid wsp:val=&quot;001A6736&quot;/&gt;&lt;wsp:rsid wsp:val=&quot;001B6680&quot;/&gt;&lt;wsp:rsid wsp:val=&quot;001B70E2&quot;/&gt;&lt;wsp:rsid wsp:val=&quot;001B7825&quot;/&gt;&lt;wsp:rsid wsp:val=&quot;001C301E&quot;/&gt;&lt;wsp:rsid wsp:val=&quot;001C38D9&quot;/&gt;&lt;wsp:rsid wsp:val=&quot;001C41E6&quot;/&gt;&lt;wsp:rsid wsp:val=&quot;001C6ADD&quot;/&gt;&lt;wsp:rsid wsp:val=&quot;001D0730&quot;/&gt;&lt;wsp:rsid wsp:val=&quot;001D4669&quot;/&gt;&lt;wsp:rsid wsp:val=&quot;001D5BFC&quot;/&gt;&lt;wsp:rsid wsp:val=&quot;001D6F03&quot;/&gt;&lt;wsp:rsid wsp:val=&quot;001D741C&quot;/&gt;&lt;wsp:rsid wsp:val=&quot;001E452A&quot;/&gt;&lt;wsp:rsid wsp:val=&quot;001E56FA&quot;/&gt;&lt;wsp:rsid wsp:val=&quot;001E6B2A&quot;/&gt;&lt;wsp:rsid wsp:val=&quot;001E7AF7&quot;/&gt;&lt;wsp:rsid wsp:val=&quot;001F1CB3&quot;/&gt;&lt;wsp:rsid wsp:val=&quot;001F29DD&quot;/&gt;&lt;wsp:rsid wsp:val=&quot;001F3358&quot;/&gt;&lt;wsp:rsid wsp:val=&quot;001F4CD1&quot;/&gt;&lt;wsp:rsid wsp:val=&quot;001F4F64&quot;/&gt;&lt;wsp:rsid wsp:val=&quot;00201C0E&quot;/&gt;&lt;wsp:rsid wsp:val=&quot;002100E7&quot;/&gt;&lt;wsp:rsid wsp:val=&quot;002128A9&quot;/&gt;&lt;wsp:rsid wsp:val=&quot;002144AF&quot;/&gt;&lt;wsp:rsid wsp:val=&quot;00216843&quot;/&gt;&lt;wsp:rsid wsp:val=&quot;0022230C&quot;/&gt;&lt;wsp:rsid wsp:val=&quot;00222E61&quot;/&gt;&lt;wsp:rsid wsp:val=&quot;00227F1B&quot;/&gt;&lt;wsp:rsid wsp:val=&quot;00234327&quot;/&gt;&lt;wsp:rsid wsp:val=&quot;00241DDD&quot;/&gt;&lt;wsp:rsid wsp:val=&quot;00245011&quot;/&gt;&lt;wsp:rsid wsp:val=&quot;00254348&quot;/&gt;&lt;wsp:rsid wsp:val=&quot;00256DA5&quot;/&gt;&lt;wsp:rsid wsp:val=&quot;002602AE&quot;/&gt;&lt;wsp:rsid wsp:val=&quot;002621CA&quot;/&gt;&lt;wsp:rsid wsp:val=&quot;002621DF&quot;/&gt;&lt;wsp:rsid wsp:val=&quot;00264CC0&quot;/&gt;&lt;wsp:rsid wsp:val=&quot;00265907&quot;/&gt;&lt;wsp:rsid wsp:val=&quot;0027244D&quot;/&gt;&lt;wsp:rsid wsp:val=&quot;00273008&quot;/&gt;&lt;wsp:rsid wsp:val=&quot;00276761&quot;/&gt;&lt;wsp:rsid wsp:val=&quot;00290D86&quot;/&gt;&lt;wsp:rsid wsp:val=&quot;00291A48&quot;/&gt;&lt;wsp:rsid wsp:val=&quot;002A2377&quot;/&gt;&lt;wsp:rsid wsp:val=&quot;002A2A87&quot;/&gt;&lt;wsp:rsid wsp:val=&quot;002A4075&quot;/&gt;&lt;wsp:rsid wsp:val=&quot;002A4289&quot;/&gt;&lt;wsp:rsid wsp:val=&quot;002B0486&quot;/&gt;&lt;wsp:rsid wsp:val=&quot;002B24FC&quot;/&gt;&lt;wsp:rsid wsp:val=&quot;002B3A56&quot;/&gt;&lt;wsp:rsid wsp:val=&quot;002B3F51&quot;/&gt;&lt;wsp:rsid wsp:val=&quot;002B574A&quot;/&gt;&lt;wsp:rsid wsp:val=&quot;002C31F2&quot;/&gt;&lt;wsp:rsid wsp:val=&quot;002C7AE9&quot;/&gt;&lt;wsp:rsid wsp:val=&quot;002D0286&quot;/&gt;&lt;wsp:rsid wsp:val=&quot;002D0522&quot;/&gt;&lt;wsp:rsid wsp:val=&quot;002D3A94&quot;/&gt;&lt;wsp:rsid wsp:val=&quot;002D408E&quot;/&gt;&lt;wsp:rsid wsp:val=&quot;002D5B36&quot;/&gt;&lt;wsp:rsid wsp:val=&quot;002E03D0&quot;/&gt;&lt;wsp:rsid wsp:val=&quot;002E4217&quot;/&gt;&lt;wsp:rsid wsp:val=&quot;002E4A27&quot;/&gt;&lt;wsp:rsid wsp:val=&quot;002E4A33&quot;/&gt;&lt;wsp:rsid wsp:val=&quot;002E4FAD&quot;/&gt;&lt;wsp:rsid wsp:val=&quot;002F02E6&quot;/&gt;&lt;wsp:rsid wsp:val=&quot;002F12F4&quot;/&gt;&lt;wsp:rsid wsp:val=&quot;002F454B&quot;/&gt;&lt;wsp:rsid wsp:val=&quot;002F5574&quot;/&gt;&lt;wsp:rsid wsp:val=&quot;002F5ABC&quot;/&gt;&lt;wsp:rsid wsp:val=&quot;002F6C98&quot;/&gt;&lt;wsp:rsid wsp:val=&quot;003031BF&quot;/&gt;&lt;wsp:rsid wsp:val=&quot;003101A0&quot;/&gt;&lt;wsp:rsid wsp:val=&quot;00310CB1&quot;/&gt;&lt;wsp:rsid wsp:val=&quot;003115B8&quot;/&gt;&lt;wsp:rsid wsp:val=&quot;0031354B&quot;/&gt;&lt;wsp:rsid wsp:val=&quot;00322083&quot;/&gt;&lt;wsp:rsid wsp:val=&quot;00323119&quot;/&gt;&lt;wsp:rsid wsp:val=&quot;00326B95&quot;/&gt;&lt;wsp:rsid wsp:val=&quot;00330CB3&quot;/&gt;&lt;wsp:rsid wsp:val=&quot;003316BE&quot;/&gt;&lt;wsp:rsid wsp:val=&quot;0033653F&quot;/&gt;&lt;wsp:rsid wsp:val=&quot;003372AE&quot;/&gt;&lt;wsp:rsid wsp:val=&quot;003426AD&quot;/&gt;&lt;wsp:rsid wsp:val=&quot;003475A8&quot;/&gt;&lt;wsp:rsid wsp:val=&quot;003509B4&quot;/&gt;&lt;wsp:rsid wsp:val=&quot;003527C8&quot;/&gt;&lt;wsp:rsid wsp:val=&quot;003551B2&quot;/&gt;&lt;wsp:rsid wsp:val=&quot;0035694E&quot;/&gt;&lt;wsp:rsid wsp:val=&quot;0035788B&quot;/&gt;&lt;wsp:rsid wsp:val=&quot;00357B5B&quot;/&gt;&lt;wsp:rsid wsp:val=&quot;00366E5C&quot;/&gt;&lt;wsp:rsid wsp:val=&quot;00366FD9&quot;/&gt;&lt;wsp:rsid wsp:val=&quot;00367E9E&quot;/&gt;&lt;wsp:rsid wsp:val=&quot;00371CA0&quot;/&gt;&lt;wsp:rsid wsp:val=&quot;00372CC7&quot;/&gt;&lt;wsp:rsid wsp:val=&quot;003737EC&quot;/&gt;&lt;wsp:rsid wsp:val=&quot;00380E15&quot;/&gt;&lt;wsp:rsid wsp:val=&quot;00386E3E&quot;/&gt;&lt;wsp:rsid wsp:val=&quot;003906C5&quot;/&gt;&lt;wsp:rsid wsp:val=&quot;00390997&quot;/&gt;&lt;wsp:rsid wsp:val=&quot;00392A19&quot;/&gt;&lt;wsp:rsid wsp:val=&quot;003A1476&quot;/&gt;&lt;wsp:rsid wsp:val=&quot;003A396D&quot;/&gt;&lt;wsp:rsid wsp:val=&quot;003A7A43&quot;/&gt;&lt;wsp:rsid wsp:val=&quot;003B0F61&quot;/&gt;&lt;wsp:rsid wsp:val=&quot;003B1C17&quot;/&gt;&lt;wsp:rsid wsp:val=&quot;003B5222&quot;/&gt;&lt;wsp:rsid wsp:val=&quot;003B58A4&quot;/&gt;&lt;wsp:rsid wsp:val=&quot;003C1C79&quot;/&gt;&lt;wsp:rsid wsp:val=&quot;003E6645&quot;/&gt;&lt;wsp:rsid wsp:val=&quot;003F0FCB&quot;/&gt;&lt;wsp:rsid wsp:val=&quot;003F6B09&quot;/&gt;&lt;wsp:rsid wsp:val=&quot;003F788A&quot;/&gt;&lt;wsp:rsid wsp:val=&quot;00400B88&quot;/&gt;&lt;wsp:rsid wsp:val=&quot;0041483F&quot;/&gt;&lt;wsp:rsid wsp:val=&quot;0041653F&quot;/&gt;&lt;wsp:rsid wsp:val=&quot;00417464&quot;/&gt;&lt;wsp:rsid wsp:val=&quot;00422947&quot;/&gt;&lt;wsp:rsid wsp:val=&quot;00435F0A&quot;/&gt;&lt;wsp:rsid wsp:val=&quot;004372BD&quot;/&gt;&lt;wsp:rsid wsp:val=&quot;00445610&quot;/&gt;&lt;wsp:rsid wsp:val=&quot;00446B5C&quot;/&gt;&lt;wsp:rsid wsp:val=&quot;00452271&quot;/&gt;&lt;wsp:rsid wsp:val=&quot;00454E32&quot;/&gt;&lt;wsp:rsid wsp:val=&quot;004565D5&quot;/&gt;&lt;wsp:rsid wsp:val=&quot;00456669&quot;/&gt;&lt;wsp:rsid wsp:val=&quot;004714D0&quot;/&gt;&lt;wsp:rsid wsp:val=&quot;00475348&quot;/&gt;&lt;wsp:rsid wsp:val=&quot;004779A1&quot;/&gt;&lt;wsp:rsid wsp:val=&quot;00480FA0&quot;/&gt;&lt;wsp:rsid wsp:val=&quot;00483B1A&quot;/&gt;&lt;wsp:rsid wsp:val=&quot;00485C21&quot;/&gt;&lt;wsp:rsid wsp:val=&quot;004A0208&quot;/&gt;&lt;wsp:rsid wsp:val=&quot;004A0F7A&quot;/&gt;&lt;wsp:rsid wsp:val=&quot;004A2D1F&quot;/&gt;&lt;wsp:rsid wsp:val=&quot;004A2E17&quot;/&gt;&lt;wsp:rsid wsp:val=&quot;004A4D5F&quot;/&gt;&lt;wsp:rsid wsp:val=&quot;004A7FF9&quot;/&gt;&lt;wsp:rsid wsp:val=&quot;004B08BC&quot;/&gt;&lt;wsp:rsid wsp:val=&quot;004B19B7&quot;/&gt;&lt;wsp:rsid wsp:val=&quot;004B1B75&quot;/&gt;&lt;wsp:rsid wsp:val=&quot;004B2D85&quot;/&gt;&lt;wsp:rsid wsp:val=&quot;004B2FAC&quot;/&gt;&lt;wsp:rsid wsp:val=&quot;004C167B&quot;/&gt;&lt;wsp:rsid wsp:val=&quot;004C16B8&quot;/&gt;&lt;wsp:rsid wsp:val=&quot;004C726E&quot;/&gt;&lt;wsp:rsid wsp:val=&quot;004D3590&quot;/&gt;&lt;wsp:rsid wsp:val=&quot;004D478F&quot;/&gt;&lt;wsp:rsid wsp:val=&quot;004E2F8B&quot;/&gt;&lt;wsp:rsid wsp:val=&quot;004E4200&quot;/&gt;&lt;wsp:rsid wsp:val=&quot;004F12B2&quot;/&gt;&lt;wsp:rsid wsp:val=&quot;004F207D&quot;/&gt;&lt;wsp:rsid wsp:val=&quot;004F21DD&quot;/&gt;&lt;wsp:rsid wsp:val=&quot;004F7308&quot;/&gt;&lt;wsp:rsid wsp:val=&quot;0050238E&quot;/&gt;&lt;wsp:rsid wsp:val=&quot;00506671&quot;/&gt;&lt;wsp:rsid wsp:val=&quot;0051144A&quot;/&gt;&lt;wsp:rsid wsp:val=&quot;00515FDE&quot;/&gt;&lt;wsp:rsid wsp:val=&quot;0052446F&quot;/&gt;&lt;wsp:rsid wsp:val=&quot;00525EAA&quot;/&gt;&lt;wsp:rsid wsp:val=&quot;005260A8&quot;/&gt;&lt;wsp:rsid wsp:val=&quot;00527043&quot;/&gt;&lt;wsp:rsid wsp:val=&quot;00530947&quot;/&gt;&lt;wsp:rsid wsp:val=&quot;00530979&quot;/&gt;&lt;wsp:rsid wsp:val=&quot;00533DD9&quot;/&gt;&lt;wsp:rsid wsp:val=&quot;00537A71&quot;/&gt;&lt;wsp:rsid wsp:val=&quot;0054026B&quot;/&gt;&lt;wsp:rsid wsp:val=&quot;005409A9&quot;/&gt;&lt;wsp:rsid wsp:val=&quot;0054104E&quot;/&gt;&lt;wsp:rsid wsp:val=&quot;005425BD&quot;/&gt;&lt;wsp:rsid wsp:val=&quot;00542A85&quot;/&gt;&lt;wsp:rsid wsp:val=&quot;00542C93&quot;/&gt;&lt;wsp:rsid wsp:val=&quot;00543B19&quot;/&gt;&lt;wsp:rsid wsp:val=&quot;00546145&quot;/&gt;&lt;wsp:rsid wsp:val=&quot;005505FA&quot;/&gt;&lt;wsp:rsid wsp:val=&quot;00553715&quot;/&gt;&lt;wsp:rsid wsp:val=&quot;005545F6&quot;/&gt;&lt;wsp:rsid wsp:val=&quot;0056173F&quot;/&gt;&lt;wsp:rsid wsp:val=&quot;00563D03&quot;/&gt;&lt;wsp:rsid wsp:val=&quot;00564190&quot;/&gt;&lt;wsp:rsid wsp:val=&quot;00581F0C&quot;/&gt;&lt;wsp:rsid wsp:val=&quot;00583AD2&quot;/&gt;&lt;wsp:rsid wsp:val=&quot;00597C6E&quot;/&gt;&lt;wsp:rsid wsp:val=&quot;00597F15&quot;/&gt;&lt;wsp:rsid wsp:val=&quot;005A05B8&quot;/&gt;&lt;wsp:rsid wsp:val=&quot;005A659A&quot;/&gt;&lt;wsp:rsid wsp:val=&quot;005A6F35&quot;/&gt;&lt;wsp:rsid wsp:val=&quot;005B0394&quot;/&gt;&lt;wsp:rsid wsp:val=&quot;005B13AE&quot;/&gt;&lt;wsp:rsid wsp:val=&quot;005B3F1A&quot;/&gt;&lt;wsp:rsid wsp:val=&quot;005B426E&quot;/&gt;&lt;wsp:rsid wsp:val=&quot;005C1636&quot;/&gt;&lt;wsp:rsid wsp:val=&quot;005C5003&quot;/&gt;&lt;wsp:rsid wsp:val=&quot;005C714F&quot;/&gt;&lt;wsp:rsid wsp:val=&quot;005D66E2&quot;/&gt;&lt;wsp:rsid wsp:val=&quot;005E06A6&quot;/&gt;&lt;wsp:rsid wsp:val=&quot;005E07E6&quot;/&gt;&lt;wsp:rsid wsp:val=&quot;005E7A4F&quot;/&gt;&lt;wsp:rsid wsp:val=&quot;005F0378&quot;/&gt;&lt;wsp:rsid wsp:val=&quot;005F75F5&quot;/&gt;&lt;wsp:rsid wsp:val=&quot;00600D44&quot;/&gt;&lt;wsp:rsid wsp:val=&quot;00606EFD&quot;/&gt;&lt;wsp:rsid wsp:val=&quot;006078C8&quot;/&gt;&lt;wsp:rsid wsp:val=&quot;00621912&quot;/&gt;&lt;wsp:rsid wsp:val=&quot;0062231B&quot;/&gt;&lt;wsp:rsid wsp:val=&quot;00623637&quot;/&gt;&lt;wsp:rsid wsp:val=&quot;00625E2A&quot;/&gt;&lt;wsp:rsid wsp:val=&quot;00627AE0&quot;/&gt;&lt;wsp:rsid wsp:val=&quot;00631D8D&quot;/&gt;&lt;wsp:rsid wsp:val=&quot;00632526&quot;/&gt;&lt;wsp:rsid wsp:val=&quot;0063384E&quot;/&gt;&lt;wsp:rsid wsp:val=&quot;00633865&quot;/&gt;&lt;wsp:rsid wsp:val=&quot;006341E2&quot;/&gt;&lt;wsp:rsid wsp:val=&quot;00637B97&quot;/&gt;&lt;wsp:rsid wsp:val=&quot;00650024&quot;/&gt;&lt;wsp:rsid wsp:val=&quot;00670BA1&quot;/&gt;&lt;wsp:rsid wsp:val=&quot;00672972&quot;/&gt;&lt;wsp:rsid wsp:val=&quot;00673CB2&quot;/&gt;&lt;wsp:rsid wsp:val=&quot;00676BCC&quot;/&gt;&lt;wsp:rsid wsp:val=&quot;00685B01&quot;/&gt;&lt;wsp:rsid wsp:val=&quot;00690944&quot;/&gt;&lt;wsp:rsid wsp:val=&quot;006926F2&quot;/&gt;&lt;wsp:rsid wsp:val=&quot;0069549B&quot;/&gt;&lt;wsp:rsid wsp:val=&quot;00695A79&quot;/&gt;&lt;wsp:rsid wsp:val=&quot;006960D1&quot;/&gt;&lt;wsp:rsid wsp:val=&quot;006A2B21&quot;/&gt;&lt;wsp:rsid wsp:val=&quot;006A5E2E&quot;/&gt;&lt;wsp:rsid wsp:val=&quot;006B209E&quot;/&gt;&lt;wsp:rsid wsp:val=&quot;006B3A71&quot;/&gt;&lt;wsp:rsid wsp:val=&quot;006B67E1&quot;/&gt;&lt;wsp:rsid wsp:val=&quot;006B79AD&quot;/&gt;&lt;wsp:rsid wsp:val=&quot;006C0D49&quot;/&gt;&lt;wsp:rsid wsp:val=&quot;006D0589&quot;/&gt;&lt;wsp:rsid wsp:val=&quot;006E316C&quot;/&gt;&lt;wsp:rsid wsp:val=&quot;006E4EBE&quot;/&gt;&lt;wsp:rsid wsp:val=&quot;006E52B0&quot;/&gt;&lt;wsp:rsid wsp:val=&quot;006F344F&quot;/&gt;&lt;wsp:rsid wsp:val=&quot;006F5423&quot;/&gt;&lt;wsp:rsid wsp:val=&quot;006F542F&quot;/&gt;&lt;wsp:rsid wsp:val=&quot;0070241E&quot;/&gt;&lt;wsp:rsid wsp:val=&quot;00710F92&quot;/&gt;&lt;wsp:rsid wsp:val=&quot;00717F15&quot;/&gt;&lt;wsp:rsid wsp:val=&quot;007205C1&quot;/&gt;&lt;wsp:rsid wsp:val=&quot;007206FA&quot;/&gt;&lt;wsp:rsid wsp:val=&quot;00722C37&quot;/&gt;&lt;wsp:rsid wsp:val=&quot;00724A7C&quot;/&gt;&lt;wsp:rsid wsp:val=&quot;0073178C&quot;/&gt;&lt;wsp:rsid wsp:val=&quot;00734AFF&quot;/&gt;&lt;wsp:rsid wsp:val=&quot;007379FC&quot;/&gt;&lt;wsp:rsid wsp:val=&quot;0074106C&quot;/&gt;&lt;wsp:rsid wsp:val=&quot;00745874&quot;/&gt;&lt;wsp:rsid wsp:val=&quot;00753121&quot;/&gt;&lt;wsp:rsid wsp:val=&quot;00753634&quot;/&gt;&lt;wsp:rsid wsp:val=&quot;007553D0&quot;/&gt;&lt;wsp:rsid wsp:val=&quot;007614F6&quot;/&gt;&lt;wsp:rsid wsp:val=&quot;00763D5E&quot;/&gt;&lt;wsp:rsid wsp:val=&quot;007650A6&quot;/&gt;&lt;wsp:rsid wsp:val=&quot;00765116&quot;/&gt;&lt;wsp:rsid wsp:val=&quot;007663DA&quot;/&gt;&lt;wsp:rsid wsp:val=&quot;00770796&quot;/&gt;&lt;wsp:rsid wsp:val=&quot;00772892&quot;/&gt;&lt;wsp:rsid wsp:val=&quot;007766BF&quot;/&gt;&lt;wsp:rsid wsp:val=&quot;00780ADE&quot;/&gt;&lt;wsp:rsid wsp:val=&quot;00785E96&quot;/&gt;&lt;wsp:rsid wsp:val=&quot;0078637F&quot;/&gt;&lt;wsp:rsid wsp:val=&quot;0078673E&quot;/&gt;&lt;wsp:rsid wsp:val=&quot;0078732E&quot;/&gt;&lt;wsp:rsid wsp:val=&quot;00787FAC&quot;/&gt;&lt;wsp:rsid wsp:val=&quot;007914D1&quot;/&gt;&lt;wsp:rsid wsp:val=&quot;007A391F&quot;/&gt;&lt;wsp:rsid wsp:val=&quot;007A65FA&quot;/&gt;&lt;wsp:rsid wsp:val=&quot;007B054F&quot;/&gt;&lt;wsp:rsid wsp:val=&quot;007B2544&quot;/&gt;&lt;wsp:rsid wsp:val=&quot;007B38CE&quot;/&gt;&lt;wsp:rsid wsp:val=&quot;007B501E&quot;/&gt;&lt;wsp:rsid wsp:val=&quot;007B6982&quot;/&gt;&lt;wsp:rsid wsp:val=&quot;007B6D4D&quot;/&gt;&lt;wsp:rsid wsp:val=&quot;007C03DA&quot;/&gt;&lt;wsp:rsid wsp:val=&quot;007C0974&quot;/&gt;&lt;wsp:rsid wsp:val=&quot;007C4E2B&quot;/&gt;&lt;wsp:rsid wsp:val=&quot;007C688B&quot;/&gt;&lt;wsp:rsid wsp:val=&quot;007D6F35&quot;/&gt;&lt;wsp:rsid wsp:val=&quot;007E2A9B&quot;/&gt;&lt;wsp:rsid wsp:val=&quot;007E588F&quot;/&gt;&lt;wsp:rsid wsp:val=&quot;007E6ADB&quot;/&gt;&lt;wsp:rsid wsp:val=&quot;007E77AF&quot;/&gt;&lt;wsp:rsid wsp:val=&quot;007E7F47&quot;/&gt;&lt;wsp:rsid wsp:val=&quot;007F0D46&quot;/&gt;&lt;wsp:rsid wsp:val=&quot;007F2669&quot;/&gt;&lt;wsp:rsid wsp:val=&quot;007F529B&quot;/&gt;&lt;wsp:rsid wsp:val=&quot;007F78BD&quot;/&gt;&lt;wsp:rsid wsp:val=&quot;00801824&quot;/&gt;&lt;wsp:rsid wsp:val=&quot;00801AB1&quot;/&gt;&lt;wsp:rsid wsp:val=&quot;0080466B&quot;/&gt;&lt;wsp:rsid wsp:val=&quot;00807727&quot;/&gt;&lt;wsp:rsid wsp:val=&quot;0081116A&quot;/&gt;&lt;wsp:rsid wsp:val=&quot;00812541&quot;/&gt;&lt;wsp:rsid wsp:val=&quot;00814DB2&quot;/&gt;&lt;wsp:rsid wsp:val=&quot;00815523&quot;/&gt;&lt;wsp:rsid wsp:val=&quot;00823DDC&quot;/&gt;&lt;wsp:rsid wsp:val=&quot;008254E4&quot;/&gt;&lt;wsp:rsid wsp:val=&quot;008265EF&quot;/&gt;&lt;wsp:rsid wsp:val=&quot;008271D3&quot;/&gt;&lt;wsp:rsid wsp:val=&quot;0083366F&quot;/&gt;&lt;wsp:rsid wsp:val=&quot;00836B8E&quot;/&gt;&lt;wsp:rsid wsp:val=&quot;00842975&quot;/&gt;&lt;wsp:rsid wsp:val=&quot;00844043&quot;/&gt;&lt;wsp:rsid wsp:val=&quot;00850A78&quot;/&gt;&lt;wsp:rsid wsp:val=&quot;00855796&quot;/&gt;&lt;wsp:rsid wsp:val=&quot;00855F5B&quot;/&gt;&lt;wsp:rsid wsp:val=&quot;008577CF&quot;/&gt;&lt;wsp:rsid wsp:val=&quot;00861C9D&quot;/&gt;&lt;wsp:rsid wsp:val=&quot;00864AEF&quot;/&gt;&lt;wsp:rsid wsp:val=&quot;00866BFA&quot;/&gt;&lt;wsp:rsid wsp:val=&quot;00867DB8&quot;/&gt;&lt;wsp:rsid wsp:val=&quot;00871062&quot;/&gt;&lt;wsp:rsid wsp:val=&quot;00874798&quot;/&gt;&lt;wsp:rsid wsp:val=&quot;00881A86&quot;/&gt;&lt;wsp:rsid wsp:val=&quot;00883DDF&quot;/&gt;&lt;wsp:rsid wsp:val=&quot;008863B8&quot;/&gt;&lt;wsp:rsid wsp:val=&quot;00886791&quot;/&gt;&lt;wsp:rsid wsp:val=&quot;00890961&quot;/&gt;&lt;wsp:rsid wsp:val=&quot;00890BD2&quot;/&gt;&lt;wsp:rsid wsp:val=&quot;00891AC1&quot;/&gt;&lt;wsp:rsid wsp:val=&quot;008A022E&quot;/&gt;&lt;wsp:rsid wsp:val=&quot;008A5C23&quot;/&gt;&lt;wsp:rsid wsp:val=&quot;008B0C88&quot;/&gt;&lt;wsp:rsid wsp:val=&quot;008B15E6&quot;/&gt;&lt;wsp:rsid wsp:val=&quot;008B22AA&quot;/&gt;&lt;wsp:rsid wsp:val=&quot;008B7AF3&quot;/&gt;&lt;wsp:rsid wsp:val=&quot;008D0C6A&quot;/&gt;&lt;wsp:rsid wsp:val=&quot;008D719A&quot;/&gt;&lt;wsp:rsid wsp:val=&quot;008D72F9&quot;/&gt;&lt;wsp:rsid wsp:val=&quot;008E0572&quot;/&gt;&lt;wsp:rsid wsp:val=&quot;008E1482&quot;/&gt;&lt;wsp:rsid wsp:val=&quot;008E2119&quot;/&gt;&lt;wsp:rsid wsp:val=&quot;008E4FCD&quot;/&gt;&lt;wsp:rsid wsp:val=&quot;008E60FD&quot;/&gt;&lt;wsp:rsid wsp:val=&quot;008E76EC&quot;/&gt;&lt;wsp:rsid wsp:val=&quot;008F1709&quot;/&gt;&lt;wsp:rsid wsp:val=&quot;008F731C&quot;/&gt;&lt;wsp:rsid wsp:val=&quot;00901374&quot;/&gt;&lt;wsp:rsid wsp:val=&quot;00910050&quot;/&gt;&lt;wsp:rsid wsp:val=&quot;0091124F&quot;/&gt;&lt;wsp:rsid wsp:val=&quot;00913B3C&quot;/&gt;&lt;wsp:rsid wsp:val=&quot;00917C7B&quot;/&gt;&lt;wsp:rsid wsp:val=&quot;00922705&quot;/&gt;&lt;wsp:rsid wsp:val=&quot;00924252&quot;/&gt;&lt;wsp:rsid wsp:val=&quot;00936AD1&quot;/&gt;&lt;wsp:rsid wsp:val=&quot;00937C51&quot;/&gt;&lt;wsp:rsid wsp:val=&quot;0094006F&quot;/&gt;&lt;wsp:rsid wsp:val=&quot;00944864&quot;/&gt;&lt;wsp:rsid wsp:val=&quot;00950622&quot;/&gt;&lt;wsp:rsid wsp:val=&quot;00955AE0&quot;/&gt;&lt;wsp:rsid wsp:val=&quot;00956A8E&quot;/&gt;&lt;wsp:rsid wsp:val=&quot;00956B03&quot;/&gt;&lt;wsp:rsid wsp:val=&quot;0095713B&quot;/&gt;&lt;wsp:rsid wsp:val=&quot;00957653&quot;/&gt;&lt;wsp:rsid wsp:val=&quot;00957D8A&quot;/&gt;&lt;wsp:rsid wsp:val=&quot;0097148E&quot;/&gt;&lt;wsp:rsid wsp:val=&quot;00975DFD&quot;/&gt;&lt;wsp:rsid wsp:val=&quot;009867B9&quot;/&gt;&lt;wsp:rsid wsp:val=&quot;00987A7A&quot;/&gt;&lt;wsp:rsid wsp:val=&quot;0099066F&quot;/&gt;&lt;wsp:rsid wsp:val=&quot;009972A4&quot;/&gt;&lt;wsp:rsid wsp:val=&quot;009972F7&quot;/&gt;&lt;wsp:rsid wsp:val=&quot;009C2211&quot;/&gt;&lt;wsp:rsid wsp:val=&quot;009C3614&quot;/&gt;&lt;wsp:rsid wsp:val=&quot;009C37C7&quot;/&gt;&lt;wsp:rsid wsp:val=&quot;009C413B&quot;/&gt;&lt;wsp:rsid wsp:val=&quot;009C6CFB&quot;/&gt;&lt;wsp:rsid wsp:val=&quot;009D167C&quot;/&gt;&lt;wsp:rsid wsp:val=&quot;009D537E&quot;/&gt;&lt;wsp:rsid wsp:val=&quot;009E2319&quot;/&gt;&lt;wsp:rsid wsp:val=&quot;009E2873&quot;/&gt;&lt;wsp:rsid wsp:val=&quot;009E42CB&quot;/&gt;&lt;wsp:rsid wsp:val=&quot;009F1EC5&quot;/&gt;&lt;wsp:rsid wsp:val=&quot;009F4DDD&quot;/&gt;&lt;wsp:rsid wsp:val=&quot;009F651A&quot;/&gt;&lt;wsp:rsid wsp:val=&quot;00A05DB2&quot;/&gt;&lt;wsp:rsid wsp:val=&quot;00A05ED5&quot;/&gt;&lt;wsp:rsid wsp:val=&quot;00A06605&quot;/&gt;&lt;wsp:rsid wsp:val=&quot;00A11528&quot;/&gt;&lt;wsp:rsid wsp:val=&quot;00A11EEE&quot;/&gt;&lt;wsp:rsid wsp:val=&quot;00A11F69&quot;/&gt;&lt;wsp:rsid wsp:val=&quot;00A14CC0&quot;/&gt;&lt;wsp:rsid wsp:val=&quot;00A161BF&quot;/&gt;&lt;wsp:rsid wsp:val=&quot;00A21C4D&quot;/&gt;&lt;wsp:rsid wsp:val=&quot;00A33D10&quot;/&gt;&lt;wsp:rsid wsp:val=&quot;00A401F7&quot;/&gt;&lt;wsp:rsid wsp:val=&quot;00A405CC&quot;/&gt;&lt;wsp:rsid wsp:val=&quot;00A52CCC&quot;/&gt;&lt;wsp:rsid wsp:val=&quot;00A530D7&quot;/&gt;&lt;wsp:rsid wsp:val=&quot;00A545DC&quot;/&gt;&lt;wsp:rsid wsp:val=&quot;00A54988&quot;/&gt;&lt;wsp:rsid wsp:val=&quot;00A62510&quot;/&gt;&lt;wsp:rsid wsp:val=&quot;00A6560B&quot;/&gt;&lt;wsp:rsid wsp:val=&quot;00A70E05&quot;/&gt;&lt;wsp:rsid wsp:val=&quot;00A73E4B&quot;/&gt;&lt;wsp:rsid wsp:val=&quot;00A7668E&quot;/&gt;&lt;wsp:rsid wsp:val=&quot;00A84451&quot;/&gt;&lt;wsp:rsid wsp:val=&quot;00A86190&quot;/&gt;&lt;wsp:rsid wsp:val=&quot;00A87AE2&quot;/&gt;&lt;wsp:rsid wsp:val=&quot;00A90450&quot;/&gt;&lt;wsp:rsid wsp:val=&quot;00A9067D&quot;/&gt;&lt;wsp:rsid wsp:val=&quot;00A92B46&quot;/&gt;&lt;wsp:rsid wsp:val=&quot;00A94987&quot;/&gt;&lt;wsp:rsid wsp:val=&quot;00A97F14&quot;/&gt;&lt;wsp:rsid wsp:val=&quot;00AA0F75&quot;/&gt;&lt;wsp:rsid wsp:val=&quot;00AB3377&quot;/&gt;&lt;wsp:rsid wsp:val=&quot;00AB426C&quot;/&gt;&lt;wsp:rsid wsp:val=&quot;00AB458A&quot;/&gt;&lt;wsp:rsid wsp:val=&quot;00AB4603&quot;/&gt;&lt;wsp:rsid wsp:val=&quot;00AB737D&quot;/&gt;&lt;wsp:rsid wsp:val=&quot;00AC2144&quot;/&gt;&lt;wsp:rsid wsp:val=&quot;00AC309C&quot;/&gt;&lt;wsp:rsid wsp:val=&quot;00AC340F&quot;/&gt;&lt;wsp:rsid wsp:val=&quot;00AD0399&quot;/&gt;&lt;wsp:rsid wsp:val=&quot;00AD1FDD&quot;/&gt;&lt;wsp:rsid wsp:val=&quot;00AD52A6&quot;/&gt;&lt;wsp:rsid wsp:val=&quot;00AE3033&quot;/&gt;&lt;wsp:rsid wsp:val=&quot;00AE4FEC&quot;/&gt;&lt;wsp:rsid wsp:val=&quot;00AF02FA&quot;/&gt;&lt;wsp:rsid wsp:val=&quot;00AF278F&quot;/&gt;&lt;wsp:rsid wsp:val=&quot;00AF3D99&quot;/&gt;&lt;wsp:rsid wsp:val=&quot;00AF5CE3&quot;/&gt;&lt;wsp:rsid wsp:val=&quot;00AF6359&quot;/&gt;&lt;wsp:rsid wsp:val=&quot;00B03511&quot;/&gt;&lt;wsp:rsid wsp:val=&quot;00B05781&quot;/&gt;&lt;wsp:rsid wsp:val=&quot;00B073A5&quot;/&gt;&lt;wsp:rsid wsp:val=&quot;00B07901&quot;/&gt;&lt;wsp:rsid wsp:val=&quot;00B104D6&quot;/&gt;&lt;wsp:rsid wsp:val=&quot;00B14999&quot;/&gt;&lt;wsp:rsid wsp:val=&quot;00B20405&quot;/&gt;&lt;wsp:rsid wsp:val=&quot;00B22231&quot;/&gt;&lt;wsp:rsid wsp:val=&quot;00B25325&quot;/&gt;&lt;wsp:rsid wsp:val=&quot;00B34634&quot;/&gt;&lt;wsp:rsid wsp:val=&quot;00B35C24&quot;/&gt;&lt;wsp:rsid wsp:val=&quot;00B36956&quot;/&gt;&lt;wsp:rsid wsp:val=&quot;00B37D25&quot;/&gt;&lt;wsp:rsid wsp:val=&quot;00B4207B&quot;/&gt;&lt;wsp:rsid wsp:val=&quot;00B62F82&quot;/&gt;&lt;wsp:rsid wsp:val=&quot;00B672AC&quot;/&gt;&lt;wsp:rsid wsp:val=&quot;00B70DB5&quot;/&gt;&lt;wsp:rsid wsp:val=&quot;00B71C00&quot;/&gt;&lt;wsp:rsid wsp:val=&quot;00B76A00&quot;/&gt;&lt;wsp:rsid wsp:val=&quot;00B803C8&quot;/&gt;&lt;wsp:rsid wsp:val=&quot;00B86145&quot;/&gt;&lt;wsp:rsid wsp:val=&quot;00B91758&quot;/&gt;&lt;wsp:rsid wsp:val=&quot;00B92F8D&quot;/&gt;&lt;wsp:rsid wsp:val=&quot;00B97181&quot;/&gt;&lt;wsp:rsid wsp:val=&quot;00BA0DC2&quot;/&gt;&lt;wsp:rsid wsp:val=&quot;00BA6D1B&quot;/&gt;&lt;wsp:rsid wsp:val=&quot;00BB0931&quot;/&gt;&lt;wsp:rsid wsp:val=&quot;00BB12B4&quot;/&gt;&lt;wsp:rsid wsp:val=&quot;00BB14DE&quot;/&gt;&lt;wsp:rsid wsp:val=&quot;00BD7BE5&quot;/&gt;&lt;wsp:rsid wsp:val=&quot;00BD7CE6&quot;/&gt;&lt;wsp:rsid wsp:val=&quot;00BE12D2&quot;/&gt;&lt;wsp:rsid wsp:val=&quot;00BE1F92&quot;/&gt;&lt;wsp:rsid wsp:val=&quot;00BE472F&quot;/&gt;&lt;wsp:rsid wsp:val=&quot;00BE57FA&quot;/&gt;&lt;wsp:rsid wsp:val=&quot;00C0162D&quot;/&gt;&lt;wsp:rsid wsp:val=&quot;00C02B74&quot;/&gt;&lt;wsp:rsid wsp:val=&quot;00C035B0&quot;/&gt;&lt;wsp:rsid wsp:val=&quot;00C114DB&quot;/&gt;&lt;wsp:rsid wsp:val=&quot;00C14F8B&quot;/&gt;&lt;wsp:rsid wsp:val=&quot;00C206FD&quot;/&gt;&lt;wsp:rsid wsp:val=&quot;00C21C2B&quot;/&gt;&lt;wsp:rsid wsp:val=&quot;00C30695&quot;/&gt;&lt;wsp:rsid wsp:val=&quot;00C3557C&quot;/&gt;&lt;wsp:rsid wsp:val=&quot;00C36A2A&quot;/&gt;&lt;wsp:rsid wsp:val=&quot;00C4055C&quot;/&gt;&lt;wsp:rsid wsp:val=&quot;00C41ED9&quot;/&gt;&lt;wsp:rsid wsp:val=&quot;00C43A24&quot;/&gt;&lt;wsp:rsid wsp:val=&quot;00C45F2F&quot;/&gt;&lt;wsp:rsid wsp:val=&quot;00C560FD&quot;/&gt;&lt;wsp:rsid wsp:val=&quot;00C56AE3&quot;/&gt;&lt;wsp:rsid wsp:val=&quot;00C56ED3&quot;/&gt;&lt;wsp:rsid wsp:val=&quot;00C5763D&quot;/&gt;&lt;wsp:rsid wsp:val=&quot;00C600BF&quot;/&gt;&lt;wsp:rsid wsp:val=&quot;00C63D6E&quot;/&gt;&lt;wsp:rsid wsp:val=&quot;00C64C6C&quot;/&gt;&lt;wsp:rsid wsp:val=&quot;00C64E21&quot;/&gt;&lt;wsp:rsid wsp:val=&quot;00C70B47&quot;/&gt;&lt;wsp:rsid wsp:val=&quot;00C70D2E&quot;/&gt;&lt;wsp:rsid wsp:val=&quot;00C72A1D&quot;/&gt;&lt;wsp:rsid wsp:val=&quot;00C74A85&quot;/&gt;&lt;wsp:rsid wsp:val=&quot;00C76A2E&quot;/&gt;&lt;wsp:rsid wsp:val=&quot;00C82869&quot;/&gt;&lt;wsp:rsid wsp:val=&quot;00C92B00&quot;/&gt;&lt;wsp:rsid wsp:val=&quot;00C94B35&quot;/&gt;&lt;wsp:rsid wsp:val=&quot;00C96404&quot;/&gt;&lt;wsp:rsid wsp:val=&quot;00CA2C53&quot;/&gt;&lt;wsp:rsid wsp:val=&quot;00CB3BEC&quot;/&gt;&lt;wsp:rsid wsp:val=&quot;00CB4421&quot;/&gt;&lt;wsp:rsid wsp:val=&quot;00CB44C7&quot;/&gt;&lt;wsp:rsid wsp:val=&quot;00CC297D&quot;/&gt;&lt;wsp:rsid wsp:val=&quot;00CC2FE0&quot;/&gt;&lt;wsp:rsid wsp:val=&quot;00CC513F&quot;/&gt;&lt;wsp:rsid wsp:val=&quot;00CC5927&quot;/&gt;&lt;wsp:rsid wsp:val=&quot;00CC7092&quot;/&gt;&lt;wsp:rsid wsp:val=&quot;00CD5554&quot;/&gt;&lt;wsp:rsid wsp:val=&quot;00CD64D7&quot;/&gt;&lt;wsp:rsid wsp:val=&quot;00CE0157&quot;/&gt;&lt;wsp:rsid wsp:val=&quot;00CE11BB&quot;/&gt;&lt;wsp:rsid wsp:val=&quot;00CE1D45&quot;/&gt;&lt;wsp:rsid wsp:val=&quot;00CE20D1&quot;/&gt;&lt;wsp:rsid wsp:val=&quot;00CE5BB1&quot;/&gt;&lt;wsp:rsid wsp:val=&quot;00CE6FEB&quot;/&gt;&lt;wsp:rsid wsp:val=&quot;00CF21E5&quot;/&gt;&lt;wsp:rsid wsp:val=&quot;00CF2CA2&quot;/&gt;&lt;wsp:rsid wsp:val=&quot;00CF3039&quot;/&gt;&lt;wsp:rsid wsp:val=&quot;00CF46EC&quot;/&gt;&lt;wsp:rsid wsp:val=&quot;00CF7D5B&quot;/&gt;&lt;wsp:rsid wsp:val=&quot;00D000C7&quot;/&gt;&lt;wsp:rsid wsp:val=&quot;00D00372&quot;/&gt;&lt;wsp:rsid wsp:val=&quot;00D00C53&quot;/&gt;&lt;wsp:rsid wsp:val=&quot;00D031E5&quot;/&gt;&lt;wsp:rsid wsp:val=&quot;00D0492C&quot;/&gt;&lt;wsp:rsid wsp:val=&quot;00D14ADD&quot;/&gt;&lt;wsp:rsid wsp:val=&quot;00D162F3&quot;/&gt;&lt;wsp:rsid wsp:val=&quot;00D245C1&quot;/&gt;&lt;wsp:rsid wsp:val=&quot;00D26497&quot;/&gt;&lt;wsp:rsid wsp:val=&quot;00D420FF&quot;/&gt;&lt;wsp:rsid wsp:val=&quot;00D42957&quot;/&gt;&lt;wsp:rsid wsp:val=&quot;00D4471B&quot;/&gt;&lt;wsp:rsid wsp:val=&quot;00D5356B&quot;/&gt;&lt;wsp:rsid wsp:val=&quot;00D67EE5&quot;/&gt;&lt;wsp:rsid wsp:val=&quot;00D7346E&quot;/&gt;&lt;wsp:rsid wsp:val=&quot;00D73E21&quot;/&gt;&lt;wsp:rsid wsp:val=&quot;00D75D78&quot;/&gt;&lt;wsp:rsid wsp:val=&quot;00D769BB&quot;/&gt;&lt;wsp:rsid wsp:val=&quot;00D80F5B&quot;/&gt;&lt;wsp:rsid wsp:val=&quot;00D82100&quot;/&gt;&lt;wsp:rsid wsp:val=&quot;00D82D0B&quot;/&gt;&lt;wsp:rsid wsp:val=&quot;00D82FA1&quot;/&gt;&lt;wsp:rsid wsp:val=&quot;00D85447&quot;/&gt;&lt;wsp:rsid wsp:val=&quot;00D86579&quot;/&gt;&lt;wsp:rsid wsp:val=&quot;00D8754B&quot;/&gt;&lt;wsp:rsid wsp:val=&quot;00D9220E&quot;/&gt;&lt;wsp:rsid wsp:val=&quot;00D929C3&quot;/&gt;&lt;wsp:rsid wsp:val=&quot;00DA2271&quot;/&gt;&lt;wsp:rsid wsp:val=&quot;00DA461B&quot;/&gt;&lt;wsp:rsid wsp:val=&quot;00DA5736&quot;/&gt;&lt;wsp:rsid wsp:val=&quot;00DA6107&quot;/&gt;&lt;wsp:rsid wsp:val=&quot;00DA6C1F&quot;/&gt;&lt;wsp:rsid wsp:val=&quot;00DA7414&quot;/&gt;&lt;wsp:rsid wsp:val=&quot;00DB01CB&quot;/&gt;&lt;wsp:rsid wsp:val=&quot;00DB04CC&quot;/&gt;&lt;wsp:rsid wsp:val=&quot;00DB1304&quot;/&gt;&lt;wsp:rsid wsp:val=&quot;00DB1E80&quot;/&gt;&lt;wsp:rsid wsp:val=&quot;00DB2C42&quot;/&gt;&lt;wsp:rsid wsp:val=&quot;00DB4627&quot;/&gt;&lt;wsp:rsid wsp:val=&quot;00DB4AD5&quot;/&gt;&lt;wsp:rsid wsp:val=&quot;00DB4F72&quot;/&gt;&lt;wsp:rsid wsp:val=&quot;00DB7DBE&quot;/&gt;&lt;wsp:rsid wsp:val=&quot;00DC3366&quot;/&gt;&lt;wsp:rsid wsp:val=&quot;00DC348D&quot;/&gt;&lt;wsp:rsid wsp:val=&quot;00DC4925&quot;/&gt;&lt;wsp:rsid wsp:val=&quot;00DC532B&quot;/&gt;&lt;wsp:rsid wsp:val=&quot;00DD1289&quot;/&gt;&lt;wsp:rsid wsp:val=&quot;00DE7E16&quot;/&gt;&lt;wsp:rsid wsp:val=&quot;00DF0576&quot;/&gt;&lt;wsp:rsid wsp:val=&quot;00DF0C56&quot;/&gt;&lt;wsp:rsid wsp:val=&quot;00DF4A71&quot;/&gt;&lt;wsp:rsid wsp:val=&quot;00E04007&quot;/&gt;&lt;wsp:rsid wsp:val=&quot;00E04FE2&quot;/&gt;&lt;wsp:rsid wsp:val=&quot;00E060D8&quot;/&gt;&lt;wsp:rsid wsp:val=&quot;00E07A7D&quot;/&gt;&lt;wsp:rsid wsp:val=&quot;00E120F5&quot;/&gt;&lt;wsp:rsid wsp:val=&quot;00E150CA&quot;/&gt;&lt;wsp:rsid wsp:val=&quot;00E210E0&quot;/&gt;&lt;wsp:rsid wsp:val=&quot;00E27D77&quot;/&gt;&lt;wsp:rsid wsp:val=&quot;00E354E4&quot;/&gt;&lt;wsp:rsid wsp:val=&quot;00E4124E&quot;/&gt;&lt;wsp:rsid wsp:val=&quot;00E4128D&quot;/&gt;&lt;wsp:rsid wsp:val=&quot;00E413C6&quot;/&gt;&lt;wsp:rsid wsp:val=&quot;00E41C29&quot;/&gt;&lt;wsp:rsid wsp:val=&quot;00E42CB8&quot;/&gt;&lt;wsp:rsid wsp:val=&quot;00E435AB&quot;/&gt;&lt;wsp:rsid wsp:val=&quot;00E466B5&quot;/&gt;&lt;wsp:rsid wsp:val=&quot;00E51130&quot;/&gt;&lt;wsp:rsid wsp:val=&quot;00E54C49&quot;/&gt;&lt;wsp:rsid wsp:val=&quot;00E55FD2&quot;/&gt;&lt;wsp:rsid wsp:val=&quot;00E56980&quot;/&gt;&lt;wsp:rsid wsp:val=&quot;00E62B97&quot;/&gt;&lt;wsp:rsid wsp:val=&quot;00E664CD&quot;/&gt;&lt;wsp:rsid wsp:val=&quot;00E7050F&quot;/&gt;&lt;wsp:rsid wsp:val=&quot;00E75F49&quot;/&gt;&lt;wsp:rsid wsp:val=&quot;00E8091A&quot;/&gt;&lt;wsp:rsid wsp:val=&quot;00E81C77&quot;/&gt;&lt;wsp:rsid wsp:val=&quot;00E81E5B&quot;/&gt;&lt;wsp:rsid wsp:val=&quot;00E82EE1&quot;/&gt;&lt;wsp:rsid wsp:val=&quot;00E83D58&quot;/&gt;&lt;wsp:rsid wsp:val=&quot;00E87641&quot;/&gt;&lt;wsp:rsid wsp:val=&quot;00E87D61&quot;/&gt;&lt;wsp:rsid wsp:val=&quot;00E90FF7&quot;/&gt;&lt;wsp:rsid wsp:val=&quot;00E9151D&quot;/&gt;&lt;wsp:rsid wsp:val=&quot;00E92672&quot;/&gt;&lt;wsp:rsid wsp:val=&quot;00E927AD&quot;/&gt;&lt;wsp:rsid wsp:val=&quot;00EA5042&quot;/&gt;&lt;wsp:rsid wsp:val=&quot;00EB3ED2&quot;/&gt;&lt;wsp:rsid wsp:val=&quot;00EB5430&quot;/&gt;&lt;wsp:rsid wsp:val=&quot;00EB6667&quot;/&gt;&lt;wsp:rsid wsp:val=&quot;00EB6CF0&quot;/&gt;&lt;wsp:rsid wsp:val=&quot;00EC06E9&quot;/&gt;&lt;wsp:rsid wsp:val=&quot;00EC0B01&quot;/&gt;&lt;wsp:rsid wsp:val=&quot;00EC4E9A&quot;/&gt;&lt;wsp:rsid wsp:val=&quot;00EC5D17&quot;/&gt;&lt;wsp:rsid wsp:val=&quot;00EC7C91&quot;/&gt;&lt;wsp:rsid wsp:val=&quot;00ED1A4B&quot;/&gt;&lt;wsp:rsid wsp:val=&quot;00ED4B81&quot;/&gt;&lt;wsp:rsid wsp:val=&quot;00EE14C6&quot;/&gt;&lt;wsp:rsid wsp:val=&quot;00EE1BA1&quot;/&gt;&lt;wsp:rsid wsp:val=&quot;00EE3D3B&quot;/&gt;&lt;wsp:rsid wsp:val=&quot;00EE59B5&quot;/&gt;&lt;wsp:rsid wsp:val=&quot;00EE64AE&quot;/&gt;&lt;wsp:rsid wsp:val=&quot;00EE74A0&quot;/&gt;&lt;wsp:rsid wsp:val=&quot;00EE7C84&quot;/&gt;&lt;wsp:rsid wsp:val=&quot;00EF1939&quot;/&gt;&lt;wsp:rsid wsp:val=&quot;00EF7B47&quot;/&gt;&lt;wsp:rsid wsp:val=&quot;00EF7E28&quot;/&gt;&lt;wsp:rsid wsp:val=&quot;00F03B4D&quot;/&gt;&lt;wsp:rsid wsp:val=&quot;00F06848&quot;/&gt;&lt;wsp:rsid wsp:val=&quot;00F15BD0&quot;/&gt;&lt;wsp:rsid wsp:val=&quot;00F247AA&quot;/&gt;&lt;wsp:rsid wsp:val=&quot;00F25183&quot;/&gt;&lt;wsp:rsid wsp:val=&quot;00F359C0&quot;/&gt;&lt;wsp:rsid wsp:val=&quot;00F3722A&quot;/&gt;&lt;wsp:rsid wsp:val=&quot;00F40487&quot;/&gt;&lt;wsp:rsid wsp:val=&quot;00F40E37&quot;/&gt;&lt;wsp:rsid wsp:val=&quot;00F41004&quot;/&gt;&lt;wsp:rsid wsp:val=&quot;00F4593C&quot;/&gt;&lt;wsp:rsid wsp:val=&quot;00F62A24&quot;/&gt;&lt;wsp:rsid wsp:val=&quot;00F65784&quot;/&gt;&lt;wsp:rsid wsp:val=&quot;00F66536&quot;/&gt;&lt;wsp:rsid wsp:val=&quot;00F6654E&quot;/&gt;&lt;wsp:rsid wsp:val=&quot;00F66D1F&quot;/&gt;&lt;wsp:rsid wsp:val=&quot;00F701AF&quot;/&gt;&lt;wsp:rsid wsp:val=&quot;00F77BE1&quot;/&gt;&lt;wsp:rsid wsp:val=&quot;00FA42B1&quot;/&gt;&lt;wsp:rsid wsp:val=&quot;00FA5EE2&quot;/&gt;&lt;wsp:rsid wsp:val=&quot;00FB5B67&quot;/&gt;&lt;wsp:rsid wsp:val=&quot;00FC1B67&quot;/&gt;&lt;wsp:rsid wsp:val=&quot;00FC34A3&quot;/&gt;&lt;wsp:rsid wsp:val=&quot;00FC5041&quot;/&gt;&lt;wsp:rsid wsp:val=&quot;00FD132F&quot;/&gt;&lt;wsp:rsid wsp:val=&quot;00FD2274&quot;/&gt;&lt;wsp:rsid wsp:val=&quot;00FD2C4B&quot;/&gt;&lt;wsp:rsid wsp:val=&quot;00FD4397&quot;/&gt;&lt;wsp:rsid wsp:val=&quot;00FD4FB0&quot;/&gt;&lt;wsp:rsid wsp:val=&quot;00FE074C&quot;/&gt;&lt;wsp:rsid wsp:val=&quot;00FF0671&quot;/&gt;&lt;wsp:rsid wsp:val=&quot;00FF0EBC&quot;/&gt;&lt;wsp:rsid wsp:val=&quot;00FF329B&quot;/&gt;&lt;wsp:rsid wsp:val=&quot;00FF5953&quot;/&gt;&lt;wsp:rsid wsp:val=&quot;00FF6978&quot;/&gt;&lt;/wsp:rsids&gt;&lt;/w:docPr&gt;&lt;w:body&gt;&lt;w:p wsp:rsidR=&quot;00000000&quot; wsp:rsidRDefault=&quot;00637B97&quot;&gt;&lt;m:oMathPara&gt;&lt;m:oMath&gt;&lt;m:r&gt;&lt;m:rPr&gt;&lt;m:sty m:val=&quot;p&quot;/&gt;&lt;/m:rPr&gt;&lt;w:rPr&gt;&lt;w:rFonts w:ascii=&quot;Cambria Math&quot; w:h-ansi=&quot;Cambria Math&quot;/&gt;&lt;wx:font wx:val=&quot;Cambria Math&quot;/&gt;&lt;w:sz w:val=&quot;36&quot;/&gt;&lt;w:sz-cs w:val=&quot;36&quot;/&gt;&lt;w:lang w:val=&quot;UK&quot;/&gt;&lt;/w:rPr&gt;&lt;m:t&gt;????=100v? &lt;/m:t&gt;&lt;/m:r&gt;&lt;m:d&gt;&lt;m:dPr&gt;&lt;m:ctrlPr&gt;&lt;w:rPr&gt;&lt;w:rFonts w:ascii=&quot;Cambria Math&quot; w:h-ansi=&quot;Cambria Math&quot;/&gt;&lt;wx:font wx:val=&quot;Cambria Math&quot;/&gt;&lt;w:sz w:val=&quot;36&quot;/&gt;&lt;w:sz-cs w:val=&quot;36&quot;/&gt;&lt;w:lang w:val=&quot;UK&quot;/&gt;&lt;/w:rPr&gt;&lt;/m:ctrlPr&gt;&lt;/m:dPr&gt;&lt;m:e&gt;&lt;m:r&gt;&lt;m:rPr&gt;&lt;m:sty m:val=&quot;p&quot;/&gt;&lt;/m:rPr&gt;&lt;w:rPr&gt;&lt;w:rFonts w:ascii=&quot;Cambria Math&quot; w:h-ansi=&quot;Cambria Math&quot;/&gt;&lt;wx:font wx:val=&quot;Cambria Math&quot;/&gt;&lt;w:sz w:val=&quot;36&quot;/&gt;&lt;w:sz-cs w:val=&quot;36&quot;/&gt;&lt;w:lang w:val=&quot;UK&quot;/&gt;&lt;/w:rPr&gt;&lt;m:t&gt;  &lt;/m:t&gt;&lt;/m:r&gt;&lt;m:f&gt;&lt;m:fPr&gt;&lt;m:ctrlPr&gt;&lt;w:rPr&gt;&lt;w:rFonts w:ascii=&quot;Cambria Math&quot; w:h-ansi=&quot;Cambria Math&quot;/&gt;&lt;wx:font wx:val=&quot;Cambria Math&quot;/&gt;&lt;w:sz w:val=&quot;36&quot;/&gt;&lt;w:sz-cs w:val=&quot;36&quot;/&gt;&lt;w:lang w:val=&quot;UK&quot;/&gt;&lt;/w:rPr&gt;&lt;/m:ctrlPr&gt;&lt;/m:fPr&gt;&lt;m:num&gt;&lt;m:r&gt;&lt;m:rPr&gt;&lt;m:sty m:val=&quot;p&quot;/&gt;&lt;/m:rPr&gt;&lt;w:rPr&gt;&lt;w:rFonts w:ascii=&quot;Cambria Math&quot; w:h-ansi=&quot;Cambria Math&quot;/&gt;&lt;wx:font wx:val=&quot;Cambria Math&quot;/&gt;&lt;w:sz w:val=&quot;36&quot;/&gt;&lt;w:sz-cs w:val=&quot;36&quot;/&gt;&lt;w:lang w:val=&quot;UK&quot;/&gt;&lt;/w:rPr&gt;&lt;m:t&gt;??-??  &lt;/m:t&gt;&lt;/m:r&gt;&lt;/m:num&gt;&lt;m:den&gt;&lt;m:r&gt;&lt;m:rPr&gt;&lt;m:sty m:val=&quot;p&quot;/&gt;&lt;/m:rPr&gt;&lt;w:rPr&gt;&lt;w:rFonts w:ascii=&quot;Cambria Math&quot; w:h-ansi=&quot;Cambria Math&quot;/&gt;&lt;wx:font wx:val=&quot;Cambria Math&quot;/&gt;&lt;w:sz w:val=&quot;36&quot;/&gt;&lt;w:sz-cs w:val=&quot;36&quot;/&gt;&lt;w:lang w:val=&quot;UK&quot;/&gt;&lt;/w:rPr&gt;&lt;m:t&gt;??&lt;/m:t&gt;&lt;/m:r&gt;&lt;/m:den&gt;&lt;/m:f&gt;&lt;m:r&gt;&lt;m:rPr&gt;&lt;m:sty m:val=&quot;p&quot;/&gt;&lt;/m:rPr&gt;&lt;w:rPr&gt;&lt;w:rFonts w:ascii=&quot;Cambria Math&quot; w:h-ansi=&quot;Cambria Math&quot;/&gt;&lt;wx:font wx:val=&quot;Cambria Math&quot;/&gt;&lt;w:sz w:val=&quot;36&quot;/&gt;&lt;w:sz-cs w:val=&quot;36&quot;/&gt;&lt;w:lang w:val=&quot;UK&quot;/&gt;&lt;/w:rPr&gt;&lt;m:t&gt; &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p>
    <w:p w14:paraId="21EC0365" w14:textId="77777777" w:rsidR="00C57D1F" w:rsidRPr="008A6B7D" w:rsidRDefault="00C57D1F" w:rsidP="00C57D1F">
      <w:pPr>
        <w:widowControl w:val="0"/>
        <w:autoSpaceDE w:val="0"/>
        <w:autoSpaceDN w:val="0"/>
        <w:adjustRightInd w:val="0"/>
        <w:spacing w:line="360" w:lineRule="auto"/>
        <w:ind w:firstLine="567"/>
        <w:jc w:val="right"/>
        <w:rPr>
          <w:sz w:val="28"/>
          <w:szCs w:val="28"/>
          <w:lang w:val="uk-UA"/>
        </w:rPr>
      </w:pPr>
      <w:r w:rsidRPr="008A6B7D">
        <w:rPr>
          <w:sz w:val="28"/>
          <w:szCs w:val="28"/>
          <w:lang w:val="uk-UA"/>
        </w:rPr>
        <w:t>(формула 2.1)</w:t>
      </w:r>
    </w:p>
    <w:p w14:paraId="764AFA5A" w14:textId="77777777" w:rsidR="00C57D1F" w:rsidRPr="008A6B7D" w:rsidRDefault="00C57D1F" w:rsidP="00C57D1F">
      <w:pPr>
        <w:widowControl w:val="0"/>
        <w:autoSpaceDE w:val="0"/>
        <w:autoSpaceDN w:val="0"/>
        <w:adjustRightInd w:val="0"/>
        <w:spacing w:line="360" w:lineRule="auto"/>
        <w:ind w:firstLine="567"/>
        <w:rPr>
          <w:sz w:val="28"/>
          <w:szCs w:val="28"/>
          <w:lang w:val="uk-UA"/>
        </w:rPr>
      </w:pPr>
      <w:r w:rsidRPr="008A6B7D">
        <w:rPr>
          <w:sz w:val="28"/>
          <w:szCs w:val="28"/>
          <w:lang w:val="uk-UA"/>
        </w:rPr>
        <w:t>О – об’єм запаленої</w:t>
      </w:r>
      <w:r w:rsidRPr="008A6B7D">
        <w:rPr>
          <w:sz w:val="28"/>
          <w:szCs w:val="28"/>
        </w:rPr>
        <w:t xml:space="preserve"> </w:t>
      </w:r>
      <w:r w:rsidRPr="008A6B7D">
        <w:rPr>
          <w:sz w:val="28"/>
          <w:szCs w:val="28"/>
          <w:lang w:val="uk-UA"/>
        </w:rPr>
        <w:t>кінцівки після введення флогогену</w:t>
      </w:r>
    </w:p>
    <w:p w14:paraId="4DE9698D" w14:textId="0E832815" w:rsidR="001759D5" w:rsidRPr="008A6B7D" w:rsidRDefault="00C57D1F" w:rsidP="001759D5">
      <w:pPr>
        <w:widowControl w:val="0"/>
        <w:autoSpaceDE w:val="0"/>
        <w:autoSpaceDN w:val="0"/>
        <w:adjustRightInd w:val="0"/>
        <w:spacing w:line="360" w:lineRule="auto"/>
        <w:ind w:firstLine="567"/>
        <w:rPr>
          <w:sz w:val="28"/>
          <w:szCs w:val="28"/>
          <w:lang w:val="uk-UA"/>
        </w:rPr>
      </w:pPr>
      <w:r w:rsidRPr="008A6B7D">
        <w:rPr>
          <w:sz w:val="28"/>
          <w:szCs w:val="28"/>
          <w:lang w:val="uk-UA"/>
        </w:rPr>
        <w:t>І – об’єм інтактної кінцівки</w:t>
      </w:r>
      <w:r w:rsidRPr="008A6B7D">
        <w:rPr>
          <w:sz w:val="28"/>
          <w:szCs w:val="28"/>
          <w:lang w:val="uk-UA"/>
        </w:rPr>
        <w:br/>
        <w:t>Товщину запаленої кінцівки виражали у відсотках відносно вихідних даних.</w:t>
      </w:r>
    </w:p>
    <w:p w14:paraId="223F4F8B" w14:textId="77777777" w:rsidR="00C57D1F" w:rsidRPr="008A6B7D" w:rsidRDefault="00C57D1F" w:rsidP="00C57D1F">
      <w:pPr>
        <w:spacing w:line="360" w:lineRule="auto"/>
        <w:ind w:firstLine="567"/>
        <w:jc w:val="both"/>
        <w:rPr>
          <w:rFonts w:eastAsia="MS Mincho"/>
          <w:b/>
          <w:sz w:val="28"/>
          <w:szCs w:val="28"/>
          <w:lang w:val="uk-UA"/>
        </w:rPr>
      </w:pPr>
      <w:bookmarkStart w:id="6" w:name="_Toc63336083"/>
      <w:r w:rsidRPr="008A6B7D">
        <w:rPr>
          <w:rFonts w:eastAsia="MS Mincho"/>
          <w:b/>
          <w:sz w:val="28"/>
          <w:szCs w:val="28"/>
        </w:rPr>
        <w:t>Метод індукування формалінового запалення</w:t>
      </w:r>
    </w:p>
    <w:p w14:paraId="71DB58DE" w14:textId="14D7ADF6" w:rsidR="00C57D1F" w:rsidRPr="008A6B7D" w:rsidRDefault="00C57D1F" w:rsidP="00C57D1F">
      <w:pPr>
        <w:spacing w:line="360" w:lineRule="auto"/>
        <w:ind w:firstLine="567"/>
        <w:jc w:val="both"/>
        <w:rPr>
          <w:i/>
          <w:sz w:val="28"/>
          <w:szCs w:val="28"/>
          <w:lang w:val="uk-UA"/>
        </w:rPr>
      </w:pPr>
      <w:r w:rsidRPr="008A6B7D">
        <w:rPr>
          <w:color w:val="222222"/>
          <w:sz w:val="28"/>
          <w:szCs w:val="28"/>
          <w:lang w:val="uk-UA"/>
        </w:rPr>
        <w:t xml:space="preserve">Формалінове запалення індукували шляхом субплантарного введення </w:t>
      </w:r>
      <w:r w:rsidR="00821BED">
        <w:rPr>
          <w:color w:val="222222"/>
          <w:sz w:val="28"/>
          <w:szCs w:val="28"/>
          <w:lang w:val="uk-UA"/>
        </w:rPr>
        <w:br/>
      </w:r>
      <w:r w:rsidRPr="008A6B7D">
        <w:rPr>
          <w:color w:val="000000"/>
          <w:sz w:val="28"/>
          <w:szCs w:val="28"/>
          <w:lang w:val="uk-UA"/>
        </w:rPr>
        <w:t xml:space="preserve">0,1 мл 2% водного розчину формаліну. Формалінове запалення є тривалим та двофазним процесом, </w:t>
      </w:r>
      <w:r w:rsidRPr="008A6B7D">
        <w:rPr>
          <w:color w:val="222222"/>
          <w:sz w:val="28"/>
          <w:szCs w:val="28"/>
          <w:lang w:val="uk-UA"/>
        </w:rPr>
        <w:t>перша фаза є результатом прямої активації первинних аферентних сенсорних нейронів, тоді як друга фаза є відображенням центральної сенсибілізації нейронів ЦНС у дорсальному розі [1</w:t>
      </w:r>
      <w:r w:rsidR="00390008" w:rsidRPr="008A6B7D">
        <w:rPr>
          <w:color w:val="222222"/>
          <w:sz w:val="28"/>
          <w:szCs w:val="28"/>
          <w:lang w:val="uk-UA"/>
        </w:rPr>
        <w:t>6</w:t>
      </w:r>
      <w:r w:rsidR="00B85935" w:rsidRPr="008A6B7D">
        <w:rPr>
          <w:color w:val="222222"/>
          <w:sz w:val="28"/>
          <w:szCs w:val="28"/>
          <w:lang w:val="uk-UA"/>
        </w:rPr>
        <w:t>1</w:t>
      </w:r>
      <w:r w:rsidRPr="008A6B7D">
        <w:rPr>
          <w:color w:val="222222"/>
          <w:sz w:val="28"/>
          <w:szCs w:val="28"/>
          <w:lang w:val="uk-UA"/>
        </w:rPr>
        <w:t xml:space="preserve">] і проявляється як хронічне запалення, </w:t>
      </w:r>
      <w:r w:rsidRPr="008A6B7D">
        <w:rPr>
          <w:color w:val="000000"/>
          <w:sz w:val="28"/>
          <w:szCs w:val="28"/>
          <w:lang w:val="uk-UA"/>
        </w:rPr>
        <w:t xml:space="preserve">що за своїм механізмом нагадує артрит у людини </w:t>
      </w:r>
      <w:r w:rsidRPr="008A6B7D">
        <w:rPr>
          <w:color w:val="222222"/>
          <w:sz w:val="28"/>
          <w:szCs w:val="28"/>
          <w:lang w:val="uk-UA"/>
        </w:rPr>
        <w:t>.</w:t>
      </w:r>
    </w:p>
    <w:p w14:paraId="06ED2088" w14:textId="77777777" w:rsidR="00C57D1F" w:rsidRPr="008A6B7D" w:rsidRDefault="00C57D1F" w:rsidP="00C57D1F">
      <w:pPr>
        <w:spacing w:line="360" w:lineRule="auto"/>
        <w:ind w:firstLine="567"/>
        <w:jc w:val="both"/>
        <w:rPr>
          <w:rFonts w:eastAsiaTheme="minorHAnsi"/>
          <w:color w:val="000000"/>
          <w:sz w:val="28"/>
          <w:szCs w:val="28"/>
          <w:lang w:val="uk-UA"/>
        </w:rPr>
      </w:pPr>
      <w:r w:rsidRPr="008A6B7D">
        <w:rPr>
          <w:color w:val="000000"/>
          <w:sz w:val="28"/>
          <w:szCs w:val="28"/>
          <w:lang w:val="uk-UA"/>
        </w:rPr>
        <w:t xml:space="preserve">Досліджувані сполуки вводили перорально через 3 доби після введення флогогену у вигляді емульсійних розчинів з твіном-80. </w:t>
      </w:r>
      <w:r w:rsidRPr="008A6B7D">
        <w:rPr>
          <w:rFonts w:eastAsia="Calibri"/>
          <w:sz w:val="28"/>
          <w:szCs w:val="28"/>
          <w:lang w:val="uk-UA" w:eastAsia="en-US"/>
        </w:rPr>
        <w:t xml:space="preserve">Оцінку результатів експериментального дослідження проводили на підставі зміни динаміки об’єму кінцівок за допомогою цифрового плетизмометра та товщини </w:t>
      </w:r>
      <w:r w:rsidRPr="008A6B7D">
        <w:rPr>
          <w:sz w:val="28"/>
          <w:szCs w:val="28"/>
          <w:lang w:val="uk-UA"/>
        </w:rPr>
        <w:t>запаленої</w:t>
      </w:r>
      <w:r w:rsidRPr="008A6B7D">
        <w:rPr>
          <w:sz w:val="28"/>
          <w:szCs w:val="28"/>
        </w:rPr>
        <w:t xml:space="preserve"> </w:t>
      </w:r>
      <w:r w:rsidRPr="008A6B7D">
        <w:rPr>
          <w:rFonts w:eastAsia="Calibri"/>
          <w:sz w:val="28"/>
          <w:szCs w:val="28"/>
          <w:lang w:val="uk-UA" w:eastAsia="en-US"/>
        </w:rPr>
        <w:t xml:space="preserve">кінцівки протягом всього експерименту. </w:t>
      </w:r>
      <w:r w:rsidRPr="008A6B7D">
        <w:rPr>
          <w:sz w:val="28"/>
          <w:szCs w:val="28"/>
          <w:lang w:val="uk-UA"/>
        </w:rPr>
        <w:t xml:space="preserve">Приріст об’єму розраховували за формулою 1, аналогічно до каррагінанового запалення. </w:t>
      </w:r>
      <w:r w:rsidRPr="008A6B7D">
        <w:rPr>
          <w:sz w:val="28"/>
          <w:szCs w:val="28"/>
          <w:lang w:val="uk-UA"/>
        </w:rPr>
        <w:lastRenderedPageBreak/>
        <w:t>Показники товщини запаленої</w:t>
      </w:r>
      <w:r w:rsidRPr="008A6B7D">
        <w:rPr>
          <w:sz w:val="28"/>
          <w:szCs w:val="28"/>
        </w:rPr>
        <w:t xml:space="preserve"> </w:t>
      </w:r>
      <w:r w:rsidRPr="008A6B7D">
        <w:rPr>
          <w:sz w:val="28"/>
          <w:szCs w:val="28"/>
          <w:lang w:val="uk-UA"/>
        </w:rPr>
        <w:t>кінцівки щурів виражали у відсотках відносно вихідних даних.</w:t>
      </w:r>
    </w:p>
    <w:p w14:paraId="5205B9D4" w14:textId="77777777" w:rsidR="00C57D1F" w:rsidRPr="008A6B7D" w:rsidRDefault="00C57D1F" w:rsidP="00C57D1F">
      <w:pPr>
        <w:spacing w:line="360" w:lineRule="auto"/>
        <w:ind w:firstLine="630"/>
        <w:jc w:val="both"/>
        <w:rPr>
          <w:b/>
          <w:color w:val="000000" w:themeColor="text1"/>
          <w:sz w:val="28"/>
          <w:szCs w:val="28"/>
          <w:lang w:val="uk-UA"/>
        </w:rPr>
      </w:pPr>
      <w:r w:rsidRPr="008A6B7D">
        <w:rPr>
          <w:b/>
          <w:color w:val="000000" w:themeColor="text1"/>
          <w:sz w:val="28"/>
          <w:szCs w:val="28"/>
          <w:lang w:val="uk-UA"/>
        </w:rPr>
        <w:t>Модель індукування трипсинового запалення</w:t>
      </w:r>
    </w:p>
    <w:p w14:paraId="40B6CB3D" w14:textId="0A39C7B9" w:rsidR="00C57D1F" w:rsidRPr="008A6B7D" w:rsidRDefault="00C57D1F" w:rsidP="00C57D1F">
      <w:pPr>
        <w:spacing w:line="360" w:lineRule="auto"/>
        <w:ind w:firstLine="630"/>
        <w:jc w:val="both"/>
        <w:rPr>
          <w:color w:val="000000" w:themeColor="text1"/>
          <w:sz w:val="28"/>
          <w:szCs w:val="28"/>
          <w:lang w:val="uk-UA"/>
        </w:rPr>
      </w:pPr>
      <w:r w:rsidRPr="008A6B7D">
        <w:rPr>
          <w:color w:val="000000" w:themeColor="text1"/>
          <w:sz w:val="28"/>
          <w:szCs w:val="28"/>
          <w:lang w:val="uk-UA"/>
        </w:rPr>
        <w:t>Запалення викликали шляхом введення 0,1 мл 0,5% водного розчину трипсину [1</w:t>
      </w:r>
      <w:r w:rsidR="00390008" w:rsidRPr="008A6B7D">
        <w:rPr>
          <w:color w:val="000000" w:themeColor="text1"/>
          <w:sz w:val="28"/>
          <w:szCs w:val="28"/>
          <w:lang w:val="uk-UA"/>
        </w:rPr>
        <w:t>6</w:t>
      </w:r>
      <w:r w:rsidR="00B85935" w:rsidRPr="008A6B7D">
        <w:rPr>
          <w:color w:val="000000" w:themeColor="text1"/>
          <w:sz w:val="28"/>
          <w:szCs w:val="28"/>
        </w:rPr>
        <w:t>2</w:t>
      </w:r>
      <w:r w:rsidRPr="008A6B7D">
        <w:rPr>
          <w:color w:val="000000" w:themeColor="text1"/>
          <w:sz w:val="28"/>
          <w:szCs w:val="28"/>
          <w:lang w:val="uk-UA"/>
        </w:rPr>
        <w:t>] у тильну частину стопи задньої лапи щура. Трипсинову модель запалення використовують для моделювання процесів запалення короткої дії. Протягом моделювання трипсинової моделі запалення відбувається активація протеїназ-активуючих 2-рецепторів, що призводить до синтезу ЦОГ-2.</w:t>
      </w:r>
    </w:p>
    <w:p w14:paraId="3F9FB91A" w14:textId="77777777" w:rsidR="00C57D1F" w:rsidRPr="008A6B7D" w:rsidRDefault="00C57D1F" w:rsidP="00C57D1F">
      <w:pPr>
        <w:spacing w:line="360" w:lineRule="auto"/>
        <w:ind w:firstLine="630"/>
        <w:jc w:val="both"/>
        <w:rPr>
          <w:color w:val="000000" w:themeColor="text1"/>
          <w:sz w:val="28"/>
          <w:szCs w:val="28"/>
          <w:lang w:val="uk-UA"/>
        </w:rPr>
      </w:pPr>
      <w:r w:rsidRPr="008A6B7D">
        <w:rPr>
          <w:color w:val="000000" w:themeColor="text1"/>
          <w:sz w:val="28"/>
          <w:szCs w:val="28"/>
          <w:lang w:val="uk-UA"/>
        </w:rPr>
        <w:t>За півгодини до введення флогогену тваринам перорально за допомогою зонду вводили емульсійні розчини досліджуваних сполук у твін 80. Дані реєстрували через 1, 2, 3, 6 та 24 години після початку експерименту. Контрольна група отримувала водно-твінову емульсію у такому самому об’ємі.</w:t>
      </w:r>
    </w:p>
    <w:p w14:paraId="6D8D0165" w14:textId="77777777" w:rsidR="00C57D1F" w:rsidRPr="008A6B7D" w:rsidRDefault="00C57D1F" w:rsidP="00C57D1F">
      <w:pPr>
        <w:widowControl w:val="0"/>
        <w:autoSpaceDE w:val="0"/>
        <w:autoSpaceDN w:val="0"/>
        <w:adjustRightInd w:val="0"/>
        <w:spacing w:line="360" w:lineRule="auto"/>
        <w:ind w:firstLine="567"/>
        <w:jc w:val="both"/>
        <w:rPr>
          <w:sz w:val="28"/>
          <w:szCs w:val="28"/>
          <w:lang w:val="uk-UA"/>
        </w:rPr>
      </w:pPr>
      <w:r w:rsidRPr="008A6B7D">
        <w:rPr>
          <w:sz w:val="28"/>
          <w:szCs w:val="28"/>
          <w:lang w:val="uk-UA"/>
        </w:rPr>
        <w:t>Оцінку результатів експерименту проводили фіксуючи динаміку зміни морфологічних показників (товщина та об’єм) запаленої кінцівки. Об’єм визначали методом волюметрії за допомогою цифрового плетизмометру, товщину фіксували за допомогою електронного штангенциркуля. Статистичні дані розраховували за показниками приросту об’єму (формула 2.1), який свідчить про гальмування процесу розвитку запалення в експериментальних групах у порівнянні із контролем. Товщину запаленої кінцівки виражали у відсотках відносно вихідних даних.</w:t>
      </w:r>
    </w:p>
    <w:p w14:paraId="557B6F8F" w14:textId="77777777" w:rsidR="00C57D1F" w:rsidRPr="008A6B7D" w:rsidRDefault="00C57D1F" w:rsidP="00C57D1F">
      <w:pPr>
        <w:widowControl w:val="0"/>
        <w:autoSpaceDE w:val="0"/>
        <w:autoSpaceDN w:val="0"/>
        <w:adjustRightInd w:val="0"/>
        <w:spacing w:line="360" w:lineRule="auto"/>
        <w:ind w:firstLine="567"/>
        <w:jc w:val="both"/>
        <w:rPr>
          <w:rFonts w:eastAsia="MS Mincho"/>
          <w:b/>
          <w:color w:val="000000" w:themeColor="text1"/>
          <w:sz w:val="28"/>
          <w:szCs w:val="28"/>
          <w:lang w:val="uk-UA"/>
        </w:rPr>
      </w:pPr>
      <w:r w:rsidRPr="008A6B7D">
        <w:rPr>
          <w:rFonts w:eastAsia="MS Mincho"/>
          <w:b/>
          <w:color w:val="000000" w:themeColor="text1"/>
          <w:sz w:val="28"/>
          <w:szCs w:val="28"/>
          <w:lang w:val="uk-UA"/>
        </w:rPr>
        <w:t>Модель індукування гістамінового запалення у щурів</w:t>
      </w:r>
      <w:bookmarkEnd w:id="6"/>
    </w:p>
    <w:p w14:paraId="7B73A221" w14:textId="65AFA972" w:rsidR="00C57D1F" w:rsidRPr="008A6B7D" w:rsidRDefault="00C57D1F" w:rsidP="00C57D1F">
      <w:pPr>
        <w:widowControl w:val="0"/>
        <w:autoSpaceDE w:val="0"/>
        <w:autoSpaceDN w:val="0"/>
        <w:adjustRightInd w:val="0"/>
        <w:spacing w:line="360" w:lineRule="auto"/>
        <w:ind w:firstLine="567"/>
        <w:jc w:val="both"/>
        <w:rPr>
          <w:rFonts w:eastAsiaTheme="minorHAnsi"/>
          <w:sz w:val="28"/>
          <w:szCs w:val="28"/>
          <w:lang w:val="uk-UA"/>
        </w:rPr>
      </w:pPr>
      <w:r w:rsidRPr="008A6B7D">
        <w:rPr>
          <w:color w:val="000000" w:themeColor="text1"/>
          <w:sz w:val="28"/>
          <w:szCs w:val="28"/>
          <w:lang w:val="uk-UA"/>
        </w:rPr>
        <w:t>Запальну реакцію викликали введенням 0,1 мл 0,5% водного розчину гістаміну під плантарний апоневроз лапи щура. Спостереження за функціональним станом щурів проводили протягом 1, 2, 3, 6 та 24 години після початку експерименту. Досліджувані сполуки вводили тваринам перорально за допомогою зонду  у вигляді емульсійних розчинів у твіні-80. Контрольна група отримувала водно-твіновий розчин у такому самому об’ємі, як і досліджувані групи. При взаємодії гістаміну із H</w:t>
      </w:r>
      <w:r w:rsidRPr="008A6B7D">
        <w:rPr>
          <w:color w:val="000000" w:themeColor="text1"/>
          <w:sz w:val="28"/>
          <w:szCs w:val="28"/>
          <w:vertAlign w:val="subscript"/>
          <w:lang w:val="uk-UA"/>
        </w:rPr>
        <w:t>1</w:t>
      </w:r>
      <w:r w:rsidRPr="008A6B7D">
        <w:rPr>
          <w:color w:val="000000" w:themeColor="text1"/>
          <w:sz w:val="28"/>
          <w:szCs w:val="28"/>
          <w:lang w:val="uk-UA"/>
        </w:rPr>
        <w:t xml:space="preserve"> та Н</w:t>
      </w:r>
      <w:r w:rsidRPr="008A6B7D">
        <w:rPr>
          <w:color w:val="000000" w:themeColor="text1"/>
          <w:sz w:val="28"/>
          <w:szCs w:val="28"/>
          <w:vertAlign w:val="subscript"/>
          <w:lang w:val="uk-UA"/>
        </w:rPr>
        <w:t>4</w:t>
      </w:r>
      <w:r w:rsidRPr="008A6B7D">
        <w:rPr>
          <w:color w:val="000000" w:themeColor="text1"/>
          <w:sz w:val="28"/>
          <w:szCs w:val="28"/>
          <w:lang w:val="uk-UA"/>
        </w:rPr>
        <w:t xml:space="preserve">-рецепторами відбувається активація запального процесу, а саме міграція та хемотаксис </w:t>
      </w:r>
      <w:r w:rsidRPr="008A6B7D">
        <w:rPr>
          <w:color w:val="000000" w:themeColor="text1"/>
          <w:sz w:val="28"/>
          <w:szCs w:val="28"/>
          <w:lang w:val="uk-UA"/>
        </w:rPr>
        <w:lastRenderedPageBreak/>
        <w:t>еозинофілів та нейтрофілів, продукція IgE, підвищення проникності судин та артеріол, продукція інтерлейкіну-16, що призводить про розвитку стрімкого запального процесу [1</w:t>
      </w:r>
      <w:r w:rsidR="00390008" w:rsidRPr="008A6B7D">
        <w:rPr>
          <w:color w:val="000000" w:themeColor="text1"/>
          <w:sz w:val="28"/>
          <w:szCs w:val="28"/>
          <w:lang w:val="uk-UA"/>
        </w:rPr>
        <w:t>6</w:t>
      </w:r>
      <w:r w:rsidR="00B85935" w:rsidRPr="008A6B7D">
        <w:rPr>
          <w:color w:val="000000" w:themeColor="text1"/>
          <w:sz w:val="28"/>
          <w:szCs w:val="28"/>
          <w:lang w:val="uk-UA"/>
        </w:rPr>
        <w:t>3</w:t>
      </w:r>
      <w:r w:rsidRPr="008A6B7D">
        <w:rPr>
          <w:color w:val="000000" w:themeColor="text1"/>
          <w:sz w:val="28"/>
          <w:szCs w:val="28"/>
          <w:lang w:val="uk-UA"/>
        </w:rPr>
        <w:t xml:space="preserve">]. </w:t>
      </w:r>
    </w:p>
    <w:p w14:paraId="1E1FBC62" w14:textId="77777777" w:rsidR="00C57D1F" w:rsidRPr="008A6B7D" w:rsidRDefault="00C57D1F" w:rsidP="00C57D1F">
      <w:pPr>
        <w:spacing w:line="360" w:lineRule="auto"/>
        <w:ind w:firstLine="567"/>
        <w:jc w:val="both"/>
        <w:rPr>
          <w:sz w:val="28"/>
          <w:szCs w:val="28"/>
          <w:lang w:val="uk-UA"/>
        </w:rPr>
      </w:pPr>
      <w:r w:rsidRPr="008A6B7D">
        <w:rPr>
          <w:color w:val="000000" w:themeColor="text1"/>
          <w:sz w:val="28"/>
          <w:szCs w:val="28"/>
          <w:lang w:val="uk-UA"/>
        </w:rPr>
        <w:t xml:space="preserve">Оцінку результатів експериментального дослідження проводили фіксуючи динаміку показників товщини та об’єму запаленої кінцівки </w:t>
      </w:r>
      <w:r w:rsidRPr="008A6B7D">
        <w:rPr>
          <w:sz w:val="28"/>
          <w:szCs w:val="28"/>
          <w:lang w:val="uk-UA"/>
        </w:rPr>
        <w:t>експериментальних тварин. Приріст об’єму розраховували аналогічно до каррагінанового запалення за формулою 2.1. Показники товщини запаленої</w:t>
      </w:r>
      <w:r w:rsidRPr="008A6B7D">
        <w:rPr>
          <w:sz w:val="28"/>
          <w:szCs w:val="28"/>
        </w:rPr>
        <w:t xml:space="preserve"> </w:t>
      </w:r>
      <w:r w:rsidRPr="008A6B7D">
        <w:rPr>
          <w:sz w:val="28"/>
          <w:szCs w:val="28"/>
          <w:lang w:val="uk-UA"/>
        </w:rPr>
        <w:t>кінцівки щурів виражали у відсотках відносно вихідних даних.</w:t>
      </w:r>
    </w:p>
    <w:p w14:paraId="428AC0C3" w14:textId="77777777" w:rsidR="00C57D1F" w:rsidRPr="008A6B7D" w:rsidRDefault="00C57D1F" w:rsidP="00C57D1F">
      <w:pPr>
        <w:widowControl w:val="0"/>
        <w:autoSpaceDE w:val="0"/>
        <w:autoSpaceDN w:val="0"/>
        <w:adjustRightInd w:val="0"/>
        <w:spacing w:line="360" w:lineRule="auto"/>
        <w:ind w:firstLine="567"/>
        <w:rPr>
          <w:b/>
          <w:sz w:val="28"/>
          <w:szCs w:val="28"/>
          <w:lang w:val="uk-UA"/>
        </w:rPr>
      </w:pPr>
      <w:r w:rsidRPr="008A6B7D">
        <w:rPr>
          <w:b/>
          <w:sz w:val="28"/>
          <w:szCs w:val="28"/>
          <w:lang w:val="uk-UA"/>
        </w:rPr>
        <w:t>Антипірогенної дії досліджуваних сполук</w:t>
      </w:r>
    </w:p>
    <w:p w14:paraId="6011C56A" w14:textId="1F045ED2" w:rsidR="00C57D1F" w:rsidRPr="008A6B7D" w:rsidRDefault="00C57D1F" w:rsidP="00C57D1F">
      <w:pPr>
        <w:widowControl w:val="0"/>
        <w:autoSpaceDE w:val="0"/>
        <w:autoSpaceDN w:val="0"/>
        <w:adjustRightInd w:val="0"/>
        <w:spacing w:line="360" w:lineRule="auto"/>
        <w:ind w:firstLine="567"/>
        <w:jc w:val="both"/>
        <w:rPr>
          <w:i/>
          <w:sz w:val="28"/>
          <w:szCs w:val="28"/>
          <w:lang w:val="uk-UA"/>
        </w:rPr>
      </w:pPr>
      <w:r w:rsidRPr="008A6B7D">
        <w:rPr>
          <w:sz w:val="28"/>
          <w:szCs w:val="28"/>
          <w:lang w:val="uk-UA"/>
        </w:rPr>
        <w:t xml:space="preserve">Лихоманка є найбільш поширеним симптомом травм та захворювань </w:t>
      </w:r>
      <w:r w:rsidRPr="008A6B7D">
        <w:rPr>
          <w:color w:val="000000"/>
          <w:sz w:val="28"/>
          <w:szCs w:val="28"/>
          <w:lang w:val="uk-UA"/>
        </w:rPr>
        <w:t>[1</w:t>
      </w:r>
      <w:r w:rsidR="00FE60C3" w:rsidRPr="008A6B7D">
        <w:rPr>
          <w:color w:val="000000"/>
          <w:sz w:val="28"/>
          <w:szCs w:val="28"/>
          <w:lang w:val="uk-UA"/>
        </w:rPr>
        <w:t>6</w:t>
      </w:r>
      <w:r w:rsidR="00B85935" w:rsidRPr="001759D5">
        <w:rPr>
          <w:color w:val="000000"/>
          <w:sz w:val="28"/>
          <w:szCs w:val="28"/>
          <w:lang w:val="uk-UA"/>
        </w:rPr>
        <w:t>4</w:t>
      </w:r>
      <w:r w:rsidRPr="008A6B7D">
        <w:rPr>
          <w:color w:val="000000"/>
          <w:sz w:val="28"/>
          <w:szCs w:val="28"/>
          <w:lang w:val="uk-UA"/>
        </w:rPr>
        <w:t>].</w:t>
      </w:r>
      <w:r w:rsidRPr="008A6B7D">
        <w:rPr>
          <w:sz w:val="28"/>
          <w:szCs w:val="28"/>
          <w:lang w:val="uk-UA"/>
        </w:rPr>
        <w:t xml:space="preserve"> Завдяки аналгетичним засобам відбувається інгібування біосинтезу простагландинів, які при взаємодії з  рецепторами у тканинах центральної нервової системи викликають лихоманку.</w:t>
      </w:r>
      <w:r w:rsidRPr="008A6B7D">
        <w:rPr>
          <w:i/>
          <w:sz w:val="28"/>
          <w:szCs w:val="28"/>
          <w:lang w:val="uk-UA"/>
        </w:rPr>
        <w:t xml:space="preserve"> </w:t>
      </w:r>
      <w:r w:rsidRPr="008A6B7D">
        <w:rPr>
          <w:sz w:val="28"/>
          <w:szCs w:val="28"/>
          <w:lang w:val="uk-UA"/>
        </w:rPr>
        <w:t>Комплексні сполуки І та ІІ, саліцилову кислоту вводили перорально у водно-твіновій емульсії через пів години після ін’єкції пірогеналу. Ректальну температуру у мишей реєстрували за пів-години до початку експерименту та через 30 хвилин і далі кожну годину впродовж 6 годин після введення пірогеналу.</w:t>
      </w:r>
    </w:p>
    <w:p w14:paraId="24CF65C7" w14:textId="77777777" w:rsidR="00C57D1F" w:rsidRPr="008A6B7D" w:rsidRDefault="00C57D1F" w:rsidP="00C57D1F">
      <w:pPr>
        <w:pStyle w:val="a0"/>
        <w:spacing w:line="360" w:lineRule="auto"/>
        <w:ind w:left="0" w:firstLine="567"/>
        <w:jc w:val="both"/>
        <w:rPr>
          <w:color w:val="000000"/>
          <w:sz w:val="28"/>
          <w:szCs w:val="28"/>
          <w:lang w:val="uk-UA"/>
        </w:rPr>
      </w:pPr>
      <w:r w:rsidRPr="008A6B7D">
        <w:rPr>
          <w:sz w:val="28"/>
          <w:szCs w:val="28"/>
          <w:lang w:val="uk-UA"/>
        </w:rPr>
        <w:t xml:space="preserve"> Пірогенал вводили внутрішньом’язово у дозі 100 мкг/кг. Антипірогенну активність комплексних сполук порівнювали із активністю саліциловою кислоти та референс-препаратом ібупрофеном (15 мг/кг). </w:t>
      </w:r>
      <w:r w:rsidRPr="008A6B7D">
        <w:rPr>
          <w:color w:val="000000"/>
          <w:sz w:val="28"/>
          <w:szCs w:val="28"/>
          <w:lang w:val="uk-UA"/>
        </w:rPr>
        <w:t>Вимірювання проводили ректально за допомогою термометра.</w:t>
      </w:r>
    </w:p>
    <w:p w14:paraId="03D29CDC" w14:textId="77777777" w:rsidR="00C57D1F" w:rsidRPr="008A6B7D" w:rsidRDefault="00C57D1F" w:rsidP="00F05F4E">
      <w:pPr>
        <w:spacing w:line="360" w:lineRule="auto"/>
        <w:rPr>
          <w:color w:val="000000" w:themeColor="text1"/>
          <w:sz w:val="28"/>
          <w:szCs w:val="28"/>
          <w:lang w:val="uk-UA"/>
        </w:rPr>
      </w:pPr>
    </w:p>
    <w:p w14:paraId="199263B4" w14:textId="3FD33465" w:rsidR="00F05F4E" w:rsidRPr="008A6B7D" w:rsidRDefault="00F05F4E" w:rsidP="00F05F4E">
      <w:pPr>
        <w:spacing w:line="360" w:lineRule="auto"/>
        <w:ind w:firstLine="630"/>
        <w:rPr>
          <w:b/>
          <w:color w:val="000000" w:themeColor="text1"/>
          <w:sz w:val="28"/>
          <w:szCs w:val="28"/>
          <w:lang w:val="uk-UA"/>
        </w:rPr>
      </w:pPr>
      <w:r w:rsidRPr="008A6B7D">
        <w:rPr>
          <w:b/>
          <w:color w:val="000000" w:themeColor="text1"/>
          <w:sz w:val="28"/>
          <w:szCs w:val="28"/>
          <w:lang w:val="uk-UA"/>
        </w:rPr>
        <w:t>2.</w:t>
      </w:r>
      <w:r w:rsidR="00C57D1F" w:rsidRPr="008A6B7D">
        <w:rPr>
          <w:b/>
          <w:color w:val="000000" w:themeColor="text1"/>
          <w:sz w:val="28"/>
          <w:szCs w:val="28"/>
          <w:lang w:val="uk-UA"/>
        </w:rPr>
        <w:t>3</w:t>
      </w:r>
      <w:r w:rsidRPr="008A6B7D">
        <w:rPr>
          <w:b/>
          <w:color w:val="000000" w:themeColor="text1"/>
          <w:sz w:val="28"/>
          <w:szCs w:val="28"/>
          <w:lang w:val="uk-UA"/>
        </w:rPr>
        <w:t>.</w:t>
      </w:r>
      <w:r w:rsidR="00C57D1F" w:rsidRPr="008A6B7D">
        <w:rPr>
          <w:b/>
          <w:color w:val="000000" w:themeColor="text1"/>
          <w:sz w:val="28"/>
          <w:szCs w:val="28"/>
          <w:lang w:val="uk-UA"/>
        </w:rPr>
        <w:t>4</w:t>
      </w:r>
      <w:r w:rsidRPr="008A6B7D">
        <w:rPr>
          <w:b/>
          <w:color w:val="000000" w:themeColor="text1"/>
          <w:sz w:val="28"/>
          <w:szCs w:val="28"/>
          <w:lang w:val="uk-UA"/>
        </w:rPr>
        <w:t xml:space="preserve"> Методи вивчення аналгетичної активності </w:t>
      </w:r>
      <w:bookmarkStart w:id="7" w:name="_Toc63336088"/>
    </w:p>
    <w:p w14:paraId="2007B673" w14:textId="77777777" w:rsidR="00F05F4E" w:rsidRPr="008A6B7D" w:rsidRDefault="00F05F4E" w:rsidP="00F05F4E">
      <w:pPr>
        <w:spacing w:line="360" w:lineRule="auto"/>
        <w:ind w:firstLine="630"/>
        <w:rPr>
          <w:rFonts w:eastAsia="MS Mincho"/>
          <w:b/>
          <w:color w:val="000000" w:themeColor="text1"/>
          <w:sz w:val="28"/>
          <w:szCs w:val="28"/>
        </w:rPr>
      </w:pPr>
      <w:r w:rsidRPr="008A6B7D">
        <w:rPr>
          <w:rFonts w:eastAsia="MS Mincho"/>
          <w:b/>
          <w:color w:val="000000" w:themeColor="text1"/>
          <w:sz w:val="28"/>
          <w:szCs w:val="28"/>
        </w:rPr>
        <w:t>Тест «гаряча пластина»</w:t>
      </w:r>
      <w:bookmarkEnd w:id="7"/>
    </w:p>
    <w:p w14:paraId="62EF2D3F" w14:textId="77777777" w:rsidR="00F05F4E" w:rsidRPr="008A6B7D" w:rsidRDefault="00F05F4E" w:rsidP="00F05F4E">
      <w:pPr>
        <w:spacing w:line="360" w:lineRule="auto"/>
        <w:ind w:firstLine="630"/>
        <w:jc w:val="both"/>
        <w:rPr>
          <w:rFonts w:eastAsiaTheme="minorHAnsi"/>
          <w:color w:val="000000" w:themeColor="text1"/>
          <w:sz w:val="28"/>
          <w:szCs w:val="28"/>
          <w:lang w:val="uk-UA"/>
        </w:rPr>
      </w:pPr>
      <w:r w:rsidRPr="008A6B7D">
        <w:rPr>
          <w:color w:val="000000" w:themeColor="text1"/>
          <w:sz w:val="28"/>
          <w:szCs w:val="28"/>
          <w:lang w:val="uk-UA"/>
        </w:rPr>
        <w:t xml:space="preserve">Тест «гаряча пластина» являє собою глобальну оцінку ноцицептивної реакції і може бути проведена однократно для однієї тварини коли оцінюється відповідна реакція.  </w:t>
      </w:r>
    </w:p>
    <w:p w14:paraId="0CA7B111" w14:textId="05AF11D7" w:rsidR="00F05F4E" w:rsidRPr="008A6B7D" w:rsidRDefault="00F05F4E" w:rsidP="00F05F4E">
      <w:pPr>
        <w:spacing w:line="360" w:lineRule="auto"/>
        <w:ind w:firstLine="567"/>
        <w:jc w:val="both"/>
        <w:rPr>
          <w:color w:val="000000" w:themeColor="text1"/>
          <w:sz w:val="28"/>
          <w:szCs w:val="28"/>
          <w:lang w:val="uk-UA"/>
        </w:rPr>
      </w:pPr>
      <w:r w:rsidRPr="008A6B7D">
        <w:rPr>
          <w:color w:val="000000" w:themeColor="text1"/>
          <w:sz w:val="28"/>
          <w:szCs w:val="28"/>
          <w:lang w:val="uk-UA"/>
        </w:rPr>
        <w:t>Для дослідження аналгетичної дії сполук, що вивчалися, проводили при пероральному та місцевому введенні. У тесті гаряча пластини (ГП), на спеціальну поверхню, нагріту до 55 ° С (</w:t>
      </w:r>
      <w:r w:rsidRPr="008A6B7D">
        <w:rPr>
          <w:color w:val="000000" w:themeColor="text1"/>
          <w:sz w:val="28"/>
          <w:szCs w:val="28"/>
          <w:lang w:val="en-US"/>
        </w:rPr>
        <w:t>Hot</w:t>
      </w:r>
      <w:r w:rsidRPr="008A6B7D">
        <w:rPr>
          <w:color w:val="000000" w:themeColor="text1"/>
          <w:sz w:val="28"/>
          <w:szCs w:val="28"/>
          <w:lang w:val="uk-UA"/>
        </w:rPr>
        <w:t xml:space="preserve"> </w:t>
      </w:r>
      <w:r w:rsidRPr="008A6B7D">
        <w:rPr>
          <w:color w:val="000000" w:themeColor="text1"/>
          <w:sz w:val="28"/>
          <w:szCs w:val="28"/>
          <w:lang w:val="en-US"/>
        </w:rPr>
        <w:t>plate</w:t>
      </w:r>
      <w:r w:rsidRPr="008A6B7D">
        <w:rPr>
          <w:color w:val="000000" w:themeColor="text1"/>
          <w:sz w:val="28"/>
          <w:szCs w:val="28"/>
          <w:lang w:val="uk-UA"/>
        </w:rPr>
        <w:t xml:space="preserve">-метр, </w:t>
      </w:r>
      <w:r w:rsidRPr="008A6B7D">
        <w:rPr>
          <w:color w:val="000000" w:themeColor="text1"/>
          <w:sz w:val="28"/>
          <w:szCs w:val="28"/>
          <w:lang w:val="en-US"/>
        </w:rPr>
        <w:t>Columbus</w:t>
      </w:r>
      <w:r w:rsidRPr="008A6B7D">
        <w:rPr>
          <w:color w:val="000000" w:themeColor="text1"/>
          <w:sz w:val="28"/>
          <w:szCs w:val="28"/>
          <w:lang w:val="uk-UA"/>
        </w:rPr>
        <w:t xml:space="preserve"> </w:t>
      </w:r>
      <w:r w:rsidRPr="008A6B7D">
        <w:rPr>
          <w:color w:val="000000" w:themeColor="text1"/>
          <w:sz w:val="28"/>
          <w:szCs w:val="28"/>
          <w:lang w:val="en-US"/>
        </w:rPr>
        <w:t>Instruments</w:t>
      </w:r>
      <w:r w:rsidRPr="008A6B7D">
        <w:rPr>
          <w:color w:val="000000" w:themeColor="text1"/>
          <w:sz w:val="28"/>
          <w:szCs w:val="28"/>
          <w:lang w:val="uk-UA"/>
        </w:rPr>
        <w:t xml:space="preserve">, </w:t>
      </w:r>
      <w:r w:rsidRPr="008A6B7D">
        <w:rPr>
          <w:color w:val="000000" w:themeColor="text1"/>
          <w:sz w:val="28"/>
          <w:szCs w:val="28"/>
          <w:lang w:val="uk-UA"/>
        </w:rPr>
        <w:lastRenderedPageBreak/>
        <w:t>США) [1</w:t>
      </w:r>
      <w:r w:rsidR="00FE60C3" w:rsidRPr="008A6B7D">
        <w:rPr>
          <w:color w:val="000000" w:themeColor="text1"/>
          <w:sz w:val="28"/>
          <w:szCs w:val="28"/>
          <w:lang w:val="uk-UA"/>
        </w:rPr>
        <w:t>6</w:t>
      </w:r>
      <w:r w:rsidR="00B85935" w:rsidRPr="008A6B7D">
        <w:rPr>
          <w:color w:val="000000" w:themeColor="text1"/>
          <w:sz w:val="28"/>
          <w:szCs w:val="28"/>
          <w:lang w:val="uk-UA"/>
        </w:rPr>
        <w:t>5</w:t>
      </w:r>
      <w:r w:rsidRPr="008A6B7D">
        <w:rPr>
          <w:color w:val="000000" w:themeColor="text1"/>
          <w:sz w:val="28"/>
          <w:szCs w:val="28"/>
          <w:lang w:val="uk-UA"/>
        </w:rPr>
        <w:t xml:space="preserve">] поміщали мишу і реєстрували латентний </w:t>
      </w:r>
      <w:r w:rsidRPr="008A6B7D">
        <w:rPr>
          <w:sz w:val="28"/>
          <w:szCs w:val="28"/>
          <w:lang w:val="uk-UA"/>
        </w:rPr>
        <w:t>період реакції, який обмежувався облизуванням твариною задньої лапки</w:t>
      </w:r>
      <w:r w:rsidRPr="008A6B7D">
        <w:rPr>
          <w:color w:val="000000" w:themeColor="text1"/>
          <w:sz w:val="28"/>
          <w:szCs w:val="28"/>
          <w:lang w:val="uk-UA"/>
        </w:rPr>
        <w:t xml:space="preserve">. Дослід проводили протягом 1 хвилини, щойно тварина обсмикувала лапу, реєстрували латентний час аналгезії та забирали з ГП. Тестування проводили при пероральному і місцевому способах введення на окремих групах тварин. Сполуки, що досліджувались, вводили перорально у вигляді водно-твінової емульсії за </w:t>
      </w:r>
      <w:r w:rsidR="00821BED">
        <w:rPr>
          <w:color w:val="000000" w:themeColor="text1"/>
          <w:sz w:val="28"/>
          <w:szCs w:val="28"/>
          <w:lang w:val="uk-UA"/>
        </w:rPr>
        <w:br/>
      </w:r>
      <w:r w:rsidRPr="008A6B7D">
        <w:rPr>
          <w:color w:val="000000" w:themeColor="text1"/>
          <w:sz w:val="28"/>
          <w:szCs w:val="28"/>
          <w:lang w:val="uk-UA"/>
        </w:rPr>
        <w:t xml:space="preserve">60 хвилин до початку тестування. Мазь (2%) з відповідною сполукою наносили на кінцівки миші за 10 хвилин до початку експерименту. </w:t>
      </w:r>
      <w:r w:rsidRPr="008A6B7D">
        <w:rPr>
          <w:sz w:val="28"/>
          <w:szCs w:val="28"/>
          <w:lang w:val="uk-UA"/>
        </w:rPr>
        <w:t>Про анальгезію судили по збільшенню латентного періоду реакції облизування задньої лапи, у порівнянні з вихідним значенням.</w:t>
      </w:r>
      <w:r w:rsidRPr="008A6B7D">
        <w:rPr>
          <w:color w:val="000000" w:themeColor="text1"/>
          <w:sz w:val="28"/>
          <w:szCs w:val="28"/>
          <w:lang w:val="uk-UA"/>
        </w:rPr>
        <w:t xml:space="preserve"> У якості референс-препарату використовували </w:t>
      </w:r>
      <w:r w:rsidR="00390008" w:rsidRPr="008A6B7D">
        <w:rPr>
          <w:color w:val="000000" w:themeColor="text1"/>
          <w:sz w:val="28"/>
          <w:szCs w:val="28"/>
          <w:lang w:val="uk-UA"/>
        </w:rPr>
        <w:t>і</w:t>
      </w:r>
      <w:r w:rsidRPr="008A6B7D">
        <w:rPr>
          <w:color w:val="000000" w:themeColor="text1"/>
          <w:sz w:val="28"/>
          <w:szCs w:val="28"/>
          <w:lang w:val="uk-UA"/>
        </w:rPr>
        <w:t>бупрофен при пероральному введенні.</w:t>
      </w:r>
      <w:bookmarkStart w:id="8" w:name="_Toc63336089"/>
    </w:p>
    <w:p w14:paraId="1840913A" w14:textId="77777777" w:rsidR="00F05F4E" w:rsidRPr="008A6B7D" w:rsidRDefault="00F05F4E" w:rsidP="00F05F4E">
      <w:pPr>
        <w:pStyle w:val="a0"/>
        <w:spacing w:line="360" w:lineRule="auto"/>
        <w:ind w:left="0" w:firstLine="720"/>
        <w:jc w:val="both"/>
        <w:rPr>
          <w:rFonts w:eastAsia="MS Mincho"/>
          <w:b/>
          <w:sz w:val="28"/>
          <w:szCs w:val="28"/>
        </w:rPr>
      </w:pPr>
      <w:r w:rsidRPr="008A6B7D">
        <w:rPr>
          <w:rFonts w:eastAsia="MS Mincho"/>
          <w:b/>
          <w:sz w:val="28"/>
          <w:szCs w:val="28"/>
        </w:rPr>
        <w:t>Тест «</w:t>
      </w:r>
      <w:r w:rsidRPr="008A6B7D">
        <w:rPr>
          <w:rFonts w:eastAsia="MS Mincho"/>
          <w:b/>
          <w:sz w:val="28"/>
          <w:szCs w:val="28"/>
          <w:lang w:val="uk-UA"/>
        </w:rPr>
        <w:t>Імерсія</w:t>
      </w:r>
      <w:r w:rsidRPr="008A6B7D">
        <w:rPr>
          <w:rFonts w:eastAsia="MS Mincho"/>
          <w:b/>
          <w:sz w:val="28"/>
          <w:szCs w:val="28"/>
        </w:rPr>
        <w:t xml:space="preserve"> хвоста у воді»</w:t>
      </w:r>
    </w:p>
    <w:p w14:paraId="586FEA0B" w14:textId="40B6037E" w:rsidR="00F05F4E" w:rsidRPr="008A6B7D" w:rsidRDefault="00F05F4E" w:rsidP="00C57D1F">
      <w:pPr>
        <w:pStyle w:val="a0"/>
        <w:spacing w:line="360" w:lineRule="auto"/>
        <w:ind w:left="0" w:firstLine="720"/>
        <w:jc w:val="both"/>
        <w:rPr>
          <w:rFonts w:eastAsia="MS Mincho"/>
          <w:sz w:val="28"/>
          <w:szCs w:val="28"/>
          <w:lang w:val="uk-UA"/>
        </w:rPr>
      </w:pPr>
      <w:r w:rsidRPr="008A6B7D">
        <w:rPr>
          <w:rFonts w:eastAsia="MS Mincho"/>
          <w:sz w:val="28"/>
          <w:szCs w:val="28"/>
          <w:lang w:val="uk-UA"/>
        </w:rPr>
        <w:t>Тест «Імерсія хвоста у воді» заснований на типовому рефлексі висмикування хвоста у мишей, викликаного зануренням кінця хвоста в теплу воду 55 ° C</w:t>
      </w:r>
      <w:r w:rsidRPr="008A6B7D">
        <w:rPr>
          <w:rFonts w:eastAsia="MS Mincho"/>
          <w:sz w:val="28"/>
          <w:szCs w:val="28"/>
        </w:rPr>
        <w:t xml:space="preserve"> [1</w:t>
      </w:r>
      <w:r w:rsidR="00FE60C3" w:rsidRPr="008A6B7D">
        <w:rPr>
          <w:rFonts w:eastAsia="MS Mincho"/>
          <w:sz w:val="28"/>
          <w:szCs w:val="28"/>
          <w:lang w:val="ru-RU"/>
        </w:rPr>
        <w:t>6</w:t>
      </w:r>
      <w:r w:rsidR="00B85935" w:rsidRPr="008A6B7D">
        <w:rPr>
          <w:rFonts w:eastAsia="MS Mincho"/>
          <w:sz w:val="28"/>
          <w:szCs w:val="28"/>
          <w:lang w:val="ru-RU"/>
        </w:rPr>
        <w:t>6</w:t>
      </w:r>
      <w:r w:rsidRPr="008A6B7D">
        <w:rPr>
          <w:rFonts w:eastAsia="MS Mincho"/>
          <w:sz w:val="28"/>
          <w:szCs w:val="28"/>
        </w:rPr>
        <w:t xml:space="preserve">] </w:t>
      </w:r>
      <w:r w:rsidRPr="008A6B7D">
        <w:rPr>
          <w:rFonts w:eastAsia="MS Mincho"/>
          <w:sz w:val="28"/>
          <w:szCs w:val="28"/>
          <w:lang w:val="uk-UA"/>
        </w:rPr>
        <w:t xml:space="preserve">. Мишу поміщали у фіксатор, таким чином, щоб хвіст був вільним. Маркірували нижню частину хвоста на 3 см. і занурювали його у воду температурою 55° C. Час виведення хвоста з гарячої води (у сек.) зазначався як латентний час висмикування хвоста. Максимальний час сесії складав 15 сек, для уникнення травмування м’яких тканин хвоста. Дослідження проводили через 60 хвилин після перорального введення досліджуваних сполук. Критерієм анальгезії вважали збільшення латентного періоду реакції після введення досліджуваних сполук, що перевищував латентний час у порівнянні з вихідним значенням. </w:t>
      </w:r>
    </w:p>
    <w:p w14:paraId="02BA8254" w14:textId="77777777" w:rsidR="00F05F4E" w:rsidRPr="008A6B7D" w:rsidRDefault="00F05F4E" w:rsidP="00C57D1F">
      <w:pPr>
        <w:spacing w:line="360" w:lineRule="auto"/>
        <w:ind w:firstLine="567"/>
        <w:jc w:val="both"/>
        <w:rPr>
          <w:rFonts w:eastAsia="MS Mincho"/>
          <w:b/>
          <w:color w:val="000000" w:themeColor="text1"/>
          <w:sz w:val="28"/>
          <w:szCs w:val="28"/>
          <w:lang w:val="uk-UA"/>
        </w:rPr>
      </w:pPr>
      <w:r w:rsidRPr="008A6B7D">
        <w:rPr>
          <w:rFonts w:eastAsia="MS Mincho"/>
          <w:b/>
          <w:color w:val="000000" w:themeColor="text1"/>
          <w:sz w:val="28"/>
          <w:szCs w:val="28"/>
          <w:lang w:val="uk-UA"/>
        </w:rPr>
        <w:t>Дослідження антиноцицептивної активності при хімічному подразненні.</w:t>
      </w:r>
    </w:p>
    <w:p w14:paraId="48268F3B" w14:textId="77777777" w:rsidR="00F05F4E" w:rsidRPr="008A6B7D" w:rsidRDefault="00F05F4E" w:rsidP="00F05F4E">
      <w:pPr>
        <w:spacing w:line="360" w:lineRule="auto"/>
        <w:ind w:firstLine="567"/>
        <w:jc w:val="both"/>
        <w:rPr>
          <w:b/>
          <w:color w:val="000000" w:themeColor="text1"/>
          <w:sz w:val="28"/>
          <w:szCs w:val="28"/>
          <w:lang w:val="uk-UA"/>
        </w:rPr>
      </w:pPr>
      <w:r w:rsidRPr="008A6B7D">
        <w:rPr>
          <w:rFonts w:eastAsia="MS Mincho"/>
          <w:b/>
          <w:color w:val="000000" w:themeColor="text1"/>
          <w:sz w:val="28"/>
          <w:szCs w:val="28"/>
          <w:lang w:val="uk-UA"/>
        </w:rPr>
        <w:t>«Капсаїциновий» тест</w:t>
      </w:r>
    </w:p>
    <w:p w14:paraId="0A51B335" w14:textId="624F4BC7" w:rsidR="00F05F4E" w:rsidRPr="008A6B7D" w:rsidRDefault="00F05F4E" w:rsidP="00F05F4E">
      <w:pPr>
        <w:spacing w:line="360" w:lineRule="auto"/>
        <w:ind w:firstLine="567"/>
        <w:jc w:val="both"/>
        <w:rPr>
          <w:color w:val="000000" w:themeColor="text1"/>
          <w:sz w:val="28"/>
          <w:szCs w:val="28"/>
          <w:lang w:val="uk-UA"/>
        </w:rPr>
      </w:pPr>
      <w:r w:rsidRPr="008A6B7D">
        <w:rPr>
          <w:color w:val="000000" w:themeColor="text1"/>
          <w:sz w:val="28"/>
          <w:szCs w:val="28"/>
          <w:lang w:val="uk-UA"/>
        </w:rPr>
        <w:t xml:space="preserve">У якості хімічного подразника для виявлення аналгетичної активності сполук, що вивчалися, використовували капсаїцин (0,03% розчин в </w:t>
      </w:r>
      <w:r w:rsidR="00821BED">
        <w:rPr>
          <w:color w:val="000000" w:themeColor="text1"/>
          <w:sz w:val="28"/>
          <w:szCs w:val="28"/>
          <w:lang w:val="uk-UA"/>
        </w:rPr>
        <w:br/>
      </w:r>
      <w:r w:rsidRPr="008A6B7D">
        <w:rPr>
          <w:color w:val="000000" w:themeColor="text1"/>
          <w:sz w:val="28"/>
          <w:szCs w:val="28"/>
          <w:lang w:val="uk-UA"/>
        </w:rPr>
        <w:t xml:space="preserve">1,2-пропіленгліколі, який вводили субплантарно у задню кінцівку миші 20 мкл </w:t>
      </w:r>
      <w:r w:rsidR="00821BED">
        <w:rPr>
          <w:color w:val="000000" w:themeColor="text1"/>
          <w:sz w:val="28"/>
          <w:szCs w:val="28"/>
          <w:lang w:val="uk-UA"/>
        </w:rPr>
        <w:br/>
      </w:r>
      <w:r w:rsidRPr="008A6B7D">
        <w:rPr>
          <w:color w:val="000000" w:themeColor="text1"/>
          <w:sz w:val="28"/>
          <w:szCs w:val="28"/>
          <w:lang w:val="uk-UA"/>
        </w:rPr>
        <w:t>(6 мкг/лапу) [</w:t>
      </w:r>
      <w:r w:rsidR="00390008" w:rsidRPr="008A6B7D">
        <w:rPr>
          <w:color w:val="000000" w:themeColor="text1"/>
          <w:sz w:val="28"/>
          <w:szCs w:val="28"/>
          <w:lang w:val="uk-UA"/>
        </w:rPr>
        <w:t>1</w:t>
      </w:r>
      <w:r w:rsidR="00FE60C3" w:rsidRPr="008A6B7D">
        <w:rPr>
          <w:color w:val="000000" w:themeColor="text1"/>
          <w:sz w:val="28"/>
          <w:szCs w:val="28"/>
          <w:lang w:val="uk-UA"/>
        </w:rPr>
        <w:t>6</w:t>
      </w:r>
      <w:r w:rsidR="00B85935" w:rsidRPr="008A6B7D">
        <w:rPr>
          <w:color w:val="000000" w:themeColor="text1"/>
          <w:sz w:val="28"/>
          <w:szCs w:val="28"/>
          <w:lang w:val="uk-UA"/>
        </w:rPr>
        <w:t>7</w:t>
      </w:r>
      <w:r w:rsidRPr="008A6B7D">
        <w:rPr>
          <w:color w:val="000000" w:themeColor="text1"/>
          <w:sz w:val="28"/>
          <w:szCs w:val="28"/>
          <w:lang w:val="uk-UA"/>
        </w:rPr>
        <w:t xml:space="preserve">]. Тестування проводили при пероральному і місцевому видах </w:t>
      </w:r>
      <w:r w:rsidRPr="008A6B7D">
        <w:rPr>
          <w:color w:val="000000" w:themeColor="text1"/>
          <w:sz w:val="28"/>
          <w:szCs w:val="28"/>
          <w:lang w:val="uk-UA"/>
        </w:rPr>
        <w:lastRenderedPageBreak/>
        <w:t xml:space="preserve">введення на окремих групах тварин. Сполуки, що досліджувались, вводили перорально у вигляді водно-твінової емульсії за 60 хвилин до початку тестування. Мазь (2%) з відповідною сполукою наносили на кінцівки миші за 10 хвилин до початку експерименту. Після введення флогогену мишу поміщали у прозорий бокс. Прояв больової реакції фіксували шляхом реєстрації часу облизування твариною пошкодженої кінцівки протягом  </w:t>
      </w:r>
      <w:r w:rsidR="00821BED">
        <w:rPr>
          <w:color w:val="000000" w:themeColor="text1"/>
          <w:sz w:val="28"/>
          <w:szCs w:val="28"/>
          <w:lang w:val="uk-UA"/>
        </w:rPr>
        <w:br/>
      </w:r>
      <w:r w:rsidRPr="008A6B7D">
        <w:rPr>
          <w:color w:val="000000" w:themeColor="text1"/>
          <w:sz w:val="28"/>
          <w:szCs w:val="28"/>
          <w:lang w:val="uk-UA"/>
        </w:rPr>
        <w:t xml:space="preserve">5 хвилин після введення капсаїцину. Час, протягом якого миша  облизувала лапу, фіксували у секундах. Ефективність сполук визначали за здатністю змінювати поріг больової реакції у експериментальних тварин у порівнянні із інтактною групою. У якості референс-препарату використовували </w:t>
      </w:r>
      <w:r w:rsidR="00390008" w:rsidRPr="008A6B7D">
        <w:rPr>
          <w:color w:val="000000" w:themeColor="text1"/>
          <w:sz w:val="28"/>
          <w:szCs w:val="28"/>
          <w:lang w:val="uk-UA"/>
        </w:rPr>
        <w:t>і</w:t>
      </w:r>
      <w:r w:rsidRPr="008A6B7D">
        <w:rPr>
          <w:color w:val="000000" w:themeColor="text1"/>
          <w:sz w:val="28"/>
          <w:szCs w:val="28"/>
          <w:lang w:val="uk-UA"/>
        </w:rPr>
        <w:t>бупрофен при пероральному введенні.</w:t>
      </w:r>
      <w:bookmarkStart w:id="9" w:name="_Toc63336090"/>
    </w:p>
    <w:p w14:paraId="7B54A150" w14:textId="77777777" w:rsidR="00F05F4E" w:rsidRPr="008A6B7D" w:rsidRDefault="00F05F4E" w:rsidP="00F05F4E">
      <w:pPr>
        <w:spacing w:line="360" w:lineRule="auto"/>
        <w:ind w:firstLine="567"/>
        <w:jc w:val="both"/>
        <w:rPr>
          <w:rFonts w:eastAsia="MS Mincho"/>
          <w:b/>
          <w:color w:val="000000" w:themeColor="text1"/>
          <w:sz w:val="28"/>
          <w:szCs w:val="28"/>
          <w:lang w:val="uk-UA"/>
        </w:rPr>
      </w:pPr>
      <w:r w:rsidRPr="008A6B7D">
        <w:rPr>
          <w:rFonts w:eastAsia="MS Mincho"/>
          <w:b/>
          <w:color w:val="000000" w:themeColor="text1"/>
          <w:sz w:val="28"/>
          <w:szCs w:val="28"/>
          <w:lang w:val="uk-UA"/>
        </w:rPr>
        <w:t>Модель «аллілізотіоцианат-індукованого» болю</w:t>
      </w:r>
      <w:bookmarkEnd w:id="9"/>
      <w:r w:rsidRPr="008A6B7D">
        <w:rPr>
          <w:rFonts w:eastAsia="MS Mincho"/>
          <w:b/>
          <w:color w:val="000000" w:themeColor="text1"/>
          <w:sz w:val="28"/>
          <w:szCs w:val="28"/>
          <w:lang w:val="uk-UA"/>
        </w:rPr>
        <w:t xml:space="preserve"> </w:t>
      </w:r>
    </w:p>
    <w:p w14:paraId="78BD6894" w14:textId="17F9DDCC" w:rsidR="00F05F4E" w:rsidRPr="008A6B7D" w:rsidRDefault="00F05F4E" w:rsidP="00F05F4E">
      <w:pPr>
        <w:spacing w:line="360" w:lineRule="auto"/>
        <w:ind w:firstLine="567"/>
        <w:jc w:val="both"/>
        <w:rPr>
          <w:color w:val="000000" w:themeColor="text1"/>
          <w:sz w:val="28"/>
          <w:szCs w:val="28"/>
          <w:lang w:val="uk-UA"/>
        </w:rPr>
      </w:pPr>
      <w:r w:rsidRPr="008A6B7D">
        <w:rPr>
          <w:color w:val="000000" w:themeColor="text1"/>
          <w:sz w:val="28"/>
          <w:szCs w:val="28"/>
          <w:lang w:val="uk-UA"/>
        </w:rPr>
        <w:t>Для моделювання ноцицептивної реакції використовували аллілізотіоцианат (AITC), 20 мкл 0,5% розчину якого в 1,2-пропіленгліколі вводили субплантарно у задню лапку миші [</w:t>
      </w:r>
      <w:r w:rsidR="00390008" w:rsidRPr="008A6B7D">
        <w:rPr>
          <w:color w:val="000000" w:themeColor="text1"/>
          <w:sz w:val="28"/>
          <w:szCs w:val="28"/>
          <w:lang w:val="uk-UA"/>
        </w:rPr>
        <w:t>1</w:t>
      </w:r>
      <w:r w:rsidR="00FE60C3" w:rsidRPr="008A6B7D">
        <w:rPr>
          <w:color w:val="000000" w:themeColor="text1"/>
          <w:sz w:val="28"/>
          <w:szCs w:val="28"/>
          <w:lang w:val="uk-UA"/>
        </w:rPr>
        <w:t>6</w:t>
      </w:r>
      <w:r w:rsidR="00B85935" w:rsidRPr="008A6B7D">
        <w:rPr>
          <w:color w:val="000000" w:themeColor="text1"/>
          <w:sz w:val="28"/>
          <w:szCs w:val="28"/>
          <w:lang w:val="uk-UA"/>
        </w:rPr>
        <w:t>8</w:t>
      </w:r>
      <w:r w:rsidRPr="008A6B7D">
        <w:rPr>
          <w:color w:val="000000" w:themeColor="text1"/>
          <w:sz w:val="28"/>
          <w:szCs w:val="28"/>
          <w:lang w:val="uk-UA"/>
        </w:rPr>
        <w:t xml:space="preserve">]. Одразу після введення тварину поміщали у прозорий бокс та спостерігали. Тестування проводили при пероральному і місцевому видах введення на окремих групах тварин. Сполуки, що досліджувались, вводили перорально у вигляді водно-твінової емульсії за 60 хвилин до початку тестування. Мазь (2%) з відповідною сполукою наносили на кінцівки миші за 10 хвилин до початку експерименту. Больову реакцію, а саме час облизування запаленої лапки, реєстрували протягом 10 хвилин після введення флогогену. Інтенсивність больової реакції оцінювали в секундах. У якості референс-препарату було обрано </w:t>
      </w:r>
      <w:r w:rsidR="00390008" w:rsidRPr="008A6B7D">
        <w:rPr>
          <w:color w:val="000000" w:themeColor="text1"/>
          <w:sz w:val="28"/>
          <w:szCs w:val="28"/>
          <w:lang w:val="uk-UA"/>
        </w:rPr>
        <w:t>і</w:t>
      </w:r>
      <w:r w:rsidRPr="008A6B7D">
        <w:rPr>
          <w:color w:val="000000" w:themeColor="text1"/>
          <w:sz w:val="28"/>
          <w:szCs w:val="28"/>
          <w:lang w:val="uk-UA"/>
        </w:rPr>
        <w:t>бупрофен при пероральному введенні.</w:t>
      </w:r>
    </w:p>
    <w:p w14:paraId="1561F2F9" w14:textId="77777777" w:rsidR="00F05F4E" w:rsidRPr="008A6B7D" w:rsidRDefault="00F05F4E" w:rsidP="00F05F4E">
      <w:pPr>
        <w:spacing w:line="360" w:lineRule="auto"/>
        <w:ind w:firstLine="567"/>
        <w:jc w:val="both"/>
        <w:rPr>
          <w:rFonts w:eastAsia="MS Mincho"/>
          <w:b/>
          <w:color w:val="000000" w:themeColor="text1"/>
          <w:sz w:val="28"/>
          <w:szCs w:val="28"/>
          <w:lang w:val="uk-UA"/>
        </w:rPr>
      </w:pPr>
      <w:r w:rsidRPr="008A6B7D">
        <w:rPr>
          <w:rFonts w:eastAsia="MS Mincho"/>
          <w:b/>
          <w:color w:val="000000" w:themeColor="text1"/>
          <w:sz w:val="28"/>
          <w:szCs w:val="28"/>
          <w:lang w:val="uk-UA"/>
        </w:rPr>
        <w:t xml:space="preserve"> «Формаліновий» тест</w:t>
      </w:r>
    </w:p>
    <w:p w14:paraId="69B30203" w14:textId="63D1FC06" w:rsidR="00F05F4E" w:rsidRPr="008A6B7D" w:rsidRDefault="00F05F4E" w:rsidP="00F05F4E">
      <w:pPr>
        <w:spacing w:line="360" w:lineRule="auto"/>
        <w:ind w:firstLine="567"/>
        <w:jc w:val="both"/>
        <w:rPr>
          <w:color w:val="000000" w:themeColor="text1"/>
          <w:sz w:val="28"/>
          <w:szCs w:val="28"/>
          <w:lang w:val="uk-UA"/>
        </w:rPr>
      </w:pPr>
      <w:r w:rsidRPr="008A6B7D">
        <w:rPr>
          <w:rFonts w:eastAsia="MS Mincho"/>
          <w:color w:val="000000" w:themeColor="text1"/>
          <w:sz w:val="28"/>
          <w:szCs w:val="28"/>
          <w:lang w:val="uk-UA"/>
        </w:rPr>
        <w:t>Формаліновий тест є корисною моделлю для скринінгу нових антиноцицептивних сполук, оскільки включає в себе запальні, нейрогенні та центральні механізми ноцицепції [</w:t>
      </w:r>
      <w:r w:rsidR="00390008" w:rsidRPr="008A6B7D">
        <w:rPr>
          <w:rFonts w:eastAsia="MS Mincho"/>
          <w:color w:val="000000" w:themeColor="text1"/>
          <w:sz w:val="28"/>
          <w:szCs w:val="28"/>
          <w:lang w:val="uk-UA"/>
        </w:rPr>
        <w:t>1</w:t>
      </w:r>
      <w:r w:rsidR="00FE60C3" w:rsidRPr="008A6B7D">
        <w:rPr>
          <w:rFonts w:eastAsia="MS Mincho"/>
          <w:color w:val="000000" w:themeColor="text1"/>
          <w:sz w:val="28"/>
          <w:szCs w:val="28"/>
          <w:lang w:val="uk-UA"/>
        </w:rPr>
        <w:t>6</w:t>
      </w:r>
      <w:r w:rsidR="00B85935" w:rsidRPr="008A6B7D">
        <w:rPr>
          <w:rFonts w:eastAsia="MS Mincho"/>
          <w:color w:val="000000" w:themeColor="text1"/>
          <w:sz w:val="28"/>
          <w:szCs w:val="28"/>
          <w:lang w:val="uk-UA"/>
        </w:rPr>
        <w:t>5</w:t>
      </w:r>
      <w:r w:rsidRPr="008A6B7D">
        <w:rPr>
          <w:rFonts w:eastAsia="MS Mincho"/>
          <w:color w:val="000000" w:themeColor="text1"/>
          <w:sz w:val="28"/>
          <w:szCs w:val="28"/>
          <w:lang w:val="uk-UA"/>
        </w:rPr>
        <w:t>].</w:t>
      </w:r>
    </w:p>
    <w:p w14:paraId="5A7276BD" w14:textId="3160C5F7" w:rsidR="00F05F4E" w:rsidRPr="008A6B7D" w:rsidRDefault="00F05F4E" w:rsidP="00F05F4E">
      <w:pPr>
        <w:spacing w:line="360" w:lineRule="auto"/>
        <w:ind w:firstLine="709"/>
        <w:jc w:val="both"/>
        <w:rPr>
          <w:color w:val="000000" w:themeColor="text1"/>
          <w:sz w:val="28"/>
          <w:szCs w:val="28"/>
          <w:lang w:val="uk-UA"/>
        </w:rPr>
      </w:pPr>
      <w:r w:rsidRPr="008A6B7D">
        <w:rPr>
          <w:color w:val="000000" w:themeColor="text1"/>
          <w:sz w:val="28"/>
          <w:szCs w:val="28"/>
          <w:lang w:val="uk-UA"/>
        </w:rPr>
        <w:t xml:space="preserve">Для вивчення </w:t>
      </w:r>
      <w:r w:rsidRPr="008A6B7D">
        <w:rPr>
          <w:rFonts w:eastAsia="MS Mincho"/>
          <w:color w:val="000000" w:themeColor="text1"/>
          <w:sz w:val="28"/>
          <w:szCs w:val="28"/>
          <w:lang w:val="uk-UA"/>
        </w:rPr>
        <w:t>антиноцицептивного</w:t>
      </w:r>
      <w:r w:rsidRPr="008A6B7D">
        <w:rPr>
          <w:rFonts w:eastAsia="MS Mincho"/>
          <w:i/>
          <w:color w:val="000000" w:themeColor="text1"/>
          <w:sz w:val="28"/>
          <w:szCs w:val="28"/>
          <w:lang w:val="uk-UA"/>
        </w:rPr>
        <w:t xml:space="preserve"> </w:t>
      </w:r>
      <w:r w:rsidRPr="008A6B7D">
        <w:rPr>
          <w:color w:val="000000" w:themeColor="text1"/>
          <w:sz w:val="28"/>
          <w:szCs w:val="28"/>
          <w:lang w:val="uk-UA"/>
        </w:rPr>
        <w:t xml:space="preserve">ефекту комплексних сполук І та ІІ, саліцилоїлгідразонів бензальдегіду та 4-бромбензальдегіду, а також сполук, </w:t>
      </w:r>
      <w:r w:rsidRPr="008A6B7D">
        <w:rPr>
          <w:color w:val="000000" w:themeColor="text1"/>
          <w:sz w:val="28"/>
          <w:szCs w:val="28"/>
          <w:lang w:val="uk-UA"/>
        </w:rPr>
        <w:lastRenderedPageBreak/>
        <w:t xml:space="preserve">ліганди яких, надають можливий внесок у фармакологічну активність комплексів, оцінювали шляхом введення 20 мкл 2% водного розчину формаліну. Після ін’єкції тварину поміщали у одиночний прозорий бокс та спостерігали за нею протягом години. Для формалінового тесту фіксували дві больові фази - протягом 5 хвилин після введення і протягом 40 хвилин через 15-17 хвилин з моменту введення формаліну. Досліджувані сполуки наносили на кінцівки тварин у вигляді 2% мазей на гідрофільній основі за 15 хвилин до початку експерименту. Ефективність мазей визначали за здатністю змінювати поріг больової реакції у експериментальних тварин у порівнянні із інтактною групою. </w:t>
      </w:r>
    </w:p>
    <w:bookmarkEnd w:id="8"/>
    <w:p w14:paraId="3D238FB5" w14:textId="77777777" w:rsidR="00F05F4E" w:rsidRPr="008A6B7D" w:rsidRDefault="00F05F4E" w:rsidP="00C57D1F">
      <w:pPr>
        <w:pStyle w:val="a0"/>
        <w:spacing w:line="360" w:lineRule="auto"/>
        <w:ind w:left="0"/>
        <w:jc w:val="both"/>
        <w:rPr>
          <w:color w:val="000000"/>
          <w:sz w:val="28"/>
          <w:szCs w:val="28"/>
          <w:lang w:val="uk-UA"/>
        </w:rPr>
      </w:pPr>
    </w:p>
    <w:p w14:paraId="000E04FB" w14:textId="1372F9E6" w:rsidR="00F05F4E" w:rsidRPr="008A6B7D" w:rsidRDefault="00F05F4E" w:rsidP="00F05F4E">
      <w:pPr>
        <w:spacing w:line="360" w:lineRule="auto"/>
        <w:ind w:firstLine="630"/>
        <w:rPr>
          <w:b/>
          <w:color w:val="000000" w:themeColor="text1"/>
          <w:sz w:val="28"/>
          <w:szCs w:val="28"/>
          <w:lang w:val="uk-UA"/>
        </w:rPr>
      </w:pPr>
      <w:r w:rsidRPr="008A6B7D">
        <w:rPr>
          <w:b/>
          <w:color w:val="000000" w:themeColor="text1"/>
          <w:sz w:val="28"/>
          <w:szCs w:val="28"/>
          <w:lang w:val="uk-UA"/>
        </w:rPr>
        <w:t>2.</w:t>
      </w:r>
      <w:r w:rsidR="00C57D1F" w:rsidRPr="008A6B7D">
        <w:rPr>
          <w:b/>
          <w:color w:val="000000" w:themeColor="text1"/>
          <w:sz w:val="28"/>
          <w:szCs w:val="28"/>
          <w:lang w:val="uk-UA"/>
        </w:rPr>
        <w:t>3</w:t>
      </w:r>
      <w:r w:rsidRPr="008A6B7D">
        <w:rPr>
          <w:b/>
          <w:color w:val="000000" w:themeColor="text1"/>
          <w:sz w:val="28"/>
          <w:szCs w:val="28"/>
          <w:lang w:val="uk-UA"/>
        </w:rPr>
        <w:t>.5 Методи вивчення антидепресивної активності досліджуваних сполук</w:t>
      </w:r>
    </w:p>
    <w:p w14:paraId="34E1D2BF" w14:textId="77777777" w:rsidR="00F05F4E" w:rsidRPr="008A6B7D" w:rsidRDefault="00F05F4E" w:rsidP="00F05F4E">
      <w:pPr>
        <w:pStyle w:val="a0"/>
        <w:spacing w:line="360" w:lineRule="auto"/>
        <w:ind w:left="0" w:right="-1" w:firstLine="720"/>
        <w:jc w:val="both"/>
        <w:outlineLvl w:val="1"/>
        <w:rPr>
          <w:b/>
          <w:sz w:val="28"/>
          <w:szCs w:val="28"/>
          <w:lang w:val="uk-UA"/>
        </w:rPr>
      </w:pPr>
      <w:r w:rsidRPr="008A6B7D">
        <w:rPr>
          <w:b/>
          <w:sz w:val="28"/>
          <w:szCs w:val="28"/>
          <w:lang w:val="uk-UA"/>
        </w:rPr>
        <w:t>Тест Порсолта</w:t>
      </w:r>
    </w:p>
    <w:p w14:paraId="565EC0C1" w14:textId="13E6E860" w:rsidR="00F05F4E" w:rsidRPr="008A6B7D" w:rsidRDefault="00F05F4E" w:rsidP="00F05F4E">
      <w:pPr>
        <w:pStyle w:val="a0"/>
        <w:spacing w:line="360" w:lineRule="auto"/>
        <w:ind w:left="0" w:right="-1" w:firstLine="720"/>
        <w:jc w:val="both"/>
        <w:outlineLvl w:val="1"/>
        <w:rPr>
          <w:i/>
          <w:sz w:val="28"/>
          <w:szCs w:val="28"/>
          <w:lang w:val="uk-UA"/>
        </w:rPr>
      </w:pPr>
      <w:r w:rsidRPr="008A6B7D">
        <w:rPr>
          <w:sz w:val="28"/>
          <w:szCs w:val="28"/>
          <w:lang w:val="uk-UA"/>
        </w:rPr>
        <w:t>Антидепресивну активність усіх досліджуваних сполук проводили за тестом «вимушеного плавання» або тесту Порсолта [</w:t>
      </w:r>
      <w:r w:rsidRPr="008A6B7D">
        <w:rPr>
          <w:sz w:val="28"/>
          <w:szCs w:val="28"/>
        </w:rPr>
        <w:t>1</w:t>
      </w:r>
      <w:r w:rsidR="00B85935" w:rsidRPr="008A6B7D">
        <w:rPr>
          <w:sz w:val="28"/>
          <w:szCs w:val="28"/>
          <w:lang w:val="ru-RU" w:eastAsia="zh-CN"/>
        </w:rPr>
        <w:t>69</w:t>
      </w:r>
      <w:r w:rsidRPr="008A6B7D">
        <w:rPr>
          <w:sz w:val="28"/>
          <w:szCs w:val="28"/>
          <w:lang w:val="uk-UA"/>
        </w:rPr>
        <w:t xml:space="preserve">]. Даний тест є коротким і простим у виконанні та використовується для оцінки </w:t>
      </w:r>
      <w:r w:rsidRPr="008A6B7D">
        <w:rPr>
          <w:color w:val="000000"/>
          <w:sz w:val="28"/>
          <w:szCs w:val="28"/>
          <w:lang w:val="uk-UA"/>
        </w:rPr>
        <w:t xml:space="preserve">антидепресивних </w:t>
      </w:r>
      <w:r w:rsidRPr="008A6B7D">
        <w:rPr>
          <w:sz w:val="28"/>
          <w:szCs w:val="28"/>
          <w:lang w:val="uk-UA"/>
        </w:rPr>
        <w:t xml:space="preserve">властивостей досліджуваних сполук </w:t>
      </w:r>
      <w:r w:rsidRPr="008A6B7D">
        <w:rPr>
          <w:sz w:val="28"/>
          <w:szCs w:val="28"/>
        </w:rPr>
        <w:t>[1</w:t>
      </w:r>
      <w:r w:rsidR="00390008" w:rsidRPr="008A6B7D">
        <w:rPr>
          <w:sz w:val="28"/>
          <w:szCs w:val="28"/>
          <w:lang w:val="ru-RU"/>
        </w:rPr>
        <w:t>7</w:t>
      </w:r>
      <w:r w:rsidR="00B85935" w:rsidRPr="008A6B7D">
        <w:rPr>
          <w:sz w:val="28"/>
          <w:szCs w:val="28"/>
          <w:lang w:val="ru-RU"/>
        </w:rPr>
        <w:t>0</w:t>
      </w:r>
      <w:r w:rsidRPr="008A6B7D">
        <w:rPr>
          <w:sz w:val="28"/>
          <w:szCs w:val="28"/>
        </w:rPr>
        <w:t>]</w:t>
      </w:r>
      <w:r w:rsidRPr="008A6B7D">
        <w:rPr>
          <w:sz w:val="28"/>
          <w:szCs w:val="28"/>
          <w:lang w:val="uk-UA"/>
        </w:rPr>
        <w:t xml:space="preserve">. </w:t>
      </w:r>
    </w:p>
    <w:p w14:paraId="0C158BA6" w14:textId="284C0B9F" w:rsidR="00F05F4E" w:rsidRPr="008A6B7D" w:rsidRDefault="00F05F4E" w:rsidP="00F05F4E">
      <w:pPr>
        <w:pStyle w:val="a0"/>
        <w:spacing w:line="360" w:lineRule="auto"/>
        <w:ind w:left="0" w:right="-1" w:firstLine="720"/>
        <w:jc w:val="both"/>
        <w:outlineLvl w:val="1"/>
        <w:rPr>
          <w:i/>
          <w:sz w:val="28"/>
          <w:szCs w:val="28"/>
          <w:lang w:val="uk-UA"/>
        </w:rPr>
      </w:pPr>
      <w:r w:rsidRPr="008A6B7D">
        <w:rPr>
          <w:sz w:val="28"/>
          <w:szCs w:val="28"/>
          <w:lang w:val="uk-UA"/>
        </w:rPr>
        <w:t xml:space="preserve">За годину до початку тестування мишам вводили перорально у вигляді водно-твінової емульсії досліджувані сполуки (відповідно до кожної групи) за допомогою зонду. Під час тестування мишу, тримаючи за хвіст, опускали у прозорий пластиковий циліндр висотою 40 см та діаметром 30 см, до якого на висоту 25 см налита вода (24°С). Тест тривав 3 хв. Дані фіксували через </w:t>
      </w:r>
      <w:r w:rsidR="00821BED">
        <w:rPr>
          <w:sz w:val="28"/>
          <w:szCs w:val="28"/>
          <w:lang w:val="uk-UA"/>
        </w:rPr>
        <w:br/>
      </w:r>
      <w:r w:rsidRPr="008A6B7D">
        <w:rPr>
          <w:sz w:val="28"/>
          <w:szCs w:val="28"/>
          <w:lang w:val="uk-UA"/>
        </w:rPr>
        <w:t>1, 3, 5 та 24 години після перорального введення досліджуваних сполук.</w:t>
      </w:r>
    </w:p>
    <w:p w14:paraId="5BDAE0D8" w14:textId="1C6D63E6" w:rsidR="00F05F4E" w:rsidRPr="008A6B7D" w:rsidRDefault="00F05F4E" w:rsidP="00A55657">
      <w:pPr>
        <w:pStyle w:val="a0"/>
        <w:spacing w:line="360" w:lineRule="auto"/>
        <w:ind w:left="0" w:right="-1" w:firstLine="567"/>
        <w:jc w:val="both"/>
        <w:rPr>
          <w:sz w:val="28"/>
          <w:szCs w:val="28"/>
          <w:lang w:val="uk-UA"/>
        </w:rPr>
      </w:pPr>
      <w:r w:rsidRPr="008A6B7D">
        <w:rPr>
          <w:rFonts w:eastAsia="Calibri"/>
          <w:sz w:val="28"/>
          <w:szCs w:val="28"/>
          <w:lang w:val="uk-UA" w:eastAsia="en-US"/>
        </w:rPr>
        <w:t xml:space="preserve">Оцінку результатів експериментального дослідження проводили на </w:t>
      </w:r>
      <w:r w:rsidRPr="008A6B7D">
        <w:rPr>
          <w:sz w:val="28"/>
          <w:szCs w:val="28"/>
          <w:lang w:val="uk-UA"/>
        </w:rPr>
        <w:t xml:space="preserve"> підставі сумарного часу іммобільності, що є поведінковим показником. Іммобільність (стан відчаю) являє собою повну відсутність плавальних рухів під час пасивного утримання миші на воді. Обчислені данні виражали у відсотках відносно контрольної групи.</w:t>
      </w:r>
    </w:p>
    <w:p w14:paraId="370BC6F2" w14:textId="6BB84D0A" w:rsidR="00F05F4E" w:rsidRPr="008A6B7D" w:rsidRDefault="00F05F4E" w:rsidP="00F05F4E">
      <w:pPr>
        <w:spacing w:line="360" w:lineRule="auto"/>
        <w:ind w:firstLine="630"/>
        <w:rPr>
          <w:b/>
          <w:color w:val="000000" w:themeColor="text1"/>
          <w:sz w:val="28"/>
          <w:szCs w:val="28"/>
          <w:lang w:val="uk-UA"/>
        </w:rPr>
      </w:pPr>
      <w:r w:rsidRPr="008A6B7D">
        <w:rPr>
          <w:b/>
          <w:color w:val="000000" w:themeColor="text1"/>
          <w:sz w:val="28"/>
          <w:szCs w:val="28"/>
          <w:lang w:val="uk-UA"/>
        </w:rPr>
        <w:lastRenderedPageBreak/>
        <w:t>2.</w:t>
      </w:r>
      <w:r w:rsidR="00C57D1F" w:rsidRPr="008A6B7D">
        <w:rPr>
          <w:b/>
          <w:color w:val="000000" w:themeColor="text1"/>
          <w:sz w:val="28"/>
          <w:szCs w:val="28"/>
          <w:lang w:val="uk-UA"/>
        </w:rPr>
        <w:t>3</w:t>
      </w:r>
      <w:r w:rsidRPr="008A6B7D">
        <w:rPr>
          <w:b/>
          <w:color w:val="000000" w:themeColor="text1"/>
          <w:sz w:val="28"/>
          <w:szCs w:val="28"/>
          <w:lang w:val="uk-UA"/>
        </w:rPr>
        <w:t>.6 Методи вивчення анксиолітичної та седативної активності досліджуваних сполук</w:t>
      </w:r>
    </w:p>
    <w:p w14:paraId="59DC04C9" w14:textId="77777777" w:rsidR="00F05F4E" w:rsidRPr="008A6B7D" w:rsidRDefault="00F05F4E" w:rsidP="00F05F4E">
      <w:pPr>
        <w:spacing w:line="360" w:lineRule="auto"/>
        <w:ind w:firstLine="630"/>
        <w:rPr>
          <w:b/>
          <w:color w:val="000000" w:themeColor="text1"/>
          <w:sz w:val="28"/>
          <w:szCs w:val="28"/>
          <w:lang w:val="uk-UA"/>
        </w:rPr>
      </w:pPr>
      <w:r w:rsidRPr="008A6B7D">
        <w:rPr>
          <w:b/>
          <w:sz w:val="28"/>
          <w:szCs w:val="28"/>
          <w:lang w:val="uk-UA"/>
        </w:rPr>
        <w:t>Тест “відкрите поле”</w:t>
      </w:r>
    </w:p>
    <w:p w14:paraId="68B068CF" w14:textId="77777777" w:rsidR="00F05F4E" w:rsidRPr="008A6B7D" w:rsidRDefault="00F05F4E" w:rsidP="00F05F4E">
      <w:pPr>
        <w:pStyle w:val="a0"/>
        <w:spacing w:line="360" w:lineRule="auto"/>
        <w:ind w:left="0" w:firstLine="567"/>
        <w:jc w:val="both"/>
        <w:rPr>
          <w:sz w:val="28"/>
          <w:szCs w:val="28"/>
          <w:lang w:val="uk-UA"/>
        </w:rPr>
      </w:pPr>
      <w:r w:rsidRPr="008A6B7D">
        <w:rPr>
          <w:sz w:val="28"/>
          <w:szCs w:val="28"/>
          <w:lang w:val="uk-UA"/>
        </w:rPr>
        <w:t>Тест «відкрите поле» є моделлю відтворення тривожності, що дозволяє оцінити емоційний стан тварин в умовах невідомого простору, освітлення та неможливістю уникнути даних умов.</w:t>
      </w:r>
    </w:p>
    <w:p w14:paraId="52B1CC94" w14:textId="171AEB6F" w:rsidR="00F05F4E" w:rsidRPr="008A6B7D" w:rsidRDefault="00F05F4E" w:rsidP="00F05F4E">
      <w:pPr>
        <w:pStyle w:val="a0"/>
        <w:spacing w:line="360" w:lineRule="auto"/>
        <w:ind w:left="0" w:firstLine="567"/>
        <w:jc w:val="both"/>
        <w:rPr>
          <w:sz w:val="28"/>
          <w:szCs w:val="28"/>
          <w:lang w:val="uk-UA"/>
        </w:rPr>
      </w:pPr>
      <w:r w:rsidRPr="008A6B7D">
        <w:rPr>
          <w:sz w:val="28"/>
          <w:szCs w:val="28"/>
          <w:lang w:val="uk-UA"/>
        </w:rPr>
        <w:t xml:space="preserve">Досліджувані сполуки перорально вводили мишам у вигляді водно-твінової емульсії та проводили тестування через визначені проміжки часу </w:t>
      </w:r>
      <w:r w:rsidR="00821BED">
        <w:rPr>
          <w:sz w:val="28"/>
          <w:szCs w:val="28"/>
          <w:lang w:val="uk-UA"/>
        </w:rPr>
        <w:br/>
      </w:r>
      <w:r w:rsidRPr="008A6B7D">
        <w:rPr>
          <w:sz w:val="28"/>
          <w:szCs w:val="28"/>
          <w:lang w:val="uk-UA"/>
        </w:rPr>
        <w:t>(1, 3, 5 і 24 години). «Відкрите поле» являє собою рівномірно освітлену камеру 40 х 40 х 40 см, основа якої розділена на 16 рівних квадратів з 16 отворами, діаметром 1,5 см у центрі кожного квадрату [</w:t>
      </w:r>
      <w:r w:rsidRPr="008A6B7D">
        <w:rPr>
          <w:sz w:val="28"/>
          <w:szCs w:val="28"/>
        </w:rPr>
        <w:t>1</w:t>
      </w:r>
      <w:r w:rsidR="00390008" w:rsidRPr="008A6B7D">
        <w:rPr>
          <w:sz w:val="28"/>
          <w:szCs w:val="28"/>
          <w:lang w:val="ru-RU"/>
        </w:rPr>
        <w:t>7</w:t>
      </w:r>
      <w:r w:rsidR="00B85935" w:rsidRPr="008A6B7D">
        <w:rPr>
          <w:sz w:val="28"/>
          <w:szCs w:val="28"/>
          <w:lang w:val="ru-RU"/>
        </w:rPr>
        <w:t>1</w:t>
      </w:r>
      <w:r w:rsidRPr="008A6B7D">
        <w:rPr>
          <w:sz w:val="28"/>
          <w:szCs w:val="28"/>
          <w:lang w:val="uk-UA"/>
        </w:rPr>
        <w:t xml:space="preserve">]. Тварину поміщали у поле тримаючи за хвіст у кутовий квадрат,  мордою до кута. </w:t>
      </w:r>
    </w:p>
    <w:p w14:paraId="0A021B84" w14:textId="6DDCAF72" w:rsidR="00F05F4E" w:rsidRPr="008A6B7D" w:rsidRDefault="00F05F4E" w:rsidP="00F05F4E">
      <w:pPr>
        <w:pStyle w:val="a0"/>
        <w:spacing w:line="360" w:lineRule="auto"/>
        <w:ind w:left="0" w:firstLine="567"/>
        <w:jc w:val="both"/>
        <w:rPr>
          <w:sz w:val="28"/>
          <w:szCs w:val="28"/>
          <w:lang w:val="uk-UA"/>
        </w:rPr>
      </w:pPr>
      <w:r w:rsidRPr="008A6B7D">
        <w:rPr>
          <w:sz w:val="28"/>
          <w:szCs w:val="28"/>
          <w:lang w:val="uk-UA"/>
        </w:rPr>
        <w:t>За кожною мишею спостерігали впродовж 5 хвилин, реєструючи число уставань на задні лапи (вертикальні переміщення), число заглядань у отвори (дослідницька активність) і кількість перетинів квадратів (горизонтальні переміщення) [</w:t>
      </w:r>
      <w:r w:rsidRPr="008A6B7D">
        <w:rPr>
          <w:sz w:val="28"/>
          <w:szCs w:val="28"/>
        </w:rPr>
        <w:t>1</w:t>
      </w:r>
      <w:r w:rsidR="00390008" w:rsidRPr="008A6B7D">
        <w:rPr>
          <w:sz w:val="28"/>
          <w:szCs w:val="28"/>
          <w:lang w:val="ru-RU"/>
        </w:rPr>
        <w:t>7</w:t>
      </w:r>
      <w:r w:rsidR="00B85935" w:rsidRPr="008A6B7D">
        <w:rPr>
          <w:sz w:val="28"/>
          <w:szCs w:val="28"/>
          <w:lang w:val="ru-RU"/>
        </w:rPr>
        <w:t>2</w:t>
      </w:r>
      <w:r w:rsidRPr="008A6B7D">
        <w:rPr>
          <w:sz w:val="28"/>
          <w:szCs w:val="28"/>
          <w:lang w:val="uk-UA"/>
        </w:rPr>
        <w:t>]. Після кожного тесту поле обробляли. Статистично оброблені дані виражали у відсотках відносно інтактної групи.</w:t>
      </w:r>
    </w:p>
    <w:p w14:paraId="0DE650F3" w14:textId="77777777" w:rsidR="00F05F4E" w:rsidRPr="008A6B7D" w:rsidRDefault="00F05F4E" w:rsidP="00F05F4E">
      <w:pPr>
        <w:pStyle w:val="a0"/>
        <w:spacing w:line="360" w:lineRule="auto"/>
        <w:ind w:left="0" w:firstLine="567"/>
        <w:jc w:val="both"/>
        <w:rPr>
          <w:b/>
          <w:sz w:val="28"/>
          <w:szCs w:val="28"/>
          <w:lang w:val="uk-UA"/>
        </w:rPr>
      </w:pPr>
      <w:r w:rsidRPr="008A6B7D">
        <w:rPr>
          <w:b/>
          <w:sz w:val="28"/>
          <w:szCs w:val="28"/>
        </w:rPr>
        <w:t xml:space="preserve">Тест «Піднесений хрестоподібний лабіринт» (ПХЛ) </w:t>
      </w:r>
    </w:p>
    <w:p w14:paraId="57BC4461" w14:textId="4643925D" w:rsidR="00F05F4E" w:rsidRPr="008A6B7D" w:rsidRDefault="00F05F4E" w:rsidP="00F05F4E">
      <w:pPr>
        <w:pStyle w:val="a0"/>
        <w:spacing w:line="360" w:lineRule="auto"/>
        <w:ind w:left="0" w:firstLine="567"/>
        <w:jc w:val="both"/>
        <w:rPr>
          <w:color w:val="222222"/>
          <w:sz w:val="28"/>
          <w:szCs w:val="28"/>
          <w:lang w:val="uk-UA"/>
        </w:rPr>
      </w:pPr>
      <w:r w:rsidRPr="008A6B7D">
        <w:rPr>
          <w:color w:val="222222"/>
          <w:sz w:val="28"/>
          <w:szCs w:val="28"/>
          <w:lang w:val="uk-UA"/>
        </w:rPr>
        <w:t xml:space="preserve">Тест піднесеного хрестоподібного лабіринту один з найбільш широко використовуваних тестів для вимірювання тривожної поведінки тварин </w:t>
      </w:r>
      <w:r w:rsidRPr="008A6B7D">
        <w:rPr>
          <w:sz w:val="28"/>
          <w:szCs w:val="28"/>
        </w:rPr>
        <w:t>[1</w:t>
      </w:r>
      <w:r w:rsidR="00390008" w:rsidRPr="008A6B7D">
        <w:rPr>
          <w:sz w:val="28"/>
          <w:szCs w:val="28"/>
          <w:lang w:val="ru-RU"/>
        </w:rPr>
        <w:t>7</w:t>
      </w:r>
      <w:r w:rsidR="00B85935" w:rsidRPr="008A6B7D">
        <w:rPr>
          <w:sz w:val="28"/>
          <w:szCs w:val="28"/>
          <w:lang w:val="ru-RU"/>
        </w:rPr>
        <w:t>3</w:t>
      </w:r>
      <w:r w:rsidRPr="008A6B7D">
        <w:rPr>
          <w:sz w:val="28"/>
          <w:szCs w:val="28"/>
        </w:rPr>
        <w:t>].</w:t>
      </w:r>
      <w:r w:rsidRPr="008A6B7D">
        <w:rPr>
          <w:color w:val="222222"/>
          <w:sz w:val="28"/>
          <w:szCs w:val="28"/>
          <w:lang w:val="uk-UA"/>
        </w:rPr>
        <w:t xml:space="preserve"> Тест заснований на природній відразі мишей до відкритих і піднесених територій, а також на їх природному бажанні досліджувати новий простір.</w:t>
      </w:r>
    </w:p>
    <w:p w14:paraId="6C982FBA" w14:textId="77777777" w:rsidR="00F05F4E" w:rsidRPr="008A6B7D" w:rsidRDefault="00F05F4E" w:rsidP="00F05F4E">
      <w:pPr>
        <w:pStyle w:val="a0"/>
        <w:spacing w:line="360" w:lineRule="auto"/>
        <w:ind w:left="0" w:firstLine="567"/>
        <w:jc w:val="both"/>
        <w:rPr>
          <w:sz w:val="28"/>
          <w:szCs w:val="28"/>
          <w:lang w:val="uk-UA"/>
        </w:rPr>
      </w:pPr>
      <w:r w:rsidRPr="008A6B7D">
        <w:rPr>
          <w:sz w:val="28"/>
          <w:szCs w:val="28"/>
          <w:lang w:val="en-US"/>
        </w:rPr>
        <w:t>C</w:t>
      </w:r>
      <w:r w:rsidRPr="008A6B7D">
        <w:rPr>
          <w:sz w:val="28"/>
          <w:szCs w:val="28"/>
          <w:lang w:val="uk-UA"/>
        </w:rPr>
        <w:t xml:space="preserve">полуки, що досліджувались, вводили мишам перорально у вигляді водно-твінової емульсії, та проводили тестування через визначені проміжки часу (1, 3 і 24 години). Загалом, «Піднесений хрестоподібний лабіринт» складається з двох відкритих та двох закритих «рукавів» із висотою стінок приблизно 15 см та відкритим дахом. Апарат виконано таким чином, що «рукави» розташовані навпроти один одного. Лабіринт піднесено на висоту 0,5 м. </w:t>
      </w:r>
    </w:p>
    <w:p w14:paraId="256BE164" w14:textId="2952CDA2" w:rsidR="00F05F4E" w:rsidRPr="008A6B7D" w:rsidRDefault="00F05F4E" w:rsidP="00F05F4E">
      <w:pPr>
        <w:pStyle w:val="a0"/>
        <w:spacing w:line="360" w:lineRule="auto"/>
        <w:ind w:left="0" w:firstLine="567"/>
        <w:jc w:val="both"/>
        <w:rPr>
          <w:sz w:val="28"/>
          <w:szCs w:val="28"/>
          <w:lang w:val="uk-UA"/>
        </w:rPr>
      </w:pPr>
      <w:r w:rsidRPr="008A6B7D">
        <w:rPr>
          <w:sz w:val="28"/>
          <w:szCs w:val="28"/>
          <w:lang w:val="uk-UA"/>
        </w:rPr>
        <w:lastRenderedPageBreak/>
        <w:t>За кожною мишею спостерігали впродовж 5 хвилин, тварини тестувалися лише раз. Мишу поміщали у центр лабіринту, тримаючи за хвіст, мордочкою до відкритого «рукава» реєструючи число виходів у відкриті із закритих рукавів (горизонтальні переміщення), час проведений у відкритих рукавах, «звішування» із відкритих рукавів (дослідницька активність) [1</w:t>
      </w:r>
      <w:r w:rsidR="00FE60C3" w:rsidRPr="008A6B7D">
        <w:rPr>
          <w:sz w:val="28"/>
          <w:szCs w:val="28"/>
          <w:lang w:val="uk-UA"/>
        </w:rPr>
        <w:t>7</w:t>
      </w:r>
      <w:r w:rsidR="00B85935" w:rsidRPr="008A6B7D">
        <w:rPr>
          <w:sz w:val="28"/>
          <w:szCs w:val="28"/>
          <w:lang w:val="uk-UA"/>
        </w:rPr>
        <w:t>4</w:t>
      </w:r>
      <w:r w:rsidRPr="008A6B7D">
        <w:rPr>
          <w:sz w:val="28"/>
          <w:szCs w:val="28"/>
          <w:lang w:val="uk-UA"/>
        </w:rPr>
        <w:t>]. Статистично оброблені дані виражали у відсотках відносно інтактної групи.</w:t>
      </w:r>
    </w:p>
    <w:p w14:paraId="36B285AE" w14:textId="77777777" w:rsidR="00F05F4E" w:rsidRPr="008A6B7D" w:rsidRDefault="00F05F4E" w:rsidP="00F05F4E">
      <w:pPr>
        <w:pStyle w:val="a0"/>
        <w:spacing w:line="360" w:lineRule="auto"/>
        <w:ind w:left="0" w:right="-1" w:firstLine="720"/>
        <w:jc w:val="both"/>
        <w:outlineLvl w:val="1"/>
        <w:rPr>
          <w:b/>
          <w:sz w:val="28"/>
          <w:szCs w:val="28"/>
          <w:lang w:val="uk-UA"/>
        </w:rPr>
      </w:pPr>
      <w:r w:rsidRPr="008A6B7D">
        <w:rPr>
          <w:b/>
          <w:sz w:val="28"/>
          <w:szCs w:val="28"/>
          <w:lang w:val="uk-UA"/>
        </w:rPr>
        <w:t>Тест «Темно-світла камера»</w:t>
      </w:r>
    </w:p>
    <w:p w14:paraId="79BF4192" w14:textId="68A77D24" w:rsidR="00F05F4E" w:rsidRPr="008A6B7D" w:rsidRDefault="00F05F4E" w:rsidP="00F05F4E">
      <w:pPr>
        <w:pStyle w:val="a0"/>
        <w:spacing w:line="360" w:lineRule="auto"/>
        <w:ind w:left="0" w:right="-1" w:firstLine="720"/>
        <w:jc w:val="both"/>
        <w:outlineLvl w:val="1"/>
        <w:rPr>
          <w:i/>
          <w:sz w:val="28"/>
          <w:szCs w:val="28"/>
          <w:lang w:val="uk-UA"/>
        </w:rPr>
      </w:pPr>
      <w:r w:rsidRPr="008A6B7D">
        <w:rPr>
          <w:color w:val="000000"/>
          <w:sz w:val="28"/>
          <w:szCs w:val="28"/>
          <w:lang w:val="uk-UA"/>
        </w:rPr>
        <w:t>Даний тест засновано на природному почутті страху мишей до відкритого ярко освітленого простору, а також інтересу вивчати новий простір</w:t>
      </w:r>
      <w:r w:rsidRPr="008A6B7D">
        <w:rPr>
          <w:color w:val="000000"/>
          <w:sz w:val="28"/>
          <w:szCs w:val="28"/>
        </w:rPr>
        <w:t xml:space="preserve"> </w:t>
      </w:r>
      <w:r w:rsidRPr="008A6B7D">
        <w:rPr>
          <w:sz w:val="28"/>
          <w:szCs w:val="28"/>
          <w:lang w:val="uk-UA"/>
        </w:rPr>
        <w:t>[1</w:t>
      </w:r>
      <w:r w:rsidR="00FE60C3" w:rsidRPr="008A6B7D">
        <w:rPr>
          <w:sz w:val="28"/>
          <w:szCs w:val="28"/>
          <w:lang w:val="uk-UA"/>
        </w:rPr>
        <w:t>7</w:t>
      </w:r>
      <w:r w:rsidR="00B85935" w:rsidRPr="008A6B7D">
        <w:rPr>
          <w:sz w:val="28"/>
          <w:szCs w:val="28"/>
          <w:lang w:val="ru-RU"/>
        </w:rPr>
        <w:t>5</w:t>
      </w:r>
      <w:r w:rsidRPr="008A6B7D">
        <w:rPr>
          <w:sz w:val="28"/>
          <w:szCs w:val="28"/>
          <w:lang w:val="uk-UA"/>
        </w:rPr>
        <w:t>].</w:t>
      </w:r>
    </w:p>
    <w:p w14:paraId="39436451" w14:textId="7EC6C881" w:rsidR="00F05F4E" w:rsidRPr="008A6B7D" w:rsidRDefault="00F05F4E" w:rsidP="00F05F4E">
      <w:pPr>
        <w:pStyle w:val="a0"/>
        <w:spacing w:line="360" w:lineRule="auto"/>
        <w:ind w:left="0" w:firstLine="720"/>
        <w:jc w:val="both"/>
        <w:rPr>
          <w:sz w:val="28"/>
          <w:szCs w:val="28"/>
          <w:lang w:val="uk-UA"/>
        </w:rPr>
      </w:pPr>
      <w:r w:rsidRPr="008A6B7D">
        <w:rPr>
          <w:sz w:val="28"/>
          <w:szCs w:val="28"/>
          <w:lang w:val="uk-UA"/>
        </w:rPr>
        <w:t xml:space="preserve">Досліджувані сполуки перорально вводили мишам у вигляді водно-твінової емульсії та проводили тестування через визначені проміжки часу </w:t>
      </w:r>
      <w:r w:rsidR="00821BED">
        <w:rPr>
          <w:sz w:val="28"/>
          <w:szCs w:val="28"/>
          <w:lang w:val="uk-UA"/>
        </w:rPr>
        <w:br/>
      </w:r>
      <w:r w:rsidRPr="008A6B7D">
        <w:rPr>
          <w:sz w:val="28"/>
          <w:szCs w:val="28"/>
          <w:lang w:val="uk-UA"/>
        </w:rPr>
        <w:t>(1, 3, 5 і 24 години). Темно-світла камера уявляє собою коробку, що розділена на 2 відсіки, розміри кожного - 25 х 25 х 25 см. Один із відсіків був темний, а другий освітлювався електричною лампою 40</w:t>
      </w:r>
      <w:r w:rsidRPr="008A6B7D">
        <w:rPr>
          <w:sz w:val="28"/>
          <w:szCs w:val="28"/>
        </w:rPr>
        <w:t xml:space="preserve"> </w:t>
      </w:r>
      <w:r w:rsidRPr="008A6B7D">
        <w:rPr>
          <w:sz w:val="28"/>
          <w:szCs w:val="28"/>
          <w:lang w:val="uk-UA"/>
        </w:rPr>
        <w:t xml:space="preserve">Вт. Мишу поміщали у темну частину камери, та через 3 сек. відкривали прохід до світлої частини. </w:t>
      </w:r>
    </w:p>
    <w:p w14:paraId="45054D46" w14:textId="7C78BE3E" w:rsidR="00F05F4E" w:rsidRPr="008A6B7D" w:rsidRDefault="00F05F4E" w:rsidP="00F05F4E">
      <w:pPr>
        <w:pStyle w:val="a0"/>
        <w:spacing w:line="360" w:lineRule="auto"/>
        <w:ind w:left="0" w:firstLine="720"/>
        <w:jc w:val="both"/>
        <w:rPr>
          <w:sz w:val="28"/>
          <w:szCs w:val="28"/>
          <w:lang w:val="uk-UA"/>
        </w:rPr>
      </w:pPr>
      <w:r w:rsidRPr="008A6B7D">
        <w:rPr>
          <w:sz w:val="28"/>
          <w:szCs w:val="28"/>
          <w:lang w:val="uk-UA"/>
        </w:rPr>
        <w:t>За кожною мишею спостерігали протягом 5 хвилин та реєстрували час перебування  у світлому відсіку, кількості виглядань (коли миша перетинала нору передніми лапами) у світлий відсік з темного та кількість переходів між світлим та темним відсіками [1</w:t>
      </w:r>
      <w:r w:rsidR="00FE60C3" w:rsidRPr="008A6B7D">
        <w:rPr>
          <w:sz w:val="28"/>
          <w:szCs w:val="28"/>
          <w:lang w:val="uk-UA"/>
        </w:rPr>
        <w:t>7</w:t>
      </w:r>
      <w:r w:rsidR="00B85935" w:rsidRPr="008A6B7D">
        <w:rPr>
          <w:sz w:val="28"/>
          <w:szCs w:val="28"/>
          <w:lang w:val="uk-UA"/>
        </w:rPr>
        <w:t>6</w:t>
      </w:r>
      <w:r w:rsidRPr="008A6B7D">
        <w:rPr>
          <w:sz w:val="28"/>
          <w:szCs w:val="28"/>
          <w:lang w:val="uk-UA"/>
        </w:rPr>
        <w:t>]. Після кожного тесту поле обробляли. Статистично оброблені дані виражали у відсотках відносно інтактної групи.</w:t>
      </w:r>
    </w:p>
    <w:p w14:paraId="2A9CA0BD" w14:textId="77777777" w:rsidR="00C57D1F" w:rsidRPr="008A6B7D" w:rsidRDefault="00C57D1F" w:rsidP="00A55657">
      <w:pPr>
        <w:pStyle w:val="a0"/>
        <w:spacing w:line="360" w:lineRule="auto"/>
        <w:ind w:left="0"/>
        <w:jc w:val="both"/>
        <w:rPr>
          <w:sz w:val="28"/>
          <w:szCs w:val="28"/>
          <w:lang w:val="uk-UA"/>
        </w:rPr>
      </w:pPr>
    </w:p>
    <w:p w14:paraId="1D5B268C" w14:textId="21428D70" w:rsidR="00F05F4E" w:rsidRPr="008A6B7D" w:rsidRDefault="00F05F4E" w:rsidP="00F05F4E">
      <w:pPr>
        <w:spacing w:line="360" w:lineRule="auto"/>
        <w:ind w:firstLine="630"/>
        <w:rPr>
          <w:b/>
          <w:color w:val="000000" w:themeColor="text1"/>
          <w:sz w:val="28"/>
          <w:szCs w:val="28"/>
          <w:lang w:val="uk-UA"/>
        </w:rPr>
      </w:pPr>
      <w:r w:rsidRPr="008A6B7D">
        <w:rPr>
          <w:b/>
          <w:color w:val="000000" w:themeColor="text1"/>
          <w:sz w:val="28"/>
          <w:szCs w:val="28"/>
          <w:lang w:val="uk-UA"/>
        </w:rPr>
        <w:t>2.</w:t>
      </w:r>
      <w:r w:rsidR="00C57D1F" w:rsidRPr="008A6B7D">
        <w:rPr>
          <w:b/>
          <w:color w:val="000000" w:themeColor="text1"/>
          <w:sz w:val="28"/>
          <w:szCs w:val="28"/>
          <w:lang w:val="uk-UA"/>
        </w:rPr>
        <w:t>3</w:t>
      </w:r>
      <w:r w:rsidRPr="008A6B7D">
        <w:rPr>
          <w:b/>
          <w:color w:val="000000" w:themeColor="text1"/>
          <w:sz w:val="28"/>
          <w:szCs w:val="28"/>
          <w:lang w:val="uk-UA"/>
        </w:rPr>
        <w:t>.</w:t>
      </w:r>
      <w:r w:rsidR="00C57D1F" w:rsidRPr="008A6B7D">
        <w:rPr>
          <w:b/>
          <w:color w:val="000000" w:themeColor="text1"/>
          <w:sz w:val="28"/>
          <w:szCs w:val="28"/>
          <w:lang w:val="uk-UA"/>
        </w:rPr>
        <w:t>7</w:t>
      </w:r>
      <w:r w:rsidRPr="008A6B7D">
        <w:rPr>
          <w:b/>
          <w:color w:val="000000" w:themeColor="text1"/>
          <w:sz w:val="28"/>
          <w:szCs w:val="28"/>
          <w:lang w:val="uk-UA"/>
        </w:rPr>
        <w:t xml:space="preserve"> Методи вивчення міорелаксантної дії досліджуваних сполук</w:t>
      </w:r>
    </w:p>
    <w:p w14:paraId="4CE28BEB" w14:textId="77777777" w:rsidR="00F05F4E" w:rsidRPr="008A6B7D" w:rsidRDefault="00F05F4E" w:rsidP="00F05F4E">
      <w:pPr>
        <w:pStyle w:val="a0"/>
        <w:spacing w:line="360" w:lineRule="auto"/>
        <w:ind w:left="0" w:firstLine="720"/>
        <w:jc w:val="both"/>
        <w:rPr>
          <w:b/>
          <w:sz w:val="28"/>
          <w:szCs w:val="28"/>
          <w:lang w:val="uk-UA"/>
        </w:rPr>
      </w:pPr>
      <w:r w:rsidRPr="008A6B7D">
        <w:rPr>
          <w:b/>
          <w:sz w:val="28"/>
          <w:szCs w:val="28"/>
          <w:lang w:val="uk-UA"/>
        </w:rPr>
        <w:t>Т</w:t>
      </w:r>
      <w:r w:rsidRPr="008A6B7D">
        <w:rPr>
          <w:b/>
          <w:sz w:val="28"/>
          <w:szCs w:val="28"/>
        </w:rPr>
        <w:t>ест «обертового стрижня»</w:t>
      </w:r>
    </w:p>
    <w:p w14:paraId="74D3B3A7" w14:textId="35580818" w:rsidR="00F05F4E" w:rsidRPr="008A6B7D" w:rsidRDefault="00F05F4E" w:rsidP="00F05F4E">
      <w:pPr>
        <w:pStyle w:val="a0"/>
        <w:spacing w:line="360" w:lineRule="auto"/>
        <w:ind w:left="0" w:firstLine="720"/>
        <w:jc w:val="both"/>
        <w:rPr>
          <w:sz w:val="28"/>
          <w:szCs w:val="28"/>
          <w:lang w:eastAsia="zh-CN"/>
        </w:rPr>
      </w:pPr>
      <w:r w:rsidRPr="008A6B7D">
        <w:rPr>
          <w:sz w:val="28"/>
          <w:szCs w:val="28"/>
          <w:lang w:val="uk-UA"/>
        </w:rPr>
        <w:t xml:space="preserve">Піддослідним тваринам  попередньо вводили досліджувані сполуки у вигляді водно-твінової емульсії та фіксували дані через 1, 3, 5 і 24 години. </w:t>
      </w:r>
      <w:r w:rsidRPr="008A6B7D">
        <w:rPr>
          <w:sz w:val="28"/>
          <w:szCs w:val="28"/>
        </w:rPr>
        <w:t xml:space="preserve">Мишей поміщали на горизонтальний обертовий стрижень діаметром 2 см і швидкістю обертання 5 об/хв. Міорелаксантні властивості оцінювали за </w:t>
      </w:r>
      <w:r w:rsidRPr="008A6B7D">
        <w:rPr>
          <w:sz w:val="28"/>
          <w:szCs w:val="28"/>
        </w:rPr>
        <w:lastRenderedPageBreak/>
        <w:t>порушенням координації руху, ходу і рівноваги мишей на обертовому стрижні впродовж 3 хвилин [</w:t>
      </w:r>
      <w:r w:rsidR="00390008" w:rsidRPr="008A6B7D">
        <w:rPr>
          <w:sz w:val="28"/>
          <w:szCs w:val="28"/>
          <w:lang w:val="ru-RU"/>
        </w:rPr>
        <w:t>17</w:t>
      </w:r>
      <w:r w:rsidR="00B85935" w:rsidRPr="008A6B7D">
        <w:rPr>
          <w:sz w:val="28"/>
          <w:szCs w:val="28"/>
          <w:lang w:val="ru-RU"/>
        </w:rPr>
        <w:t>2</w:t>
      </w:r>
      <w:r w:rsidRPr="008A6B7D">
        <w:rPr>
          <w:sz w:val="28"/>
          <w:szCs w:val="28"/>
        </w:rPr>
        <w:t>].</w:t>
      </w:r>
    </w:p>
    <w:p w14:paraId="17900018" w14:textId="77777777" w:rsidR="00F05F4E" w:rsidRPr="008A6B7D" w:rsidRDefault="00F05F4E" w:rsidP="00F05F4E">
      <w:pPr>
        <w:pStyle w:val="a0"/>
        <w:spacing w:line="360" w:lineRule="auto"/>
        <w:ind w:left="0" w:firstLine="720"/>
        <w:jc w:val="both"/>
        <w:rPr>
          <w:sz w:val="28"/>
          <w:szCs w:val="28"/>
          <w:lang w:eastAsia="zh-CN"/>
        </w:rPr>
      </w:pPr>
    </w:p>
    <w:p w14:paraId="78A00374" w14:textId="20DD9241" w:rsidR="00F05F4E" w:rsidRPr="008A6B7D" w:rsidRDefault="00F05F4E" w:rsidP="00F05F4E">
      <w:pPr>
        <w:spacing w:line="360" w:lineRule="auto"/>
        <w:ind w:firstLine="630"/>
        <w:jc w:val="both"/>
        <w:rPr>
          <w:b/>
          <w:color w:val="000000" w:themeColor="text1"/>
          <w:sz w:val="28"/>
          <w:szCs w:val="28"/>
          <w:lang w:val="uk-UA"/>
        </w:rPr>
      </w:pPr>
      <w:r w:rsidRPr="008A6B7D">
        <w:rPr>
          <w:b/>
          <w:color w:val="000000" w:themeColor="text1"/>
          <w:sz w:val="28"/>
          <w:szCs w:val="28"/>
          <w:lang w:val="uk-UA"/>
        </w:rPr>
        <w:t>2.</w:t>
      </w:r>
      <w:r w:rsidR="00C57D1F" w:rsidRPr="008A6B7D">
        <w:rPr>
          <w:b/>
          <w:color w:val="000000" w:themeColor="text1"/>
          <w:sz w:val="28"/>
          <w:szCs w:val="28"/>
          <w:lang w:val="uk-UA"/>
        </w:rPr>
        <w:t>3</w:t>
      </w:r>
      <w:r w:rsidRPr="008A6B7D">
        <w:rPr>
          <w:b/>
          <w:color w:val="000000" w:themeColor="text1"/>
          <w:sz w:val="28"/>
          <w:szCs w:val="28"/>
          <w:lang w:val="uk-UA"/>
        </w:rPr>
        <w:t>.</w:t>
      </w:r>
      <w:r w:rsidR="00C57D1F" w:rsidRPr="008A6B7D">
        <w:rPr>
          <w:b/>
          <w:color w:val="000000" w:themeColor="text1"/>
          <w:sz w:val="28"/>
          <w:szCs w:val="28"/>
          <w:lang w:val="uk-UA"/>
        </w:rPr>
        <w:t>8</w:t>
      </w:r>
      <w:r w:rsidRPr="008A6B7D">
        <w:rPr>
          <w:b/>
          <w:color w:val="000000" w:themeColor="text1"/>
          <w:sz w:val="28"/>
          <w:szCs w:val="28"/>
          <w:lang w:val="uk-UA"/>
        </w:rPr>
        <w:t xml:space="preserve"> Методика </w:t>
      </w:r>
      <w:r w:rsidRPr="008A6B7D">
        <w:rPr>
          <w:b/>
          <w:sz w:val="28"/>
          <w:szCs w:val="28"/>
          <w:lang w:val="uk-UA"/>
        </w:rPr>
        <w:t>в</w:t>
      </w:r>
      <w:r w:rsidRPr="008A6B7D">
        <w:rPr>
          <w:b/>
          <w:sz w:val="28"/>
          <w:szCs w:val="28"/>
        </w:rPr>
        <w:t>изначення порога чутливості до судомних агентів</w:t>
      </w:r>
      <w:r w:rsidRPr="008A6B7D">
        <w:rPr>
          <w:b/>
          <w:color w:val="000000" w:themeColor="text1"/>
          <w:sz w:val="28"/>
          <w:szCs w:val="28"/>
          <w:lang w:val="uk-UA"/>
        </w:rPr>
        <w:t xml:space="preserve"> досліджуваних сполук</w:t>
      </w:r>
    </w:p>
    <w:p w14:paraId="2DB167A9" w14:textId="61D526CD" w:rsidR="00F05F4E" w:rsidRPr="008A6B7D" w:rsidRDefault="00F05F4E" w:rsidP="00F05F4E">
      <w:pPr>
        <w:pStyle w:val="a0"/>
        <w:spacing w:line="360" w:lineRule="auto"/>
        <w:ind w:left="0" w:firstLine="567"/>
        <w:jc w:val="both"/>
        <w:rPr>
          <w:color w:val="000000"/>
          <w:sz w:val="28"/>
          <w:szCs w:val="28"/>
          <w:lang w:val="uk-UA"/>
        </w:rPr>
      </w:pPr>
      <w:r w:rsidRPr="008A6B7D">
        <w:rPr>
          <w:i/>
          <w:sz w:val="28"/>
          <w:szCs w:val="28"/>
          <w:lang w:val="uk-UA"/>
        </w:rPr>
        <w:t xml:space="preserve"> </w:t>
      </w:r>
      <w:r w:rsidRPr="008A6B7D">
        <w:rPr>
          <w:sz w:val="28"/>
          <w:szCs w:val="28"/>
          <w:lang w:val="uk-UA"/>
        </w:rPr>
        <w:t xml:space="preserve">Експериментальні моделі, що дозволяють викликати судоми дуже важливі для вивчення патофізіології епілепсії. Для моделювання судом було обрано тест з </w:t>
      </w:r>
      <w:r w:rsidR="00390008" w:rsidRPr="008A6B7D">
        <w:rPr>
          <w:sz w:val="28"/>
          <w:szCs w:val="28"/>
          <w:lang w:val="uk-UA"/>
        </w:rPr>
        <w:t>коразолом (</w:t>
      </w:r>
      <w:r w:rsidRPr="008A6B7D">
        <w:rPr>
          <w:sz w:val="28"/>
          <w:szCs w:val="28"/>
          <w:lang w:val="uk-UA"/>
        </w:rPr>
        <w:t>пентилентетразолом) [1</w:t>
      </w:r>
      <w:r w:rsidR="00FE60C3" w:rsidRPr="008A6B7D">
        <w:rPr>
          <w:sz w:val="28"/>
          <w:szCs w:val="28"/>
          <w:lang w:val="uk-UA"/>
        </w:rPr>
        <w:t>7</w:t>
      </w:r>
      <w:r w:rsidR="00B85935" w:rsidRPr="008A6B7D">
        <w:rPr>
          <w:sz w:val="28"/>
          <w:szCs w:val="28"/>
          <w:lang w:val="uk-UA"/>
        </w:rPr>
        <w:t>7</w:t>
      </w:r>
      <w:r w:rsidRPr="008A6B7D">
        <w:rPr>
          <w:sz w:val="28"/>
          <w:szCs w:val="28"/>
          <w:lang w:val="uk-UA"/>
        </w:rPr>
        <w:t>]. Відомо, що вальпроат, фенобарбітал та леветірацитам мають виразний протисудомний ефект [1</w:t>
      </w:r>
      <w:r w:rsidR="00FE60C3" w:rsidRPr="008A6B7D">
        <w:rPr>
          <w:sz w:val="28"/>
          <w:szCs w:val="28"/>
          <w:lang w:val="uk-UA"/>
        </w:rPr>
        <w:t>7</w:t>
      </w:r>
      <w:r w:rsidR="00B85935" w:rsidRPr="008A6B7D">
        <w:rPr>
          <w:sz w:val="28"/>
          <w:szCs w:val="28"/>
          <w:lang w:val="uk-UA"/>
        </w:rPr>
        <w:t>8</w:t>
      </w:r>
      <w:r w:rsidRPr="008A6B7D">
        <w:rPr>
          <w:sz w:val="28"/>
          <w:szCs w:val="28"/>
          <w:lang w:val="uk-UA"/>
        </w:rPr>
        <w:t>], саме тому у якості референс-препарату було використано вальпроєву кислоту.</w:t>
      </w:r>
    </w:p>
    <w:p w14:paraId="09E2953D" w14:textId="493E779D" w:rsidR="00F05F4E" w:rsidRPr="008A6B7D" w:rsidRDefault="00F05F4E" w:rsidP="00F05F4E">
      <w:pPr>
        <w:pStyle w:val="a0"/>
        <w:spacing w:line="360" w:lineRule="auto"/>
        <w:ind w:left="0" w:firstLine="567"/>
        <w:jc w:val="both"/>
        <w:rPr>
          <w:sz w:val="28"/>
          <w:szCs w:val="28"/>
          <w:lang w:val="uk-UA"/>
        </w:rPr>
      </w:pPr>
      <w:r w:rsidRPr="008A6B7D">
        <w:rPr>
          <w:sz w:val="28"/>
          <w:szCs w:val="28"/>
          <w:lang w:val="uk-UA"/>
        </w:rPr>
        <w:t>Для вивчення протисудомної дії, судомний агент (коразол) вводили тварині у вигляді 1 % розчину внутрішньовенно (у хвостову вену) зі швидкістю 0,01 см</w:t>
      </w:r>
      <w:r w:rsidRPr="008A6B7D">
        <w:rPr>
          <w:sz w:val="28"/>
          <w:szCs w:val="28"/>
          <w:vertAlign w:val="superscript"/>
          <w:lang w:val="uk-UA"/>
        </w:rPr>
        <w:t>3</w:t>
      </w:r>
      <w:r w:rsidRPr="008A6B7D">
        <w:rPr>
          <w:sz w:val="28"/>
          <w:szCs w:val="28"/>
          <w:lang w:val="uk-UA"/>
        </w:rPr>
        <w:t xml:space="preserve">/с </w:t>
      </w:r>
      <w:r w:rsidRPr="008A6B7D">
        <w:rPr>
          <w:color w:val="000000"/>
          <w:sz w:val="28"/>
          <w:szCs w:val="28"/>
          <w:lang w:val="uk-UA"/>
        </w:rPr>
        <w:t>[1</w:t>
      </w:r>
      <w:r w:rsidR="00B85935" w:rsidRPr="001759D5">
        <w:rPr>
          <w:color w:val="000000"/>
          <w:sz w:val="28"/>
          <w:szCs w:val="28"/>
          <w:lang w:val="uk-UA"/>
        </w:rPr>
        <w:t>79</w:t>
      </w:r>
      <w:r w:rsidRPr="008A6B7D">
        <w:rPr>
          <w:color w:val="000000"/>
          <w:sz w:val="28"/>
          <w:szCs w:val="28"/>
          <w:lang w:val="uk-UA"/>
        </w:rPr>
        <w:t>].</w:t>
      </w:r>
      <w:r w:rsidRPr="008A6B7D">
        <w:rPr>
          <w:sz w:val="28"/>
          <w:szCs w:val="28"/>
          <w:lang w:val="uk-UA"/>
        </w:rPr>
        <w:t xml:space="preserve"> </w:t>
      </w:r>
    </w:p>
    <w:p w14:paraId="54840CA4" w14:textId="77777777" w:rsidR="00F05F4E" w:rsidRPr="008A6B7D" w:rsidRDefault="00F05F4E" w:rsidP="00F05F4E">
      <w:pPr>
        <w:pStyle w:val="a0"/>
        <w:spacing w:line="360" w:lineRule="auto"/>
        <w:ind w:left="0" w:firstLine="567"/>
        <w:jc w:val="both"/>
        <w:rPr>
          <w:sz w:val="28"/>
          <w:szCs w:val="28"/>
          <w:lang w:val="uk-UA"/>
        </w:rPr>
      </w:pPr>
      <w:r w:rsidRPr="008A6B7D">
        <w:rPr>
          <w:sz w:val="28"/>
          <w:szCs w:val="28"/>
          <w:lang w:val="uk-UA"/>
        </w:rPr>
        <w:t>Мінімальні ефективні дози судомного агенту, що викликають клоніко-тонічні судоми (ДКТС) і тонічну екстензію (ДТЕ), визначали за формулою:</w:t>
      </w:r>
    </w:p>
    <w:p w14:paraId="68E5D45B" w14:textId="77777777" w:rsidR="00F05F4E" w:rsidRPr="008A6B7D" w:rsidRDefault="00F05F4E" w:rsidP="00F05F4E">
      <w:pPr>
        <w:pStyle w:val="a0"/>
        <w:spacing w:line="360" w:lineRule="auto"/>
        <w:jc w:val="both"/>
        <w:rPr>
          <w:sz w:val="28"/>
          <w:szCs w:val="28"/>
          <w:lang w:val="uk-UA"/>
        </w:rPr>
      </w:pPr>
      <w:r w:rsidRPr="008A6B7D">
        <w:rPr>
          <w:sz w:val="28"/>
          <w:szCs w:val="28"/>
          <w:lang w:val="uk-UA"/>
        </w:rPr>
        <w:tab/>
      </w:r>
      <w:r w:rsidRPr="008A6B7D">
        <w:rPr>
          <w:sz w:val="28"/>
          <w:szCs w:val="28"/>
          <w:lang w:val="uk-UA"/>
        </w:rPr>
        <w:tab/>
      </w:r>
      <w:r w:rsidRPr="008A6B7D">
        <w:rPr>
          <w:sz w:val="28"/>
          <w:szCs w:val="28"/>
          <w:lang w:val="uk-UA"/>
        </w:rPr>
        <w:tab/>
      </w:r>
      <w:r w:rsidRPr="008A6B7D">
        <w:rPr>
          <w:sz w:val="28"/>
          <w:szCs w:val="28"/>
          <w:lang w:val="uk-UA"/>
        </w:rPr>
        <w:tab/>
      </w:r>
      <w:r w:rsidRPr="008A6B7D">
        <w:rPr>
          <w:sz w:val="28"/>
          <w:szCs w:val="28"/>
          <w:lang w:val="uk-UA"/>
        </w:rPr>
        <w:tab/>
      </w:r>
      <w:r w:rsidR="00362209">
        <w:rPr>
          <w:noProof/>
          <w:sz w:val="28"/>
          <w:szCs w:val="28"/>
        </w:rPr>
        <w:pict w14:anchorId="28109CF0">
          <v:shape id="_x0000_i1025" type="#_x0000_t75" alt="" style="width:93.6pt;height:33.1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6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65D5&quot;/&gt;&lt;wsp:rsid wsp:val=&quot;00000DD2&quot;/&gt;&lt;wsp:rsid wsp:val=&quot;00004F93&quot;/&gt;&lt;wsp:rsid wsp:val=&quot;00007D83&quot;/&gt;&lt;wsp:rsid wsp:val=&quot;00010053&quot;/&gt;&lt;wsp:rsid wsp:val=&quot;00012061&quot;/&gt;&lt;wsp:rsid wsp:val=&quot;000137C6&quot;/&gt;&lt;wsp:rsid wsp:val=&quot;0001420C&quot;/&gt;&lt;wsp:rsid wsp:val=&quot;00031528&quot;/&gt;&lt;wsp:rsid wsp:val=&quot;00034F15&quot;/&gt;&lt;wsp:rsid wsp:val=&quot;000423A5&quot;/&gt;&lt;wsp:rsid wsp:val=&quot;0004285D&quot;/&gt;&lt;wsp:rsid wsp:val=&quot;00042DDB&quot;/&gt;&lt;wsp:rsid wsp:val=&quot;00043DA4&quot;/&gt;&lt;wsp:rsid wsp:val=&quot;000474A7&quot;/&gt;&lt;wsp:rsid wsp:val=&quot;000528BC&quot;/&gt;&lt;wsp:rsid wsp:val=&quot;000605E1&quot;/&gt;&lt;wsp:rsid wsp:val=&quot;00061CF4&quot;/&gt;&lt;wsp:rsid wsp:val=&quot;0006218C&quot;/&gt;&lt;wsp:rsid wsp:val=&quot;000629CC&quot;/&gt;&lt;wsp:rsid wsp:val=&quot;00065AA9&quot;/&gt;&lt;wsp:rsid wsp:val=&quot;000665C3&quot;/&gt;&lt;wsp:rsid wsp:val=&quot;000741E9&quot;/&gt;&lt;wsp:rsid wsp:val=&quot;00077FC5&quot;/&gt;&lt;wsp:rsid wsp:val=&quot;00083C35&quot;/&gt;&lt;wsp:rsid wsp:val=&quot;00084273&quot;/&gt;&lt;wsp:rsid wsp:val=&quot;00084B43&quot;/&gt;&lt;wsp:rsid wsp:val=&quot;000857DF&quot;/&gt;&lt;wsp:rsid wsp:val=&quot;00094744&quot;/&gt;&lt;wsp:rsid wsp:val=&quot;000A3909&quot;/&gt;&lt;wsp:rsid wsp:val=&quot;000A4FF4&quot;/&gt;&lt;wsp:rsid wsp:val=&quot;000B26E5&quot;/&gt;&lt;wsp:rsid wsp:val=&quot;000B6DD3&quot;/&gt;&lt;wsp:rsid wsp:val=&quot;000C302E&quot;/&gt;&lt;wsp:rsid wsp:val=&quot;000C4CC4&quot;/&gt;&lt;wsp:rsid wsp:val=&quot;000C74D7&quot;/&gt;&lt;wsp:rsid wsp:val=&quot;000D0EA8&quot;/&gt;&lt;wsp:rsid wsp:val=&quot;000D20F0&quot;/&gt;&lt;wsp:rsid wsp:val=&quot;000D3BC1&quot;/&gt;&lt;wsp:rsid wsp:val=&quot;000D3C61&quot;/&gt;&lt;wsp:rsid wsp:val=&quot;000D45E0&quot;/&gt;&lt;wsp:rsid wsp:val=&quot;000D6E01&quot;/&gt;&lt;wsp:rsid wsp:val=&quot;000E0AED&quot;/&gt;&lt;wsp:rsid wsp:val=&quot;000E2894&quot;/&gt;&lt;wsp:rsid wsp:val=&quot;000F00BD&quot;/&gt;&lt;wsp:rsid wsp:val=&quot;000F2FB9&quot;/&gt;&lt;wsp:rsid wsp:val=&quot;000F77A0&quot;/&gt;&lt;wsp:rsid wsp:val=&quot;001002B4&quot;/&gt;&lt;wsp:rsid wsp:val=&quot;00106FA5&quot;/&gt;&lt;wsp:rsid wsp:val=&quot;00111890&quot;/&gt;&lt;wsp:rsid wsp:val=&quot;001119A3&quot;/&gt;&lt;wsp:rsid wsp:val=&quot;0011374C&quot;/&gt;&lt;wsp:rsid wsp:val=&quot;00115A1B&quot;/&gt;&lt;wsp:rsid wsp:val=&quot;001163D9&quot;/&gt;&lt;wsp:rsid wsp:val=&quot;00116BF5&quot;/&gt;&lt;wsp:rsid wsp:val=&quot;00120001&quot;/&gt;&lt;wsp:rsid wsp:val=&quot;00121150&quot;/&gt;&lt;wsp:rsid wsp:val=&quot;00122AB2&quot;/&gt;&lt;wsp:rsid wsp:val=&quot;00124A70&quot;/&gt;&lt;wsp:rsid wsp:val=&quot;00124FA5&quot;/&gt;&lt;wsp:rsid wsp:val=&quot;00126AFB&quot;/&gt;&lt;wsp:rsid wsp:val=&quot;001318F9&quot;/&gt;&lt;wsp:rsid wsp:val=&quot;0013287C&quot;/&gt;&lt;wsp:rsid wsp:val=&quot;0014257A&quot;/&gt;&lt;wsp:rsid wsp:val=&quot;00144A57&quot;/&gt;&lt;wsp:rsid wsp:val=&quot;001465FE&quot;/&gt;&lt;wsp:rsid wsp:val=&quot;001522B5&quot;/&gt;&lt;wsp:rsid wsp:val=&quot;00154A55&quot;/&gt;&lt;wsp:rsid wsp:val=&quot;00155271&quot;/&gt;&lt;wsp:rsid wsp:val=&quot;00160FE8&quot;/&gt;&lt;wsp:rsid wsp:val=&quot;001623FF&quot;/&gt;&lt;wsp:rsid wsp:val=&quot;001637F3&quot;/&gt;&lt;wsp:rsid wsp:val=&quot;00163F31&quot;/&gt;&lt;wsp:rsid wsp:val=&quot;0016405A&quot;/&gt;&lt;wsp:rsid wsp:val=&quot;00165816&quot;/&gt;&lt;wsp:rsid wsp:val=&quot;00167BB2&quot;/&gt;&lt;wsp:rsid wsp:val=&quot;00170023&quot;/&gt;&lt;wsp:rsid wsp:val=&quot;00175D44&quot;/&gt;&lt;wsp:rsid wsp:val=&quot;00180AC2&quot;/&gt;&lt;wsp:rsid wsp:val=&quot;00180E16&quot;/&gt;&lt;wsp:rsid wsp:val=&quot;00181FFC&quot;/&gt;&lt;wsp:rsid wsp:val=&quot;0018581B&quot;/&gt;&lt;wsp:rsid wsp:val=&quot;00187C05&quot;/&gt;&lt;wsp:rsid wsp:val=&quot;001A08E5&quot;/&gt;&lt;wsp:rsid wsp:val=&quot;001A3A17&quot;/&gt;&lt;wsp:rsid wsp:val=&quot;001A43CC&quot;/&gt;&lt;wsp:rsid wsp:val=&quot;001A5380&quot;/&gt;&lt;wsp:rsid wsp:val=&quot;001A6736&quot;/&gt;&lt;wsp:rsid wsp:val=&quot;001B6680&quot;/&gt;&lt;wsp:rsid wsp:val=&quot;001B70E2&quot;/&gt;&lt;wsp:rsid wsp:val=&quot;001B7825&quot;/&gt;&lt;wsp:rsid wsp:val=&quot;001C301E&quot;/&gt;&lt;wsp:rsid wsp:val=&quot;001C38D9&quot;/&gt;&lt;wsp:rsid wsp:val=&quot;001C41E6&quot;/&gt;&lt;wsp:rsid wsp:val=&quot;001C6ADD&quot;/&gt;&lt;wsp:rsid wsp:val=&quot;001D0730&quot;/&gt;&lt;wsp:rsid wsp:val=&quot;001D4669&quot;/&gt;&lt;wsp:rsid wsp:val=&quot;001D5BFC&quot;/&gt;&lt;wsp:rsid wsp:val=&quot;001D6F03&quot;/&gt;&lt;wsp:rsid wsp:val=&quot;001D741C&quot;/&gt;&lt;wsp:rsid wsp:val=&quot;001E452A&quot;/&gt;&lt;wsp:rsid wsp:val=&quot;001E56FA&quot;/&gt;&lt;wsp:rsid wsp:val=&quot;001E6B2A&quot;/&gt;&lt;wsp:rsid wsp:val=&quot;001E7AF7&quot;/&gt;&lt;wsp:rsid wsp:val=&quot;001F1CB3&quot;/&gt;&lt;wsp:rsid wsp:val=&quot;001F29DD&quot;/&gt;&lt;wsp:rsid wsp:val=&quot;001F3358&quot;/&gt;&lt;wsp:rsid wsp:val=&quot;001F4CD1&quot;/&gt;&lt;wsp:rsid wsp:val=&quot;001F4F64&quot;/&gt;&lt;wsp:rsid wsp:val=&quot;00201C0E&quot;/&gt;&lt;wsp:rsid wsp:val=&quot;002100E7&quot;/&gt;&lt;wsp:rsid wsp:val=&quot;002128A9&quot;/&gt;&lt;wsp:rsid wsp:val=&quot;002144AF&quot;/&gt;&lt;wsp:rsid wsp:val=&quot;00216843&quot;/&gt;&lt;wsp:rsid wsp:val=&quot;0022230C&quot;/&gt;&lt;wsp:rsid wsp:val=&quot;00222E61&quot;/&gt;&lt;wsp:rsid wsp:val=&quot;00227F1B&quot;/&gt;&lt;wsp:rsid wsp:val=&quot;00234327&quot;/&gt;&lt;wsp:rsid wsp:val=&quot;00241DDD&quot;/&gt;&lt;wsp:rsid wsp:val=&quot;00245011&quot;/&gt;&lt;wsp:rsid wsp:val=&quot;00254348&quot;/&gt;&lt;wsp:rsid wsp:val=&quot;00256DA5&quot;/&gt;&lt;wsp:rsid wsp:val=&quot;002602AE&quot;/&gt;&lt;wsp:rsid wsp:val=&quot;002621CA&quot;/&gt;&lt;wsp:rsid wsp:val=&quot;002621DF&quot;/&gt;&lt;wsp:rsid wsp:val=&quot;00264CC0&quot;/&gt;&lt;wsp:rsid wsp:val=&quot;00265907&quot;/&gt;&lt;wsp:rsid wsp:val=&quot;0027244D&quot;/&gt;&lt;wsp:rsid wsp:val=&quot;00273008&quot;/&gt;&lt;wsp:rsid wsp:val=&quot;00276761&quot;/&gt;&lt;wsp:rsid wsp:val=&quot;00290D86&quot;/&gt;&lt;wsp:rsid wsp:val=&quot;00291A48&quot;/&gt;&lt;wsp:rsid wsp:val=&quot;002A2377&quot;/&gt;&lt;wsp:rsid wsp:val=&quot;002A2A87&quot;/&gt;&lt;wsp:rsid wsp:val=&quot;002A4075&quot;/&gt;&lt;wsp:rsid wsp:val=&quot;002A4289&quot;/&gt;&lt;wsp:rsid wsp:val=&quot;002B0486&quot;/&gt;&lt;wsp:rsid wsp:val=&quot;002B24FC&quot;/&gt;&lt;wsp:rsid wsp:val=&quot;002B3A56&quot;/&gt;&lt;wsp:rsid wsp:val=&quot;002B3F51&quot;/&gt;&lt;wsp:rsid wsp:val=&quot;002B574A&quot;/&gt;&lt;wsp:rsid wsp:val=&quot;002C31F2&quot;/&gt;&lt;wsp:rsid wsp:val=&quot;002C7AE9&quot;/&gt;&lt;wsp:rsid wsp:val=&quot;002D0286&quot;/&gt;&lt;wsp:rsid wsp:val=&quot;002D0522&quot;/&gt;&lt;wsp:rsid wsp:val=&quot;002D3A94&quot;/&gt;&lt;wsp:rsid wsp:val=&quot;002D408E&quot;/&gt;&lt;wsp:rsid wsp:val=&quot;002D5B36&quot;/&gt;&lt;wsp:rsid wsp:val=&quot;002E03D0&quot;/&gt;&lt;wsp:rsid wsp:val=&quot;002E4217&quot;/&gt;&lt;wsp:rsid wsp:val=&quot;002E4A27&quot;/&gt;&lt;wsp:rsid wsp:val=&quot;002E4A33&quot;/&gt;&lt;wsp:rsid wsp:val=&quot;002E4FAD&quot;/&gt;&lt;wsp:rsid wsp:val=&quot;002F02E6&quot;/&gt;&lt;wsp:rsid wsp:val=&quot;002F12F4&quot;/&gt;&lt;wsp:rsid wsp:val=&quot;002F454B&quot;/&gt;&lt;wsp:rsid wsp:val=&quot;002F5574&quot;/&gt;&lt;wsp:rsid wsp:val=&quot;002F5ABC&quot;/&gt;&lt;wsp:rsid wsp:val=&quot;002F6C98&quot;/&gt;&lt;wsp:rsid wsp:val=&quot;003031BF&quot;/&gt;&lt;wsp:rsid wsp:val=&quot;003101A0&quot;/&gt;&lt;wsp:rsid wsp:val=&quot;00310CB1&quot;/&gt;&lt;wsp:rsid wsp:val=&quot;003115B8&quot;/&gt;&lt;wsp:rsid wsp:val=&quot;0031354B&quot;/&gt;&lt;wsp:rsid wsp:val=&quot;00322083&quot;/&gt;&lt;wsp:rsid wsp:val=&quot;00323119&quot;/&gt;&lt;wsp:rsid wsp:val=&quot;00326B95&quot;/&gt;&lt;wsp:rsid wsp:val=&quot;00330CB3&quot;/&gt;&lt;wsp:rsid wsp:val=&quot;003316BE&quot;/&gt;&lt;wsp:rsid wsp:val=&quot;0033653F&quot;/&gt;&lt;wsp:rsid wsp:val=&quot;003372AE&quot;/&gt;&lt;wsp:rsid wsp:val=&quot;003426AD&quot;/&gt;&lt;wsp:rsid wsp:val=&quot;003475A8&quot;/&gt;&lt;wsp:rsid wsp:val=&quot;003509B4&quot;/&gt;&lt;wsp:rsid wsp:val=&quot;003527C8&quot;/&gt;&lt;wsp:rsid wsp:val=&quot;003551B2&quot;/&gt;&lt;wsp:rsid wsp:val=&quot;0035694E&quot;/&gt;&lt;wsp:rsid wsp:val=&quot;0035788B&quot;/&gt;&lt;wsp:rsid wsp:val=&quot;00357B5B&quot;/&gt;&lt;wsp:rsid wsp:val=&quot;00366E5C&quot;/&gt;&lt;wsp:rsid wsp:val=&quot;00366FD9&quot;/&gt;&lt;wsp:rsid wsp:val=&quot;00367E9E&quot;/&gt;&lt;wsp:rsid wsp:val=&quot;00371CA0&quot;/&gt;&lt;wsp:rsid wsp:val=&quot;00372CC7&quot;/&gt;&lt;wsp:rsid wsp:val=&quot;003737EC&quot;/&gt;&lt;wsp:rsid wsp:val=&quot;00380E15&quot;/&gt;&lt;wsp:rsid wsp:val=&quot;00386E3E&quot;/&gt;&lt;wsp:rsid wsp:val=&quot;003906C5&quot;/&gt;&lt;wsp:rsid wsp:val=&quot;00390997&quot;/&gt;&lt;wsp:rsid wsp:val=&quot;00392A19&quot;/&gt;&lt;wsp:rsid wsp:val=&quot;003A1476&quot;/&gt;&lt;wsp:rsid wsp:val=&quot;003A396D&quot;/&gt;&lt;wsp:rsid wsp:val=&quot;003A7A43&quot;/&gt;&lt;wsp:rsid wsp:val=&quot;003B0F61&quot;/&gt;&lt;wsp:rsid wsp:val=&quot;003B1C17&quot;/&gt;&lt;wsp:rsid wsp:val=&quot;003B5222&quot;/&gt;&lt;wsp:rsid wsp:val=&quot;003B58A4&quot;/&gt;&lt;wsp:rsid wsp:val=&quot;003C1C79&quot;/&gt;&lt;wsp:rsid wsp:val=&quot;003E6645&quot;/&gt;&lt;wsp:rsid wsp:val=&quot;003F0FCB&quot;/&gt;&lt;wsp:rsid wsp:val=&quot;003F3A9E&quot;/&gt;&lt;wsp:rsid wsp:val=&quot;003F6B09&quot;/&gt;&lt;wsp:rsid wsp:val=&quot;003F788A&quot;/&gt;&lt;wsp:rsid wsp:val=&quot;00400B88&quot;/&gt;&lt;wsp:rsid wsp:val=&quot;0041483F&quot;/&gt;&lt;wsp:rsid wsp:val=&quot;0041653F&quot;/&gt;&lt;wsp:rsid wsp:val=&quot;00417464&quot;/&gt;&lt;wsp:rsid wsp:val=&quot;00422947&quot;/&gt;&lt;wsp:rsid wsp:val=&quot;00435F0A&quot;/&gt;&lt;wsp:rsid wsp:val=&quot;004372BD&quot;/&gt;&lt;wsp:rsid wsp:val=&quot;00445610&quot;/&gt;&lt;wsp:rsid wsp:val=&quot;00446B5C&quot;/&gt;&lt;wsp:rsid wsp:val=&quot;00452271&quot;/&gt;&lt;wsp:rsid wsp:val=&quot;00454E32&quot;/&gt;&lt;wsp:rsid wsp:val=&quot;004565D5&quot;/&gt;&lt;wsp:rsid wsp:val=&quot;00456669&quot;/&gt;&lt;wsp:rsid wsp:val=&quot;004714D0&quot;/&gt;&lt;wsp:rsid wsp:val=&quot;00475348&quot;/&gt;&lt;wsp:rsid wsp:val=&quot;004779A1&quot;/&gt;&lt;wsp:rsid wsp:val=&quot;00480FA0&quot;/&gt;&lt;wsp:rsid wsp:val=&quot;00483B1A&quot;/&gt;&lt;wsp:rsid wsp:val=&quot;00485C21&quot;/&gt;&lt;wsp:rsid wsp:val=&quot;004A0208&quot;/&gt;&lt;wsp:rsid wsp:val=&quot;004A0F7A&quot;/&gt;&lt;wsp:rsid wsp:val=&quot;004A2D1F&quot;/&gt;&lt;wsp:rsid wsp:val=&quot;004A2E17&quot;/&gt;&lt;wsp:rsid wsp:val=&quot;004A4D5F&quot;/&gt;&lt;wsp:rsid wsp:val=&quot;004A7FF9&quot;/&gt;&lt;wsp:rsid wsp:val=&quot;004B08BC&quot;/&gt;&lt;wsp:rsid wsp:val=&quot;004B19B7&quot;/&gt;&lt;wsp:rsid wsp:val=&quot;004B1B75&quot;/&gt;&lt;wsp:rsid wsp:val=&quot;004B2D85&quot;/&gt;&lt;wsp:rsid wsp:val=&quot;004B2FAC&quot;/&gt;&lt;wsp:rsid wsp:val=&quot;004C167B&quot;/&gt;&lt;wsp:rsid wsp:val=&quot;004C16B8&quot;/&gt;&lt;wsp:rsid wsp:val=&quot;004C726E&quot;/&gt;&lt;wsp:rsid wsp:val=&quot;004D3590&quot;/&gt;&lt;wsp:rsid wsp:val=&quot;004D478F&quot;/&gt;&lt;wsp:rsid wsp:val=&quot;004E2F8B&quot;/&gt;&lt;wsp:rsid wsp:val=&quot;004E4200&quot;/&gt;&lt;wsp:rsid wsp:val=&quot;004F12B2&quot;/&gt;&lt;wsp:rsid wsp:val=&quot;004F207D&quot;/&gt;&lt;wsp:rsid wsp:val=&quot;004F21DD&quot;/&gt;&lt;wsp:rsid wsp:val=&quot;004F7308&quot;/&gt;&lt;wsp:rsid wsp:val=&quot;0050238E&quot;/&gt;&lt;wsp:rsid wsp:val=&quot;00506671&quot;/&gt;&lt;wsp:rsid wsp:val=&quot;0051144A&quot;/&gt;&lt;wsp:rsid wsp:val=&quot;00515FDE&quot;/&gt;&lt;wsp:rsid wsp:val=&quot;0052446F&quot;/&gt;&lt;wsp:rsid wsp:val=&quot;00525EAA&quot;/&gt;&lt;wsp:rsid wsp:val=&quot;005260A8&quot;/&gt;&lt;wsp:rsid wsp:val=&quot;00527043&quot;/&gt;&lt;wsp:rsid wsp:val=&quot;00530947&quot;/&gt;&lt;wsp:rsid wsp:val=&quot;00530979&quot;/&gt;&lt;wsp:rsid wsp:val=&quot;00533DD9&quot;/&gt;&lt;wsp:rsid wsp:val=&quot;00537A71&quot;/&gt;&lt;wsp:rsid wsp:val=&quot;0054026B&quot;/&gt;&lt;wsp:rsid wsp:val=&quot;005409A9&quot;/&gt;&lt;wsp:rsid wsp:val=&quot;0054104E&quot;/&gt;&lt;wsp:rsid wsp:val=&quot;005425BD&quot;/&gt;&lt;wsp:rsid wsp:val=&quot;00542A85&quot;/&gt;&lt;wsp:rsid wsp:val=&quot;00542C93&quot;/&gt;&lt;wsp:rsid wsp:val=&quot;00543B19&quot;/&gt;&lt;wsp:rsid wsp:val=&quot;00546145&quot;/&gt;&lt;wsp:rsid wsp:val=&quot;005505FA&quot;/&gt;&lt;wsp:rsid wsp:val=&quot;00553715&quot;/&gt;&lt;wsp:rsid wsp:val=&quot;005545F6&quot;/&gt;&lt;wsp:rsid wsp:val=&quot;0056173F&quot;/&gt;&lt;wsp:rsid wsp:val=&quot;00563D03&quot;/&gt;&lt;wsp:rsid wsp:val=&quot;00564190&quot;/&gt;&lt;wsp:rsid wsp:val=&quot;00581F0C&quot;/&gt;&lt;wsp:rsid wsp:val=&quot;00583AD2&quot;/&gt;&lt;wsp:rsid wsp:val=&quot;00597C6E&quot;/&gt;&lt;wsp:rsid wsp:val=&quot;00597F15&quot;/&gt;&lt;wsp:rsid wsp:val=&quot;005A05B8&quot;/&gt;&lt;wsp:rsid wsp:val=&quot;005A659A&quot;/&gt;&lt;wsp:rsid wsp:val=&quot;005A6F35&quot;/&gt;&lt;wsp:rsid wsp:val=&quot;005B0394&quot;/&gt;&lt;wsp:rsid wsp:val=&quot;005B13AE&quot;/&gt;&lt;wsp:rsid wsp:val=&quot;005B3F1A&quot;/&gt;&lt;wsp:rsid wsp:val=&quot;005B426E&quot;/&gt;&lt;wsp:rsid wsp:val=&quot;005C1636&quot;/&gt;&lt;wsp:rsid wsp:val=&quot;005C5003&quot;/&gt;&lt;wsp:rsid wsp:val=&quot;005C714F&quot;/&gt;&lt;wsp:rsid wsp:val=&quot;005D66E2&quot;/&gt;&lt;wsp:rsid wsp:val=&quot;005E06A6&quot;/&gt;&lt;wsp:rsid wsp:val=&quot;005E07E6&quot;/&gt;&lt;wsp:rsid wsp:val=&quot;005E7A4F&quot;/&gt;&lt;wsp:rsid wsp:val=&quot;005F0378&quot;/&gt;&lt;wsp:rsid wsp:val=&quot;005F75F5&quot;/&gt;&lt;wsp:rsid wsp:val=&quot;00600D44&quot;/&gt;&lt;wsp:rsid wsp:val=&quot;00606EFD&quot;/&gt;&lt;wsp:rsid wsp:val=&quot;006078C8&quot;/&gt;&lt;wsp:rsid wsp:val=&quot;00621912&quot;/&gt;&lt;wsp:rsid wsp:val=&quot;0062231B&quot;/&gt;&lt;wsp:rsid wsp:val=&quot;00623637&quot;/&gt;&lt;wsp:rsid wsp:val=&quot;00625E2A&quot;/&gt;&lt;wsp:rsid wsp:val=&quot;00627AE0&quot;/&gt;&lt;wsp:rsid wsp:val=&quot;00631D8D&quot;/&gt;&lt;wsp:rsid wsp:val=&quot;00632526&quot;/&gt;&lt;wsp:rsid wsp:val=&quot;0063384E&quot;/&gt;&lt;wsp:rsid wsp:val=&quot;00633865&quot;/&gt;&lt;wsp:rsid wsp:val=&quot;006341E2&quot;/&gt;&lt;wsp:rsid wsp:val=&quot;00650024&quot;/&gt;&lt;wsp:rsid wsp:val=&quot;00670BA1&quot;/&gt;&lt;wsp:rsid wsp:val=&quot;00672972&quot;/&gt;&lt;wsp:rsid wsp:val=&quot;00673CB2&quot;/&gt;&lt;wsp:rsid wsp:val=&quot;00676BCC&quot;/&gt;&lt;wsp:rsid wsp:val=&quot;00685B01&quot;/&gt;&lt;wsp:rsid wsp:val=&quot;00690944&quot;/&gt;&lt;wsp:rsid wsp:val=&quot;006926F2&quot;/&gt;&lt;wsp:rsid wsp:val=&quot;0069549B&quot;/&gt;&lt;wsp:rsid wsp:val=&quot;00695A79&quot;/&gt;&lt;wsp:rsid wsp:val=&quot;006960D1&quot;/&gt;&lt;wsp:rsid wsp:val=&quot;006A2B21&quot;/&gt;&lt;wsp:rsid wsp:val=&quot;006A5E2E&quot;/&gt;&lt;wsp:rsid wsp:val=&quot;006B209E&quot;/&gt;&lt;wsp:rsid wsp:val=&quot;006B3A71&quot;/&gt;&lt;wsp:rsid wsp:val=&quot;006B67E1&quot;/&gt;&lt;wsp:rsid wsp:val=&quot;006B79AD&quot;/&gt;&lt;wsp:rsid wsp:val=&quot;006C0D49&quot;/&gt;&lt;wsp:rsid wsp:val=&quot;006D0589&quot;/&gt;&lt;wsp:rsid wsp:val=&quot;006E316C&quot;/&gt;&lt;wsp:rsid wsp:val=&quot;006E4EBE&quot;/&gt;&lt;wsp:rsid wsp:val=&quot;006E52B0&quot;/&gt;&lt;wsp:rsid wsp:val=&quot;006F344F&quot;/&gt;&lt;wsp:rsid wsp:val=&quot;006F5423&quot;/&gt;&lt;wsp:rsid wsp:val=&quot;006F542F&quot;/&gt;&lt;wsp:rsid wsp:val=&quot;0070241E&quot;/&gt;&lt;wsp:rsid wsp:val=&quot;00710F92&quot;/&gt;&lt;wsp:rsid wsp:val=&quot;00717F15&quot;/&gt;&lt;wsp:rsid wsp:val=&quot;007205C1&quot;/&gt;&lt;wsp:rsid wsp:val=&quot;007206FA&quot;/&gt;&lt;wsp:rsid wsp:val=&quot;00722C37&quot;/&gt;&lt;wsp:rsid wsp:val=&quot;00724A7C&quot;/&gt;&lt;wsp:rsid wsp:val=&quot;0073178C&quot;/&gt;&lt;wsp:rsid wsp:val=&quot;00734AFF&quot;/&gt;&lt;wsp:rsid wsp:val=&quot;007379FC&quot;/&gt;&lt;wsp:rsid wsp:val=&quot;0074106C&quot;/&gt;&lt;wsp:rsid wsp:val=&quot;00745874&quot;/&gt;&lt;wsp:rsid wsp:val=&quot;00753121&quot;/&gt;&lt;wsp:rsid wsp:val=&quot;00753634&quot;/&gt;&lt;wsp:rsid wsp:val=&quot;007553D0&quot;/&gt;&lt;wsp:rsid wsp:val=&quot;007614F6&quot;/&gt;&lt;wsp:rsid wsp:val=&quot;00763D5E&quot;/&gt;&lt;wsp:rsid wsp:val=&quot;007650A6&quot;/&gt;&lt;wsp:rsid wsp:val=&quot;00765116&quot;/&gt;&lt;wsp:rsid wsp:val=&quot;007663DA&quot;/&gt;&lt;wsp:rsid wsp:val=&quot;00770796&quot;/&gt;&lt;wsp:rsid wsp:val=&quot;00772892&quot;/&gt;&lt;wsp:rsid wsp:val=&quot;007766BF&quot;/&gt;&lt;wsp:rsid wsp:val=&quot;00780ADE&quot;/&gt;&lt;wsp:rsid wsp:val=&quot;00785E96&quot;/&gt;&lt;wsp:rsid wsp:val=&quot;0078637F&quot;/&gt;&lt;wsp:rsid wsp:val=&quot;0078673E&quot;/&gt;&lt;wsp:rsid wsp:val=&quot;0078732E&quot;/&gt;&lt;wsp:rsid wsp:val=&quot;00787FAC&quot;/&gt;&lt;wsp:rsid wsp:val=&quot;007914D1&quot;/&gt;&lt;wsp:rsid wsp:val=&quot;007A391F&quot;/&gt;&lt;wsp:rsid wsp:val=&quot;007A65FA&quot;/&gt;&lt;wsp:rsid wsp:val=&quot;007B054F&quot;/&gt;&lt;wsp:rsid wsp:val=&quot;007B2544&quot;/&gt;&lt;wsp:rsid wsp:val=&quot;007B38CE&quot;/&gt;&lt;wsp:rsid wsp:val=&quot;007B501E&quot;/&gt;&lt;wsp:rsid wsp:val=&quot;007B6982&quot;/&gt;&lt;wsp:rsid wsp:val=&quot;007B6D4D&quot;/&gt;&lt;wsp:rsid wsp:val=&quot;007C03DA&quot;/&gt;&lt;wsp:rsid wsp:val=&quot;007C0974&quot;/&gt;&lt;wsp:rsid wsp:val=&quot;007C4E2B&quot;/&gt;&lt;wsp:rsid wsp:val=&quot;007C688B&quot;/&gt;&lt;wsp:rsid wsp:val=&quot;007D6F35&quot;/&gt;&lt;wsp:rsid wsp:val=&quot;007E2A9B&quot;/&gt;&lt;wsp:rsid wsp:val=&quot;007E5088&quot;/&gt;&lt;wsp:rsid wsp:val=&quot;007E588F&quot;/&gt;&lt;wsp:rsid wsp:val=&quot;007E6ADB&quot;/&gt;&lt;wsp:rsid wsp:val=&quot;007E77AF&quot;/&gt;&lt;wsp:rsid wsp:val=&quot;007E7F47&quot;/&gt;&lt;wsp:rsid wsp:val=&quot;007F0D46&quot;/&gt;&lt;wsp:rsid wsp:val=&quot;007F2669&quot;/&gt;&lt;wsp:rsid wsp:val=&quot;007F529B&quot;/&gt;&lt;wsp:rsid wsp:val=&quot;007F78BD&quot;/&gt;&lt;wsp:rsid wsp:val=&quot;00801824&quot;/&gt;&lt;wsp:rsid wsp:val=&quot;00801AB1&quot;/&gt;&lt;wsp:rsid wsp:val=&quot;0080466B&quot;/&gt;&lt;wsp:rsid wsp:val=&quot;00807727&quot;/&gt;&lt;wsp:rsid wsp:val=&quot;0081116A&quot;/&gt;&lt;wsp:rsid wsp:val=&quot;00812541&quot;/&gt;&lt;wsp:rsid wsp:val=&quot;00814DB2&quot;/&gt;&lt;wsp:rsid wsp:val=&quot;00815523&quot;/&gt;&lt;wsp:rsid wsp:val=&quot;00823DDC&quot;/&gt;&lt;wsp:rsid wsp:val=&quot;008254E4&quot;/&gt;&lt;wsp:rsid wsp:val=&quot;008265EF&quot;/&gt;&lt;wsp:rsid wsp:val=&quot;008271D3&quot;/&gt;&lt;wsp:rsid wsp:val=&quot;0083366F&quot;/&gt;&lt;wsp:rsid wsp:val=&quot;00836B8E&quot;/&gt;&lt;wsp:rsid wsp:val=&quot;00842975&quot;/&gt;&lt;wsp:rsid wsp:val=&quot;00844043&quot;/&gt;&lt;wsp:rsid wsp:val=&quot;00850A78&quot;/&gt;&lt;wsp:rsid wsp:val=&quot;00855796&quot;/&gt;&lt;wsp:rsid wsp:val=&quot;00855F5B&quot;/&gt;&lt;wsp:rsid wsp:val=&quot;008577CF&quot;/&gt;&lt;wsp:rsid wsp:val=&quot;00861C9D&quot;/&gt;&lt;wsp:rsid wsp:val=&quot;00864AEF&quot;/&gt;&lt;wsp:rsid wsp:val=&quot;00866BFA&quot;/&gt;&lt;wsp:rsid wsp:val=&quot;00867DB8&quot;/&gt;&lt;wsp:rsid wsp:val=&quot;00871062&quot;/&gt;&lt;wsp:rsid wsp:val=&quot;00874798&quot;/&gt;&lt;wsp:rsid wsp:val=&quot;00881A86&quot;/&gt;&lt;wsp:rsid wsp:val=&quot;00883DDF&quot;/&gt;&lt;wsp:rsid wsp:val=&quot;008863B8&quot;/&gt;&lt;wsp:rsid wsp:val=&quot;00886791&quot;/&gt;&lt;wsp:rsid wsp:val=&quot;00890961&quot;/&gt;&lt;wsp:rsid wsp:val=&quot;00890BD2&quot;/&gt;&lt;wsp:rsid wsp:val=&quot;00891AC1&quot;/&gt;&lt;wsp:rsid wsp:val=&quot;008A022E&quot;/&gt;&lt;wsp:rsid wsp:val=&quot;008A5C23&quot;/&gt;&lt;wsp:rsid wsp:val=&quot;008B0C88&quot;/&gt;&lt;wsp:rsid wsp:val=&quot;008B15E6&quot;/&gt;&lt;wsp:rsid wsp:val=&quot;008B22AA&quot;/&gt;&lt;wsp:rsid wsp:val=&quot;008B7AF3&quot;/&gt;&lt;wsp:rsid wsp:val=&quot;008D0C6A&quot;/&gt;&lt;wsp:rsid wsp:val=&quot;008D719A&quot;/&gt;&lt;wsp:rsid wsp:val=&quot;008D72F9&quot;/&gt;&lt;wsp:rsid wsp:val=&quot;008E0572&quot;/&gt;&lt;wsp:rsid wsp:val=&quot;008E1482&quot;/&gt;&lt;wsp:rsid wsp:val=&quot;008E2119&quot;/&gt;&lt;wsp:rsid wsp:val=&quot;008E4FCD&quot;/&gt;&lt;wsp:rsid wsp:val=&quot;008E60FD&quot;/&gt;&lt;wsp:rsid wsp:val=&quot;008E76EC&quot;/&gt;&lt;wsp:rsid wsp:val=&quot;008F1709&quot;/&gt;&lt;wsp:rsid wsp:val=&quot;008F731C&quot;/&gt;&lt;wsp:rsid wsp:val=&quot;00901374&quot;/&gt;&lt;wsp:rsid wsp:val=&quot;00910050&quot;/&gt;&lt;wsp:rsid wsp:val=&quot;0091124F&quot;/&gt;&lt;wsp:rsid wsp:val=&quot;00913B3C&quot;/&gt;&lt;wsp:rsid wsp:val=&quot;00917C7B&quot;/&gt;&lt;wsp:rsid wsp:val=&quot;00922705&quot;/&gt;&lt;wsp:rsid wsp:val=&quot;00924252&quot;/&gt;&lt;wsp:rsid wsp:val=&quot;00936AD1&quot;/&gt;&lt;wsp:rsid wsp:val=&quot;00937C51&quot;/&gt;&lt;wsp:rsid wsp:val=&quot;0094006F&quot;/&gt;&lt;wsp:rsid wsp:val=&quot;00944864&quot;/&gt;&lt;wsp:rsid wsp:val=&quot;00950622&quot;/&gt;&lt;wsp:rsid wsp:val=&quot;00955AE0&quot;/&gt;&lt;wsp:rsid wsp:val=&quot;00956A8E&quot;/&gt;&lt;wsp:rsid wsp:val=&quot;00956B03&quot;/&gt;&lt;wsp:rsid wsp:val=&quot;0095713B&quot;/&gt;&lt;wsp:rsid wsp:val=&quot;00957653&quot;/&gt;&lt;wsp:rsid wsp:val=&quot;00957D8A&quot;/&gt;&lt;wsp:rsid wsp:val=&quot;0097148E&quot;/&gt;&lt;wsp:rsid wsp:val=&quot;00975DFD&quot;/&gt;&lt;wsp:rsid wsp:val=&quot;009867B9&quot;/&gt;&lt;wsp:rsid wsp:val=&quot;00987A7A&quot;/&gt;&lt;wsp:rsid wsp:val=&quot;0099066F&quot;/&gt;&lt;wsp:rsid wsp:val=&quot;009972A4&quot;/&gt;&lt;wsp:rsid wsp:val=&quot;009972F7&quot;/&gt;&lt;wsp:rsid wsp:val=&quot;009C2211&quot;/&gt;&lt;wsp:rsid wsp:val=&quot;009C3614&quot;/&gt;&lt;wsp:rsid wsp:val=&quot;009C37C7&quot;/&gt;&lt;wsp:rsid wsp:val=&quot;009C413B&quot;/&gt;&lt;wsp:rsid wsp:val=&quot;009C6CFB&quot;/&gt;&lt;wsp:rsid wsp:val=&quot;009D167C&quot;/&gt;&lt;wsp:rsid wsp:val=&quot;009D537E&quot;/&gt;&lt;wsp:rsid wsp:val=&quot;009E2319&quot;/&gt;&lt;wsp:rsid wsp:val=&quot;009E2873&quot;/&gt;&lt;wsp:rsid wsp:val=&quot;009E42CB&quot;/&gt;&lt;wsp:rsid wsp:val=&quot;009F1EC5&quot;/&gt;&lt;wsp:rsid wsp:val=&quot;009F4DDD&quot;/&gt;&lt;wsp:rsid wsp:val=&quot;009F651A&quot;/&gt;&lt;wsp:rsid wsp:val=&quot;00A05DB2&quot;/&gt;&lt;wsp:rsid wsp:val=&quot;00A05ED5&quot;/&gt;&lt;wsp:rsid wsp:val=&quot;00A06605&quot;/&gt;&lt;wsp:rsid wsp:val=&quot;00A11528&quot;/&gt;&lt;wsp:rsid wsp:val=&quot;00A11EEE&quot;/&gt;&lt;wsp:rsid wsp:val=&quot;00A11F69&quot;/&gt;&lt;wsp:rsid wsp:val=&quot;00A14CC0&quot;/&gt;&lt;wsp:rsid wsp:val=&quot;00A161BF&quot;/&gt;&lt;wsp:rsid wsp:val=&quot;00A21C4D&quot;/&gt;&lt;wsp:rsid wsp:val=&quot;00A33D10&quot;/&gt;&lt;wsp:rsid wsp:val=&quot;00A401F7&quot;/&gt;&lt;wsp:rsid wsp:val=&quot;00A405CC&quot;/&gt;&lt;wsp:rsid wsp:val=&quot;00A52CCC&quot;/&gt;&lt;wsp:rsid wsp:val=&quot;00A530D7&quot;/&gt;&lt;wsp:rsid wsp:val=&quot;00A545DC&quot;/&gt;&lt;wsp:rsid wsp:val=&quot;00A54988&quot;/&gt;&lt;wsp:rsid wsp:val=&quot;00A62510&quot;/&gt;&lt;wsp:rsid wsp:val=&quot;00A6560B&quot;/&gt;&lt;wsp:rsid wsp:val=&quot;00A70E05&quot;/&gt;&lt;wsp:rsid wsp:val=&quot;00A73E4B&quot;/&gt;&lt;wsp:rsid wsp:val=&quot;00A7668E&quot;/&gt;&lt;wsp:rsid wsp:val=&quot;00A84451&quot;/&gt;&lt;wsp:rsid wsp:val=&quot;00A86190&quot;/&gt;&lt;wsp:rsid wsp:val=&quot;00A87AE2&quot;/&gt;&lt;wsp:rsid wsp:val=&quot;00A90450&quot;/&gt;&lt;wsp:rsid wsp:val=&quot;00A9067D&quot;/&gt;&lt;wsp:rsid wsp:val=&quot;00A92B46&quot;/&gt;&lt;wsp:rsid wsp:val=&quot;00A94987&quot;/&gt;&lt;wsp:rsid wsp:val=&quot;00A97F14&quot;/&gt;&lt;wsp:rsid wsp:val=&quot;00AA0F75&quot;/&gt;&lt;wsp:rsid wsp:val=&quot;00AB3377&quot;/&gt;&lt;wsp:rsid wsp:val=&quot;00AB426C&quot;/&gt;&lt;wsp:rsid wsp:val=&quot;00AB458A&quot;/&gt;&lt;wsp:rsid wsp:val=&quot;00AB4603&quot;/&gt;&lt;wsp:rsid wsp:val=&quot;00AB737D&quot;/&gt;&lt;wsp:rsid wsp:val=&quot;00AC2144&quot;/&gt;&lt;wsp:rsid wsp:val=&quot;00AC309C&quot;/&gt;&lt;wsp:rsid wsp:val=&quot;00AC340F&quot;/&gt;&lt;wsp:rsid wsp:val=&quot;00AD0399&quot;/&gt;&lt;wsp:rsid wsp:val=&quot;00AD1FDD&quot;/&gt;&lt;wsp:rsid wsp:val=&quot;00AD52A6&quot;/&gt;&lt;wsp:rsid wsp:val=&quot;00AE3033&quot;/&gt;&lt;wsp:rsid wsp:val=&quot;00AE4FEC&quot;/&gt;&lt;wsp:rsid wsp:val=&quot;00AF02FA&quot;/&gt;&lt;wsp:rsid wsp:val=&quot;00AF278F&quot;/&gt;&lt;wsp:rsid wsp:val=&quot;00AF3D99&quot;/&gt;&lt;wsp:rsid wsp:val=&quot;00AF5CE3&quot;/&gt;&lt;wsp:rsid wsp:val=&quot;00AF6359&quot;/&gt;&lt;wsp:rsid wsp:val=&quot;00B03511&quot;/&gt;&lt;wsp:rsid wsp:val=&quot;00B05781&quot;/&gt;&lt;wsp:rsid wsp:val=&quot;00B073A5&quot;/&gt;&lt;wsp:rsid wsp:val=&quot;00B07901&quot;/&gt;&lt;wsp:rsid wsp:val=&quot;00B104D6&quot;/&gt;&lt;wsp:rsid wsp:val=&quot;00B14999&quot;/&gt;&lt;wsp:rsid wsp:val=&quot;00B20405&quot;/&gt;&lt;wsp:rsid wsp:val=&quot;00B22231&quot;/&gt;&lt;wsp:rsid wsp:val=&quot;00B25325&quot;/&gt;&lt;wsp:rsid wsp:val=&quot;00B34634&quot;/&gt;&lt;wsp:rsid wsp:val=&quot;00B35C24&quot;/&gt;&lt;wsp:rsid wsp:val=&quot;00B36956&quot;/&gt;&lt;wsp:rsid wsp:val=&quot;00B37D25&quot;/&gt;&lt;wsp:rsid wsp:val=&quot;00B4207B&quot;/&gt;&lt;wsp:rsid wsp:val=&quot;00B62F82&quot;/&gt;&lt;wsp:rsid wsp:val=&quot;00B672AC&quot;/&gt;&lt;wsp:rsid wsp:val=&quot;00B70DB5&quot;/&gt;&lt;wsp:rsid wsp:val=&quot;00B71C00&quot;/&gt;&lt;wsp:rsid wsp:val=&quot;00B76A00&quot;/&gt;&lt;wsp:rsid wsp:val=&quot;00B803C8&quot;/&gt;&lt;wsp:rsid wsp:val=&quot;00B86145&quot;/&gt;&lt;wsp:rsid wsp:val=&quot;00B91758&quot;/&gt;&lt;wsp:rsid wsp:val=&quot;00B92F8D&quot;/&gt;&lt;wsp:rsid wsp:val=&quot;00B97181&quot;/&gt;&lt;wsp:rsid wsp:val=&quot;00BA0DC2&quot;/&gt;&lt;wsp:rsid wsp:val=&quot;00BA6D1B&quot;/&gt;&lt;wsp:rsid wsp:val=&quot;00BB0931&quot;/&gt;&lt;wsp:rsid wsp:val=&quot;00BB12B4&quot;/&gt;&lt;wsp:rsid wsp:val=&quot;00BB14DE&quot;/&gt;&lt;wsp:rsid wsp:val=&quot;00BD7BE5&quot;/&gt;&lt;wsp:rsid wsp:val=&quot;00BD7CE6&quot;/&gt;&lt;wsp:rsid wsp:val=&quot;00BE12D2&quot;/&gt;&lt;wsp:rsid wsp:val=&quot;00BE1F92&quot;/&gt;&lt;wsp:rsid wsp:val=&quot;00BE472F&quot;/&gt;&lt;wsp:rsid wsp:val=&quot;00BE57FA&quot;/&gt;&lt;wsp:rsid wsp:val=&quot;00C0162D&quot;/&gt;&lt;wsp:rsid wsp:val=&quot;00C02B74&quot;/&gt;&lt;wsp:rsid wsp:val=&quot;00C035B0&quot;/&gt;&lt;wsp:rsid wsp:val=&quot;00C114DB&quot;/&gt;&lt;wsp:rsid wsp:val=&quot;00C14F8B&quot;/&gt;&lt;wsp:rsid wsp:val=&quot;00C206FD&quot;/&gt;&lt;wsp:rsid wsp:val=&quot;00C21C2B&quot;/&gt;&lt;wsp:rsid wsp:val=&quot;00C30695&quot;/&gt;&lt;wsp:rsid wsp:val=&quot;00C3557C&quot;/&gt;&lt;wsp:rsid wsp:val=&quot;00C36A2A&quot;/&gt;&lt;wsp:rsid wsp:val=&quot;00C4055C&quot;/&gt;&lt;wsp:rsid wsp:val=&quot;00C41ED9&quot;/&gt;&lt;wsp:rsid wsp:val=&quot;00C43A24&quot;/&gt;&lt;wsp:rsid wsp:val=&quot;00C45F2F&quot;/&gt;&lt;wsp:rsid wsp:val=&quot;00C560FD&quot;/&gt;&lt;wsp:rsid wsp:val=&quot;00C56AE3&quot;/&gt;&lt;wsp:rsid wsp:val=&quot;00C56ED3&quot;/&gt;&lt;wsp:rsid wsp:val=&quot;00C5763D&quot;/&gt;&lt;wsp:rsid wsp:val=&quot;00C600BF&quot;/&gt;&lt;wsp:rsid wsp:val=&quot;00C63D6E&quot;/&gt;&lt;wsp:rsid wsp:val=&quot;00C64C6C&quot;/&gt;&lt;wsp:rsid wsp:val=&quot;00C64E21&quot;/&gt;&lt;wsp:rsid wsp:val=&quot;00C70B47&quot;/&gt;&lt;wsp:rsid wsp:val=&quot;00C70D2E&quot;/&gt;&lt;wsp:rsid wsp:val=&quot;00C72A1D&quot;/&gt;&lt;wsp:rsid wsp:val=&quot;00C74A85&quot;/&gt;&lt;wsp:rsid wsp:val=&quot;00C76A2E&quot;/&gt;&lt;wsp:rsid wsp:val=&quot;00C82869&quot;/&gt;&lt;wsp:rsid wsp:val=&quot;00C92B00&quot;/&gt;&lt;wsp:rsid wsp:val=&quot;00C94B35&quot;/&gt;&lt;wsp:rsid wsp:val=&quot;00C96404&quot;/&gt;&lt;wsp:rsid wsp:val=&quot;00CA2C53&quot;/&gt;&lt;wsp:rsid wsp:val=&quot;00CB3BEC&quot;/&gt;&lt;wsp:rsid wsp:val=&quot;00CB4421&quot;/&gt;&lt;wsp:rsid wsp:val=&quot;00CB44C7&quot;/&gt;&lt;wsp:rsid wsp:val=&quot;00CC297D&quot;/&gt;&lt;wsp:rsid wsp:val=&quot;00CC2FE0&quot;/&gt;&lt;wsp:rsid wsp:val=&quot;00CC513F&quot;/&gt;&lt;wsp:rsid wsp:val=&quot;00CC5927&quot;/&gt;&lt;wsp:rsid wsp:val=&quot;00CC7092&quot;/&gt;&lt;wsp:rsid wsp:val=&quot;00CD5554&quot;/&gt;&lt;wsp:rsid wsp:val=&quot;00CD64D7&quot;/&gt;&lt;wsp:rsid wsp:val=&quot;00CE0157&quot;/&gt;&lt;wsp:rsid wsp:val=&quot;00CE11BB&quot;/&gt;&lt;wsp:rsid wsp:val=&quot;00CE1D45&quot;/&gt;&lt;wsp:rsid wsp:val=&quot;00CE20D1&quot;/&gt;&lt;wsp:rsid wsp:val=&quot;00CE5BB1&quot;/&gt;&lt;wsp:rsid wsp:val=&quot;00CE6FEB&quot;/&gt;&lt;wsp:rsid wsp:val=&quot;00CF21E5&quot;/&gt;&lt;wsp:rsid wsp:val=&quot;00CF2CA2&quot;/&gt;&lt;wsp:rsid wsp:val=&quot;00CF3039&quot;/&gt;&lt;wsp:rsid wsp:val=&quot;00CF46EC&quot;/&gt;&lt;wsp:rsid wsp:val=&quot;00CF7D5B&quot;/&gt;&lt;wsp:rsid wsp:val=&quot;00D000C7&quot;/&gt;&lt;wsp:rsid wsp:val=&quot;00D00372&quot;/&gt;&lt;wsp:rsid wsp:val=&quot;00D00C53&quot;/&gt;&lt;wsp:rsid wsp:val=&quot;00D031E5&quot;/&gt;&lt;wsp:rsid wsp:val=&quot;00D0492C&quot;/&gt;&lt;wsp:rsid wsp:val=&quot;00D14ADD&quot;/&gt;&lt;wsp:rsid wsp:val=&quot;00D162F3&quot;/&gt;&lt;wsp:rsid wsp:val=&quot;00D245C1&quot;/&gt;&lt;wsp:rsid wsp:val=&quot;00D26497&quot;/&gt;&lt;wsp:rsid wsp:val=&quot;00D420FF&quot;/&gt;&lt;wsp:rsid wsp:val=&quot;00D42957&quot;/&gt;&lt;wsp:rsid wsp:val=&quot;00D4471B&quot;/&gt;&lt;wsp:rsid wsp:val=&quot;00D5356B&quot;/&gt;&lt;wsp:rsid wsp:val=&quot;00D67EE5&quot;/&gt;&lt;wsp:rsid wsp:val=&quot;00D7346E&quot;/&gt;&lt;wsp:rsid wsp:val=&quot;00D73E21&quot;/&gt;&lt;wsp:rsid wsp:val=&quot;00D75D78&quot;/&gt;&lt;wsp:rsid wsp:val=&quot;00D769BB&quot;/&gt;&lt;wsp:rsid wsp:val=&quot;00D80F5B&quot;/&gt;&lt;wsp:rsid wsp:val=&quot;00D82100&quot;/&gt;&lt;wsp:rsid wsp:val=&quot;00D82D0B&quot;/&gt;&lt;wsp:rsid wsp:val=&quot;00D82FA1&quot;/&gt;&lt;wsp:rsid wsp:val=&quot;00D85447&quot;/&gt;&lt;wsp:rsid wsp:val=&quot;00D86579&quot;/&gt;&lt;wsp:rsid wsp:val=&quot;00D8754B&quot;/&gt;&lt;wsp:rsid wsp:val=&quot;00D9220E&quot;/&gt;&lt;wsp:rsid wsp:val=&quot;00D929C3&quot;/&gt;&lt;wsp:rsid wsp:val=&quot;00DA2271&quot;/&gt;&lt;wsp:rsid wsp:val=&quot;00DA461B&quot;/&gt;&lt;wsp:rsid wsp:val=&quot;00DA5736&quot;/&gt;&lt;wsp:rsid wsp:val=&quot;00DA6107&quot;/&gt;&lt;wsp:rsid wsp:val=&quot;00DA6C1F&quot;/&gt;&lt;wsp:rsid wsp:val=&quot;00DA7414&quot;/&gt;&lt;wsp:rsid wsp:val=&quot;00DB01CB&quot;/&gt;&lt;wsp:rsid wsp:val=&quot;00DB04CC&quot;/&gt;&lt;wsp:rsid wsp:val=&quot;00DB1304&quot;/&gt;&lt;wsp:rsid wsp:val=&quot;00DB1E80&quot;/&gt;&lt;wsp:rsid wsp:val=&quot;00DB2C42&quot;/&gt;&lt;wsp:rsid wsp:val=&quot;00DB4627&quot;/&gt;&lt;wsp:rsid wsp:val=&quot;00DB4AD5&quot;/&gt;&lt;wsp:rsid wsp:val=&quot;00DB4F72&quot;/&gt;&lt;wsp:rsid wsp:val=&quot;00DB7DBE&quot;/&gt;&lt;wsp:rsid wsp:val=&quot;00DC3366&quot;/&gt;&lt;wsp:rsid wsp:val=&quot;00DC348D&quot;/&gt;&lt;wsp:rsid wsp:val=&quot;00DC4925&quot;/&gt;&lt;wsp:rsid wsp:val=&quot;00DC532B&quot;/&gt;&lt;wsp:rsid wsp:val=&quot;00DD1289&quot;/&gt;&lt;wsp:rsid wsp:val=&quot;00DE7E16&quot;/&gt;&lt;wsp:rsid wsp:val=&quot;00DF0576&quot;/&gt;&lt;wsp:rsid wsp:val=&quot;00DF0C56&quot;/&gt;&lt;wsp:rsid wsp:val=&quot;00DF4A71&quot;/&gt;&lt;wsp:rsid wsp:val=&quot;00E04007&quot;/&gt;&lt;wsp:rsid wsp:val=&quot;00E04FE2&quot;/&gt;&lt;wsp:rsid wsp:val=&quot;00E060D8&quot;/&gt;&lt;wsp:rsid wsp:val=&quot;00E07A7D&quot;/&gt;&lt;wsp:rsid wsp:val=&quot;00E120F5&quot;/&gt;&lt;wsp:rsid wsp:val=&quot;00E150CA&quot;/&gt;&lt;wsp:rsid wsp:val=&quot;00E210E0&quot;/&gt;&lt;wsp:rsid wsp:val=&quot;00E27D77&quot;/&gt;&lt;wsp:rsid wsp:val=&quot;00E354E4&quot;/&gt;&lt;wsp:rsid wsp:val=&quot;00E4124E&quot;/&gt;&lt;wsp:rsid wsp:val=&quot;00E4128D&quot;/&gt;&lt;wsp:rsid wsp:val=&quot;00E413C6&quot;/&gt;&lt;wsp:rsid wsp:val=&quot;00E41C29&quot;/&gt;&lt;wsp:rsid wsp:val=&quot;00E42CB8&quot;/&gt;&lt;wsp:rsid wsp:val=&quot;00E435AB&quot;/&gt;&lt;wsp:rsid wsp:val=&quot;00E466B5&quot;/&gt;&lt;wsp:rsid wsp:val=&quot;00E51130&quot;/&gt;&lt;wsp:rsid wsp:val=&quot;00E54C49&quot;/&gt;&lt;wsp:rsid wsp:val=&quot;00E55FD2&quot;/&gt;&lt;wsp:rsid wsp:val=&quot;00E56980&quot;/&gt;&lt;wsp:rsid wsp:val=&quot;00E62B97&quot;/&gt;&lt;wsp:rsid wsp:val=&quot;00E664CD&quot;/&gt;&lt;wsp:rsid wsp:val=&quot;00E7050F&quot;/&gt;&lt;wsp:rsid wsp:val=&quot;00E75F49&quot;/&gt;&lt;wsp:rsid wsp:val=&quot;00E8091A&quot;/&gt;&lt;wsp:rsid wsp:val=&quot;00E81C77&quot;/&gt;&lt;wsp:rsid wsp:val=&quot;00E81E5B&quot;/&gt;&lt;wsp:rsid wsp:val=&quot;00E82EE1&quot;/&gt;&lt;wsp:rsid wsp:val=&quot;00E83D58&quot;/&gt;&lt;wsp:rsid wsp:val=&quot;00E87641&quot;/&gt;&lt;wsp:rsid wsp:val=&quot;00E87D61&quot;/&gt;&lt;wsp:rsid wsp:val=&quot;00E90FF7&quot;/&gt;&lt;wsp:rsid wsp:val=&quot;00E9151D&quot;/&gt;&lt;wsp:rsid wsp:val=&quot;00E92672&quot;/&gt;&lt;wsp:rsid wsp:val=&quot;00E927AD&quot;/&gt;&lt;wsp:rsid wsp:val=&quot;00EA5042&quot;/&gt;&lt;wsp:rsid wsp:val=&quot;00EB3ED2&quot;/&gt;&lt;wsp:rsid wsp:val=&quot;00EB5430&quot;/&gt;&lt;wsp:rsid wsp:val=&quot;00EB6667&quot;/&gt;&lt;wsp:rsid wsp:val=&quot;00EB6CF0&quot;/&gt;&lt;wsp:rsid wsp:val=&quot;00EC06E9&quot;/&gt;&lt;wsp:rsid wsp:val=&quot;00EC0B01&quot;/&gt;&lt;wsp:rsid wsp:val=&quot;00EC4E9A&quot;/&gt;&lt;wsp:rsid wsp:val=&quot;00EC5D17&quot;/&gt;&lt;wsp:rsid wsp:val=&quot;00EC7C91&quot;/&gt;&lt;wsp:rsid wsp:val=&quot;00ED1A4B&quot;/&gt;&lt;wsp:rsid wsp:val=&quot;00ED4B81&quot;/&gt;&lt;wsp:rsid wsp:val=&quot;00EE14C6&quot;/&gt;&lt;wsp:rsid wsp:val=&quot;00EE1BA1&quot;/&gt;&lt;wsp:rsid wsp:val=&quot;00EE3D3B&quot;/&gt;&lt;wsp:rsid wsp:val=&quot;00EE59B5&quot;/&gt;&lt;wsp:rsid wsp:val=&quot;00EE64AE&quot;/&gt;&lt;wsp:rsid wsp:val=&quot;00EE74A0&quot;/&gt;&lt;wsp:rsid wsp:val=&quot;00EE7C84&quot;/&gt;&lt;wsp:rsid wsp:val=&quot;00EF1939&quot;/&gt;&lt;wsp:rsid wsp:val=&quot;00EF7B47&quot;/&gt;&lt;wsp:rsid wsp:val=&quot;00EF7E28&quot;/&gt;&lt;wsp:rsid wsp:val=&quot;00F03B4D&quot;/&gt;&lt;wsp:rsid wsp:val=&quot;00F06848&quot;/&gt;&lt;wsp:rsid wsp:val=&quot;00F15BD0&quot;/&gt;&lt;wsp:rsid wsp:val=&quot;00F247AA&quot;/&gt;&lt;wsp:rsid wsp:val=&quot;00F25183&quot;/&gt;&lt;wsp:rsid wsp:val=&quot;00F359C0&quot;/&gt;&lt;wsp:rsid wsp:val=&quot;00F3722A&quot;/&gt;&lt;wsp:rsid wsp:val=&quot;00F40487&quot;/&gt;&lt;wsp:rsid wsp:val=&quot;00F40E37&quot;/&gt;&lt;wsp:rsid wsp:val=&quot;00F41004&quot;/&gt;&lt;wsp:rsid wsp:val=&quot;00F4593C&quot;/&gt;&lt;wsp:rsid wsp:val=&quot;00F62A24&quot;/&gt;&lt;wsp:rsid wsp:val=&quot;00F65784&quot;/&gt;&lt;wsp:rsid wsp:val=&quot;00F66536&quot;/&gt;&lt;wsp:rsid wsp:val=&quot;00F6654E&quot;/&gt;&lt;wsp:rsid wsp:val=&quot;00F66D1F&quot;/&gt;&lt;wsp:rsid wsp:val=&quot;00F701AF&quot;/&gt;&lt;wsp:rsid wsp:val=&quot;00F77BE1&quot;/&gt;&lt;wsp:rsid wsp:val=&quot;00FA42B1&quot;/&gt;&lt;wsp:rsid wsp:val=&quot;00FA5EE2&quot;/&gt;&lt;wsp:rsid wsp:val=&quot;00FB5B67&quot;/&gt;&lt;wsp:rsid wsp:val=&quot;00FC1B67&quot;/&gt;&lt;wsp:rsid wsp:val=&quot;00FC34A3&quot;/&gt;&lt;wsp:rsid wsp:val=&quot;00FC5041&quot;/&gt;&lt;wsp:rsid wsp:val=&quot;00FD132F&quot;/&gt;&lt;wsp:rsid wsp:val=&quot;00FD2274&quot;/&gt;&lt;wsp:rsid wsp:val=&quot;00FD2C4B&quot;/&gt;&lt;wsp:rsid wsp:val=&quot;00FD4397&quot;/&gt;&lt;wsp:rsid wsp:val=&quot;00FD4FB0&quot;/&gt;&lt;wsp:rsid wsp:val=&quot;00FE074C&quot;/&gt;&lt;wsp:rsid wsp:val=&quot;00FF0671&quot;/&gt;&lt;wsp:rsid wsp:val=&quot;00FF0EBC&quot;/&gt;&lt;wsp:rsid wsp:val=&quot;00FF329B&quot;/&gt;&lt;wsp:rsid wsp:val=&quot;00FF5953&quot;/&gt;&lt;wsp:rsid wsp:val=&quot;00FF6978&quot;/&gt;&lt;/wsp:rsids&gt;&lt;/w:docPr&gt;&lt;w:body&gt;&lt;w:p wsp:rsidR=&quot;00000000&quot; wsp:rsidRDefault=&quot;007E5088&quot;&gt;&lt;m:oMathPara&gt;&lt;m:oMath&gt;&lt;m:r&gt;&lt;w:rPr&gt;&lt;w:rFonts w:ascii=&quot;Cambria Math&quot; w:h-ansi=&quot;Cambria Math&quot;/&gt;&lt;wx:font wx:val=&quot;Cambria Math&quot;/&gt;&lt;w:i/&gt;&lt;w:sz w:val=&quot;36&quot;/&gt;&lt;w:sz-cs w:val=&quot;36&quot;/&gt;&lt;w:lang w:val=&quot;UK&quot;/&gt;&lt;/w:rPr&gt;&lt;m:t&gt;D= &lt;/m:t&gt;&lt;/m:r&gt;&lt;m:f&gt;&lt;m:fPr&gt;&lt;m:ctrlPr&gt;&lt;w:rPr&gt;&lt;w:rFonts w:ascii=&quot;Cambria Math&quot; w:h-ansi=&quot;Cambria Math&quot;/&gt;&lt;wx:font wx:val=&quot;Cambria Math&quot;/&gt;&lt;w:i/&gt;&lt;w:sz w:val=&quot;36&quot;/&gt;&lt;w:sz-cs w:val=&quot;36&quot;/&gt;&lt;w:lang w:val=&quot;UK&quot;/&gt;&lt;/w:rPr&gt;&lt;/m:ctrlPr&gt;&lt;/m:fPr&gt;&lt;m:num&gt;&lt;m:r&gt;&lt;w:rPr&gt;&lt;w:rFonts w:ascii=&quot;Cambria Math&quot; w:h-ansi=&quot;Cambria Math&quot;/&gt;&lt;wx:font wx:val=&quot;Cambria Math&quot;/&gt;&lt;w:i/&gt;&lt;w:sz w:val=&quot;36&quot;/&gt;&lt;w:sz-cs w:val=&quot;36&quot;/&gt;&lt;w:lang w:val=&quot;UK&quot;/&gt;&lt;/w:rPr&gt;&lt;m:t&gt;V&lt;/m:t&gt;&lt;/m:r&gt;&lt;/m:num&gt;&lt;m:den&gt;&lt;m:r&gt;&lt;w:rPr&gt;&lt;w:rFonts w:ascii=&quot;Cambria Math&quot; w:h-ansi=&quot;Cambria Math&quot;/&gt;&lt;wx:font wx:val=&quot;Cambria Math&quot;/&gt;&lt;w:i/&gt;&lt;w:sz w:val=&quot;36&quot;/&gt;&lt;w:sz-cs w:val=&quot;36&quot;/&gt;&lt;w:lang w:val=&quot;UK&quot;/&gt;&lt;/w:rPr&gt;&lt;m:t&gt;m&lt;/m:t&gt;&lt;/m:r&gt;&lt;/m:den&gt;&lt;/m:f&gt;&lt;m:r&gt;&lt;w:rPr&gt;&lt;w:rFonts w:ascii=&quot;Cambria Math&quot; w:h-ansi=&quot;Cambria Math&quot;/&gt;&lt;wx:font wx:val=&quot;Cambria Math&quot;/&gt;&lt;w:i/&gt;&lt;w:sz w:val=&quot;36&quot;/&gt;&lt;w:sz-cs w:val=&quot;36&quot;/&gt;&lt;w:lang w:val=&quot;UK&quot;/&gt;&lt;/w:rPr&gt;&lt;m:t&gt; v?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8A6B7D">
        <w:rPr>
          <w:sz w:val="28"/>
          <w:szCs w:val="28"/>
          <w:lang w:val="uk-UA"/>
        </w:rPr>
        <w:tab/>
      </w:r>
      <w:r w:rsidRPr="008A6B7D">
        <w:rPr>
          <w:sz w:val="28"/>
          <w:szCs w:val="28"/>
          <w:lang w:val="uk-UA"/>
        </w:rPr>
        <w:tab/>
        <w:t xml:space="preserve"> </w:t>
      </w:r>
      <w:r w:rsidRPr="008A6B7D">
        <w:rPr>
          <w:sz w:val="28"/>
          <w:szCs w:val="28"/>
          <w:lang w:val="uk-UA"/>
        </w:rPr>
        <w:tab/>
        <w:t>(формула 2.2)</w:t>
      </w:r>
    </w:p>
    <w:p w14:paraId="06C8352A" w14:textId="77777777" w:rsidR="00390008" w:rsidRPr="008A6B7D" w:rsidRDefault="00F05F4E" w:rsidP="00390008">
      <w:pPr>
        <w:pStyle w:val="a0"/>
        <w:spacing w:line="360" w:lineRule="auto"/>
        <w:jc w:val="both"/>
        <w:rPr>
          <w:sz w:val="28"/>
          <w:szCs w:val="28"/>
          <w:lang w:val="uk-UA"/>
        </w:rPr>
      </w:pPr>
      <w:r w:rsidRPr="008A6B7D">
        <w:rPr>
          <w:sz w:val="28"/>
          <w:szCs w:val="28"/>
          <w:lang w:val="uk-UA"/>
        </w:rPr>
        <w:t>де:</w:t>
      </w:r>
      <w:r w:rsidR="00390008" w:rsidRPr="008A6B7D">
        <w:rPr>
          <w:sz w:val="28"/>
          <w:szCs w:val="28"/>
          <w:lang w:val="uk-UA"/>
        </w:rPr>
        <w:t xml:space="preserve"> </w:t>
      </w:r>
    </w:p>
    <w:p w14:paraId="19F114ED" w14:textId="55E9D61F" w:rsidR="00F05F4E" w:rsidRPr="008A6B7D" w:rsidRDefault="00F05F4E" w:rsidP="00390008">
      <w:pPr>
        <w:pStyle w:val="a0"/>
        <w:spacing w:line="360" w:lineRule="auto"/>
        <w:jc w:val="both"/>
        <w:rPr>
          <w:sz w:val="28"/>
          <w:szCs w:val="28"/>
          <w:lang w:val="uk-UA"/>
        </w:rPr>
      </w:pPr>
      <w:r w:rsidRPr="008A6B7D">
        <w:rPr>
          <w:sz w:val="28"/>
          <w:szCs w:val="28"/>
          <w:lang w:val="uk-UA"/>
        </w:rPr>
        <w:t xml:space="preserve">D – доза </w:t>
      </w:r>
      <w:r w:rsidR="00390008" w:rsidRPr="008A6B7D">
        <w:rPr>
          <w:sz w:val="28"/>
          <w:szCs w:val="28"/>
          <w:lang w:val="uk-UA"/>
        </w:rPr>
        <w:t>коразолу</w:t>
      </w:r>
      <w:r w:rsidRPr="008A6B7D">
        <w:rPr>
          <w:sz w:val="28"/>
          <w:szCs w:val="28"/>
          <w:lang w:val="uk-UA"/>
        </w:rPr>
        <w:t xml:space="preserve">, яка викликає клоніко-тонічні судоми (тонічну екстензію); </w:t>
      </w:r>
    </w:p>
    <w:p w14:paraId="50BC804B" w14:textId="180D6BB6" w:rsidR="00F05F4E" w:rsidRPr="008A6B7D" w:rsidRDefault="00F05F4E" w:rsidP="00F05F4E">
      <w:pPr>
        <w:pStyle w:val="a0"/>
        <w:spacing w:line="360" w:lineRule="auto"/>
        <w:jc w:val="both"/>
        <w:rPr>
          <w:sz w:val="28"/>
          <w:szCs w:val="28"/>
          <w:lang w:val="uk-UA"/>
        </w:rPr>
      </w:pPr>
      <w:r w:rsidRPr="008A6B7D">
        <w:rPr>
          <w:sz w:val="28"/>
          <w:szCs w:val="28"/>
          <w:lang w:val="uk-UA"/>
        </w:rPr>
        <w:t xml:space="preserve">V – об’єм розчину </w:t>
      </w:r>
      <w:r w:rsidR="00390008" w:rsidRPr="008A6B7D">
        <w:rPr>
          <w:sz w:val="28"/>
          <w:szCs w:val="28"/>
          <w:lang w:val="uk-UA"/>
        </w:rPr>
        <w:t>коразолу</w:t>
      </w:r>
      <w:r w:rsidRPr="008A6B7D">
        <w:rPr>
          <w:sz w:val="28"/>
          <w:szCs w:val="28"/>
          <w:lang w:val="uk-UA"/>
        </w:rPr>
        <w:t>, см</w:t>
      </w:r>
      <w:r w:rsidRPr="008A6B7D">
        <w:rPr>
          <w:sz w:val="28"/>
          <w:szCs w:val="28"/>
          <w:vertAlign w:val="superscript"/>
          <w:lang w:val="uk-UA"/>
        </w:rPr>
        <w:t>3</w:t>
      </w:r>
      <w:r w:rsidRPr="008A6B7D">
        <w:rPr>
          <w:sz w:val="28"/>
          <w:szCs w:val="28"/>
          <w:lang w:val="uk-UA"/>
        </w:rPr>
        <w:t xml:space="preserve">; </w:t>
      </w:r>
    </w:p>
    <w:p w14:paraId="38573A3F" w14:textId="7B1B5416" w:rsidR="00F05F4E" w:rsidRDefault="00F05F4E" w:rsidP="00F05F4E">
      <w:pPr>
        <w:pStyle w:val="a0"/>
        <w:spacing w:line="360" w:lineRule="auto"/>
        <w:jc w:val="both"/>
        <w:rPr>
          <w:sz w:val="28"/>
          <w:szCs w:val="28"/>
          <w:lang w:val="uk-UA"/>
        </w:rPr>
      </w:pPr>
      <w:r w:rsidRPr="008A6B7D">
        <w:rPr>
          <w:sz w:val="28"/>
          <w:szCs w:val="28"/>
          <w:lang w:val="uk-UA"/>
        </w:rPr>
        <w:t>m – маса тварини, г.</w:t>
      </w:r>
    </w:p>
    <w:p w14:paraId="6275BE5C" w14:textId="77777777" w:rsidR="00DE015D" w:rsidRPr="008A6B7D" w:rsidRDefault="00DE015D" w:rsidP="00F05F4E">
      <w:pPr>
        <w:pStyle w:val="a0"/>
        <w:spacing w:line="360" w:lineRule="auto"/>
        <w:jc w:val="both"/>
        <w:rPr>
          <w:sz w:val="28"/>
          <w:szCs w:val="28"/>
          <w:lang w:val="uk-UA"/>
        </w:rPr>
      </w:pPr>
    </w:p>
    <w:p w14:paraId="056256F6" w14:textId="08E36487" w:rsidR="00F05F4E" w:rsidRPr="008A6B7D" w:rsidRDefault="00F05F4E" w:rsidP="00F05F4E">
      <w:pPr>
        <w:spacing w:line="360" w:lineRule="auto"/>
        <w:ind w:firstLine="630"/>
        <w:rPr>
          <w:b/>
          <w:color w:val="000000" w:themeColor="text1"/>
          <w:sz w:val="28"/>
          <w:szCs w:val="28"/>
          <w:lang w:val="uk-UA"/>
        </w:rPr>
      </w:pPr>
      <w:r w:rsidRPr="008A6B7D">
        <w:rPr>
          <w:b/>
          <w:color w:val="000000" w:themeColor="text1"/>
          <w:sz w:val="28"/>
          <w:szCs w:val="28"/>
          <w:lang w:val="uk-UA"/>
        </w:rPr>
        <w:t>2.</w:t>
      </w:r>
      <w:r w:rsidR="00C57D1F" w:rsidRPr="008A6B7D">
        <w:rPr>
          <w:b/>
          <w:color w:val="000000" w:themeColor="text1"/>
          <w:sz w:val="28"/>
          <w:szCs w:val="28"/>
          <w:lang w:val="uk-UA"/>
        </w:rPr>
        <w:t>3</w:t>
      </w:r>
      <w:r w:rsidRPr="008A6B7D">
        <w:rPr>
          <w:b/>
          <w:color w:val="000000" w:themeColor="text1"/>
          <w:sz w:val="28"/>
          <w:szCs w:val="28"/>
          <w:lang w:val="uk-UA"/>
        </w:rPr>
        <w:t>.</w:t>
      </w:r>
      <w:r w:rsidR="00C57D1F" w:rsidRPr="008A6B7D">
        <w:rPr>
          <w:b/>
          <w:color w:val="000000" w:themeColor="text1"/>
          <w:sz w:val="28"/>
          <w:szCs w:val="28"/>
          <w:lang w:val="uk-UA"/>
        </w:rPr>
        <w:t>9</w:t>
      </w:r>
      <w:r w:rsidRPr="008A6B7D">
        <w:rPr>
          <w:b/>
          <w:color w:val="000000" w:themeColor="text1"/>
          <w:sz w:val="28"/>
          <w:szCs w:val="28"/>
          <w:lang w:val="uk-UA"/>
        </w:rPr>
        <w:t xml:space="preserve"> Статистична обробка отриманих результатів</w:t>
      </w:r>
    </w:p>
    <w:p w14:paraId="28AEC734" w14:textId="4823DFAF" w:rsidR="00F05F4E" w:rsidRPr="008A6B7D" w:rsidRDefault="00F05F4E" w:rsidP="00F05F4E">
      <w:pPr>
        <w:pStyle w:val="a6"/>
        <w:spacing w:line="360" w:lineRule="auto"/>
        <w:ind w:firstLine="630"/>
        <w:jc w:val="both"/>
        <w:rPr>
          <w:rFonts w:eastAsia="Times New Roman"/>
          <w:sz w:val="28"/>
          <w:szCs w:val="28"/>
        </w:rPr>
      </w:pPr>
      <w:r w:rsidRPr="008A6B7D">
        <w:rPr>
          <w:sz w:val="28"/>
          <w:szCs w:val="28"/>
          <w:lang w:val="uk-UA"/>
        </w:rPr>
        <w:t>Дані, отримані в результаті експериментального дослідження статистично</w:t>
      </w:r>
      <w:r w:rsidRPr="008A6B7D">
        <w:rPr>
          <w:sz w:val="28"/>
          <w:szCs w:val="28"/>
        </w:rPr>
        <w:t xml:space="preserve"> </w:t>
      </w:r>
      <w:r w:rsidRPr="008A6B7D">
        <w:rPr>
          <w:sz w:val="28"/>
          <w:szCs w:val="28"/>
          <w:lang w:val="uk-UA"/>
        </w:rPr>
        <w:t>обробляли загальноприйнятими методами із використанням середньоарифметичного значення (М) і похибки середньоквадратичного</w:t>
      </w:r>
      <w:r w:rsidRPr="008A6B7D">
        <w:rPr>
          <w:i/>
          <w:sz w:val="28"/>
          <w:szCs w:val="28"/>
          <w:lang w:val="uk-UA"/>
        </w:rPr>
        <w:t xml:space="preserve"> </w:t>
      </w:r>
      <w:r w:rsidRPr="008A6B7D">
        <w:rPr>
          <w:sz w:val="28"/>
          <w:szCs w:val="28"/>
          <w:lang w:val="uk-UA"/>
        </w:rPr>
        <w:t>відхилення (</w:t>
      </w:r>
      <w:r w:rsidRPr="008A6B7D">
        <w:rPr>
          <w:sz w:val="28"/>
          <w:szCs w:val="28"/>
          <w:lang w:val="en-US"/>
        </w:rPr>
        <w:t>m</w:t>
      </w:r>
      <w:r w:rsidRPr="008A6B7D">
        <w:rPr>
          <w:sz w:val="28"/>
          <w:szCs w:val="28"/>
          <w:lang w:val="uk-UA"/>
        </w:rPr>
        <w:t>)</w:t>
      </w:r>
      <w:r w:rsidRPr="008A6B7D">
        <w:rPr>
          <w:sz w:val="28"/>
          <w:szCs w:val="28"/>
        </w:rPr>
        <w:t>. Для дос</w:t>
      </w:r>
      <w:r w:rsidRPr="008A6B7D">
        <w:rPr>
          <w:sz w:val="28"/>
          <w:szCs w:val="28"/>
          <w:lang w:val="uk-UA"/>
        </w:rPr>
        <w:t xml:space="preserve">лідження між двома середньоарифметичними </w:t>
      </w:r>
      <w:r w:rsidRPr="008A6B7D">
        <w:rPr>
          <w:sz w:val="28"/>
          <w:szCs w:val="28"/>
          <w:lang w:val="uk-UA"/>
        </w:rPr>
        <w:lastRenderedPageBreak/>
        <w:t xml:space="preserve">значеннями було використано </w:t>
      </w:r>
      <w:r w:rsidRPr="008A6B7D">
        <w:rPr>
          <w:sz w:val="28"/>
          <w:szCs w:val="28"/>
        </w:rPr>
        <w:t>t-критерій Ст’юдента</w:t>
      </w:r>
      <w:r w:rsidRPr="008A6B7D">
        <w:rPr>
          <w:sz w:val="28"/>
          <w:szCs w:val="28"/>
          <w:lang w:val="uk-UA"/>
        </w:rPr>
        <w:t xml:space="preserve"> </w:t>
      </w:r>
      <w:r w:rsidRPr="008A6B7D">
        <w:rPr>
          <w:sz w:val="28"/>
          <w:szCs w:val="28"/>
        </w:rPr>
        <w:t>[</w:t>
      </w:r>
      <w:r w:rsidR="00390008" w:rsidRPr="008A6B7D">
        <w:rPr>
          <w:sz w:val="28"/>
          <w:szCs w:val="28"/>
        </w:rPr>
        <w:t>18</w:t>
      </w:r>
      <w:r w:rsidR="00B85935" w:rsidRPr="008A6B7D">
        <w:rPr>
          <w:sz w:val="28"/>
          <w:szCs w:val="28"/>
        </w:rPr>
        <w:t>0</w:t>
      </w:r>
      <w:r w:rsidRPr="008A6B7D">
        <w:rPr>
          <w:sz w:val="28"/>
          <w:szCs w:val="28"/>
        </w:rPr>
        <w:t>].</w:t>
      </w:r>
      <w:r w:rsidRPr="008A6B7D">
        <w:rPr>
          <w:sz w:val="28"/>
          <w:szCs w:val="28"/>
          <w:lang w:val="uk-UA"/>
        </w:rPr>
        <w:t xml:space="preserve"> Відмінності вважалися статистично достовірними при </w:t>
      </w:r>
      <w:r w:rsidRPr="008A6B7D">
        <w:rPr>
          <w:i/>
          <w:sz w:val="28"/>
          <w:szCs w:val="28"/>
        </w:rPr>
        <w:t>р</w:t>
      </w:r>
      <w:r w:rsidRPr="008A6B7D">
        <w:rPr>
          <w:sz w:val="28"/>
          <w:szCs w:val="28"/>
        </w:rPr>
        <w:t xml:space="preserve"> ˂ 0,05 </w:t>
      </w:r>
      <w:r w:rsidRPr="008A6B7D">
        <w:rPr>
          <w:sz w:val="28"/>
          <w:szCs w:val="28"/>
          <w:lang w:val="uk-UA"/>
        </w:rPr>
        <w:t xml:space="preserve">та </w:t>
      </w:r>
      <w:r w:rsidRPr="008A6B7D">
        <w:rPr>
          <w:i/>
          <w:sz w:val="28"/>
          <w:szCs w:val="28"/>
        </w:rPr>
        <w:t>р</w:t>
      </w:r>
      <w:r w:rsidRPr="008A6B7D">
        <w:rPr>
          <w:sz w:val="28"/>
          <w:szCs w:val="28"/>
        </w:rPr>
        <w:t xml:space="preserve"> ˂ 0,0</w:t>
      </w:r>
      <w:r w:rsidRPr="008A6B7D">
        <w:rPr>
          <w:sz w:val="28"/>
          <w:szCs w:val="28"/>
          <w:lang w:val="uk-UA"/>
        </w:rPr>
        <w:t xml:space="preserve">1 </w:t>
      </w:r>
      <w:r w:rsidRPr="008A6B7D">
        <w:rPr>
          <w:sz w:val="28"/>
          <w:szCs w:val="28"/>
        </w:rPr>
        <w:t>[</w:t>
      </w:r>
      <w:r w:rsidR="00390008" w:rsidRPr="008A6B7D">
        <w:rPr>
          <w:sz w:val="28"/>
          <w:szCs w:val="28"/>
        </w:rPr>
        <w:t>18</w:t>
      </w:r>
      <w:r w:rsidR="00B85935" w:rsidRPr="008A6B7D">
        <w:rPr>
          <w:sz w:val="28"/>
          <w:szCs w:val="28"/>
        </w:rPr>
        <w:t>1</w:t>
      </w:r>
      <w:r w:rsidRPr="008A6B7D">
        <w:rPr>
          <w:sz w:val="28"/>
          <w:szCs w:val="28"/>
        </w:rPr>
        <w:t>]</w:t>
      </w:r>
      <w:r w:rsidRPr="008A6B7D">
        <w:rPr>
          <w:sz w:val="28"/>
          <w:szCs w:val="28"/>
          <w:lang w:val="uk-UA"/>
        </w:rPr>
        <w:t xml:space="preserve">. </w:t>
      </w:r>
      <w:r w:rsidRPr="008A6B7D">
        <w:rPr>
          <w:rFonts w:eastAsia="Times New Roman"/>
          <w:sz w:val="28"/>
          <w:szCs w:val="28"/>
        </w:rPr>
        <w:t xml:space="preserve">Для статистичної обробки даних використовували стандартний пакет комп’ютерних програм МS Excell. </w:t>
      </w:r>
      <w:r w:rsidRPr="008A6B7D">
        <w:rPr>
          <w:sz w:val="28"/>
          <w:szCs w:val="28"/>
          <w:lang w:val="uk-UA"/>
        </w:rPr>
        <w:t xml:space="preserve">Для порівняння трьох чи більше вибірок було застосовано однофакторний дісперсійний аналіз </w:t>
      </w:r>
      <w:r w:rsidRPr="008A6B7D">
        <w:rPr>
          <w:sz w:val="28"/>
          <w:szCs w:val="28"/>
        </w:rPr>
        <w:t>One</w:t>
      </w:r>
      <w:r w:rsidRPr="008A6B7D">
        <w:rPr>
          <w:sz w:val="28"/>
          <w:szCs w:val="28"/>
          <w:lang w:val="uk-UA"/>
        </w:rPr>
        <w:t>-</w:t>
      </w:r>
      <w:r w:rsidRPr="008A6B7D">
        <w:rPr>
          <w:sz w:val="28"/>
          <w:szCs w:val="28"/>
        </w:rPr>
        <w:t>way</w:t>
      </w:r>
      <w:r w:rsidRPr="008A6B7D">
        <w:rPr>
          <w:sz w:val="28"/>
          <w:szCs w:val="28"/>
          <w:lang w:val="uk-UA"/>
        </w:rPr>
        <w:t xml:space="preserve"> (</w:t>
      </w:r>
      <w:r w:rsidRPr="008A6B7D">
        <w:rPr>
          <w:sz w:val="28"/>
          <w:szCs w:val="28"/>
        </w:rPr>
        <w:t>ANOVA</w:t>
      </w:r>
      <w:r w:rsidRPr="008A6B7D">
        <w:rPr>
          <w:sz w:val="28"/>
          <w:szCs w:val="28"/>
          <w:lang w:val="uk-UA"/>
        </w:rPr>
        <w:t xml:space="preserve">). </w:t>
      </w:r>
    </w:p>
    <w:p w14:paraId="541CD355" w14:textId="77777777" w:rsidR="00F05F4E" w:rsidRPr="008A6B7D" w:rsidRDefault="00F05F4E" w:rsidP="00F05F4E">
      <w:pPr>
        <w:pStyle w:val="a0"/>
        <w:spacing w:line="360" w:lineRule="auto"/>
        <w:ind w:left="0" w:firstLine="720"/>
        <w:jc w:val="both"/>
        <w:rPr>
          <w:sz w:val="28"/>
          <w:szCs w:val="28"/>
          <w:lang w:val="uk-UA"/>
        </w:rPr>
      </w:pPr>
      <w:r w:rsidRPr="008A6B7D">
        <w:rPr>
          <w:sz w:val="28"/>
          <w:szCs w:val="28"/>
          <w:lang w:val="uk-UA"/>
        </w:rPr>
        <w:t xml:space="preserve">Дані методи дозволяють провести віртуальний скринінг досліджуваних сполук, підтвердити їх фармакологічну активність та провести статистичну обробку результатів, що були отримані в ході експерименту. </w:t>
      </w:r>
    </w:p>
    <w:p w14:paraId="26AC90FD" w14:textId="45431446" w:rsidR="00F05F4E" w:rsidRPr="008A6B7D" w:rsidRDefault="00F05F4E" w:rsidP="00F05F4E">
      <w:pPr>
        <w:rPr>
          <w:color w:val="000000" w:themeColor="text1"/>
          <w:sz w:val="28"/>
          <w:szCs w:val="28"/>
          <w:lang w:val="uk-UA"/>
        </w:rPr>
      </w:pPr>
      <w:r w:rsidRPr="008A6B7D">
        <w:rPr>
          <w:color w:val="000000" w:themeColor="text1"/>
          <w:sz w:val="28"/>
          <w:szCs w:val="28"/>
          <w:lang w:val="uk-UA"/>
        </w:rPr>
        <w:br w:type="page"/>
      </w:r>
    </w:p>
    <w:p w14:paraId="285FF8FD" w14:textId="3E73516A" w:rsidR="00F05F4E" w:rsidRPr="00772B75" w:rsidRDefault="00F05F4E" w:rsidP="00C57D1F">
      <w:pPr>
        <w:pStyle w:val="a6"/>
        <w:spacing w:line="360" w:lineRule="auto"/>
        <w:jc w:val="center"/>
        <w:rPr>
          <w:b/>
          <w:sz w:val="28"/>
          <w:szCs w:val="28"/>
          <w:lang w:val="uk-UA"/>
        </w:rPr>
      </w:pPr>
      <w:r w:rsidRPr="00112A09">
        <w:rPr>
          <w:b/>
          <w:sz w:val="28"/>
          <w:szCs w:val="28"/>
          <w:lang w:val="uk-UA"/>
        </w:rPr>
        <w:lastRenderedPageBreak/>
        <w:t>РОЗДІЛ 3</w:t>
      </w:r>
      <w:r w:rsidRPr="00112A09">
        <w:rPr>
          <w:b/>
          <w:sz w:val="28"/>
          <w:szCs w:val="28"/>
          <w:lang w:val="uk-UA"/>
        </w:rPr>
        <w:br/>
      </w:r>
      <w:r w:rsidRPr="00F05F4E">
        <w:rPr>
          <w:b/>
          <w:sz w:val="28"/>
          <w:szCs w:val="28"/>
          <w:lang w:val="uk-UA"/>
        </w:rPr>
        <w:t>КОМП'ЮТЕРНИЙ ПРОГНОЗ БІОЛОГІЧНОЇ АКТИВНОСТІ</w:t>
      </w:r>
      <w:r w:rsidR="00C57D1F">
        <w:rPr>
          <w:b/>
          <w:sz w:val="28"/>
          <w:szCs w:val="28"/>
          <w:lang w:val="uk-UA"/>
        </w:rPr>
        <w:t xml:space="preserve"> </w:t>
      </w:r>
      <w:r w:rsidRPr="00772B75">
        <w:rPr>
          <w:b/>
          <w:sz w:val="28"/>
          <w:szCs w:val="28"/>
          <w:lang w:val="uk-UA"/>
        </w:rPr>
        <w:t xml:space="preserve">КОМПЛЕКСНИХ СПОЛУК </w:t>
      </w:r>
      <w:r w:rsidRPr="00772B75">
        <w:rPr>
          <w:b/>
          <w:sz w:val="28"/>
          <w:szCs w:val="28"/>
          <w:lang w:val="en-US"/>
        </w:rPr>
        <w:t>Sn</w:t>
      </w:r>
      <w:r w:rsidRPr="00772B75">
        <w:rPr>
          <w:b/>
          <w:sz w:val="28"/>
          <w:szCs w:val="28"/>
          <w:lang w:val="uk-UA"/>
        </w:rPr>
        <w:t>(</w:t>
      </w:r>
      <w:r w:rsidRPr="00772B75">
        <w:rPr>
          <w:b/>
          <w:sz w:val="28"/>
          <w:szCs w:val="28"/>
          <w:lang w:val="en-US"/>
        </w:rPr>
        <w:t>IV</w:t>
      </w:r>
      <w:r w:rsidRPr="00772B75">
        <w:rPr>
          <w:b/>
          <w:sz w:val="28"/>
          <w:szCs w:val="28"/>
          <w:lang w:val="uk-UA"/>
        </w:rPr>
        <w:t>) З САЛІЦИЛОЇЛГІДРАЗОНАМИ БЕНЗАЛЬДЕГІДІВ</w:t>
      </w:r>
    </w:p>
    <w:p w14:paraId="04DFD22A" w14:textId="77777777" w:rsidR="00F05F4E" w:rsidRPr="0071066B" w:rsidRDefault="00F05F4E" w:rsidP="00F05F4E">
      <w:pPr>
        <w:pStyle w:val="a6"/>
        <w:jc w:val="both"/>
        <w:rPr>
          <w:b/>
          <w:sz w:val="28"/>
          <w:szCs w:val="28"/>
          <w:lang w:val="uk-UA"/>
        </w:rPr>
      </w:pPr>
      <w:r w:rsidRPr="0071066B">
        <w:rPr>
          <w:b/>
          <w:sz w:val="28"/>
          <w:szCs w:val="28"/>
          <w:lang w:val="uk-UA"/>
        </w:rPr>
        <w:t xml:space="preserve">3.1 Прогноз біологічної̈ активності </w:t>
      </w:r>
    </w:p>
    <w:p w14:paraId="198E36FA" w14:textId="4A9FBDD3" w:rsidR="00F05F4E" w:rsidRPr="00754A8A" w:rsidRDefault="00F05F4E" w:rsidP="00F05F4E">
      <w:pPr>
        <w:pStyle w:val="a6"/>
        <w:spacing w:line="360" w:lineRule="auto"/>
        <w:ind w:firstLine="708"/>
        <w:jc w:val="both"/>
        <w:rPr>
          <w:sz w:val="28"/>
          <w:szCs w:val="28"/>
          <w:lang w:val="uk-UA"/>
        </w:rPr>
      </w:pPr>
      <w:r w:rsidRPr="00754A8A">
        <w:rPr>
          <w:sz w:val="28"/>
          <w:szCs w:val="28"/>
          <w:lang w:val="uk-UA"/>
        </w:rPr>
        <w:t xml:space="preserve">У сучасній хімічній біології дослідження обчислювального та молекулярного моделювання дало багато уявлень про відкриття нових лікарських засобів, а також про їх взаємодію з макромолекулярними цілями живих систем. На даний момент доступно </w:t>
      </w:r>
      <w:r>
        <w:rPr>
          <w:sz w:val="28"/>
          <w:szCs w:val="28"/>
          <w:lang w:val="uk-UA"/>
        </w:rPr>
        <w:t>ряд програм</w:t>
      </w:r>
      <w:r w:rsidRPr="00754A8A">
        <w:rPr>
          <w:sz w:val="28"/>
          <w:szCs w:val="28"/>
          <w:lang w:val="uk-UA"/>
        </w:rPr>
        <w:t>, які можуть передбачити біологічну активність хімічних речовин, що існують у базах даних або були отримані шляхом хімічного синтезу</w:t>
      </w:r>
      <w:r w:rsidR="00390008" w:rsidRPr="00390008">
        <w:rPr>
          <w:sz w:val="28"/>
          <w:szCs w:val="28"/>
        </w:rPr>
        <w:t xml:space="preserve"> [18</w:t>
      </w:r>
      <w:r w:rsidR="00B85935" w:rsidRPr="00B85935">
        <w:rPr>
          <w:sz w:val="28"/>
          <w:szCs w:val="28"/>
        </w:rPr>
        <w:t>2</w:t>
      </w:r>
      <w:r w:rsidR="00390008" w:rsidRPr="00390008">
        <w:rPr>
          <w:sz w:val="28"/>
          <w:szCs w:val="28"/>
        </w:rPr>
        <w:t>]</w:t>
      </w:r>
      <w:r w:rsidRPr="00754A8A">
        <w:rPr>
          <w:sz w:val="28"/>
          <w:szCs w:val="28"/>
          <w:lang w:val="uk-UA"/>
        </w:rPr>
        <w:t>.</w:t>
      </w:r>
    </w:p>
    <w:p w14:paraId="7FDFE49E" w14:textId="23490C3A" w:rsidR="00F05F4E" w:rsidRDefault="00F05F4E" w:rsidP="00F05F4E">
      <w:pPr>
        <w:pStyle w:val="a6"/>
        <w:spacing w:line="360" w:lineRule="auto"/>
        <w:ind w:firstLine="708"/>
        <w:jc w:val="both"/>
        <w:rPr>
          <w:lang w:val="uk-UA"/>
        </w:rPr>
      </w:pPr>
      <w:r w:rsidRPr="00754A8A">
        <w:rPr>
          <w:sz w:val="28"/>
          <w:szCs w:val="28"/>
          <w:lang w:val="uk-UA"/>
        </w:rPr>
        <w:t xml:space="preserve">PASS забезпечує одночасне прогнозування багатьох видів біологічної активності (спектру активності) на основі структури сполук, що проявляють фармакологічний ефект. З метою пошуку нових сполук, що здатні проявляти широкий спектр фармакологічної </w:t>
      </w:r>
      <w:r w:rsidRPr="00C6149C">
        <w:rPr>
          <w:sz w:val="28"/>
          <w:szCs w:val="28"/>
          <w:lang w:val="uk-UA"/>
        </w:rPr>
        <w:t>дії нами було проведено прогнозування лігандів нових комплексних сполук SnCl</w:t>
      </w:r>
      <w:r w:rsidRPr="00C6149C">
        <w:rPr>
          <w:sz w:val="28"/>
          <w:szCs w:val="28"/>
          <w:vertAlign w:val="subscript"/>
          <w:lang w:val="uk-UA"/>
        </w:rPr>
        <w:t>4</w:t>
      </w:r>
      <w:r w:rsidRPr="00C6149C">
        <w:rPr>
          <w:sz w:val="28"/>
          <w:szCs w:val="28"/>
          <w:lang w:val="uk-UA"/>
        </w:rPr>
        <w:t xml:space="preserve"> з саліцилоїлгідразонами бензальдегіду та 4-бромбензальдегіду за допомогою сучасної онлайн-версії програми </w:t>
      </w:r>
      <w:r w:rsidRPr="00C6149C">
        <w:rPr>
          <w:sz w:val="28"/>
          <w:szCs w:val="28"/>
        </w:rPr>
        <w:t>PASS</w:t>
      </w:r>
      <w:r w:rsidRPr="00C6149C">
        <w:rPr>
          <w:sz w:val="28"/>
          <w:szCs w:val="28"/>
          <w:lang w:val="uk-UA"/>
        </w:rPr>
        <w:t xml:space="preserve"> [</w:t>
      </w:r>
      <w:r w:rsidR="00390008" w:rsidRPr="00390008">
        <w:rPr>
          <w:sz w:val="28"/>
          <w:szCs w:val="28"/>
          <w:lang w:val="uk-UA"/>
        </w:rPr>
        <w:t>18</w:t>
      </w:r>
      <w:r w:rsidR="00B85935" w:rsidRPr="00B85935">
        <w:rPr>
          <w:sz w:val="28"/>
          <w:szCs w:val="28"/>
          <w:lang w:val="uk-UA"/>
        </w:rPr>
        <w:t>2</w:t>
      </w:r>
      <w:r w:rsidRPr="00C6149C">
        <w:rPr>
          <w:sz w:val="28"/>
          <w:szCs w:val="28"/>
          <w:lang w:val="uk-UA"/>
        </w:rPr>
        <w:t>].</w:t>
      </w:r>
      <w:r w:rsidRPr="00754A8A">
        <w:rPr>
          <w:rFonts w:ascii="TimesNewRomanPSMT" w:hAnsi="TimesNewRomanPSMT"/>
          <w:sz w:val="28"/>
          <w:szCs w:val="28"/>
          <w:lang w:val="uk-UA"/>
        </w:rPr>
        <w:t xml:space="preserve"> </w:t>
      </w:r>
    </w:p>
    <w:p w14:paraId="4B526C65" w14:textId="77777777" w:rsidR="00F05F4E" w:rsidRDefault="00F05F4E" w:rsidP="00F05F4E">
      <w:pPr>
        <w:pStyle w:val="a6"/>
        <w:spacing w:line="360" w:lineRule="auto"/>
        <w:ind w:firstLine="708"/>
        <w:jc w:val="both"/>
        <w:rPr>
          <w:sz w:val="28"/>
          <w:szCs w:val="28"/>
          <w:lang w:val="uk-UA"/>
        </w:rPr>
      </w:pPr>
      <w:r w:rsidRPr="00754A8A">
        <w:rPr>
          <w:sz w:val="28"/>
          <w:szCs w:val="28"/>
          <w:lang w:val="uk-UA"/>
        </w:rPr>
        <w:t>Спектр активності хімічної сполуки є сукупністю різних біологічних активностей, що відображають результати взаємодії сполуки з різними біологічними структурами. Прогнозування біологічних</w:t>
      </w:r>
      <w:r>
        <w:rPr>
          <w:sz w:val="28"/>
          <w:szCs w:val="28"/>
          <w:lang w:val="uk-UA"/>
        </w:rPr>
        <w:t xml:space="preserve"> активностей </w:t>
      </w:r>
      <w:r w:rsidRPr="00754A8A">
        <w:rPr>
          <w:sz w:val="28"/>
          <w:szCs w:val="28"/>
          <w:lang w:val="uk-UA"/>
        </w:rPr>
        <w:t>нових сполук у системі PASS базується на співвідношенні структура-активність (база SAR), а тренінговий набір включає 117332 відомих біологічно активних речовин (лік</w:t>
      </w:r>
      <w:r>
        <w:rPr>
          <w:sz w:val="28"/>
          <w:szCs w:val="28"/>
          <w:lang w:val="uk-UA"/>
        </w:rPr>
        <w:t>арські препарати, їх ліганди,</w:t>
      </w:r>
      <w:r w:rsidRPr="00754A8A">
        <w:rPr>
          <w:sz w:val="28"/>
          <w:szCs w:val="28"/>
          <w:lang w:val="uk-UA"/>
        </w:rPr>
        <w:t xml:space="preserve"> токсичні сполуки</w:t>
      </w:r>
      <w:r>
        <w:rPr>
          <w:sz w:val="28"/>
          <w:szCs w:val="28"/>
          <w:lang w:val="uk-UA"/>
        </w:rPr>
        <w:t xml:space="preserve"> та ін.</w:t>
      </w:r>
      <w:r w:rsidRPr="00754A8A">
        <w:rPr>
          <w:sz w:val="28"/>
          <w:szCs w:val="28"/>
          <w:lang w:val="uk-UA"/>
        </w:rPr>
        <w:t xml:space="preserve">). Інструмент прогнозування PASS використовує двовимірну структуру сполук, що є основою для прогнозування </w:t>
      </w:r>
      <w:r>
        <w:rPr>
          <w:sz w:val="28"/>
          <w:szCs w:val="28"/>
          <w:lang w:val="uk-UA"/>
        </w:rPr>
        <w:t>вхідних</w:t>
      </w:r>
      <w:r w:rsidRPr="00754A8A">
        <w:rPr>
          <w:sz w:val="28"/>
          <w:szCs w:val="28"/>
          <w:lang w:val="uk-UA"/>
        </w:rPr>
        <w:t xml:space="preserve"> дан</w:t>
      </w:r>
      <w:r>
        <w:rPr>
          <w:sz w:val="28"/>
          <w:szCs w:val="28"/>
          <w:lang w:val="uk-UA"/>
        </w:rPr>
        <w:t>их.</w:t>
      </w:r>
      <w:r w:rsidRPr="00754A8A">
        <w:rPr>
          <w:sz w:val="28"/>
          <w:szCs w:val="28"/>
          <w:lang w:val="uk-UA"/>
        </w:rPr>
        <w:t xml:space="preserve"> </w:t>
      </w:r>
      <w:r>
        <w:rPr>
          <w:sz w:val="28"/>
          <w:szCs w:val="28"/>
          <w:lang w:val="uk-UA"/>
        </w:rPr>
        <w:t>С</w:t>
      </w:r>
      <w:r w:rsidRPr="00754A8A">
        <w:rPr>
          <w:sz w:val="28"/>
          <w:szCs w:val="28"/>
          <w:lang w:val="uk-UA"/>
        </w:rPr>
        <w:t xml:space="preserve">труктуру можна намалювати за допомогою </w:t>
      </w:r>
      <w:r>
        <w:rPr>
          <w:sz w:val="28"/>
          <w:szCs w:val="28"/>
          <w:lang w:val="uk-UA"/>
        </w:rPr>
        <w:t>«</w:t>
      </w:r>
      <w:r w:rsidRPr="00754A8A">
        <w:rPr>
          <w:sz w:val="28"/>
          <w:szCs w:val="28"/>
          <w:lang w:val="uk-UA"/>
        </w:rPr>
        <w:t>chemsketch</w:t>
      </w:r>
      <w:r>
        <w:rPr>
          <w:sz w:val="28"/>
          <w:szCs w:val="28"/>
          <w:lang w:val="uk-UA"/>
        </w:rPr>
        <w:t>»</w:t>
      </w:r>
      <w:r w:rsidRPr="00754A8A">
        <w:rPr>
          <w:sz w:val="28"/>
          <w:szCs w:val="28"/>
          <w:lang w:val="uk-UA"/>
        </w:rPr>
        <w:t xml:space="preserve"> версії 12 та завантажити на веб-сайт PASS як файл (* .mol) або безпосередньо намал</w:t>
      </w:r>
      <w:r>
        <w:rPr>
          <w:sz w:val="28"/>
          <w:szCs w:val="28"/>
          <w:lang w:val="uk-UA"/>
        </w:rPr>
        <w:t>ю</w:t>
      </w:r>
      <w:r w:rsidRPr="00754A8A">
        <w:rPr>
          <w:sz w:val="28"/>
          <w:szCs w:val="28"/>
          <w:lang w:val="uk-UA"/>
        </w:rPr>
        <w:t>ва</w:t>
      </w:r>
      <w:r>
        <w:rPr>
          <w:sz w:val="28"/>
          <w:szCs w:val="28"/>
          <w:lang w:val="uk-UA"/>
        </w:rPr>
        <w:t>ти</w:t>
      </w:r>
      <w:r w:rsidRPr="00754A8A">
        <w:rPr>
          <w:sz w:val="28"/>
          <w:szCs w:val="28"/>
          <w:lang w:val="uk-UA"/>
        </w:rPr>
        <w:t xml:space="preserve"> на веб-сайті за допомогою</w:t>
      </w:r>
      <w:r>
        <w:rPr>
          <w:sz w:val="28"/>
          <w:szCs w:val="28"/>
          <w:lang w:val="uk-UA"/>
        </w:rPr>
        <w:t xml:space="preserve"> додатку</w:t>
      </w:r>
      <w:r w:rsidRPr="00754A8A">
        <w:rPr>
          <w:sz w:val="28"/>
          <w:szCs w:val="28"/>
          <w:lang w:val="uk-UA"/>
        </w:rPr>
        <w:t xml:space="preserve"> </w:t>
      </w:r>
      <w:r w:rsidRPr="00754A8A">
        <w:rPr>
          <w:sz w:val="28"/>
          <w:szCs w:val="28"/>
          <w:lang w:val="uk-UA"/>
        </w:rPr>
        <w:lastRenderedPageBreak/>
        <w:t>JAVA, який використовує програму під назвою Marvin Sketch.</w:t>
      </w:r>
      <w:r w:rsidRPr="00973D06">
        <w:rPr>
          <w:sz w:val="28"/>
          <w:szCs w:val="28"/>
          <w:lang w:val="uk-UA"/>
        </w:rPr>
        <w:t xml:space="preserve"> </w:t>
      </w:r>
      <w:r w:rsidRPr="00754A8A">
        <w:rPr>
          <w:sz w:val="28"/>
          <w:szCs w:val="28"/>
          <w:lang w:val="uk-UA"/>
        </w:rPr>
        <w:t>Спектр активност</w:t>
      </w:r>
      <w:r>
        <w:rPr>
          <w:sz w:val="28"/>
          <w:szCs w:val="28"/>
          <w:lang w:val="uk-UA"/>
        </w:rPr>
        <w:t>ей</w:t>
      </w:r>
      <w:r w:rsidRPr="00754A8A">
        <w:rPr>
          <w:sz w:val="28"/>
          <w:szCs w:val="28"/>
          <w:lang w:val="uk-UA"/>
        </w:rPr>
        <w:t xml:space="preserve"> розташовані в порядку спадання. </w:t>
      </w:r>
    </w:p>
    <w:p w14:paraId="34154738" w14:textId="2B06EC22" w:rsidR="00F05F4E" w:rsidRDefault="00F05F4E" w:rsidP="00F05F4E">
      <w:pPr>
        <w:pStyle w:val="a6"/>
        <w:spacing w:line="360" w:lineRule="auto"/>
        <w:ind w:firstLine="708"/>
        <w:jc w:val="both"/>
        <w:rPr>
          <w:sz w:val="28"/>
          <w:szCs w:val="28"/>
          <w:lang w:val="uk-UA"/>
        </w:rPr>
      </w:pPr>
      <w:r w:rsidRPr="00754A8A">
        <w:rPr>
          <w:sz w:val="28"/>
          <w:szCs w:val="28"/>
          <w:lang w:val="uk-UA"/>
        </w:rPr>
        <w:t xml:space="preserve">Таким чином, найбільш вірогідний класифікується на першому місці, а менш вірогідний - на найнижчому в </w:t>
      </w:r>
      <w:r>
        <w:rPr>
          <w:sz w:val="28"/>
          <w:szCs w:val="28"/>
          <w:lang w:val="uk-UA"/>
        </w:rPr>
        <w:t>ряду</w:t>
      </w:r>
      <w:r w:rsidRPr="00754A8A">
        <w:rPr>
          <w:sz w:val="28"/>
          <w:szCs w:val="28"/>
          <w:lang w:val="uk-UA"/>
        </w:rPr>
        <w:t xml:space="preserve"> біологічної активності. Значення Pa і Pi коливаються в межах від 0,000 до 1000. </w:t>
      </w:r>
      <w:r>
        <w:rPr>
          <w:sz w:val="28"/>
          <w:szCs w:val="28"/>
          <w:lang w:val="uk-UA"/>
        </w:rPr>
        <w:t>Активності хімічної</w:t>
      </w:r>
      <w:r w:rsidRPr="00754A8A">
        <w:rPr>
          <w:sz w:val="28"/>
          <w:szCs w:val="28"/>
          <w:lang w:val="uk-UA"/>
        </w:rPr>
        <w:t xml:space="preserve"> речовин</w:t>
      </w:r>
      <w:r>
        <w:rPr>
          <w:sz w:val="28"/>
          <w:szCs w:val="28"/>
          <w:lang w:val="uk-UA"/>
        </w:rPr>
        <w:t xml:space="preserve">и </w:t>
      </w:r>
      <w:r w:rsidRPr="00754A8A">
        <w:rPr>
          <w:sz w:val="28"/>
          <w:szCs w:val="28"/>
          <w:lang w:val="uk-UA"/>
        </w:rPr>
        <w:t xml:space="preserve">із таким фактором імовірності (Р): Pa&gt; Pi </w:t>
      </w:r>
      <w:r>
        <w:rPr>
          <w:sz w:val="28"/>
          <w:szCs w:val="28"/>
          <w:lang w:val="uk-UA"/>
        </w:rPr>
        <w:t xml:space="preserve">розглядаються як </w:t>
      </w:r>
      <w:r w:rsidRPr="00754A8A">
        <w:rPr>
          <w:sz w:val="28"/>
          <w:szCs w:val="28"/>
          <w:lang w:val="uk-UA"/>
        </w:rPr>
        <w:t>можливі для певної сполуки.</w:t>
      </w:r>
      <w:r>
        <w:rPr>
          <w:sz w:val="28"/>
          <w:szCs w:val="28"/>
          <w:lang w:val="uk-UA"/>
        </w:rPr>
        <w:t xml:space="preserve"> </w:t>
      </w:r>
      <w:r w:rsidRPr="00754A8A">
        <w:rPr>
          <w:sz w:val="28"/>
          <w:szCs w:val="28"/>
          <w:lang w:val="uk-UA"/>
        </w:rPr>
        <w:t xml:space="preserve">За визначенням, ймовірності Pa та Pi - це міри, що належать як до підмножин "активних", так і "неактивних" сполук, а також до ймовірностей </w:t>
      </w:r>
      <w:r w:rsidR="00821BED">
        <w:rPr>
          <w:sz w:val="28"/>
          <w:szCs w:val="28"/>
          <w:lang w:val="uk-UA"/>
        </w:rPr>
        <w:br/>
      </w:r>
      <w:r w:rsidRPr="00754A8A">
        <w:rPr>
          <w:sz w:val="28"/>
          <w:szCs w:val="28"/>
          <w:lang w:val="uk-UA"/>
        </w:rPr>
        <w:t xml:space="preserve">1-го та 2-го </w:t>
      </w:r>
      <w:r>
        <w:rPr>
          <w:sz w:val="28"/>
          <w:szCs w:val="28"/>
          <w:lang w:val="uk-UA"/>
        </w:rPr>
        <w:t>порядку</w:t>
      </w:r>
      <w:r w:rsidRPr="00754A8A">
        <w:rPr>
          <w:sz w:val="28"/>
          <w:szCs w:val="28"/>
          <w:lang w:val="uk-UA"/>
        </w:rPr>
        <w:t xml:space="preserve"> помилок прогнозування відповідно. Ці дві інтерпретації ймовірностей Pa і Pi еквівалентні і можуть бути використані для інтерпретації результатів прогнозу. Вони також можуть бути використані для побудови різних критеріїв для прогнозування результатів аналізу, що відповідають конкретним практичним завданням. Середня точність результатів прогнозування, надана PASS, виявляється 95%.</w:t>
      </w:r>
      <w:r>
        <w:rPr>
          <w:sz w:val="28"/>
          <w:szCs w:val="28"/>
          <w:lang w:val="uk-UA"/>
        </w:rPr>
        <w:t xml:space="preserve"> </w:t>
      </w:r>
      <w:r w:rsidRPr="00754A8A">
        <w:rPr>
          <w:sz w:val="28"/>
          <w:szCs w:val="28"/>
          <w:lang w:val="uk-UA"/>
        </w:rPr>
        <w:t xml:space="preserve">Якщо Pa&gt; 0,7, ймовірність експериментальної фармакологічної дії висока, </w:t>
      </w:r>
      <w:r>
        <w:rPr>
          <w:sz w:val="28"/>
          <w:szCs w:val="28"/>
          <w:lang w:val="uk-UA"/>
        </w:rPr>
        <w:t>але також ймовірність, що дана сполука може бути аналогом відомого лікарського засобу, також висока. У разі,</w:t>
      </w:r>
      <w:r w:rsidRPr="00754A8A">
        <w:rPr>
          <w:sz w:val="28"/>
          <w:szCs w:val="28"/>
          <w:lang w:val="uk-UA"/>
        </w:rPr>
        <w:t xml:space="preserve"> якщо 0,5 &lt;Pa &lt;0,7, то ймовірність експериментальної фармакологічної дії менша</w:t>
      </w:r>
      <w:r>
        <w:rPr>
          <w:sz w:val="28"/>
          <w:szCs w:val="28"/>
          <w:lang w:val="uk-UA"/>
        </w:rPr>
        <w:t>, але потенційно може виявляти цю активність у досліді</w:t>
      </w:r>
      <w:r w:rsidRPr="00754A8A">
        <w:rPr>
          <w:sz w:val="28"/>
          <w:szCs w:val="28"/>
          <w:lang w:val="uk-UA"/>
        </w:rPr>
        <w:t>.</w:t>
      </w:r>
      <w:r>
        <w:rPr>
          <w:sz w:val="28"/>
          <w:szCs w:val="28"/>
          <w:lang w:val="uk-UA"/>
        </w:rPr>
        <w:t xml:space="preserve"> </w:t>
      </w:r>
      <w:r w:rsidRPr="00754A8A">
        <w:rPr>
          <w:sz w:val="28"/>
          <w:szCs w:val="28"/>
          <w:lang w:val="uk-UA"/>
        </w:rPr>
        <w:t xml:space="preserve">Якщо значення Pa &lt;0,5, </w:t>
      </w:r>
      <w:r>
        <w:rPr>
          <w:sz w:val="28"/>
          <w:szCs w:val="28"/>
          <w:lang w:val="uk-UA"/>
        </w:rPr>
        <w:t>то шанс</w:t>
      </w:r>
      <w:r w:rsidRPr="00754A8A">
        <w:rPr>
          <w:sz w:val="28"/>
          <w:szCs w:val="28"/>
          <w:lang w:val="uk-UA"/>
        </w:rPr>
        <w:t xml:space="preserve"> знайти активність експериментально </w:t>
      </w:r>
      <w:r>
        <w:rPr>
          <w:sz w:val="28"/>
          <w:szCs w:val="28"/>
          <w:lang w:val="uk-UA"/>
        </w:rPr>
        <w:t xml:space="preserve">значно </w:t>
      </w:r>
      <w:r w:rsidRPr="00754A8A">
        <w:rPr>
          <w:sz w:val="28"/>
          <w:szCs w:val="28"/>
          <w:lang w:val="uk-UA"/>
        </w:rPr>
        <w:t xml:space="preserve">менший, але це </w:t>
      </w:r>
      <w:r>
        <w:rPr>
          <w:sz w:val="28"/>
          <w:szCs w:val="28"/>
          <w:lang w:val="uk-UA"/>
        </w:rPr>
        <w:t xml:space="preserve">також </w:t>
      </w:r>
      <w:r w:rsidRPr="00754A8A">
        <w:rPr>
          <w:sz w:val="28"/>
          <w:szCs w:val="28"/>
          <w:lang w:val="uk-UA"/>
        </w:rPr>
        <w:t xml:space="preserve">може вказувати на </w:t>
      </w:r>
      <w:r>
        <w:rPr>
          <w:sz w:val="28"/>
          <w:szCs w:val="28"/>
          <w:lang w:val="uk-UA"/>
        </w:rPr>
        <w:t>імовірність</w:t>
      </w:r>
      <w:r w:rsidRPr="00754A8A">
        <w:rPr>
          <w:sz w:val="28"/>
          <w:szCs w:val="28"/>
          <w:lang w:val="uk-UA"/>
        </w:rPr>
        <w:t xml:space="preserve"> знайти </w:t>
      </w:r>
      <w:r>
        <w:rPr>
          <w:sz w:val="28"/>
          <w:szCs w:val="28"/>
          <w:lang w:val="uk-UA"/>
        </w:rPr>
        <w:t xml:space="preserve">потенційно </w:t>
      </w:r>
      <w:r w:rsidRPr="00754A8A">
        <w:rPr>
          <w:sz w:val="28"/>
          <w:szCs w:val="28"/>
          <w:lang w:val="uk-UA"/>
        </w:rPr>
        <w:t xml:space="preserve">нову </w:t>
      </w:r>
      <w:r>
        <w:rPr>
          <w:sz w:val="28"/>
          <w:szCs w:val="28"/>
          <w:lang w:val="uk-UA"/>
        </w:rPr>
        <w:t xml:space="preserve">біологічно активну </w:t>
      </w:r>
      <w:r w:rsidRPr="00754A8A">
        <w:rPr>
          <w:sz w:val="28"/>
          <w:szCs w:val="28"/>
          <w:lang w:val="uk-UA"/>
        </w:rPr>
        <w:t>сполуку</w:t>
      </w:r>
      <w:r>
        <w:rPr>
          <w:sz w:val="28"/>
          <w:szCs w:val="28"/>
          <w:lang w:val="uk-UA"/>
        </w:rPr>
        <w:t xml:space="preserve"> </w:t>
      </w:r>
      <w:r w:rsidRPr="00754A8A">
        <w:rPr>
          <w:sz w:val="28"/>
          <w:szCs w:val="28"/>
        </w:rPr>
        <w:t>[</w:t>
      </w:r>
      <w:r w:rsidR="00FE60C3">
        <w:rPr>
          <w:sz w:val="28"/>
          <w:szCs w:val="28"/>
          <w:lang w:val="uk-UA"/>
        </w:rPr>
        <w:t>1</w:t>
      </w:r>
      <w:r w:rsidR="00B85935" w:rsidRPr="00B85935">
        <w:rPr>
          <w:sz w:val="28"/>
          <w:szCs w:val="28"/>
        </w:rPr>
        <w:t>83</w:t>
      </w:r>
      <w:r w:rsidRPr="00754A8A">
        <w:rPr>
          <w:sz w:val="28"/>
          <w:szCs w:val="28"/>
        </w:rPr>
        <w:t>]</w:t>
      </w:r>
      <w:r w:rsidRPr="00754A8A">
        <w:rPr>
          <w:sz w:val="28"/>
          <w:szCs w:val="28"/>
          <w:lang w:val="uk-UA"/>
        </w:rPr>
        <w:t>.</w:t>
      </w:r>
    </w:p>
    <w:p w14:paraId="2F59F1BB" w14:textId="357126F9" w:rsidR="00F05F4E" w:rsidRPr="00B37CCE" w:rsidRDefault="00F05F4E" w:rsidP="00F05F4E">
      <w:pPr>
        <w:pStyle w:val="a6"/>
        <w:spacing w:line="360" w:lineRule="auto"/>
        <w:ind w:firstLine="708"/>
        <w:jc w:val="both"/>
        <w:rPr>
          <w:sz w:val="28"/>
          <w:szCs w:val="28"/>
          <w:lang w:val="uk-UA"/>
        </w:rPr>
      </w:pPr>
      <w:r>
        <w:rPr>
          <w:sz w:val="28"/>
          <w:szCs w:val="28"/>
          <w:lang w:val="uk-UA"/>
        </w:rPr>
        <w:t xml:space="preserve">На кафедрі загальної хімії та полімерів ОНУ ім. І.І. Мечнікова МОН України д.х.н. профессором Сейфулліною І.Й. і доц. д.х.н. Шматковою Н.В. було запропановано 34 хімічні структури </w:t>
      </w:r>
      <w:r>
        <w:rPr>
          <w:sz w:val="28"/>
          <w:szCs w:val="28"/>
          <w:lang w:val="en-US"/>
        </w:rPr>
        <w:t>Sn</w:t>
      </w:r>
      <w:r w:rsidRPr="00B37CCE">
        <w:rPr>
          <w:sz w:val="28"/>
          <w:szCs w:val="28"/>
          <w:lang w:val="uk-UA"/>
        </w:rPr>
        <w:t xml:space="preserve"> (</w:t>
      </w:r>
      <w:r>
        <w:rPr>
          <w:sz w:val="28"/>
          <w:szCs w:val="28"/>
          <w:lang w:val="en-US"/>
        </w:rPr>
        <w:t>IV</w:t>
      </w:r>
      <w:r w:rsidRPr="00B37CCE">
        <w:rPr>
          <w:sz w:val="28"/>
          <w:szCs w:val="28"/>
          <w:lang w:val="uk-UA"/>
        </w:rPr>
        <w:t xml:space="preserve">) </w:t>
      </w:r>
      <w:r>
        <w:rPr>
          <w:sz w:val="28"/>
          <w:szCs w:val="28"/>
          <w:lang w:val="uk-UA"/>
        </w:rPr>
        <w:t xml:space="preserve">із саліцилоїлгідразонами бензальдегіду (із різними замісниками у бензойному кільці) </w:t>
      </w:r>
      <w:r w:rsidRPr="009C08F8">
        <w:rPr>
          <w:sz w:val="28"/>
          <w:szCs w:val="28"/>
          <w:lang w:val="uk-UA"/>
        </w:rPr>
        <w:t>[</w:t>
      </w:r>
      <w:r w:rsidR="00390008" w:rsidRPr="00390008">
        <w:rPr>
          <w:sz w:val="28"/>
          <w:szCs w:val="28"/>
          <w:lang w:val="uk-UA"/>
        </w:rPr>
        <w:t>1</w:t>
      </w:r>
      <w:r w:rsidR="00FE60C3">
        <w:rPr>
          <w:sz w:val="28"/>
          <w:szCs w:val="28"/>
          <w:lang w:val="uk-UA"/>
        </w:rPr>
        <w:t>84</w:t>
      </w:r>
      <w:r w:rsidRPr="009C08F8">
        <w:rPr>
          <w:sz w:val="28"/>
          <w:szCs w:val="28"/>
          <w:lang w:val="uk-UA"/>
        </w:rPr>
        <w:t>]</w:t>
      </w:r>
      <w:r>
        <w:rPr>
          <w:sz w:val="28"/>
          <w:szCs w:val="28"/>
          <w:lang w:val="uk-UA"/>
        </w:rPr>
        <w:t xml:space="preserve">. Було проведено </w:t>
      </w:r>
      <w:r>
        <w:rPr>
          <w:sz w:val="28"/>
          <w:szCs w:val="28"/>
          <w:lang w:val="en-US"/>
        </w:rPr>
        <w:t>Pass</w:t>
      </w:r>
      <w:r>
        <w:rPr>
          <w:sz w:val="28"/>
          <w:szCs w:val="28"/>
          <w:lang w:val="uk-UA"/>
        </w:rPr>
        <w:t>-прогноз усіх зазначених сполук і встановлено ряд ймовірності їх біологічних активностей (табл. 3.1).</w:t>
      </w:r>
    </w:p>
    <w:p w14:paraId="5342C792" w14:textId="77777777" w:rsidR="00C57D1F" w:rsidRDefault="00C57D1F" w:rsidP="00F05F4E">
      <w:pPr>
        <w:pStyle w:val="a6"/>
        <w:jc w:val="right"/>
        <w:rPr>
          <w:rFonts w:ascii="TimesNewRomanPS" w:hAnsi="TimesNewRomanPS"/>
          <w:i/>
          <w:iCs/>
          <w:sz w:val="28"/>
          <w:szCs w:val="28"/>
          <w:lang w:val="uk-UA"/>
        </w:rPr>
      </w:pPr>
    </w:p>
    <w:p w14:paraId="289B6A3A" w14:textId="69072C7E" w:rsidR="00F05F4E" w:rsidRPr="00B37CCE" w:rsidRDefault="00F05F4E" w:rsidP="00F05F4E">
      <w:pPr>
        <w:pStyle w:val="a6"/>
        <w:jc w:val="right"/>
        <w:rPr>
          <w:lang w:val="uk-UA"/>
        </w:rPr>
      </w:pPr>
      <w:r w:rsidRPr="00B37CCE">
        <w:rPr>
          <w:rFonts w:ascii="TimesNewRomanPS" w:hAnsi="TimesNewRomanPS"/>
          <w:i/>
          <w:iCs/>
          <w:sz w:val="28"/>
          <w:szCs w:val="28"/>
          <w:lang w:val="uk-UA"/>
        </w:rPr>
        <w:lastRenderedPageBreak/>
        <w:t xml:space="preserve">Таблиця 3.1 </w:t>
      </w:r>
    </w:p>
    <w:p w14:paraId="6D46FDFF" w14:textId="77777777" w:rsidR="00F05F4E" w:rsidRPr="00754A8A" w:rsidRDefault="00F05F4E" w:rsidP="00F05F4E">
      <w:pPr>
        <w:pStyle w:val="a6"/>
        <w:jc w:val="right"/>
        <w:rPr>
          <w:lang w:val="uk-UA"/>
        </w:rPr>
      </w:pPr>
      <w:r>
        <w:rPr>
          <w:rFonts w:ascii="TimesNewRomanPS" w:hAnsi="TimesNewRomanPS"/>
          <w:b/>
          <w:bCs/>
          <w:sz w:val="28"/>
          <w:szCs w:val="28"/>
        </w:rPr>
        <w:t xml:space="preserve">Прогноз біологічної активності </w:t>
      </w:r>
      <w:r>
        <w:rPr>
          <w:rFonts w:ascii="TimesNewRomanPS" w:hAnsi="TimesNewRomanPS"/>
          <w:b/>
          <w:bCs/>
          <w:sz w:val="28"/>
          <w:szCs w:val="28"/>
          <w:lang w:val="uk-UA"/>
        </w:rPr>
        <w:t>комплексних сполук гідразонів.</w:t>
      </w:r>
    </w:p>
    <w:tbl>
      <w:tblPr>
        <w:tblStyle w:val="afb"/>
        <w:tblW w:w="9322" w:type="dxa"/>
        <w:tblLook w:val="04A0" w:firstRow="1" w:lastRow="0" w:firstColumn="1" w:lastColumn="0" w:noHBand="0" w:noVBand="1"/>
      </w:tblPr>
      <w:tblGrid>
        <w:gridCol w:w="617"/>
        <w:gridCol w:w="3834"/>
        <w:gridCol w:w="1177"/>
        <w:gridCol w:w="1830"/>
        <w:gridCol w:w="1864"/>
      </w:tblGrid>
      <w:tr w:rsidR="00F05F4E" w:rsidRPr="00C6149C" w14:paraId="4CCFF380" w14:textId="77777777" w:rsidTr="00821BED">
        <w:trPr>
          <w:trHeight w:val="1176"/>
        </w:trPr>
        <w:tc>
          <w:tcPr>
            <w:tcW w:w="618" w:type="dxa"/>
            <w:vAlign w:val="bottom"/>
          </w:tcPr>
          <w:p w14:paraId="578B120D" w14:textId="77777777" w:rsidR="00F05F4E" w:rsidRPr="00C6149C" w:rsidRDefault="00F05F4E" w:rsidP="00A50810">
            <w:pPr>
              <w:pStyle w:val="a6"/>
              <w:spacing w:line="360" w:lineRule="auto"/>
              <w:rPr>
                <w:lang w:val="uk-UA"/>
              </w:rPr>
            </w:pPr>
            <w:r w:rsidRPr="00C6149C">
              <w:rPr>
                <w:lang w:val="uk-UA"/>
              </w:rPr>
              <w:t>№</w:t>
            </w:r>
          </w:p>
        </w:tc>
        <w:tc>
          <w:tcPr>
            <w:tcW w:w="3845" w:type="dxa"/>
            <w:vAlign w:val="center"/>
          </w:tcPr>
          <w:p w14:paraId="0D4064A7" w14:textId="439DA426" w:rsidR="00F05F4E" w:rsidRPr="00C6149C" w:rsidRDefault="00F05F4E" w:rsidP="00821BED">
            <w:pPr>
              <w:pStyle w:val="a6"/>
              <w:shd w:val="clear" w:color="auto" w:fill="FFFFFF"/>
              <w:jc w:val="center"/>
            </w:pPr>
            <w:r w:rsidRPr="00C6149C">
              <w:t>Вид біологічної дії</w:t>
            </w:r>
          </w:p>
        </w:tc>
        <w:tc>
          <w:tcPr>
            <w:tcW w:w="1158" w:type="dxa"/>
            <w:vAlign w:val="center"/>
          </w:tcPr>
          <w:p w14:paraId="7A620BAB" w14:textId="11AF30CE" w:rsidR="00F05F4E" w:rsidRPr="00C6149C" w:rsidRDefault="00F05F4E" w:rsidP="00821BED">
            <w:pPr>
              <w:pStyle w:val="a6"/>
              <w:shd w:val="clear" w:color="auto" w:fill="FFFFFF"/>
              <w:jc w:val="center"/>
            </w:pPr>
            <w:r w:rsidRPr="00C6149C">
              <w:t>Кількість сполук</w:t>
            </w:r>
          </w:p>
        </w:tc>
        <w:tc>
          <w:tcPr>
            <w:tcW w:w="1834" w:type="dxa"/>
            <w:vAlign w:val="center"/>
          </w:tcPr>
          <w:p w14:paraId="1E669762" w14:textId="77777777" w:rsidR="00F05F4E" w:rsidRPr="00C6149C" w:rsidRDefault="00F05F4E" w:rsidP="00821BED">
            <w:pPr>
              <w:pStyle w:val="a6"/>
              <w:shd w:val="clear" w:color="auto" w:fill="FFFFFF"/>
              <w:jc w:val="center"/>
            </w:pPr>
            <w:r w:rsidRPr="00C6149C">
              <w:t>Межі вірогідної наявності дії</w:t>
            </w:r>
            <w:r w:rsidRPr="00C6149C">
              <w:rPr>
                <w:lang w:val="uk-UA"/>
              </w:rPr>
              <w:t>, Ра</w:t>
            </w:r>
          </w:p>
        </w:tc>
        <w:tc>
          <w:tcPr>
            <w:tcW w:w="1867" w:type="dxa"/>
            <w:vAlign w:val="center"/>
          </w:tcPr>
          <w:p w14:paraId="60CA529B" w14:textId="08F01100" w:rsidR="00F05F4E" w:rsidRPr="00C6149C" w:rsidRDefault="00F05F4E" w:rsidP="00821BED">
            <w:pPr>
              <w:pStyle w:val="a6"/>
              <w:shd w:val="clear" w:color="auto" w:fill="FFFFFF"/>
              <w:jc w:val="center"/>
            </w:pPr>
            <w:r w:rsidRPr="00C6149C">
              <w:t xml:space="preserve">Межі </w:t>
            </w:r>
            <w:r w:rsidR="00821BED">
              <w:br/>
            </w:r>
            <w:r w:rsidRPr="00C6149C">
              <w:t>вірогідної відсутності дії</w:t>
            </w:r>
            <w:r w:rsidRPr="00C6149C">
              <w:rPr>
                <w:lang w:val="uk-UA"/>
              </w:rPr>
              <w:t>, Рі</w:t>
            </w:r>
          </w:p>
        </w:tc>
      </w:tr>
      <w:tr w:rsidR="00F05F4E" w:rsidRPr="00C6149C" w14:paraId="487685FA" w14:textId="77777777" w:rsidTr="00A50810">
        <w:trPr>
          <w:trHeight w:val="65"/>
        </w:trPr>
        <w:tc>
          <w:tcPr>
            <w:tcW w:w="618" w:type="dxa"/>
            <w:vAlign w:val="bottom"/>
          </w:tcPr>
          <w:p w14:paraId="60BD649E" w14:textId="77777777" w:rsidR="00F05F4E" w:rsidRPr="00C6149C" w:rsidRDefault="00F05F4E" w:rsidP="00A50810">
            <w:pPr>
              <w:pStyle w:val="a6"/>
              <w:spacing w:line="360" w:lineRule="auto"/>
              <w:rPr>
                <w:lang w:val="uk-UA"/>
              </w:rPr>
            </w:pPr>
            <w:r w:rsidRPr="00C6149C">
              <w:rPr>
                <w:lang w:val="uk-UA"/>
              </w:rPr>
              <w:t>1</w:t>
            </w:r>
          </w:p>
        </w:tc>
        <w:tc>
          <w:tcPr>
            <w:tcW w:w="3845" w:type="dxa"/>
            <w:vAlign w:val="bottom"/>
          </w:tcPr>
          <w:p w14:paraId="5CC9E98C" w14:textId="77777777" w:rsidR="00F05F4E" w:rsidRPr="00C6149C" w:rsidRDefault="00F05F4E" w:rsidP="00A50810">
            <w:pPr>
              <w:pStyle w:val="a6"/>
              <w:spacing w:line="360" w:lineRule="auto"/>
              <w:rPr>
                <w:lang w:val="uk-UA"/>
              </w:rPr>
            </w:pPr>
            <w:r w:rsidRPr="00C6149C">
              <w:rPr>
                <w:lang w:val="uk-UA"/>
              </w:rPr>
              <w:t>Аналгетична</w:t>
            </w:r>
          </w:p>
        </w:tc>
        <w:tc>
          <w:tcPr>
            <w:tcW w:w="1158" w:type="dxa"/>
            <w:vAlign w:val="bottom"/>
          </w:tcPr>
          <w:p w14:paraId="49118C21" w14:textId="77777777" w:rsidR="00F05F4E" w:rsidRPr="00C6149C" w:rsidRDefault="00F05F4E" w:rsidP="00A50810">
            <w:pPr>
              <w:pStyle w:val="a6"/>
              <w:spacing w:line="360" w:lineRule="auto"/>
            </w:pPr>
            <w:r w:rsidRPr="00C6149C">
              <w:rPr>
                <w:lang w:val="uk-UA"/>
              </w:rPr>
              <w:t>6</w:t>
            </w:r>
          </w:p>
        </w:tc>
        <w:tc>
          <w:tcPr>
            <w:tcW w:w="1834" w:type="dxa"/>
            <w:vAlign w:val="bottom"/>
          </w:tcPr>
          <w:p w14:paraId="4139B9E3" w14:textId="77777777" w:rsidR="00F05F4E" w:rsidRPr="00C6149C" w:rsidRDefault="00F05F4E" w:rsidP="00A50810">
            <w:pPr>
              <w:pStyle w:val="a6"/>
              <w:spacing w:line="360" w:lineRule="auto"/>
              <w:rPr>
                <w:lang w:val="uk-UA"/>
              </w:rPr>
            </w:pPr>
            <w:r w:rsidRPr="00C6149C">
              <w:rPr>
                <w:lang w:val="uk-UA"/>
              </w:rPr>
              <w:t>0,243- 0,543</w:t>
            </w:r>
          </w:p>
        </w:tc>
        <w:tc>
          <w:tcPr>
            <w:tcW w:w="1867" w:type="dxa"/>
            <w:vAlign w:val="bottom"/>
          </w:tcPr>
          <w:p w14:paraId="5E9D0285" w14:textId="77777777" w:rsidR="00F05F4E" w:rsidRPr="00C6149C" w:rsidRDefault="00F05F4E" w:rsidP="00A50810">
            <w:pPr>
              <w:pStyle w:val="a6"/>
              <w:spacing w:line="360" w:lineRule="auto"/>
              <w:rPr>
                <w:lang w:val="uk-UA"/>
              </w:rPr>
            </w:pPr>
            <w:r w:rsidRPr="00C6149C">
              <w:rPr>
                <w:lang w:val="uk-UA"/>
              </w:rPr>
              <w:t>0,005-0,110</w:t>
            </w:r>
          </w:p>
        </w:tc>
      </w:tr>
      <w:tr w:rsidR="00F05F4E" w:rsidRPr="00C6149C" w14:paraId="0D108608" w14:textId="77777777" w:rsidTr="00A50810">
        <w:trPr>
          <w:trHeight w:val="65"/>
        </w:trPr>
        <w:tc>
          <w:tcPr>
            <w:tcW w:w="618" w:type="dxa"/>
            <w:vAlign w:val="bottom"/>
          </w:tcPr>
          <w:p w14:paraId="05FEA39D" w14:textId="77777777" w:rsidR="00F05F4E" w:rsidRPr="00C6149C" w:rsidRDefault="00F05F4E" w:rsidP="00A50810">
            <w:pPr>
              <w:pStyle w:val="a6"/>
              <w:spacing w:line="360" w:lineRule="auto"/>
              <w:rPr>
                <w:lang w:val="uk-UA"/>
              </w:rPr>
            </w:pPr>
            <w:r w:rsidRPr="00C6149C">
              <w:rPr>
                <w:lang w:val="uk-UA"/>
              </w:rPr>
              <w:t>2</w:t>
            </w:r>
          </w:p>
        </w:tc>
        <w:tc>
          <w:tcPr>
            <w:tcW w:w="3845" w:type="dxa"/>
            <w:vAlign w:val="bottom"/>
          </w:tcPr>
          <w:p w14:paraId="14D75EB5" w14:textId="77777777" w:rsidR="00F05F4E" w:rsidRPr="00C6149C" w:rsidRDefault="00F05F4E" w:rsidP="00A50810">
            <w:pPr>
              <w:pStyle w:val="a6"/>
              <w:spacing w:line="360" w:lineRule="auto"/>
              <w:rPr>
                <w:lang w:val="uk-UA"/>
              </w:rPr>
            </w:pPr>
            <w:r w:rsidRPr="00C6149C">
              <w:rPr>
                <w:lang w:val="uk-UA"/>
              </w:rPr>
              <w:t>Антипіретична</w:t>
            </w:r>
          </w:p>
        </w:tc>
        <w:tc>
          <w:tcPr>
            <w:tcW w:w="1158" w:type="dxa"/>
            <w:vAlign w:val="bottom"/>
          </w:tcPr>
          <w:p w14:paraId="255900B9" w14:textId="77777777" w:rsidR="00F05F4E" w:rsidRPr="00C6149C" w:rsidRDefault="00F05F4E" w:rsidP="00A50810">
            <w:pPr>
              <w:pStyle w:val="a6"/>
              <w:spacing w:line="360" w:lineRule="auto"/>
              <w:rPr>
                <w:lang w:val="uk-UA"/>
              </w:rPr>
            </w:pPr>
            <w:r w:rsidRPr="00C6149C">
              <w:rPr>
                <w:lang w:val="uk-UA"/>
              </w:rPr>
              <w:t>9</w:t>
            </w:r>
          </w:p>
        </w:tc>
        <w:tc>
          <w:tcPr>
            <w:tcW w:w="1834" w:type="dxa"/>
            <w:vAlign w:val="bottom"/>
          </w:tcPr>
          <w:p w14:paraId="627D912C" w14:textId="77777777" w:rsidR="00F05F4E" w:rsidRPr="00C6149C" w:rsidRDefault="00F05F4E" w:rsidP="00A50810">
            <w:pPr>
              <w:pStyle w:val="a6"/>
              <w:spacing w:line="360" w:lineRule="auto"/>
              <w:rPr>
                <w:lang w:val="uk-UA"/>
              </w:rPr>
            </w:pPr>
            <w:r w:rsidRPr="00C6149C">
              <w:rPr>
                <w:lang w:val="uk-UA"/>
              </w:rPr>
              <w:t>0,184-0,765</w:t>
            </w:r>
          </w:p>
        </w:tc>
        <w:tc>
          <w:tcPr>
            <w:tcW w:w="1867" w:type="dxa"/>
            <w:vAlign w:val="bottom"/>
          </w:tcPr>
          <w:p w14:paraId="06372845" w14:textId="77777777" w:rsidR="00F05F4E" w:rsidRPr="00C6149C" w:rsidRDefault="00F05F4E" w:rsidP="00A50810">
            <w:pPr>
              <w:pStyle w:val="a6"/>
              <w:spacing w:line="360" w:lineRule="auto"/>
              <w:rPr>
                <w:lang w:val="uk-UA"/>
              </w:rPr>
            </w:pPr>
            <w:r w:rsidRPr="00C6149C">
              <w:rPr>
                <w:lang w:val="uk-UA"/>
              </w:rPr>
              <w:t>0,048-0,101</w:t>
            </w:r>
          </w:p>
        </w:tc>
      </w:tr>
      <w:tr w:rsidR="00F05F4E" w:rsidRPr="00C6149C" w14:paraId="737657EA" w14:textId="77777777" w:rsidTr="00A50810">
        <w:trPr>
          <w:trHeight w:val="65"/>
        </w:trPr>
        <w:tc>
          <w:tcPr>
            <w:tcW w:w="618" w:type="dxa"/>
            <w:vAlign w:val="bottom"/>
          </w:tcPr>
          <w:p w14:paraId="4DF2A5C4" w14:textId="77777777" w:rsidR="00F05F4E" w:rsidRPr="00C6149C" w:rsidRDefault="00F05F4E" w:rsidP="00A50810">
            <w:pPr>
              <w:pStyle w:val="a6"/>
              <w:spacing w:line="360" w:lineRule="auto"/>
              <w:rPr>
                <w:lang w:val="uk-UA"/>
              </w:rPr>
            </w:pPr>
            <w:r w:rsidRPr="00C6149C">
              <w:rPr>
                <w:lang w:val="uk-UA"/>
              </w:rPr>
              <w:t>3</w:t>
            </w:r>
          </w:p>
        </w:tc>
        <w:tc>
          <w:tcPr>
            <w:tcW w:w="3845" w:type="dxa"/>
            <w:vAlign w:val="bottom"/>
          </w:tcPr>
          <w:p w14:paraId="70CE2744" w14:textId="77777777" w:rsidR="00F05F4E" w:rsidRPr="00C6149C" w:rsidRDefault="00F05F4E" w:rsidP="00A50810">
            <w:pPr>
              <w:rPr>
                <w:rFonts w:ascii="Times" w:hAnsi="Times"/>
                <w:color w:val="000000"/>
                <w:lang w:val="uk-UA"/>
              </w:rPr>
            </w:pPr>
            <w:r w:rsidRPr="00C6149C">
              <w:rPr>
                <w:rFonts w:ascii="Times" w:hAnsi="Times"/>
                <w:color w:val="000000"/>
                <w:lang w:val="uk-UA"/>
              </w:rPr>
              <w:t>Аналептична дія</w:t>
            </w:r>
          </w:p>
        </w:tc>
        <w:tc>
          <w:tcPr>
            <w:tcW w:w="1158" w:type="dxa"/>
            <w:vAlign w:val="bottom"/>
          </w:tcPr>
          <w:p w14:paraId="2FC55E74" w14:textId="77777777" w:rsidR="00F05F4E" w:rsidRPr="00C6149C" w:rsidRDefault="00F05F4E" w:rsidP="00A50810">
            <w:pPr>
              <w:pStyle w:val="a6"/>
              <w:spacing w:line="360" w:lineRule="auto"/>
              <w:rPr>
                <w:lang w:val="uk-UA"/>
              </w:rPr>
            </w:pPr>
            <w:r w:rsidRPr="00C6149C">
              <w:rPr>
                <w:lang w:val="uk-UA"/>
              </w:rPr>
              <w:t>3</w:t>
            </w:r>
          </w:p>
        </w:tc>
        <w:tc>
          <w:tcPr>
            <w:tcW w:w="1834" w:type="dxa"/>
            <w:vAlign w:val="bottom"/>
          </w:tcPr>
          <w:p w14:paraId="41C560A2" w14:textId="77777777" w:rsidR="00F05F4E" w:rsidRPr="00C6149C" w:rsidRDefault="00F05F4E" w:rsidP="00A50810">
            <w:pPr>
              <w:pStyle w:val="a6"/>
              <w:spacing w:line="360" w:lineRule="auto"/>
              <w:rPr>
                <w:lang w:val="uk-UA"/>
              </w:rPr>
            </w:pPr>
            <w:r w:rsidRPr="00C6149C">
              <w:rPr>
                <w:lang w:val="uk-UA"/>
              </w:rPr>
              <w:t>0,300-0,748</w:t>
            </w:r>
          </w:p>
        </w:tc>
        <w:tc>
          <w:tcPr>
            <w:tcW w:w="1867" w:type="dxa"/>
            <w:vAlign w:val="bottom"/>
          </w:tcPr>
          <w:p w14:paraId="4C18EE2F" w14:textId="77777777" w:rsidR="00F05F4E" w:rsidRPr="00C6149C" w:rsidRDefault="00F05F4E" w:rsidP="00A50810">
            <w:pPr>
              <w:pStyle w:val="a6"/>
              <w:spacing w:line="360" w:lineRule="auto"/>
              <w:rPr>
                <w:lang w:val="uk-UA"/>
              </w:rPr>
            </w:pPr>
            <w:r w:rsidRPr="00C6149C">
              <w:rPr>
                <w:lang w:val="uk-UA"/>
              </w:rPr>
              <w:t>0,008-0,109</w:t>
            </w:r>
          </w:p>
        </w:tc>
      </w:tr>
      <w:tr w:rsidR="00F05F4E" w:rsidRPr="00C6149C" w14:paraId="21D89188" w14:textId="77777777" w:rsidTr="00A50810">
        <w:trPr>
          <w:trHeight w:val="65"/>
        </w:trPr>
        <w:tc>
          <w:tcPr>
            <w:tcW w:w="618" w:type="dxa"/>
            <w:vAlign w:val="bottom"/>
          </w:tcPr>
          <w:p w14:paraId="1E1799DB" w14:textId="77777777" w:rsidR="00F05F4E" w:rsidRPr="00C6149C" w:rsidRDefault="00F05F4E" w:rsidP="00A50810">
            <w:pPr>
              <w:pStyle w:val="a6"/>
              <w:spacing w:line="360" w:lineRule="auto"/>
              <w:rPr>
                <w:lang w:val="uk-UA"/>
              </w:rPr>
            </w:pPr>
            <w:r w:rsidRPr="00C6149C">
              <w:rPr>
                <w:lang w:val="uk-UA"/>
              </w:rPr>
              <w:t>4</w:t>
            </w:r>
          </w:p>
        </w:tc>
        <w:tc>
          <w:tcPr>
            <w:tcW w:w="3845" w:type="dxa"/>
            <w:vAlign w:val="bottom"/>
          </w:tcPr>
          <w:p w14:paraId="0A762521" w14:textId="77777777" w:rsidR="00F05F4E" w:rsidRPr="00C6149C" w:rsidRDefault="00F05F4E" w:rsidP="00A50810">
            <w:pPr>
              <w:rPr>
                <w:rFonts w:ascii="Times" w:hAnsi="Times"/>
                <w:color w:val="000000"/>
                <w:lang w:val="uk-UA"/>
              </w:rPr>
            </w:pPr>
            <w:r w:rsidRPr="00C6149C">
              <w:rPr>
                <w:rFonts w:ascii="Times" w:hAnsi="Times"/>
                <w:color w:val="000000"/>
                <w:lang w:val="uk-UA"/>
              </w:rPr>
              <w:t>Анестетична</w:t>
            </w:r>
          </w:p>
        </w:tc>
        <w:tc>
          <w:tcPr>
            <w:tcW w:w="1158" w:type="dxa"/>
            <w:vAlign w:val="bottom"/>
          </w:tcPr>
          <w:p w14:paraId="717B09CC" w14:textId="77777777" w:rsidR="00F05F4E" w:rsidRPr="00C6149C" w:rsidRDefault="00F05F4E" w:rsidP="00A50810">
            <w:pPr>
              <w:pStyle w:val="a6"/>
              <w:spacing w:line="360" w:lineRule="auto"/>
              <w:rPr>
                <w:lang w:val="uk-UA"/>
              </w:rPr>
            </w:pPr>
            <w:r w:rsidRPr="00C6149C">
              <w:rPr>
                <w:lang w:val="uk-UA"/>
              </w:rPr>
              <w:t>5</w:t>
            </w:r>
          </w:p>
        </w:tc>
        <w:tc>
          <w:tcPr>
            <w:tcW w:w="1834" w:type="dxa"/>
            <w:vAlign w:val="bottom"/>
          </w:tcPr>
          <w:p w14:paraId="1833DAC3" w14:textId="77777777" w:rsidR="00F05F4E" w:rsidRPr="00C6149C" w:rsidRDefault="00F05F4E" w:rsidP="00A50810">
            <w:pPr>
              <w:pStyle w:val="a6"/>
              <w:spacing w:line="360" w:lineRule="auto"/>
              <w:rPr>
                <w:lang w:val="uk-UA"/>
              </w:rPr>
            </w:pPr>
            <w:r w:rsidRPr="00C6149C">
              <w:rPr>
                <w:lang w:val="uk-UA"/>
              </w:rPr>
              <w:t>0,286-0,522</w:t>
            </w:r>
          </w:p>
        </w:tc>
        <w:tc>
          <w:tcPr>
            <w:tcW w:w="1867" w:type="dxa"/>
            <w:vAlign w:val="bottom"/>
          </w:tcPr>
          <w:p w14:paraId="185C23DD" w14:textId="77777777" w:rsidR="00F05F4E" w:rsidRPr="00C6149C" w:rsidRDefault="00F05F4E" w:rsidP="00A50810">
            <w:pPr>
              <w:pStyle w:val="a6"/>
              <w:spacing w:line="360" w:lineRule="auto"/>
              <w:rPr>
                <w:lang w:val="uk-UA"/>
              </w:rPr>
            </w:pPr>
            <w:r w:rsidRPr="00C6149C">
              <w:rPr>
                <w:lang w:val="uk-UA"/>
              </w:rPr>
              <w:t>0,043-0,102</w:t>
            </w:r>
          </w:p>
        </w:tc>
      </w:tr>
      <w:tr w:rsidR="00F05F4E" w:rsidRPr="00C6149C" w14:paraId="1AE1A55D" w14:textId="77777777" w:rsidTr="00A50810">
        <w:trPr>
          <w:trHeight w:val="65"/>
        </w:trPr>
        <w:tc>
          <w:tcPr>
            <w:tcW w:w="618" w:type="dxa"/>
            <w:vAlign w:val="bottom"/>
          </w:tcPr>
          <w:p w14:paraId="0C53C362" w14:textId="77777777" w:rsidR="00F05F4E" w:rsidRPr="00C6149C" w:rsidRDefault="00F05F4E" w:rsidP="00A50810">
            <w:pPr>
              <w:pStyle w:val="a6"/>
              <w:spacing w:line="360" w:lineRule="auto"/>
              <w:rPr>
                <w:lang w:val="uk-UA"/>
              </w:rPr>
            </w:pPr>
            <w:r w:rsidRPr="00C6149C">
              <w:rPr>
                <w:lang w:val="uk-UA"/>
              </w:rPr>
              <w:t>5</w:t>
            </w:r>
          </w:p>
        </w:tc>
        <w:tc>
          <w:tcPr>
            <w:tcW w:w="3845" w:type="dxa"/>
            <w:vAlign w:val="bottom"/>
          </w:tcPr>
          <w:p w14:paraId="047B4A31" w14:textId="77777777" w:rsidR="00F05F4E" w:rsidRPr="00C6149C" w:rsidRDefault="00F05F4E" w:rsidP="00A50810">
            <w:pPr>
              <w:rPr>
                <w:rFonts w:ascii="Times" w:hAnsi="Times"/>
                <w:color w:val="000000"/>
                <w:lang w:val="uk-UA"/>
              </w:rPr>
            </w:pPr>
            <w:r w:rsidRPr="00C6149C">
              <w:rPr>
                <w:rFonts w:ascii="Times" w:hAnsi="Times"/>
                <w:color w:val="000000"/>
                <w:lang w:val="uk-UA"/>
              </w:rPr>
              <w:t>Антиепелептична</w:t>
            </w:r>
          </w:p>
        </w:tc>
        <w:tc>
          <w:tcPr>
            <w:tcW w:w="1158" w:type="dxa"/>
            <w:vAlign w:val="bottom"/>
          </w:tcPr>
          <w:p w14:paraId="08D9E723" w14:textId="77777777" w:rsidR="00F05F4E" w:rsidRPr="00C6149C" w:rsidRDefault="00F05F4E" w:rsidP="00A50810">
            <w:pPr>
              <w:pStyle w:val="a6"/>
              <w:spacing w:line="360" w:lineRule="auto"/>
              <w:rPr>
                <w:lang w:val="uk-UA"/>
              </w:rPr>
            </w:pPr>
            <w:r w:rsidRPr="00C6149C">
              <w:rPr>
                <w:lang w:val="uk-UA"/>
              </w:rPr>
              <w:t>4</w:t>
            </w:r>
          </w:p>
        </w:tc>
        <w:tc>
          <w:tcPr>
            <w:tcW w:w="1834" w:type="dxa"/>
            <w:vAlign w:val="bottom"/>
          </w:tcPr>
          <w:p w14:paraId="2A84D912" w14:textId="77777777" w:rsidR="00F05F4E" w:rsidRPr="00C6149C" w:rsidRDefault="00F05F4E" w:rsidP="00A50810">
            <w:pPr>
              <w:pStyle w:val="a6"/>
              <w:spacing w:line="360" w:lineRule="auto"/>
              <w:rPr>
                <w:lang w:val="uk-UA"/>
              </w:rPr>
            </w:pPr>
            <w:r w:rsidRPr="00C6149C">
              <w:rPr>
                <w:lang w:val="uk-UA"/>
              </w:rPr>
              <w:t>0,168-0,323</w:t>
            </w:r>
          </w:p>
        </w:tc>
        <w:tc>
          <w:tcPr>
            <w:tcW w:w="1867" w:type="dxa"/>
            <w:vAlign w:val="bottom"/>
          </w:tcPr>
          <w:p w14:paraId="45885996" w14:textId="77777777" w:rsidR="00F05F4E" w:rsidRPr="00C6149C" w:rsidRDefault="00F05F4E" w:rsidP="00A50810">
            <w:pPr>
              <w:pStyle w:val="a6"/>
              <w:spacing w:line="360" w:lineRule="auto"/>
              <w:rPr>
                <w:lang w:val="uk-UA"/>
              </w:rPr>
            </w:pPr>
            <w:r w:rsidRPr="00C6149C">
              <w:rPr>
                <w:lang w:val="uk-UA"/>
              </w:rPr>
              <w:t>0,105-0,164</w:t>
            </w:r>
          </w:p>
        </w:tc>
      </w:tr>
      <w:tr w:rsidR="00F05F4E" w:rsidRPr="00C6149C" w14:paraId="5F4ED95C" w14:textId="77777777" w:rsidTr="00A50810">
        <w:trPr>
          <w:trHeight w:val="65"/>
        </w:trPr>
        <w:tc>
          <w:tcPr>
            <w:tcW w:w="618" w:type="dxa"/>
            <w:vAlign w:val="bottom"/>
          </w:tcPr>
          <w:p w14:paraId="5D919A67" w14:textId="77777777" w:rsidR="00F05F4E" w:rsidRPr="00C6149C" w:rsidRDefault="00F05F4E" w:rsidP="00A50810">
            <w:pPr>
              <w:pStyle w:val="a6"/>
              <w:spacing w:line="360" w:lineRule="auto"/>
              <w:rPr>
                <w:lang w:val="uk-UA"/>
              </w:rPr>
            </w:pPr>
            <w:r w:rsidRPr="00C6149C">
              <w:rPr>
                <w:lang w:val="uk-UA"/>
              </w:rPr>
              <w:t>6</w:t>
            </w:r>
          </w:p>
        </w:tc>
        <w:tc>
          <w:tcPr>
            <w:tcW w:w="3845" w:type="dxa"/>
            <w:vAlign w:val="bottom"/>
          </w:tcPr>
          <w:p w14:paraId="35DD5568" w14:textId="77777777" w:rsidR="00F05F4E" w:rsidRPr="00C6149C" w:rsidRDefault="00F05F4E" w:rsidP="00A50810">
            <w:pPr>
              <w:pStyle w:val="a6"/>
              <w:spacing w:line="360" w:lineRule="auto"/>
              <w:rPr>
                <w:lang w:val="uk-UA"/>
              </w:rPr>
            </w:pPr>
            <w:r w:rsidRPr="00C6149C">
              <w:rPr>
                <w:lang w:val="uk-UA"/>
              </w:rPr>
              <w:t>Антиноцицептивна</w:t>
            </w:r>
          </w:p>
        </w:tc>
        <w:tc>
          <w:tcPr>
            <w:tcW w:w="1158" w:type="dxa"/>
            <w:vAlign w:val="bottom"/>
          </w:tcPr>
          <w:p w14:paraId="07225784" w14:textId="77777777" w:rsidR="00F05F4E" w:rsidRPr="00C6149C" w:rsidRDefault="00F05F4E" w:rsidP="00A50810">
            <w:pPr>
              <w:pStyle w:val="a6"/>
              <w:spacing w:line="360" w:lineRule="auto"/>
              <w:rPr>
                <w:lang w:val="uk-UA"/>
              </w:rPr>
            </w:pPr>
            <w:r w:rsidRPr="00C6149C">
              <w:rPr>
                <w:lang w:val="uk-UA"/>
              </w:rPr>
              <w:t>6</w:t>
            </w:r>
          </w:p>
        </w:tc>
        <w:tc>
          <w:tcPr>
            <w:tcW w:w="1834" w:type="dxa"/>
            <w:vAlign w:val="bottom"/>
          </w:tcPr>
          <w:p w14:paraId="4B842989" w14:textId="77777777" w:rsidR="00F05F4E" w:rsidRPr="00C6149C" w:rsidRDefault="00F05F4E" w:rsidP="00A50810">
            <w:pPr>
              <w:pStyle w:val="a6"/>
              <w:spacing w:line="360" w:lineRule="auto"/>
              <w:rPr>
                <w:lang w:val="uk-UA"/>
              </w:rPr>
            </w:pPr>
            <w:r w:rsidRPr="00C6149C">
              <w:rPr>
                <w:lang w:val="uk-UA"/>
              </w:rPr>
              <w:t>0,459-0,606</w:t>
            </w:r>
          </w:p>
        </w:tc>
        <w:tc>
          <w:tcPr>
            <w:tcW w:w="1867" w:type="dxa"/>
            <w:vAlign w:val="bottom"/>
          </w:tcPr>
          <w:p w14:paraId="283A4AA8" w14:textId="77777777" w:rsidR="00F05F4E" w:rsidRPr="00C6149C" w:rsidRDefault="00F05F4E" w:rsidP="00A50810">
            <w:pPr>
              <w:pStyle w:val="a6"/>
              <w:spacing w:line="360" w:lineRule="auto"/>
              <w:rPr>
                <w:lang w:val="uk-UA"/>
              </w:rPr>
            </w:pPr>
            <w:r w:rsidRPr="00C6149C">
              <w:rPr>
                <w:lang w:val="uk-UA"/>
              </w:rPr>
              <w:t>0,007-0,064</w:t>
            </w:r>
          </w:p>
        </w:tc>
      </w:tr>
      <w:tr w:rsidR="00F05F4E" w:rsidRPr="00C6149C" w14:paraId="48693675" w14:textId="77777777" w:rsidTr="00A50810">
        <w:trPr>
          <w:trHeight w:val="65"/>
        </w:trPr>
        <w:tc>
          <w:tcPr>
            <w:tcW w:w="618" w:type="dxa"/>
            <w:vAlign w:val="bottom"/>
          </w:tcPr>
          <w:p w14:paraId="6EF57F74" w14:textId="77777777" w:rsidR="00F05F4E" w:rsidRPr="00C6149C" w:rsidRDefault="00F05F4E" w:rsidP="00A50810">
            <w:pPr>
              <w:pStyle w:val="a6"/>
              <w:spacing w:line="360" w:lineRule="auto"/>
              <w:rPr>
                <w:lang w:val="uk-UA"/>
              </w:rPr>
            </w:pPr>
            <w:r w:rsidRPr="00C6149C">
              <w:rPr>
                <w:lang w:val="uk-UA"/>
              </w:rPr>
              <w:t>7</w:t>
            </w:r>
          </w:p>
        </w:tc>
        <w:tc>
          <w:tcPr>
            <w:tcW w:w="3845" w:type="dxa"/>
            <w:vAlign w:val="bottom"/>
          </w:tcPr>
          <w:p w14:paraId="5B276798" w14:textId="77777777" w:rsidR="00F05F4E" w:rsidRPr="00C6149C" w:rsidRDefault="00F05F4E" w:rsidP="00A50810">
            <w:pPr>
              <w:pStyle w:val="a6"/>
              <w:spacing w:line="360" w:lineRule="auto"/>
              <w:rPr>
                <w:lang w:val="uk-UA"/>
              </w:rPr>
            </w:pPr>
            <w:r w:rsidRPr="00C6149C">
              <w:rPr>
                <w:lang w:val="uk-UA"/>
              </w:rPr>
              <w:t xml:space="preserve">Ноотропна </w:t>
            </w:r>
          </w:p>
        </w:tc>
        <w:tc>
          <w:tcPr>
            <w:tcW w:w="1158" w:type="dxa"/>
            <w:vAlign w:val="bottom"/>
          </w:tcPr>
          <w:p w14:paraId="11BE2623" w14:textId="77777777" w:rsidR="00F05F4E" w:rsidRPr="00C6149C" w:rsidRDefault="00F05F4E" w:rsidP="00A50810">
            <w:pPr>
              <w:pStyle w:val="a6"/>
              <w:spacing w:line="360" w:lineRule="auto"/>
              <w:rPr>
                <w:lang w:val="uk-UA"/>
              </w:rPr>
            </w:pPr>
            <w:r w:rsidRPr="00C6149C">
              <w:rPr>
                <w:lang w:val="uk-UA"/>
              </w:rPr>
              <w:t>5</w:t>
            </w:r>
          </w:p>
        </w:tc>
        <w:tc>
          <w:tcPr>
            <w:tcW w:w="1834" w:type="dxa"/>
            <w:vAlign w:val="bottom"/>
          </w:tcPr>
          <w:p w14:paraId="46C9C01E" w14:textId="77777777" w:rsidR="00F05F4E" w:rsidRPr="00C6149C" w:rsidRDefault="00F05F4E" w:rsidP="00A50810">
            <w:pPr>
              <w:pStyle w:val="a6"/>
              <w:spacing w:line="360" w:lineRule="auto"/>
              <w:rPr>
                <w:lang w:val="uk-UA"/>
              </w:rPr>
            </w:pPr>
            <w:r w:rsidRPr="00C6149C">
              <w:rPr>
                <w:lang w:val="uk-UA"/>
              </w:rPr>
              <w:t>0,358-0,378</w:t>
            </w:r>
          </w:p>
        </w:tc>
        <w:tc>
          <w:tcPr>
            <w:tcW w:w="1867" w:type="dxa"/>
            <w:vAlign w:val="bottom"/>
          </w:tcPr>
          <w:p w14:paraId="44DC099A" w14:textId="77777777" w:rsidR="00F05F4E" w:rsidRPr="00C6149C" w:rsidRDefault="00F05F4E" w:rsidP="00A50810">
            <w:pPr>
              <w:pStyle w:val="a6"/>
              <w:spacing w:line="360" w:lineRule="auto"/>
              <w:rPr>
                <w:lang w:val="uk-UA"/>
              </w:rPr>
            </w:pPr>
            <w:r w:rsidRPr="00C6149C">
              <w:rPr>
                <w:lang w:val="uk-UA"/>
              </w:rPr>
              <w:t>0,239-0,260</w:t>
            </w:r>
          </w:p>
        </w:tc>
      </w:tr>
      <w:tr w:rsidR="00F05F4E" w:rsidRPr="00C6149C" w14:paraId="54C21584" w14:textId="77777777" w:rsidTr="00A50810">
        <w:trPr>
          <w:trHeight w:val="65"/>
        </w:trPr>
        <w:tc>
          <w:tcPr>
            <w:tcW w:w="618" w:type="dxa"/>
            <w:vAlign w:val="bottom"/>
          </w:tcPr>
          <w:p w14:paraId="075AF45C" w14:textId="77777777" w:rsidR="00F05F4E" w:rsidRPr="00C6149C" w:rsidRDefault="00F05F4E" w:rsidP="00A50810">
            <w:pPr>
              <w:pStyle w:val="a6"/>
              <w:spacing w:line="360" w:lineRule="auto"/>
              <w:rPr>
                <w:lang w:val="uk-UA"/>
              </w:rPr>
            </w:pPr>
            <w:r w:rsidRPr="00C6149C">
              <w:rPr>
                <w:lang w:val="uk-UA"/>
              </w:rPr>
              <w:t>8</w:t>
            </w:r>
          </w:p>
        </w:tc>
        <w:tc>
          <w:tcPr>
            <w:tcW w:w="3845" w:type="dxa"/>
            <w:vAlign w:val="bottom"/>
          </w:tcPr>
          <w:p w14:paraId="475D1655" w14:textId="77777777" w:rsidR="00F05F4E" w:rsidRPr="00C6149C" w:rsidRDefault="00F05F4E" w:rsidP="00A50810">
            <w:pPr>
              <w:rPr>
                <w:rFonts w:ascii="Times" w:hAnsi="Times"/>
                <w:color w:val="000000"/>
                <w:lang w:val="uk-UA"/>
              </w:rPr>
            </w:pPr>
            <w:r w:rsidRPr="00C6149C">
              <w:rPr>
                <w:rFonts w:ascii="Times" w:hAnsi="Times"/>
                <w:color w:val="000000"/>
                <w:lang w:val="uk-UA"/>
              </w:rPr>
              <w:t>Міорелаксантна</w:t>
            </w:r>
          </w:p>
        </w:tc>
        <w:tc>
          <w:tcPr>
            <w:tcW w:w="1158" w:type="dxa"/>
            <w:vAlign w:val="bottom"/>
          </w:tcPr>
          <w:p w14:paraId="592E9B76" w14:textId="77777777" w:rsidR="00F05F4E" w:rsidRPr="00C6149C" w:rsidRDefault="00F05F4E" w:rsidP="00A50810">
            <w:pPr>
              <w:pStyle w:val="a6"/>
              <w:spacing w:line="360" w:lineRule="auto"/>
              <w:rPr>
                <w:lang w:val="uk-UA"/>
              </w:rPr>
            </w:pPr>
            <w:r w:rsidRPr="00C6149C">
              <w:rPr>
                <w:lang w:val="uk-UA"/>
              </w:rPr>
              <w:t>4</w:t>
            </w:r>
          </w:p>
        </w:tc>
        <w:tc>
          <w:tcPr>
            <w:tcW w:w="1834" w:type="dxa"/>
            <w:vAlign w:val="bottom"/>
          </w:tcPr>
          <w:p w14:paraId="6C0EDCE0" w14:textId="77777777" w:rsidR="00F05F4E" w:rsidRPr="00C6149C" w:rsidRDefault="00F05F4E" w:rsidP="00A50810">
            <w:pPr>
              <w:pStyle w:val="a6"/>
              <w:spacing w:line="360" w:lineRule="auto"/>
              <w:rPr>
                <w:lang w:val="uk-UA"/>
              </w:rPr>
            </w:pPr>
            <w:r w:rsidRPr="00C6149C">
              <w:rPr>
                <w:lang w:val="uk-UA"/>
              </w:rPr>
              <w:t>0,168-0,287</w:t>
            </w:r>
          </w:p>
        </w:tc>
        <w:tc>
          <w:tcPr>
            <w:tcW w:w="1867" w:type="dxa"/>
            <w:vAlign w:val="bottom"/>
          </w:tcPr>
          <w:p w14:paraId="113C6381" w14:textId="77777777" w:rsidR="00F05F4E" w:rsidRPr="00C6149C" w:rsidRDefault="00F05F4E" w:rsidP="00A50810">
            <w:pPr>
              <w:pStyle w:val="a6"/>
              <w:spacing w:line="360" w:lineRule="auto"/>
              <w:rPr>
                <w:lang w:val="uk-UA"/>
              </w:rPr>
            </w:pPr>
            <w:r w:rsidRPr="00C6149C">
              <w:rPr>
                <w:lang w:val="uk-UA"/>
              </w:rPr>
              <w:t>0,062-0,144</w:t>
            </w:r>
          </w:p>
        </w:tc>
      </w:tr>
      <w:tr w:rsidR="00F05F4E" w:rsidRPr="00C6149C" w14:paraId="5E6CD576" w14:textId="77777777" w:rsidTr="00A50810">
        <w:trPr>
          <w:trHeight w:val="65"/>
        </w:trPr>
        <w:tc>
          <w:tcPr>
            <w:tcW w:w="618" w:type="dxa"/>
            <w:vAlign w:val="bottom"/>
          </w:tcPr>
          <w:p w14:paraId="34C057FF" w14:textId="77777777" w:rsidR="00F05F4E" w:rsidRPr="00C6149C" w:rsidRDefault="00F05F4E" w:rsidP="00A50810">
            <w:pPr>
              <w:pStyle w:val="a6"/>
              <w:spacing w:line="360" w:lineRule="auto"/>
              <w:rPr>
                <w:lang w:val="uk-UA"/>
              </w:rPr>
            </w:pPr>
            <w:r w:rsidRPr="00C6149C">
              <w:rPr>
                <w:lang w:val="uk-UA"/>
              </w:rPr>
              <w:t>9</w:t>
            </w:r>
          </w:p>
        </w:tc>
        <w:tc>
          <w:tcPr>
            <w:tcW w:w="3845" w:type="dxa"/>
            <w:vAlign w:val="bottom"/>
          </w:tcPr>
          <w:p w14:paraId="51FCB2D1" w14:textId="77777777" w:rsidR="00F05F4E" w:rsidRPr="00C6149C" w:rsidRDefault="00F05F4E" w:rsidP="00A50810">
            <w:pPr>
              <w:pStyle w:val="a6"/>
              <w:spacing w:line="360" w:lineRule="auto"/>
              <w:rPr>
                <w:lang w:val="uk-UA"/>
              </w:rPr>
            </w:pPr>
            <w:r w:rsidRPr="00C6149C">
              <w:rPr>
                <w:lang w:val="uk-UA"/>
              </w:rPr>
              <w:t>Протизапальна</w:t>
            </w:r>
          </w:p>
        </w:tc>
        <w:tc>
          <w:tcPr>
            <w:tcW w:w="1158" w:type="dxa"/>
            <w:vAlign w:val="bottom"/>
          </w:tcPr>
          <w:p w14:paraId="6664EC51" w14:textId="77777777" w:rsidR="00F05F4E" w:rsidRPr="00C6149C" w:rsidRDefault="00F05F4E" w:rsidP="00A50810">
            <w:pPr>
              <w:pStyle w:val="a6"/>
              <w:spacing w:line="360" w:lineRule="auto"/>
              <w:rPr>
                <w:lang w:val="uk-UA"/>
              </w:rPr>
            </w:pPr>
            <w:r w:rsidRPr="00C6149C">
              <w:rPr>
                <w:lang w:val="uk-UA"/>
              </w:rPr>
              <w:t>9</w:t>
            </w:r>
          </w:p>
        </w:tc>
        <w:tc>
          <w:tcPr>
            <w:tcW w:w="1834" w:type="dxa"/>
            <w:vAlign w:val="bottom"/>
          </w:tcPr>
          <w:p w14:paraId="48CACAF3" w14:textId="77777777" w:rsidR="00F05F4E" w:rsidRPr="00C6149C" w:rsidRDefault="00F05F4E" w:rsidP="00A50810">
            <w:pPr>
              <w:pStyle w:val="a6"/>
              <w:spacing w:line="360" w:lineRule="auto"/>
              <w:rPr>
                <w:lang w:val="uk-UA"/>
              </w:rPr>
            </w:pPr>
            <w:r w:rsidRPr="00C6149C">
              <w:rPr>
                <w:lang w:val="uk-UA"/>
              </w:rPr>
              <w:t>0,233-0,713</w:t>
            </w:r>
          </w:p>
        </w:tc>
        <w:tc>
          <w:tcPr>
            <w:tcW w:w="1867" w:type="dxa"/>
            <w:vAlign w:val="bottom"/>
          </w:tcPr>
          <w:p w14:paraId="26D898DB" w14:textId="77777777" w:rsidR="00F05F4E" w:rsidRPr="00C6149C" w:rsidRDefault="00F05F4E" w:rsidP="00A50810">
            <w:pPr>
              <w:pStyle w:val="a6"/>
              <w:spacing w:line="360" w:lineRule="auto"/>
              <w:rPr>
                <w:lang w:val="uk-UA"/>
              </w:rPr>
            </w:pPr>
            <w:r w:rsidRPr="00C6149C">
              <w:rPr>
                <w:lang w:val="uk-UA"/>
              </w:rPr>
              <w:t>0,004-0,113</w:t>
            </w:r>
          </w:p>
        </w:tc>
      </w:tr>
      <w:tr w:rsidR="00F05F4E" w:rsidRPr="00C6149C" w14:paraId="5C22807A" w14:textId="77777777" w:rsidTr="00A50810">
        <w:trPr>
          <w:trHeight w:val="65"/>
        </w:trPr>
        <w:tc>
          <w:tcPr>
            <w:tcW w:w="618" w:type="dxa"/>
            <w:vAlign w:val="bottom"/>
          </w:tcPr>
          <w:p w14:paraId="1045E9C9" w14:textId="77777777" w:rsidR="00F05F4E" w:rsidRPr="00C6149C" w:rsidRDefault="00F05F4E" w:rsidP="00A50810">
            <w:pPr>
              <w:pStyle w:val="a6"/>
              <w:spacing w:line="360" w:lineRule="auto"/>
              <w:rPr>
                <w:lang w:val="uk-UA"/>
              </w:rPr>
            </w:pPr>
            <w:r w:rsidRPr="00C6149C">
              <w:rPr>
                <w:lang w:val="uk-UA"/>
              </w:rPr>
              <w:t>10</w:t>
            </w:r>
          </w:p>
        </w:tc>
        <w:tc>
          <w:tcPr>
            <w:tcW w:w="3845" w:type="dxa"/>
            <w:vAlign w:val="bottom"/>
          </w:tcPr>
          <w:p w14:paraId="6526764B" w14:textId="77777777" w:rsidR="00F05F4E" w:rsidRPr="00C6149C" w:rsidRDefault="00F05F4E" w:rsidP="00A50810">
            <w:pPr>
              <w:pStyle w:val="a6"/>
              <w:spacing w:line="360" w:lineRule="auto"/>
              <w:rPr>
                <w:lang w:val="uk-UA"/>
              </w:rPr>
            </w:pPr>
            <w:r w:rsidRPr="00C6149C">
              <w:rPr>
                <w:lang w:val="uk-UA"/>
              </w:rPr>
              <w:t xml:space="preserve">Блокатор кальцієвих каналів </w:t>
            </w:r>
            <w:r w:rsidRPr="00C6149C">
              <w:rPr>
                <w:lang w:val="en-US"/>
              </w:rPr>
              <w:t>N</w:t>
            </w:r>
            <w:r w:rsidRPr="00C6149C">
              <w:rPr>
                <w:lang w:val="uk-UA"/>
              </w:rPr>
              <w:t>-типу</w:t>
            </w:r>
          </w:p>
        </w:tc>
        <w:tc>
          <w:tcPr>
            <w:tcW w:w="1158" w:type="dxa"/>
            <w:vAlign w:val="bottom"/>
          </w:tcPr>
          <w:p w14:paraId="0F9516E2" w14:textId="77777777" w:rsidR="00F05F4E" w:rsidRPr="00C6149C" w:rsidRDefault="00F05F4E" w:rsidP="00A50810">
            <w:pPr>
              <w:pStyle w:val="a6"/>
              <w:spacing w:line="360" w:lineRule="auto"/>
              <w:rPr>
                <w:lang w:val="uk-UA"/>
              </w:rPr>
            </w:pPr>
            <w:r w:rsidRPr="00C6149C">
              <w:rPr>
                <w:lang w:val="uk-UA"/>
              </w:rPr>
              <w:t>8</w:t>
            </w:r>
          </w:p>
        </w:tc>
        <w:tc>
          <w:tcPr>
            <w:tcW w:w="1834" w:type="dxa"/>
            <w:vAlign w:val="bottom"/>
          </w:tcPr>
          <w:p w14:paraId="659B8456" w14:textId="77777777" w:rsidR="00F05F4E" w:rsidRPr="00C6149C" w:rsidRDefault="00F05F4E" w:rsidP="00A50810">
            <w:pPr>
              <w:pStyle w:val="a6"/>
              <w:spacing w:line="360" w:lineRule="auto"/>
              <w:rPr>
                <w:lang w:val="uk-UA"/>
              </w:rPr>
            </w:pPr>
            <w:r w:rsidRPr="00C6149C">
              <w:rPr>
                <w:lang w:val="uk-UA"/>
              </w:rPr>
              <w:t>0,146-0,314</w:t>
            </w:r>
          </w:p>
        </w:tc>
        <w:tc>
          <w:tcPr>
            <w:tcW w:w="1867" w:type="dxa"/>
            <w:vAlign w:val="bottom"/>
          </w:tcPr>
          <w:p w14:paraId="1A30C5D7" w14:textId="77777777" w:rsidR="00F05F4E" w:rsidRPr="00C6149C" w:rsidRDefault="00F05F4E" w:rsidP="00A50810">
            <w:pPr>
              <w:pStyle w:val="a6"/>
              <w:spacing w:line="360" w:lineRule="auto"/>
              <w:rPr>
                <w:lang w:val="uk-UA"/>
              </w:rPr>
            </w:pPr>
            <w:r w:rsidRPr="00C6149C">
              <w:rPr>
                <w:lang w:val="uk-UA"/>
              </w:rPr>
              <w:t>0,016-0,066</w:t>
            </w:r>
          </w:p>
        </w:tc>
      </w:tr>
      <w:tr w:rsidR="00F05F4E" w:rsidRPr="00C6149C" w14:paraId="260A4AD4" w14:textId="77777777" w:rsidTr="00A50810">
        <w:trPr>
          <w:trHeight w:val="65"/>
        </w:trPr>
        <w:tc>
          <w:tcPr>
            <w:tcW w:w="618" w:type="dxa"/>
            <w:vAlign w:val="bottom"/>
          </w:tcPr>
          <w:p w14:paraId="32A7AB14" w14:textId="77777777" w:rsidR="00F05F4E" w:rsidRPr="00C6149C" w:rsidRDefault="00F05F4E" w:rsidP="00A50810">
            <w:pPr>
              <w:pStyle w:val="a6"/>
              <w:spacing w:line="360" w:lineRule="auto"/>
              <w:rPr>
                <w:lang w:val="uk-UA"/>
              </w:rPr>
            </w:pPr>
            <w:r w:rsidRPr="00C6149C">
              <w:rPr>
                <w:lang w:val="uk-UA"/>
              </w:rPr>
              <w:t>11</w:t>
            </w:r>
          </w:p>
        </w:tc>
        <w:tc>
          <w:tcPr>
            <w:tcW w:w="3845" w:type="dxa"/>
            <w:vAlign w:val="bottom"/>
          </w:tcPr>
          <w:p w14:paraId="655AE12D" w14:textId="77777777" w:rsidR="00F05F4E" w:rsidRPr="00C6149C" w:rsidRDefault="00F05F4E" w:rsidP="00A50810">
            <w:pPr>
              <w:pStyle w:val="a6"/>
              <w:spacing w:line="360" w:lineRule="auto"/>
              <w:rPr>
                <w:lang w:val="uk-UA"/>
              </w:rPr>
            </w:pPr>
            <w:r w:rsidRPr="00C6149C">
              <w:rPr>
                <w:lang w:val="uk-UA"/>
              </w:rPr>
              <w:t>Інгібітор МАО</w:t>
            </w:r>
          </w:p>
        </w:tc>
        <w:tc>
          <w:tcPr>
            <w:tcW w:w="1158" w:type="dxa"/>
            <w:vAlign w:val="bottom"/>
          </w:tcPr>
          <w:p w14:paraId="6A7D5D0D" w14:textId="77777777" w:rsidR="00F05F4E" w:rsidRPr="00C6149C" w:rsidRDefault="00F05F4E" w:rsidP="00A50810">
            <w:pPr>
              <w:pStyle w:val="a6"/>
              <w:spacing w:line="360" w:lineRule="auto"/>
              <w:rPr>
                <w:lang w:val="uk-UA"/>
              </w:rPr>
            </w:pPr>
            <w:r w:rsidRPr="00C6149C">
              <w:rPr>
                <w:lang w:val="uk-UA"/>
              </w:rPr>
              <w:t>8</w:t>
            </w:r>
          </w:p>
        </w:tc>
        <w:tc>
          <w:tcPr>
            <w:tcW w:w="1834" w:type="dxa"/>
            <w:vAlign w:val="bottom"/>
          </w:tcPr>
          <w:p w14:paraId="6667B687" w14:textId="77777777" w:rsidR="00F05F4E" w:rsidRPr="00C6149C" w:rsidRDefault="00F05F4E" w:rsidP="00A50810">
            <w:pPr>
              <w:pStyle w:val="a6"/>
              <w:spacing w:line="360" w:lineRule="auto"/>
              <w:rPr>
                <w:lang w:val="uk-UA"/>
              </w:rPr>
            </w:pPr>
            <w:r w:rsidRPr="00C6149C">
              <w:rPr>
                <w:lang w:val="uk-UA"/>
              </w:rPr>
              <w:t>0,157-0,421</w:t>
            </w:r>
          </w:p>
        </w:tc>
        <w:tc>
          <w:tcPr>
            <w:tcW w:w="1867" w:type="dxa"/>
            <w:vAlign w:val="bottom"/>
          </w:tcPr>
          <w:p w14:paraId="33D24E15" w14:textId="77777777" w:rsidR="00F05F4E" w:rsidRPr="00C6149C" w:rsidRDefault="00F05F4E" w:rsidP="00A50810">
            <w:pPr>
              <w:pStyle w:val="a6"/>
              <w:spacing w:line="360" w:lineRule="auto"/>
              <w:rPr>
                <w:lang w:val="uk-UA"/>
              </w:rPr>
            </w:pPr>
            <w:r w:rsidRPr="00C6149C">
              <w:rPr>
                <w:lang w:val="uk-UA"/>
              </w:rPr>
              <w:t>0,005-0,034</w:t>
            </w:r>
          </w:p>
        </w:tc>
      </w:tr>
      <w:tr w:rsidR="00F05F4E" w:rsidRPr="00C6149C" w14:paraId="0D689B3D" w14:textId="77777777" w:rsidTr="00A50810">
        <w:trPr>
          <w:trHeight w:val="65"/>
        </w:trPr>
        <w:tc>
          <w:tcPr>
            <w:tcW w:w="618" w:type="dxa"/>
            <w:vAlign w:val="bottom"/>
          </w:tcPr>
          <w:p w14:paraId="73E580A1" w14:textId="77777777" w:rsidR="00F05F4E" w:rsidRPr="00C6149C" w:rsidRDefault="00F05F4E" w:rsidP="00A50810">
            <w:pPr>
              <w:pStyle w:val="a6"/>
              <w:spacing w:line="360" w:lineRule="auto"/>
              <w:rPr>
                <w:lang w:val="uk-UA"/>
              </w:rPr>
            </w:pPr>
            <w:r w:rsidRPr="00C6149C">
              <w:rPr>
                <w:lang w:val="uk-UA"/>
              </w:rPr>
              <w:t>12</w:t>
            </w:r>
          </w:p>
        </w:tc>
        <w:tc>
          <w:tcPr>
            <w:tcW w:w="3845" w:type="dxa"/>
            <w:vAlign w:val="bottom"/>
          </w:tcPr>
          <w:p w14:paraId="4684839E" w14:textId="77777777" w:rsidR="00F05F4E" w:rsidRPr="00C6149C" w:rsidRDefault="00F05F4E" w:rsidP="00A50810">
            <w:pPr>
              <w:pStyle w:val="a6"/>
              <w:spacing w:line="360" w:lineRule="auto"/>
              <w:rPr>
                <w:lang w:val="uk-UA"/>
              </w:rPr>
            </w:pPr>
            <w:r w:rsidRPr="00C6149C">
              <w:rPr>
                <w:lang w:val="uk-UA"/>
              </w:rPr>
              <w:t>Інгібітор ГАМК-амінотрансферази</w:t>
            </w:r>
          </w:p>
        </w:tc>
        <w:tc>
          <w:tcPr>
            <w:tcW w:w="1158" w:type="dxa"/>
            <w:vAlign w:val="bottom"/>
          </w:tcPr>
          <w:p w14:paraId="64BA2A39" w14:textId="77777777" w:rsidR="00F05F4E" w:rsidRPr="00C6149C" w:rsidRDefault="00F05F4E" w:rsidP="00A50810">
            <w:pPr>
              <w:pStyle w:val="a6"/>
              <w:spacing w:line="360" w:lineRule="auto"/>
              <w:rPr>
                <w:lang w:val="uk-UA"/>
              </w:rPr>
            </w:pPr>
            <w:r w:rsidRPr="00C6149C">
              <w:rPr>
                <w:lang w:val="uk-UA"/>
              </w:rPr>
              <w:t>6</w:t>
            </w:r>
          </w:p>
        </w:tc>
        <w:tc>
          <w:tcPr>
            <w:tcW w:w="1834" w:type="dxa"/>
            <w:vAlign w:val="bottom"/>
          </w:tcPr>
          <w:p w14:paraId="54F2C724" w14:textId="77777777" w:rsidR="00F05F4E" w:rsidRPr="00C6149C" w:rsidRDefault="00F05F4E" w:rsidP="00A50810">
            <w:pPr>
              <w:pStyle w:val="a6"/>
              <w:spacing w:line="360" w:lineRule="auto"/>
              <w:rPr>
                <w:lang w:val="uk-UA"/>
              </w:rPr>
            </w:pPr>
            <w:r w:rsidRPr="00C6149C">
              <w:rPr>
                <w:lang w:val="uk-UA"/>
              </w:rPr>
              <w:t>0,271-0,429</w:t>
            </w:r>
          </w:p>
        </w:tc>
        <w:tc>
          <w:tcPr>
            <w:tcW w:w="1867" w:type="dxa"/>
            <w:vAlign w:val="bottom"/>
          </w:tcPr>
          <w:p w14:paraId="00CE8247" w14:textId="77777777" w:rsidR="00F05F4E" w:rsidRPr="00C6149C" w:rsidRDefault="00F05F4E" w:rsidP="00A50810">
            <w:pPr>
              <w:pStyle w:val="a6"/>
              <w:spacing w:line="360" w:lineRule="auto"/>
              <w:rPr>
                <w:lang w:val="uk-UA"/>
              </w:rPr>
            </w:pPr>
            <w:r w:rsidRPr="00C6149C">
              <w:rPr>
                <w:lang w:val="uk-UA"/>
              </w:rPr>
              <w:t>0,044-0,149</w:t>
            </w:r>
          </w:p>
        </w:tc>
      </w:tr>
      <w:tr w:rsidR="00F05F4E" w:rsidRPr="00C6149C" w14:paraId="705E9DD4" w14:textId="77777777" w:rsidTr="00A50810">
        <w:trPr>
          <w:trHeight w:val="65"/>
        </w:trPr>
        <w:tc>
          <w:tcPr>
            <w:tcW w:w="618" w:type="dxa"/>
            <w:vAlign w:val="bottom"/>
          </w:tcPr>
          <w:p w14:paraId="0118248B" w14:textId="77777777" w:rsidR="00F05F4E" w:rsidRPr="00C6149C" w:rsidRDefault="00F05F4E" w:rsidP="00A50810">
            <w:pPr>
              <w:pStyle w:val="a6"/>
              <w:spacing w:line="360" w:lineRule="auto"/>
              <w:rPr>
                <w:lang w:val="uk-UA"/>
              </w:rPr>
            </w:pPr>
            <w:r w:rsidRPr="00C6149C">
              <w:rPr>
                <w:lang w:val="uk-UA"/>
              </w:rPr>
              <w:t>13</w:t>
            </w:r>
          </w:p>
        </w:tc>
        <w:tc>
          <w:tcPr>
            <w:tcW w:w="3845" w:type="dxa"/>
            <w:vAlign w:val="bottom"/>
          </w:tcPr>
          <w:p w14:paraId="163E9C03" w14:textId="77777777" w:rsidR="00F05F4E" w:rsidRPr="00C6149C" w:rsidRDefault="00F05F4E" w:rsidP="00A50810">
            <w:pPr>
              <w:pStyle w:val="a6"/>
              <w:spacing w:line="360" w:lineRule="auto"/>
              <w:rPr>
                <w:lang w:val="uk-UA"/>
              </w:rPr>
            </w:pPr>
            <w:r w:rsidRPr="00C6149C">
              <w:rPr>
                <w:lang w:val="uk-UA"/>
              </w:rPr>
              <w:t>Інгібітор ЦОГ</w:t>
            </w:r>
          </w:p>
        </w:tc>
        <w:tc>
          <w:tcPr>
            <w:tcW w:w="1158" w:type="dxa"/>
            <w:vAlign w:val="bottom"/>
          </w:tcPr>
          <w:p w14:paraId="7AF3E110" w14:textId="77777777" w:rsidR="00F05F4E" w:rsidRPr="00C6149C" w:rsidRDefault="00F05F4E" w:rsidP="00A50810">
            <w:pPr>
              <w:pStyle w:val="a6"/>
              <w:spacing w:line="360" w:lineRule="auto"/>
              <w:rPr>
                <w:lang w:val="uk-UA"/>
              </w:rPr>
            </w:pPr>
            <w:r w:rsidRPr="00C6149C">
              <w:rPr>
                <w:lang w:val="uk-UA"/>
              </w:rPr>
              <w:t>4</w:t>
            </w:r>
          </w:p>
        </w:tc>
        <w:tc>
          <w:tcPr>
            <w:tcW w:w="1834" w:type="dxa"/>
            <w:vAlign w:val="bottom"/>
          </w:tcPr>
          <w:p w14:paraId="790E18D2" w14:textId="77777777" w:rsidR="00F05F4E" w:rsidRPr="00C6149C" w:rsidRDefault="00F05F4E" w:rsidP="00A50810">
            <w:pPr>
              <w:pStyle w:val="a6"/>
              <w:spacing w:line="360" w:lineRule="auto"/>
              <w:rPr>
                <w:lang w:val="uk-UA"/>
              </w:rPr>
            </w:pPr>
            <w:r w:rsidRPr="00C6149C">
              <w:rPr>
                <w:lang w:val="uk-UA"/>
              </w:rPr>
              <w:t>0,120-0,187</w:t>
            </w:r>
          </w:p>
        </w:tc>
        <w:tc>
          <w:tcPr>
            <w:tcW w:w="1867" w:type="dxa"/>
            <w:vAlign w:val="bottom"/>
          </w:tcPr>
          <w:p w14:paraId="2CDB33CA" w14:textId="77777777" w:rsidR="00F05F4E" w:rsidRPr="00C6149C" w:rsidRDefault="00F05F4E" w:rsidP="00A50810">
            <w:pPr>
              <w:pStyle w:val="a6"/>
              <w:spacing w:line="360" w:lineRule="auto"/>
              <w:rPr>
                <w:lang w:val="uk-UA"/>
              </w:rPr>
            </w:pPr>
            <w:r w:rsidRPr="00C6149C">
              <w:rPr>
                <w:lang w:val="uk-UA"/>
              </w:rPr>
              <w:t>0,057-0,074</w:t>
            </w:r>
          </w:p>
        </w:tc>
      </w:tr>
      <w:tr w:rsidR="00F05F4E" w:rsidRPr="00C6149C" w14:paraId="0B368175" w14:textId="77777777" w:rsidTr="00A50810">
        <w:trPr>
          <w:trHeight w:val="65"/>
        </w:trPr>
        <w:tc>
          <w:tcPr>
            <w:tcW w:w="618" w:type="dxa"/>
            <w:vAlign w:val="bottom"/>
          </w:tcPr>
          <w:p w14:paraId="78D9B8DC" w14:textId="77777777" w:rsidR="00F05F4E" w:rsidRPr="00C6149C" w:rsidRDefault="00F05F4E" w:rsidP="00A50810">
            <w:pPr>
              <w:pStyle w:val="a6"/>
              <w:spacing w:line="360" w:lineRule="auto"/>
              <w:rPr>
                <w:lang w:val="uk-UA"/>
              </w:rPr>
            </w:pPr>
            <w:r w:rsidRPr="00C6149C">
              <w:rPr>
                <w:lang w:val="uk-UA"/>
              </w:rPr>
              <w:t>14</w:t>
            </w:r>
          </w:p>
        </w:tc>
        <w:tc>
          <w:tcPr>
            <w:tcW w:w="3845" w:type="dxa"/>
            <w:vAlign w:val="bottom"/>
          </w:tcPr>
          <w:p w14:paraId="5395D106" w14:textId="77777777" w:rsidR="00F05F4E" w:rsidRPr="00C6149C" w:rsidRDefault="00F05F4E" w:rsidP="00A50810">
            <w:pPr>
              <w:pStyle w:val="a6"/>
              <w:spacing w:line="360" w:lineRule="auto"/>
              <w:rPr>
                <w:lang w:val="uk-UA"/>
              </w:rPr>
            </w:pPr>
            <w:r w:rsidRPr="00C6149C">
              <w:rPr>
                <w:lang w:val="uk-UA"/>
              </w:rPr>
              <w:t>Інгібітор ЦОГ-2</w:t>
            </w:r>
          </w:p>
        </w:tc>
        <w:tc>
          <w:tcPr>
            <w:tcW w:w="1158" w:type="dxa"/>
            <w:vAlign w:val="bottom"/>
          </w:tcPr>
          <w:p w14:paraId="3580ABD2" w14:textId="77777777" w:rsidR="00F05F4E" w:rsidRPr="00C6149C" w:rsidRDefault="00F05F4E" w:rsidP="00A50810">
            <w:pPr>
              <w:pStyle w:val="a6"/>
              <w:spacing w:line="360" w:lineRule="auto"/>
              <w:rPr>
                <w:lang w:val="uk-UA"/>
              </w:rPr>
            </w:pPr>
            <w:r w:rsidRPr="00C6149C">
              <w:rPr>
                <w:lang w:val="uk-UA"/>
              </w:rPr>
              <w:t>3</w:t>
            </w:r>
          </w:p>
        </w:tc>
        <w:tc>
          <w:tcPr>
            <w:tcW w:w="1834" w:type="dxa"/>
            <w:vAlign w:val="bottom"/>
          </w:tcPr>
          <w:p w14:paraId="244C6C8F" w14:textId="77777777" w:rsidR="00F05F4E" w:rsidRPr="00C6149C" w:rsidRDefault="00F05F4E" w:rsidP="00A50810">
            <w:pPr>
              <w:pStyle w:val="a6"/>
              <w:spacing w:line="360" w:lineRule="auto"/>
              <w:rPr>
                <w:lang w:val="uk-UA"/>
              </w:rPr>
            </w:pPr>
            <w:r w:rsidRPr="00C6149C">
              <w:rPr>
                <w:lang w:val="uk-UA"/>
              </w:rPr>
              <w:t>0,093-0,326</w:t>
            </w:r>
          </w:p>
        </w:tc>
        <w:tc>
          <w:tcPr>
            <w:tcW w:w="1867" w:type="dxa"/>
            <w:vAlign w:val="bottom"/>
          </w:tcPr>
          <w:p w14:paraId="22ED788D" w14:textId="77777777" w:rsidR="00F05F4E" w:rsidRPr="00C6149C" w:rsidRDefault="00F05F4E" w:rsidP="00A50810">
            <w:pPr>
              <w:pStyle w:val="a6"/>
              <w:spacing w:line="360" w:lineRule="auto"/>
              <w:rPr>
                <w:lang w:val="uk-UA"/>
              </w:rPr>
            </w:pPr>
            <w:r w:rsidRPr="00C6149C">
              <w:rPr>
                <w:lang w:val="uk-UA"/>
              </w:rPr>
              <w:t>0,058-0,096</w:t>
            </w:r>
          </w:p>
        </w:tc>
      </w:tr>
      <w:tr w:rsidR="00F05F4E" w:rsidRPr="00C6149C" w14:paraId="46E80083" w14:textId="77777777" w:rsidTr="00A50810">
        <w:trPr>
          <w:trHeight w:val="252"/>
        </w:trPr>
        <w:tc>
          <w:tcPr>
            <w:tcW w:w="618" w:type="dxa"/>
            <w:vAlign w:val="bottom"/>
          </w:tcPr>
          <w:p w14:paraId="45111CE0" w14:textId="77777777" w:rsidR="00F05F4E" w:rsidRPr="00C6149C" w:rsidRDefault="00F05F4E" w:rsidP="00A50810">
            <w:pPr>
              <w:pStyle w:val="a6"/>
              <w:spacing w:line="360" w:lineRule="auto"/>
              <w:rPr>
                <w:lang w:val="uk-UA"/>
              </w:rPr>
            </w:pPr>
            <w:r w:rsidRPr="00C6149C">
              <w:rPr>
                <w:lang w:val="uk-UA"/>
              </w:rPr>
              <w:t>15</w:t>
            </w:r>
          </w:p>
        </w:tc>
        <w:tc>
          <w:tcPr>
            <w:tcW w:w="3845" w:type="dxa"/>
            <w:vAlign w:val="bottom"/>
          </w:tcPr>
          <w:p w14:paraId="3C8DA022" w14:textId="77777777" w:rsidR="00F05F4E" w:rsidRPr="00C6149C" w:rsidRDefault="00F05F4E" w:rsidP="00A50810">
            <w:pPr>
              <w:pStyle w:val="a6"/>
              <w:spacing w:line="360" w:lineRule="auto"/>
              <w:rPr>
                <w:lang w:val="uk-UA"/>
              </w:rPr>
            </w:pPr>
            <w:r w:rsidRPr="00C6149C">
              <w:rPr>
                <w:lang w:val="uk-UA"/>
              </w:rPr>
              <w:t>Агоніст ванілоідних рецепторів</w:t>
            </w:r>
          </w:p>
        </w:tc>
        <w:tc>
          <w:tcPr>
            <w:tcW w:w="1158" w:type="dxa"/>
            <w:vAlign w:val="bottom"/>
          </w:tcPr>
          <w:p w14:paraId="2044FB44" w14:textId="77777777" w:rsidR="00F05F4E" w:rsidRPr="00C6149C" w:rsidRDefault="00F05F4E" w:rsidP="00A50810">
            <w:pPr>
              <w:pStyle w:val="a6"/>
              <w:spacing w:line="360" w:lineRule="auto"/>
              <w:rPr>
                <w:lang w:val="uk-UA"/>
              </w:rPr>
            </w:pPr>
            <w:r w:rsidRPr="00C6149C">
              <w:rPr>
                <w:lang w:val="uk-UA"/>
              </w:rPr>
              <w:t>4</w:t>
            </w:r>
          </w:p>
        </w:tc>
        <w:tc>
          <w:tcPr>
            <w:tcW w:w="1834" w:type="dxa"/>
            <w:vAlign w:val="bottom"/>
          </w:tcPr>
          <w:p w14:paraId="11681B0D" w14:textId="77777777" w:rsidR="00F05F4E" w:rsidRPr="00C6149C" w:rsidRDefault="00F05F4E" w:rsidP="00A50810">
            <w:pPr>
              <w:pStyle w:val="a6"/>
              <w:spacing w:line="360" w:lineRule="auto"/>
              <w:rPr>
                <w:lang w:val="uk-UA"/>
              </w:rPr>
            </w:pPr>
            <w:r w:rsidRPr="00C6149C">
              <w:rPr>
                <w:lang w:val="uk-UA"/>
              </w:rPr>
              <w:t>0,263-0,356</w:t>
            </w:r>
          </w:p>
        </w:tc>
        <w:tc>
          <w:tcPr>
            <w:tcW w:w="1867" w:type="dxa"/>
            <w:vAlign w:val="bottom"/>
          </w:tcPr>
          <w:p w14:paraId="61E26FCD" w14:textId="77777777" w:rsidR="00F05F4E" w:rsidRPr="00C6149C" w:rsidRDefault="00F05F4E" w:rsidP="00A50810">
            <w:pPr>
              <w:pStyle w:val="a6"/>
              <w:spacing w:line="360" w:lineRule="auto"/>
              <w:rPr>
                <w:lang w:val="uk-UA"/>
              </w:rPr>
            </w:pPr>
            <w:r w:rsidRPr="00C6149C">
              <w:rPr>
                <w:lang w:val="uk-UA"/>
              </w:rPr>
              <w:t>0,097-0,150</w:t>
            </w:r>
          </w:p>
        </w:tc>
      </w:tr>
      <w:tr w:rsidR="00F05F4E" w:rsidRPr="00C6149C" w14:paraId="6BC5E520" w14:textId="77777777" w:rsidTr="00A50810">
        <w:trPr>
          <w:trHeight w:val="107"/>
        </w:trPr>
        <w:tc>
          <w:tcPr>
            <w:tcW w:w="618" w:type="dxa"/>
            <w:vAlign w:val="bottom"/>
          </w:tcPr>
          <w:p w14:paraId="4D6870CA" w14:textId="77777777" w:rsidR="00F05F4E" w:rsidRPr="00C6149C" w:rsidRDefault="00F05F4E" w:rsidP="00A50810">
            <w:pPr>
              <w:pStyle w:val="a6"/>
              <w:spacing w:line="360" w:lineRule="auto"/>
              <w:rPr>
                <w:lang w:val="uk-UA"/>
              </w:rPr>
            </w:pPr>
            <w:r w:rsidRPr="00C6149C">
              <w:rPr>
                <w:lang w:val="uk-UA"/>
              </w:rPr>
              <w:t>16</w:t>
            </w:r>
          </w:p>
        </w:tc>
        <w:tc>
          <w:tcPr>
            <w:tcW w:w="3845" w:type="dxa"/>
            <w:vAlign w:val="bottom"/>
          </w:tcPr>
          <w:p w14:paraId="3ABBCEFF" w14:textId="77777777" w:rsidR="00F05F4E" w:rsidRPr="00C6149C" w:rsidRDefault="00F05F4E" w:rsidP="00A50810">
            <w:pPr>
              <w:pStyle w:val="a6"/>
              <w:spacing w:line="360" w:lineRule="auto"/>
              <w:rPr>
                <w:lang w:val="uk-UA"/>
              </w:rPr>
            </w:pPr>
            <w:r w:rsidRPr="00C6149C">
              <w:rPr>
                <w:lang w:val="uk-UA"/>
              </w:rPr>
              <w:t>Агоніст ГАМК С</w:t>
            </w:r>
          </w:p>
        </w:tc>
        <w:tc>
          <w:tcPr>
            <w:tcW w:w="1158" w:type="dxa"/>
            <w:vAlign w:val="bottom"/>
          </w:tcPr>
          <w:p w14:paraId="5200EFC4" w14:textId="77777777" w:rsidR="00F05F4E" w:rsidRPr="00C6149C" w:rsidRDefault="00F05F4E" w:rsidP="00A50810">
            <w:pPr>
              <w:pStyle w:val="a6"/>
              <w:spacing w:line="360" w:lineRule="auto"/>
              <w:rPr>
                <w:lang w:val="uk-UA"/>
              </w:rPr>
            </w:pPr>
            <w:r w:rsidRPr="00C6149C">
              <w:rPr>
                <w:lang w:val="uk-UA"/>
              </w:rPr>
              <w:t>4</w:t>
            </w:r>
          </w:p>
        </w:tc>
        <w:tc>
          <w:tcPr>
            <w:tcW w:w="1834" w:type="dxa"/>
            <w:vAlign w:val="bottom"/>
          </w:tcPr>
          <w:p w14:paraId="08FB17F6" w14:textId="77777777" w:rsidR="00F05F4E" w:rsidRPr="00C6149C" w:rsidRDefault="00F05F4E" w:rsidP="00A50810">
            <w:pPr>
              <w:pStyle w:val="a6"/>
              <w:spacing w:line="360" w:lineRule="auto"/>
              <w:rPr>
                <w:lang w:val="uk-UA"/>
              </w:rPr>
            </w:pPr>
            <w:r w:rsidRPr="00C6149C">
              <w:rPr>
                <w:lang w:val="uk-UA"/>
              </w:rPr>
              <w:t>0,377-0,433</w:t>
            </w:r>
          </w:p>
        </w:tc>
        <w:tc>
          <w:tcPr>
            <w:tcW w:w="1867" w:type="dxa"/>
            <w:vAlign w:val="bottom"/>
          </w:tcPr>
          <w:p w14:paraId="23D2DF1B" w14:textId="77777777" w:rsidR="00F05F4E" w:rsidRPr="00C6149C" w:rsidRDefault="00F05F4E" w:rsidP="00A50810">
            <w:pPr>
              <w:pStyle w:val="a6"/>
              <w:spacing w:line="360" w:lineRule="auto"/>
              <w:rPr>
                <w:lang w:val="uk-UA"/>
              </w:rPr>
            </w:pPr>
            <w:r w:rsidRPr="00C6149C">
              <w:rPr>
                <w:lang w:val="uk-UA"/>
              </w:rPr>
              <w:t>0,017-0,059</w:t>
            </w:r>
          </w:p>
        </w:tc>
      </w:tr>
      <w:tr w:rsidR="00F05F4E" w:rsidRPr="00C6149C" w14:paraId="13401084" w14:textId="77777777" w:rsidTr="00A50810">
        <w:trPr>
          <w:trHeight w:val="125"/>
        </w:trPr>
        <w:tc>
          <w:tcPr>
            <w:tcW w:w="618" w:type="dxa"/>
            <w:vAlign w:val="bottom"/>
          </w:tcPr>
          <w:p w14:paraId="21F3E00F" w14:textId="77777777" w:rsidR="00F05F4E" w:rsidRPr="00C6149C" w:rsidRDefault="00F05F4E" w:rsidP="00A50810">
            <w:pPr>
              <w:pStyle w:val="a6"/>
              <w:spacing w:line="360" w:lineRule="auto"/>
              <w:rPr>
                <w:lang w:val="uk-UA"/>
              </w:rPr>
            </w:pPr>
            <w:r w:rsidRPr="00C6149C">
              <w:rPr>
                <w:lang w:val="uk-UA"/>
              </w:rPr>
              <w:t>17</w:t>
            </w:r>
          </w:p>
        </w:tc>
        <w:tc>
          <w:tcPr>
            <w:tcW w:w="3845" w:type="dxa"/>
            <w:vAlign w:val="bottom"/>
          </w:tcPr>
          <w:p w14:paraId="23E7546D" w14:textId="77777777" w:rsidR="00F05F4E" w:rsidRPr="00C6149C" w:rsidRDefault="00F05F4E" w:rsidP="00A50810">
            <w:pPr>
              <w:pStyle w:val="a6"/>
              <w:spacing w:line="360" w:lineRule="auto"/>
              <w:rPr>
                <w:lang w:val="uk-UA"/>
              </w:rPr>
            </w:pPr>
            <w:r w:rsidRPr="00C6149C">
              <w:rPr>
                <w:lang w:val="uk-UA"/>
              </w:rPr>
              <w:t>Агоніст ГАМК В</w:t>
            </w:r>
          </w:p>
        </w:tc>
        <w:tc>
          <w:tcPr>
            <w:tcW w:w="1158" w:type="dxa"/>
            <w:vAlign w:val="bottom"/>
          </w:tcPr>
          <w:p w14:paraId="7C9E9D2E" w14:textId="77777777" w:rsidR="00F05F4E" w:rsidRPr="00C6149C" w:rsidRDefault="00F05F4E" w:rsidP="00A50810">
            <w:pPr>
              <w:pStyle w:val="a6"/>
              <w:spacing w:line="360" w:lineRule="auto"/>
              <w:rPr>
                <w:lang w:val="uk-UA"/>
              </w:rPr>
            </w:pPr>
            <w:r w:rsidRPr="00C6149C">
              <w:rPr>
                <w:lang w:val="uk-UA"/>
              </w:rPr>
              <w:t>3</w:t>
            </w:r>
          </w:p>
        </w:tc>
        <w:tc>
          <w:tcPr>
            <w:tcW w:w="1834" w:type="dxa"/>
            <w:vAlign w:val="bottom"/>
          </w:tcPr>
          <w:p w14:paraId="6C00E7C4" w14:textId="77777777" w:rsidR="00F05F4E" w:rsidRPr="00C6149C" w:rsidRDefault="00F05F4E" w:rsidP="00A50810">
            <w:pPr>
              <w:pStyle w:val="a6"/>
              <w:spacing w:line="360" w:lineRule="auto"/>
              <w:rPr>
                <w:lang w:val="uk-UA"/>
              </w:rPr>
            </w:pPr>
            <w:r w:rsidRPr="00C6149C">
              <w:rPr>
                <w:lang w:val="uk-UA"/>
              </w:rPr>
              <w:t>0,180-0,237</w:t>
            </w:r>
          </w:p>
        </w:tc>
        <w:tc>
          <w:tcPr>
            <w:tcW w:w="1867" w:type="dxa"/>
            <w:vAlign w:val="bottom"/>
          </w:tcPr>
          <w:p w14:paraId="79C8465B" w14:textId="77777777" w:rsidR="00F05F4E" w:rsidRPr="00C6149C" w:rsidRDefault="00F05F4E" w:rsidP="00A50810">
            <w:pPr>
              <w:pStyle w:val="a6"/>
              <w:spacing w:line="360" w:lineRule="auto"/>
              <w:rPr>
                <w:lang w:val="uk-UA"/>
              </w:rPr>
            </w:pPr>
            <w:r w:rsidRPr="00C6149C">
              <w:rPr>
                <w:lang w:val="uk-UA"/>
              </w:rPr>
              <w:t>0,031-0,083</w:t>
            </w:r>
          </w:p>
        </w:tc>
      </w:tr>
      <w:tr w:rsidR="00F05F4E" w:rsidRPr="00C6149C" w14:paraId="7086A8F7" w14:textId="77777777" w:rsidTr="00A50810">
        <w:trPr>
          <w:trHeight w:val="65"/>
        </w:trPr>
        <w:tc>
          <w:tcPr>
            <w:tcW w:w="618" w:type="dxa"/>
            <w:vAlign w:val="bottom"/>
          </w:tcPr>
          <w:p w14:paraId="1BC64A62" w14:textId="77777777" w:rsidR="00F05F4E" w:rsidRPr="00C6149C" w:rsidRDefault="00F05F4E" w:rsidP="00A50810">
            <w:pPr>
              <w:pStyle w:val="a6"/>
              <w:spacing w:line="360" w:lineRule="auto"/>
              <w:rPr>
                <w:lang w:val="uk-UA"/>
              </w:rPr>
            </w:pPr>
            <w:r w:rsidRPr="00C6149C">
              <w:rPr>
                <w:lang w:val="uk-UA"/>
              </w:rPr>
              <w:t>18</w:t>
            </w:r>
          </w:p>
        </w:tc>
        <w:tc>
          <w:tcPr>
            <w:tcW w:w="3845" w:type="dxa"/>
            <w:vAlign w:val="bottom"/>
          </w:tcPr>
          <w:p w14:paraId="21204E72" w14:textId="77777777" w:rsidR="00F05F4E" w:rsidRPr="00C6149C" w:rsidRDefault="00F05F4E" w:rsidP="00A50810">
            <w:r w:rsidRPr="00C6149C">
              <w:rPr>
                <w:rFonts w:ascii="Times" w:hAnsi="Times"/>
                <w:color w:val="000000"/>
                <w:lang w:val="uk-UA"/>
              </w:rPr>
              <w:t xml:space="preserve">Агоніст </w:t>
            </w:r>
            <w:r w:rsidRPr="00C6149C">
              <w:rPr>
                <w:rFonts w:ascii="Times" w:hAnsi="Times"/>
                <w:color w:val="000000"/>
              </w:rPr>
              <w:t>TRPA1</w:t>
            </w:r>
          </w:p>
        </w:tc>
        <w:tc>
          <w:tcPr>
            <w:tcW w:w="1158" w:type="dxa"/>
            <w:vAlign w:val="bottom"/>
          </w:tcPr>
          <w:p w14:paraId="6F6E31C5" w14:textId="77777777" w:rsidR="00F05F4E" w:rsidRPr="00C6149C" w:rsidRDefault="00F05F4E" w:rsidP="00A50810">
            <w:pPr>
              <w:pStyle w:val="a6"/>
              <w:spacing w:line="360" w:lineRule="auto"/>
              <w:rPr>
                <w:lang w:val="uk-UA"/>
              </w:rPr>
            </w:pPr>
            <w:r w:rsidRPr="00C6149C">
              <w:rPr>
                <w:lang w:val="uk-UA"/>
              </w:rPr>
              <w:t>8</w:t>
            </w:r>
          </w:p>
        </w:tc>
        <w:tc>
          <w:tcPr>
            <w:tcW w:w="1834" w:type="dxa"/>
            <w:vAlign w:val="bottom"/>
          </w:tcPr>
          <w:p w14:paraId="717841E8" w14:textId="77777777" w:rsidR="00F05F4E" w:rsidRPr="00C6149C" w:rsidRDefault="00F05F4E" w:rsidP="00A50810">
            <w:pPr>
              <w:pStyle w:val="a6"/>
              <w:spacing w:line="360" w:lineRule="auto"/>
              <w:rPr>
                <w:lang w:val="uk-UA"/>
              </w:rPr>
            </w:pPr>
            <w:r w:rsidRPr="00C6149C">
              <w:rPr>
                <w:lang w:val="uk-UA"/>
              </w:rPr>
              <w:t>0,169-0,420</w:t>
            </w:r>
          </w:p>
        </w:tc>
        <w:tc>
          <w:tcPr>
            <w:tcW w:w="1867" w:type="dxa"/>
            <w:vAlign w:val="bottom"/>
          </w:tcPr>
          <w:p w14:paraId="2D855E7D" w14:textId="77777777" w:rsidR="00F05F4E" w:rsidRPr="00C6149C" w:rsidRDefault="00F05F4E" w:rsidP="00A50810">
            <w:pPr>
              <w:pStyle w:val="a6"/>
              <w:spacing w:line="360" w:lineRule="auto"/>
              <w:rPr>
                <w:lang w:val="uk-UA"/>
              </w:rPr>
            </w:pPr>
            <w:r w:rsidRPr="00C6149C">
              <w:rPr>
                <w:lang w:val="uk-UA"/>
              </w:rPr>
              <w:t>0,013-0,153</w:t>
            </w:r>
          </w:p>
        </w:tc>
      </w:tr>
    </w:tbl>
    <w:p w14:paraId="790CF779" w14:textId="77777777" w:rsidR="00F05F4E" w:rsidRPr="008A6B7D" w:rsidRDefault="00F05F4E" w:rsidP="00F05F4E">
      <w:pPr>
        <w:pStyle w:val="a6"/>
        <w:spacing w:line="360" w:lineRule="auto"/>
        <w:ind w:firstLine="708"/>
        <w:jc w:val="both"/>
        <w:rPr>
          <w:color w:val="000000" w:themeColor="text1"/>
          <w:sz w:val="28"/>
          <w:szCs w:val="28"/>
          <w:lang w:val="uk-UA"/>
        </w:rPr>
      </w:pPr>
      <w:r w:rsidRPr="008A6B7D">
        <w:rPr>
          <w:color w:val="000000" w:themeColor="text1"/>
          <w:sz w:val="28"/>
          <w:szCs w:val="28"/>
          <w:lang w:val="uk-UA"/>
        </w:rPr>
        <w:t xml:space="preserve">Дані дослідження показують, що похідні саліцилоїлгідразонів бензальдегіду можуть проявляти широкий спектр біологічної активності. За результатами дослідження декілька похідних саліцилоїлгідразонів бензальдегіду є аналгетичними та протизапальними засобами, що можуть також проявляти супутню протисудомну (Ра=0,168-0,323) та антидепресантну (Ра=0,182) активність, оскільки є блокаторами кальцієвих каналів </w:t>
      </w:r>
      <w:r w:rsidRPr="008A6B7D">
        <w:rPr>
          <w:color w:val="000000" w:themeColor="text1"/>
          <w:sz w:val="28"/>
          <w:szCs w:val="28"/>
          <w:lang w:val="en-US"/>
        </w:rPr>
        <w:t>N</w:t>
      </w:r>
      <w:r w:rsidRPr="008A6B7D">
        <w:rPr>
          <w:color w:val="000000" w:themeColor="text1"/>
          <w:sz w:val="28"/>
          <w:szCs w:val="28"/>
          <w:lang w:val="uk-UA"/>
        </w:rPr>
        <w:t xml:space="preserve">-типу (Ра=0,146-0,314), інгібіторами ГАМК-амінотрансферази (Ра=0,271-0,429), інгібіторами МАО (Ра=0,157-0,421). Також похідні саліцилоїлгідразонів </w:t>
      </w:r>
      <w:r w:rsidRPr="008A6B7D">
        <w:rPr>
          <w:color w:val="000000" w:themeColor="text1"/>
          <w:sz w:val="28"/>
          <w:szCs w:val="28"/>
          <w:lang w:val="uk-UA"/>
        </w:rPr>
        <w:lastRenderedPageBreak/>
        <w:t>бензальдегіду можуть виявляти ноотропну (Ра=0,358-0,378), антипіретичну (Ра=0,184-0,765) та інші активності.</w:t>
      </w:r>
    </w:p>
    <w:p w14:paraId="017EE4F5" w14:textId="77777777" w:rsidR="00F05F4E" w:rsidRPr="008A6B7D" w:rsidRDefault="00F05F4E" w:rsidP="00F05F4E">
      <w:pPr>
        <w:pStyle w:val="a6"/>
        <w:spacing w:line="360" w:lineRule="auto"/>
        <w:ind w:firstLine="708"/>
        <w:jc w:val="both"/>
        <w:rPr>
          <w:color w:val="000000" w:themeColor="text1"/>
          <w:sz w:val="28"/>
          <w:szCs w:val="28"/>
          <w:lang w:val="uk-UA"/>
        </w:rPr>
      </w:pPr>
      <w:r w:rsidRPr="008A6B7D">
        <w:rPr>
          <w:color w:val="000000" w:themeColor="text1"/>
          <w:sz w:val="28"/>
          <w:szCs w:val="28"/>
          <w:lang w:val="uk-UA"/>
        </w:rPr>
        <w:t xml:space="preserve">Комп’ютерний прогноз біологічної активності досліджуваних сполук саліцилоїлгідразонів бензальдегіду із різним заміщенням у бензойному кільці показав ймовірність широкого спектру фармакологічної дії 19 комплексних сполук. Після проведення </w:t>
      </w:r>
      <w:r w:rsidRPr="008A6B7D">
        <w:rPr>
          <w:color w:val="000000" w:themeColor="text1"/>
          <w:sz w:val="28"/>
          <w:szCs w:val="28"/>
          <w:lang w:val="en-US"/>
        </w:rPr>
        <w:t>PASS</w:t>
      </w:r>
      <w:r w:rsidRPr="008A6B7D">
        <w:rPr>
          <w:color w:val="000000" w:themeColor="text1"/>
          <w:sz w:val="28"/>
          <w:szCs w:val="28"/>
          <w:lang w:val="uk-UA"/>
        </w:rPr>
        <w:t xml:space="preserve">-прогнозу токсичності даного ряду сполук, було встановлено високий рівень токсичності (Ра=0,736-0,945), канцерогенність (Ра=0,627-0,825), та їх гепатотоксичність (Ра=0,820-0,932), тому подальший синтез 8 сполук із даного списку був недоцільним. </w:t>
      </w:r>
    </w:p>
    <w:p w14:paraId="7C223230" w14:textId="643401DC" w:rsidR="00F05F4E" w:rsidRPr="008A6B7D" w:rsidRDefault="00F05F4E" w:rsidP="00F05F4E">
      <w:pPr>
        <w:pStyle w:val="a6"/>
        <w:spacing w:line="360" w:lineRule="auto"/>
        <w:ind w:firstLine="708"/>
        <w:jc w:val="both"/>
        <w:rPr>
          <w:color w:val="000000" w:themeColor="text1"/>
          <w:sz w:val="28"/>
          <w:szCs w:val="28"/>
          <w:lang w:val="uk-UA"/>
        </w:rPr>
      </w:pPr>
      <w:r w:rsidRPr="008A6B7D">
        <w:rPr>
          <w:color w:val="000000" w:themeColor="text1"/>
          <w:sz w:val="28"/>
          <w:szCs w:val="28"/>
          <w:lang w:val="uk-UA"/>
        </w:rPr>
        <w:t>Оскільки комп’ютерний прогноз досліджуваних сполук показав ймовірність їх широкого спектру біологічної активності, надалі на кафедрі загальної хімії та полімерів ОНУ ім. І.І. Мечнікова було синтезовано 11 сполук із даного списку - комплекси тетрахлоро-(</w:t>
      </w:r>
      <w:r w:rsidRPr="008A6B7D">
        <w:rPr>
          <w:color w:val="000000" w:themeColor="text1"/>
          <w:sz w:val="28"/>
          <w:szCs w:val="28"/>
        </w:rPr>
        <w:t>N</w:t>
      </w:r>
      <w:r w:rsidRPr="008A6B7D">
        <w:rPr>
          <w:color w:val="000000" w:themeColor="text1"/>
          <w:sz w:val="28"/>
          <w:szCs w:val="28"/>
          <w:lang w:val="uk-UA"/>
        </w:rPr>
        <w:t>-4-</w:t>
      </w:r>
      <w:r w:rsidRPr="008A6B7D">
        <w:rPr>
          <w:color w:val="000000" w:themeColor="text1"/>
          <w:sz w:val="28"/>
          <w:szCs w:val="28"/>
        </w:rPr>
        <w:t>R</w:t>
      </w:r>
      <w:r w:rsidRPr="008A6B7D">
        <w:rPr>
          <w:color w:val="000000" w:themeColor="text1"/>
          <w:sz w:val="28"/>
          <w:szCs w:val="28"/>
          <w:lang w:val="uk-UA"/>
        </w:rPr>
        <w:t xml:space="preserve">-бензиліденасаліцилоїл-гідразинато- </w:t>
      </w:r>
      <w:r w:rsidRPr="008A6B7D">
        <w:rPr>
          <w:color w:val="000000" w:themeColor="text1"/>
          <w:sz w:val="28"/>
          <w:szCs w:val="28"/>
        </w:rPr>
        <w:t>R</w:t>
      </w:r>
      <w:r w:rsidRPr="008A6B7D">
        <w:rPr>
          <w:color w:val="000000" w:themeColor="text1"/>
          <w:sz w:val="28"/>
          <w:szCs w:val="28"/>
          <w:lang w:val="uk-UA"/>
        </w:rPr>
        <w:t>) станнуму (</w:t>
      </w:r>
      <w:r w:rsidRPr="008A6B7D">
        <w:rPr>
          <w:color w:val="000000" w:themeColor="text1"/>
          <w:sz w:val="28"/>
          <w:szCs w:val="28"/>
        </w:rPr>
        <w:t>IV</w:t>
      </w:r>
      <w:r w:rsidRPr="008A6B7D">
        <w:rPr>
          <w:color w:val="000000" w:themeColor="text1"/>
          <w:sz w:val="28"/>
          <w:szCs w:val="28"/>
          <w:lang w:val="uk-UA"/>
        </w:rPr>
        <w:t>) (рис 3.1) [</w:t>
      </w:r>
      <w:r w:rsidR="00390008" w:rsidRPr="008A6B7D">
        <w:rPr>
          <w:color w:val="000000" w:themeColor="text1"/>
          <w:sz w:val="28"/>
          <w:szCs w:val="28"/>
          <w:lang w:val="uk-UA"/>
        </w:rPr>
        <w:t>1</w:t>
      </w:r>
      <w:r w:rsidR="00FE60C3" w:rsidRPr="008A6B7D">
        <w:rPr>
          <w:color w:val="000000" w:themeColor="text1"/>
          <w:sz w:val="28"/>
          <w:szCs w:val="28"/>
          <w:lang w:val="uk-UA"/>
        </w:rPr>
        <w:t>85</w:t>
      </w:r>
      <w:r w:rsidRPr="008A6B7D">
        <w:rPr>
          <w:color w:val="000000" w:themeColor="text1"/>
          <w:sz w:val="28"/>
          <w:szCs w:val="28"/>
          <w:lang w:val="uk-UA"/>
        </w:rPr>
        <w:t>,</w:t>
      </w:r>
      <w:r w:rsidR="00390008" w:rsidRPr="008A6B7D">
        <w:rPr>
          <w:color w:val="000000" w:themeColor="text1"/>
          <w:sz w:val="28"/>
          <w:szCs w:val="28"/>
          <w:lang w:val="uk-UA"/>
        </w:rPr>
        <w:t>1</w:t>
      </w:r>
      <w:r w:rsidR="00FE60C3" w:rsidRPr="008A6B7D">
        <w:rPr>
          <w:color w:val="000000" w:themeColor="text1"/>
          <w:sz w:val="28"/>
          <w:szCs w:val="28"/>
          <w:lang w:val="uk-UA"/>
        </w:rPr>
        <w:t>86</w:t>
      </w:r>
      <w:r w:rsidRPr="008A6B7D">
        <w:rPr>
          <w:color w:val="000000" w:themeColor="text1"/>
          <w:sz w:val="28"/>
          <w:szCs w:val="28"/>
          <w:lang w:val="uk-UA"/>
        </w:rPr>
        <w:t>,</w:t>
      </w:r>
      <w:r w:rsidR="00390008" w:rsidRPr="008A6B7D">
        <w:rPr>
          <w:color w:val="000000" w:themeColor="text1"/>
          <w:sz w:val="28"/>
          <w:szCs w:val="28"/>
          <w:lang w:val="uk-UA"/>
        </w:rPr>
        <w:t>1</w:t>
      </w:r>
      <w:r w:rsidR="00FE60C3" w:rsidRPr="008A6B7D">
        <w:rPr>
          <w:color w:val="000000" w:themeColor="text1"/>
          <w:sz w:val="28"/>
          <w:szCs w:val="28"/>
          <w:lang w:val="uk-UA"/>
        </w:rPr>
        <w:t>87</w:t>
      </w:r>
      <w:r w:rsidRPr="008A6B7D">
        <w:rPr>
          <w:color w:val="000000" w:themeColor="text1"/>
          <w:sz w:val="28"/>
          <w:szCs w:val="28"/>
          <w:lang w:val="uk-UA"/>
        </w:rPr>
        <w:t xml:space="preserve">]. </w:t>
      </w:r>
    </w:p>
    <w:tbl>
      <w:tblPr>
        <w:tblStyle w:val="afb"/>
        <w:tblW w:w="9390" w:type="dxa"/>
        <w:tblLook w:val="04A0" w:firstRow="1" w:lastRow="0" w:firstColumn="1" w:lastColumn="0" w:noHBand="0" w:noVBand="1"/>
      </w:tblPr>
      <w:tblGrid>
        <w:gridCol w:w="3319"/>
        <w:gridCol w:w="1473"/>
        <w:gridCol w:w="1536"/>
        <w:gridCol w:w="3062"/>
      </w:tblGrid>
      <w:tr w:rsidR="00F05F4E" w14:paraId="6B9E88E9" w14:textId="77777777" w:rsidTr="00A50810">
        <w:trPr>
          <w:trHeight w:val="1265"/>
        </w:trPr>
        <w:tc>
          <w:tcPr>
            <w:tcW w:w="3319" w:type="dxa"/>
            <w:vAlign w:val="bottom"/>
          </w:tcPr>
          <w:p w14:paraId="46EC5B91" w14:textId="77777777" w:rsidR="00F05F4E" w:rsidRPr="00B37CCE" w:rsidRDefault="00F05F4E" w:rsidP="00A50810">
            <w:pPr>
              <w:pStyle w:val="a6"/>
              <w:jc w:val="center"/>
              <w:rPr>
                <w:lang w:val="uk-UA"/>
              </w:rPr>
            </w:pPr>
            <w:r w:rsidRPr="00B37CCE">
              <w:rPr>
                <w:noProof/>
                <w:lang w:val="en-US" w:eastAsia="en-US"/>
              </w:rPr>
              <w:drawing>
                <wp:inline distT="0" distB="0" distL="0" distR="0" wp14:anchorId="5DA1D5A4" wp14:editId="3B037499">
                  <wp:extent cx="949325" cy="724784"/>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Снимок экрана 2021-03-19 в 12.37.34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3484" cy="735594"/>
                          </a:xfrm>
                          <a:prstGeom prst="rect">
                            <a:avLst/>
                          </a:prstGeom>
                        </pic:spPr>
                      </pic:pic>
                    </a:graphicData>
                  </a:graphic>
                </wp:inline>
              </w:drawing>
            </w:r>
            <w:r w:rsidRPr="00B37CCE">
              <w:rPr>
                <w:lang w:val="uk-UA"/>
              </w:rPr>
              <w:t>№1</w:t>
            </w:r>
          </w:p>
        </w:tc>
        <w:tc>
          <w:tcPr>
            <w:tcW w:w="3009" w:type="dxa"/>
            <w:gridSpan w:val="2"/>
            <w:vAlign w:val="bottom"/>
          </w:tcPr>
          <w:p w14:paraId="74819FEA" w14:textId="77777777" w:rsidR="00F05F4E" w:rsidRPr="00B37CCE" w:rsidRDefault="00F05F4E" w:rsidP="00A50810">
            <w:pPr>
              <w:pStyle w:val="a6"/>
              <w:jc w:val="center"/>
              <w:rPr>
                <w:lang w:val="uk-UA"/>
              </w:rPr>
            </w:pPr>
            <w:r w:rsidRPr="00B37CCE">
              <w:rPr>
                <w:noProof/>
                <w:lang w:val="en-US" w:eastAsia="en-US"/>
              </w:rPr>
              <w:drawing>
                <wp:inline distT="0" distB="0" distL="0" distR="0" wp14:anchorId="72B2A852" wp14:editId="6969A230">
                  <wp:extent cx="1072945" cy="6350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Снимок экрана 2021-03-19 в 12.41.10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6284" cy="648890"/>
                          </a:xfrm>
                          <a:prstGeom prst="rect">
                            <a:avLst/>
                          </a:prstGeom>
                        </pic:spPr>
                      </pic:pic>
                    </a:graphicData>
                  </a:graphic>
                </wp:inline>
              </w:drawing>
            </w:r>
            <w:r w:rsidRPr="00B37CCE">
              <w:rPr>
                <w:lang w:val="uk-UA"/>
              </w:rPr>
              <w:t>№2</w:t>
            </w:r>
          </w:p>
        </w:tc>
        <w:tc>
          <w:tcPr>
            <w:tcW w:w="3061" w:type="dxa"/>
            <w:vAlign w:val="bottom"/>
          </w:tcPr>
          <w:p w14:paraId="2BE0D6D6" w14:textId="77777777" w:rsidR="00F05F4E" w:rsidRPr="00B37CCE" w:rsidRDefault="00F05F4E" w:rsidP="00A50810">
            <w:pPr>
              <w:pStyle w:val="a6"/>
              <w:jc w:val="center"/>
              <w:rPr>
                <w:lang w:val="uk-UA"/>
              </w:rPr>
            </w:pPr>
            <w:r w:rsidRPr="00B37CCE">
              <w:rPr>
                <w:noProof/>
                <w:lang w:val="en-US" w:eastAsia="en-US"/>
              </w:rPr>
              <w:drawing>
                <wp:inline distT="0" distB="0" distL="0" distR="0" wp14:anchorId="7E1C4ABF" wp14:editId="1E6C84D0">
                  <wp:extent cx="1424305" cy="658495"/>
                  <wp:effectExtent l="0" t="0" r="0" b="190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Снимок экрана 2021-03-19 в 1.27.07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1248" cy="661705"/>
                          </a:xfrm>
                          <a:prstGeom prst="rect">
                            <a:avLst/>
                          </a:prstGeom>
                        </pic:spPr>
                      </pic:pic>
                    </a:graphicData>
                  </a:graphic>
                </wp:inline>
              </w:drawing>
            </w:r>
            <w:r w:rsidRPr="00B37CCE">
              <w:rPr>
                <w:lang w:val="uk-UA"/>
              </w:rPr>
              <w:t>№3</w:t>
            </w:r>
          </w:p>
        </w:tc>
      </w:tr>
      <w:tr w:rsidR="00F05F4E" w14:paraId="5AD5BB3E" w14:textId="77777777" w:rsidTr="00A50810">
        <w:trPr>
          <w:trHeight w:val="1560"/>
        </w:trPr>
        <w:tc>
          <w:tcPr>
            <w:tcW w:w="3319" w:type="dxa"/>
            <w:vAlign w:val="bottom"/>
          </w:tcPr>
          <w:p w14:paraId="3BF74330" w14:textId="77777777" w:rsidR="00F05F4E" w:rsidRPr="00B37CCE" w:rsidRDefault="00F05F4E" w:rsidP="00A50810">
            <w:pPr>
              <w:pStyle w:val="a6"/>
              <w:jc w:val="center"/>
              <w:rPr>
                <w:lang w:val="uk-UA"/>
              </w:rPr>
            </w:pPr>
            <w:r w:rsidRPr="00B37CCE">
              <w:rPr>
                <w:noProof/>
                <w:lang w:val="en-US" w:eastAsia="en-US"/>
              </w:rPr>
              <w:drawing>
                <wp:inline distT="0" distB="0" distL="0" distR="0" wp14:anchorId="442FEA1E" wp14:editId="0DD96076">
                  <wp:extent cx="1279423" cy="705766"/>
                  <wp:effectExtent l="0" t="0" r="3810" b="571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Снимок экрана 2021-03-19 в 12.52.01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0334" cy="717301"/>
                          </a:xfrm>
                          <a:prstGeom prst="rect">
                            <a:avLst/>
                          </a:prstGeom>
                        </pic:spPr>
                      </pic:pic>
                    </a:graphicData>
                  </a:graphic>
                </wp:inline>
              </w:drawing>
            </w:r>
            <w:r w:rsidRPr="00B37CCE">
              <w:rPr>
                <w:lang w:val="uk-UA"/>
              </w:rPr>
              <w:t>№4</w:t>
            </w:r>
          </w:p>
        </w:tc>
        <w:tc>
          <w:tcPr>
            <w:tcW w:w="3009" w:type="dxa"/>
            <w:gridSpan w:val="2"/>
            <w:vAlign w:val="bottom"/>
          </w:tcPr>
          <w:p w14:paraId="17D95BB0" w14:textId="77777777" w:rsidR="00F05F4E" w:rsidRPr="00B37CCE" w:rsidRDefault="00F05F4E" w:rsidP="00A50810">
            <w:pPr>
              <w:pStyle w:val="a6"/>
              <w:jc w:val="center"/>
              <w:rPr>
                <w:lang w:val="uk-UA"/>
              </w:rPr>
            </w:pPr>
            <w:r w:rsidRPr="00B37CCE">
              <w:rPr>
                <w:noProof/>
                <w:lang w:val="en-US" w:eastAsia="en-US"/>
              </w:rPr>
              <w:drawing>
                <wp:inline distT="0" distB="0" distL="0" distR="0" wp14:anchorId="015D080E" wp14:editId="524F2591">
                  <wp:extent cx="1375287" cy="708184"/>
                  <wp:effectExtent l="0" t="0" r="0" b="317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Снимок экрана 2021-03-19 в 12.52.23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4788" cy="713076"/>
                          </a:xfrm>
                          <a:prstGeom prst="rect">
                            <a:avLst/>
                          </a:prstGeom>
                        </pic:spPr>
                      </pic:pic>
                    </a:graphicData>
                  </a:graphic>
                </wp:inline>
              </w:drawing>
            </w:r>
            <w:r w:rsidRPr="00B37CCE">
              <w:rPr>
                <w:lang w:val="uk-UA"/>
              </w:rPr>
              <w:t>№5</w:t>
            </w:r>
          </w:p>
        </w:tc>
        <w:tc>
          <w:tcPr>
            <w:tcW w:w="3061" w:type="dxa"/>
            <w:vAlign w:val="bottom"/>
          </w:tcPr>
          <w:p w14:paraId="089F1AD9" w14:textId="77777777" w:rsidR="00F05F4E" w:rsidRPr="00B37CCE" w:rsidRDefault="00F05F4E" w:rsidP="00A50810">
            <w:pPr>
              <w:pStyle w:val="a6"/>
              <w:jc w:val="center"/>
              <w:rPr>
                <w:lang w:val="uk-UA"/>
              </w:rPr>
            </w:pPr>
            <w:r w:rsidRPr="00B37CCE">
              <w:rPr>
                <w:noProof/>
                <w:lang w:val="en-US" w:eastAsia="en-US"/>
              </w:rPr>
              <w:drawing>
                <wp:inline distT="0" distB="0" distL="0" distR="0" wp14:anchorId="590E9D62" wp14:editId="4007A2EE">
                  <wp:extent cx="1356851" cy="694789"/>
                  <wp:effectExtent l="0" t="0" r="254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Снимок экрана 2021-03-19 в 12.53.11 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5594" cy="699266"/>
                          </a:xfrm>
                          <a:prstGeom prst="rect">
                            <a:avLst/>
                          </a:prstGeom>
                        </pic:spPr>
                      </pic:pic>
                    </a:graphicData>
                  </a:graphic>
                </wp:inline>
              </w:drawing>
            </w:r>
            <w:r w:rsidRPr="00B37CCE">
              <w:rPr>
                <w:lang w:val="uk-UA"/>
              </w:rPr>
              <w:t>№6</w:t>
            </w:r>
          </w:p>
        </w:tc>
      </w:tr>
      <w:tr w:rsidR="00F05F4E" w14:paraId="73A84396" w14:textId="77777777" w:rsidTr="00A50810">
        <w:trPr>
          <w:trHeight w:val="1684"/>
        </w:trPr>
        <w:tc>
          <w:tcPr>
            <w:tcW w:w="3319" w:type="dxa"/>
            <w:vAlign w:val="bottom"/>
          </w:tcPr>
          <w:p w14:paraId="547D0D24" w14:textId="77777777" w:rsidR="00F05F4E" w:rsidRPr="00B37CCE" w:rsidRDefault="00F05F4E" w:rsidP="00A50810">
            <w:pPr>
              <w:pStyle w:val="a6"/>
              <w:jc w:val="center"/>
              <w:rPr>
                <w:lang w:val="uk-UA"/>
              </w:rPr>
            </w:pPr>
            <w:r w:rsidRPr="00B37CCE">
              <w:rPr>
                <w:noProof/>
                <w:lang w:val="en-US" w:eastAsia="en-US"/>
              </w:rPr>
              <w:drawing>
                <wp:inline distT="0" distB="0" distL="0" distR="0" wp14:anchorId="66241035" wp14:editId="1810944C">
                  <wp:extent cx="1430594" cy="774902"/>
                  <wp:effectExtent l="0" t="0" r="508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Снимок экрана 2021-03-19 в 12.53.57 PM.png"/>
                          <pic:cNvPicPr/>
                        </pic:nvPicPr>
                        <pic:blipFill rotWithShape="1">
                          <a:blip r:embed="rId31" cstate="print">
                            <a:extLst>
                              <a:ext uri="{28A0092B-C50C-407E-A947-70E740481C1C}">
                                <a14:useLocalDpi xmlns:a14="http://schemas.microsoft.com/office/drawing/2010/main" val="0"/>
                              </a:ext>
                            </a:extLst>
                          </a:blip>
                          <a:srcRect t="2185" r="250" b="-1"/>
                          <a:stretch/>
                        </pic:blipFill>
                        <pic:spPr bwMode="auto">
                          <a:xfrm>
                            <a:off x="0" y="0"/>
                            <a:ext cx="1445356" cy="782898"/>
                          </a:xfrm>
                          <a:prstGeom prst="rect">
                            <a:avLst/>
                          </a:prstGeom>
                          <a:ln>
                            <a:noFill/>
                          </a:ln>
                          <a:extLst>
                            <a:ext uri="{53640926-AAD7-44D8-BBD7-CCE9431645EC}">
                              <a14:shadowObscured xmlns:a14="http://schemas.microsoft.com/office/drawing/2010/main"/>
                            </a:ext>
                          </a:extLst>
                        </pic:spPr>
                      </pic:pic>
                    </a:graphicData>
                  </a:graphic>
                </wp:inline>
              </w:drawing>
            </w:r>
            <w:r w:rsidRPr="00B37CCE">
              <w:rPr>
                <w:lang w:val="uk-UA"/>
              </w:rPr>
              <w:t>№7</w:t>
            </w:r>
          </w:p>
        </w:tc>
        <w:tc>
          <w:tcPr>
            <w:tcW w:w="3009" w:type="dxa"/>
            <w:gridSpan w:val="2"/>
            <w:vAlign w:val="bottom"/>
          </w:tcPr>
          <w:p w14:paraId="5C6E1331" w14:textId="77777777" w:rsidR="00F05F4E" w:rsidRPr="00B37CCE" w:rsidRDefault="00F05F4E" w:rsidP="00A50810">
            <w:pPr>
              <w:pStyle w:val="a6"/>
              <w:jc w:val="center"/>
              <w:rPr>
                <w:lang w:val="uk-UA"/>
              </w:rPr>
            </w:pPr>
            <w:r w:rsidRPr="00B37CCE">
              <w:rPr>
                <w:noProof/>
                <w:lang w:val="en-US" w:eastAsia="en-US"/>
              </w:rPr>
              <w:drawing>
                <wp:inline distT="0" distB="0" distL="0" distR="0" wp14:anchorId="4F6F9960" wp14:editId="01DB4E5D">
                  <wp:extent cx="1161189" cy="799448"/>
                  <wp:effectExtent l="0" t="0" r="0" b="12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Снимок экрана 2021-03-19 в 12.54.31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1672" cy="806666"/>
                          </a:xfrm>
                          <a:prstGeom prst="rect">
                            <a:avLst/>
                          </a:prstGeom>
                        </pic:spPr>
                      </pic:pic>
                    </a:graphicData>
                  </a:graphic>
                </wp:inline>
              </w:drawing>
            </w:r>
            <w:r w:rsidRPr="00B37CCE">
              <w:rPr>
                <w:lang w:val="uk-UA"/>
              </w:rPr>
              <w:t>№8</w:t>
            </w:r>
          </w:p>
        </w:tc>
        <w:tc>
          <w:tcPr>
            <w:tcW w:w="3061" w:type="dxa"/>
            <w:vAlign w:val="bottom"/>
          </w:tcPr>
          <w:p w14:paraId="05E314F9" w14:textId="77777777" w:rsidR="00F05F4E" w:rsidRPr="00B37CCE" w:rsidRDefault="00F05F4E" w:rsidP="00A50810">
            <w:pPr>
              <w:pStyle w:val="a6"/>
              <w:jc w:val="center"/>
              <w:rPr>
                <w:lang w:val="uk-UA"/>
              </w:rPr>
            </w:pPr>
            <w:r w:rsidRPr="00B37CCE">
              <w:rPr>
                <w:noProof/>
                <w:lang w:val="en-US" w:eastAsia="en-US"/>
              </w:rPr>
              <w:drawing>
                <wp:inline distT="0" distB="0" distL="0" distR="0" wp14:anchorId="67781770" wp14:editId="2E5DDC74">
                  <wp:extent cx="1492262" cy="739140"/>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Снимок экрана 2021-03-19 в 1.33.59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6064" cy="760836"/>
                          </a:xfrm>
                          <a:prstGeom prst="rect">
                            <a:avLst/>
                          </a:prstGeom>
                        </pic:spPr>
                      </pic:pic>
                    </a:graphicData>
                  </a:graphic>
                </wp:inline>
              </w:drawing>
            </w:r>
            <w:r w:rsidRPr="00B37CCE">
              <w:rPr>
                <w:lang w:val="uk-UA"/>
              </w:rPr>
              <w:t>№9</w:t>
            </w:r>
          </w:p>
        </w:tc>
      </w:tr>
      <w:tr w:rsidR="00F05F4E" w14:paraId="4F5C2F82" w14:textId="77777777" w:rsidTr="00A50810">
        <w:trPr>
          <w:trHeight w:val="1744"/>
        </w:trPr>
        <w:tc>
          <w:tcPr>
            <w:tcW w:w="4792" w:type="dxa"/>
            <w:gridSpan w:val="2"/>
            <w:vAlign w:val="bottom"/>
          </w:tcPr>
          <w:p w14:paraId="1935B500" w14:textId="77777777" w:rsidR="00F05F4E" w:rsidRPr="00B37CCE" w:rsidRDefault="00F05F4E" w:rsidP="00A50810">
            <w:pPr>
              <w:pStyle w:val="a6"/>
              <w:jc w:val="center"/>
              <w:rPr>
                <w:lang w:val="uk-UA"/>
              </w:rPr>
            </w:pPr>
            <w:r w:rsidRPr="00B37CCE">
              <w:rPr>
                <w:noProof/>
                <w:lang w:val="en-US" w:eastAsia="en-US"/>
              </w:rPr>
              <w:drawing>
                <wp:inline distT="0" distB="0" distL="0" distR="0" wp14:anchorId="6B5288E9" wp14:editId="39C7D5EB">
                  <wp:extent cx="1828800" cy="749931"/>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Снимок экрана 2021-03-19 в 12.59.03 PM.png"/>
                          <pic:cNvPicPr/>
                        </pic:nvPicPr>
                        <pic:blipFill rotWithShape="1">
                          <a:blip r:embed="rId34" cstate="print">
                            <a:extLst>
                              <a:ext uri="{28A0092B-C50C-407E-A947-70E740481C1C}">
                                <a14:useLocalDpi xmlns:a14="http://schemas.microsoft.com/office/drawing/2010/main" val="0"/>
                              </a:ext>
                            </a:extLst>
                          </a:blip>
                          <a:srcRect l="2" t="7366" r="-1916"/>
                          <a:stretch/>
                        </pic:blipFill>
                        <pic:spPr bwMode="auto">
                          <a:xfrm>
                            <a:off x="0" y="0"/>
                            <a:ext cx="1848809" cy="758136"/>
                          </a:xfrm>
                          <a:prstGeom prst="rect">
                            <a:avLst/>
                          </a:prstGeom>
                          <a:ln>
                            <a:noFill/>
                          </a:ln>
                          <a:extLst>
                            <a:ext uri="{53640926-AAD7-44D8-BBD7-CCE9431645EC}">
                              <a14:shadowObscured xmlns:a14="http://schemas.microsoft.com/office/drawing/2010/main"/>
                            </a:ext>
                          </a:extLst>
                        </pic:spPr>
                      </pic:pic>
                    </a:graphicData>
                  </a:graphic>
                </wp:inline>
              </w:drawing>
            </w:r>
            <w:r w:rsidRPr="00B37CCE">
              <w:rPr>
                <w:lang w:val="uk-UA"/>
              </w:rPr>
              <w:t>№10</w:t>
            </w:r>
          </w:p>
        </w:tc>
        <w:tc>
          <w:tcPr>
            <w:tcW w:w="4598" w:type="dxa"/>
            <w:gridSpan w:val="2"/>
            <w:vAlign w:val="bottom"/>
          </w:tcPr>
          <w:p w14:paraId="3C6D7CDE" w14:textId="77777777" w:rsidR="00F05F4E" w:rsidRPr="00B37CCE" w:rsidRDefault="00F05F4E" w:rsidP="00A50810">
            <w:pPr>
              <w:pStyle w:val="a6"/>
              <w:jc w:val="center"/>
              <w:rPr>
                <w:lang w:val="uk-UA"/>
              </w:rPr>
            </w:pPr>
            <w:r w:rsidRPr="00B37CCE">
              <w:rPr>
                <w:noProof/>
                <w:lang w:val="en-US" w:eastAsia="en-US"/>
              </w:rPr>
              <w:drawing>
                <wp:inline distT="0" distB="0" distL="0" distR="0" wp14:anchorId="3ECEAB50" wp14:editId="0F9D1EC0">
                  <wp:extent cx="1888797" cy="775032"/>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Снимок экрана 2021-03-19 в 1.10.25 PM.png"/>
                          <pic:cNvPicPr/>
                        </pic:nvPicPr>
                        <pic:blipFill rotWithShape="1">
                          <a:blip r:embed="rId35" cstate="print">
                            <a:extLst>
                              <a:ext uri="{28A0092B-C50C-407E-A947-70E740481C1C}">
                                <a14:useLocalDpi xmlns:a14="http://schemas.microsoft.com/office/drawing/2010/main" val="0"/>
                              </a:ext>
                            </a:extLst>
                          </a:blip>
                          <a:srcRect t="6402"/>
                          <a:stretch/>
                        </pic:blipFill>
                        <pic:spPr bwMode="auto">
                          <a:xfrm>
                            <a:off x="0" y="0"/>
                            <a:ext cx="1892960" cy="776740"/>
                          </a:xfrm>
                          <a:prstGeom prst="rect">
                            <a:avLst/>
                          </a:prstGeom>
                          <a:ln>
                            <a:noFill/>
                          </a:ln>
                          <a:extLst>
                            <a:ext uri="{53640926-AAD7-44D8-BBD7-CCE9431645EC}">
                              <a14:shadowObscured xmlns:a14="http://schemas.microsoft.com/office/drawing/2010/main"/>
                            </a:ext>
                          </a:extLst>
                        </pic:spPr>
                      </pic:pic>
                    </a:graphicData>
                  </a:graphic>
                </wp:inline>
              </w:drawing>
            </w:r>
            <w:r w:rsidRPr="00B37CCE">
              <w:rPr>
                <w:lang w:val="uk-UA"/>
              </w:rPr>
              <w:t>№11</w:t>
            </w:r>
          </w:p>
        </w:tc>
      </w:tr>
    </w:tbl>
    <w:p w14:paraId="1E97666B" w14:textId="77777777" w:rsidR="00F05F4E" w:rsidRPr="00C6149C" w:rsidRDefault="00F05F4E" w:rsidP="00F05F4E">
      <w:pPr>
        <w:rPr>
          <w:lang w:val="uk-UA"/>
        </w:rPr>
      </w:pPr>
      <w:r w:rsidRPr="00C6149C">
        <w:rPr>
          <w:lang w:val="uk-UA"/>
        </w:rPr>
        <w:t>Рис. 3.1 Синтезовані комплекси тетрахлоро-(</w:t>
      </w:r>
      <w:r w:rsidRPr="00C6149C">
        <w:t>N</w:t>
      </w:r>
      <w:r w:rsidRPr="00C6149C">
        <w:rPr>
          <w:lang w:val="uk-UA"/>
        </w:rPr>
        <w:t>-4-</w:t>
      </w:r>
      <w:r w:rsidRPr="00C6149C">
        <w:t>R</w:t>
      </w:r>
      <w:r w:rsidRPr="00C6149C">
        <w:rPr>
          <w:lang w:val="uk-UA"/>
        </w:rPr>
        <w:t xml:space="preserve">-бензиліденасаліцилоїл-гідразинато- </w:t>
      </w:r>
      <w:r w:rsidRPr="00C6149C">
        <w:t>R</w:t>
      </w:r>
      <w:r w:rsidRPr="00C6149C">
        <w:rPr>
          <w:lang w:val="uk-UA"/>
        </w:rPr>
        <w:t>) станнуму (</w:t>
      </w:r>
      <w:r w:rsidRPr="00C6149C">
        <w:t>IV</w:t>
      </w:r>
      <w:r w:rsidRPr="00C6149C">
        <w:rPr>
          <w:lang w:val="uk-UA"/>
        </w:rPr>
        <w:t>).</w:t>
      </w:r>
    </w:p>
    <w:p w14:paraId="3140E8B2" w14:textId="77777777" w:rsidR="00F05F4E" w:rsidRPr="00B37CCE" w:rsidRDefault="00F05F4E" w:rsidP="00F05F4E">
      <w:pPr>
        <w:pStyle w:val="a6"/>
        <w:spacing w:line="360" w:lineRule="auto"/>
        <w:ind w:firstLine="708"/>
        <w:jc w:val="both"/>
        <w:rPr>
          <w:sz w:val="28"/>
          <w:szCs w:val="28"/>
          <w:lang w:val="uk-UA"/>
        </w:rPr>
      </w:pPr>
      <w:r>
        <w:rPr>
          <w:sz w:val="28"/>
          <w:szCs w:val="28"/>
          <w:lang w:val="uk-UA"/>
        </w:rPr>
        <w:lastRenderedPageBreak/>
        <w:t xml:space="preserve">Також, згідно з отриманими даними наступні сполуки, за результатами </w:t>
      </w:r>
      <w:r>
        <w:rPr>
          <w:sz w:val="28"/>
          <w:szCs w:val="28"/>
          <w:lang w:val="en-US"/>
        </w:rPr>
        <w:t>Pass</w:t>
      </w:r>
      <w:r>
        <w:rPr>
          <w:sz w:val="28"/>
          <w:szCs w:val="28"/>
          <w:lang w:val="uk-UA"/>
        </w:rPr>
        <w:t xml:space="preserve">-прогнозу є перспективними протизапальними засобами (Ра=0,233-0,713). </w:t>
      </w:r>
    </w:p>
    <w:p w14:paraId="222BB5A1" w14:textId="7CC8EF62" w:rsidR="00F05F4E" w:rsidRDefault="00F05F4E" w:rsidP="00F05F4E">
      <w:pPr>
        <w:pStyle w:val="a6"/>
        <w:spacing w:line="360" w:lineRule="auto"/>
        <w:ind w:firstLine="708"/>
        <w:jc w:val="both"/>
        <w:rPr>
          <w:sz w:val="28"/>
          <w:szCs w:val="28"/>
          <w:lang w:val="uk-UA"/>
        </w:rPr>
      </w:pPr>
      <w:r>
        <w:rPr>
          <w:sz w:val="28"/>
          <w:szCs w:val="28"/>
          <w:lang w:val="uk-UA"/>
        </w:rPr>
        <w:t xml:space="preserve">Дослідження </w:t>
      </w:r>
      <w:r>
        <w:rPr>
          <w:sz w:val="28"/>
          <w:szCs w:val="28"/>
          <w:lang w:val="en-US"/>
        </w:rPr>
        <w:t>in</w:t>
      </w:r>
      <w:r w:rsidRPr="00B37CCE">
        <w:rPr>
          <w:sz w:val="28"/>
          <w:szCs w:val="28"/>
          <w:lang w:val="uk-UA"/>
        </w:rPr>
        <w:t xml:space="preserve"> </w:t>
      </w:r>
      <w:r>
        <w:rPr>
          <w:sz w:val="28"/>
          <w:szCs w:val="28"/>
          <w:lang w:val="en-US"/>
        </w:rPr>
        <w:t>vivo</w:t>
      </w:r>
      <w:r w:rsidRPr="00B37CCE">
        <w:rPr>
          <w:sz w:val="28"/>
          <w:szCs w:val="28"/>
          <w:lang w:val="uk-UA"/>
        </w:rPr>
        <w:t xml:space="preserve"> </w:t>
      </w:r>
      <w:r>
        <w:rPr>
          <w:sz w:val="28"/>
          <w:szCs w:val="28"/>
          <w:lang w:val="uk-UA"/>
        </w:rPr>
        <w:t>на моделі каррагінан-індукованого запалення, що були проведені нашими колегами</w:t>
      </w:r>
      <w:r w:rsidRPr="00B37CCE">
        <w:rPr>
          <w:sz w:val="28"/>
          <w:szCs w:val="28"/>
          <w:lang w:val="uk-UA"/>
        </w:rPr>
        <w:t xml:space="preserve"> [</w:t>
      </w:r>
      <w:r w:rsidR="00390008" w:rsidRPr="00390008">
        <w:rPr>
          <w:sz w:val="28"/>
          <w:szCs w:val="28"/>
          <w:lang w:val="uk-UA"/>
        </w:rPr>
        <w:t>1</w:t>
      </w:r>
      <w:r w:rsidR="00FE60C3">
        <w:rPr>
          <w:sz w:val="28"/>
          <w:szCs w:val="28"/>
          <w:lang w:val="uk-UA"/>
        </w:rPr>
        <w:t>88</w:t>
      </w:r>
      <w:r w:rsidRPr="00B37CCE">
        <w:rPr>
          <w:sz w:val="28"/>
          <w:szCs w:val="28"/>
          <w:lang w:val="uk-UA"/>
        </w:rPr>
        <w:t>]</w:t>
      </w:r>
      <w:r>
        <w:rPr>
          <w:sz w:val="28"/>
          <w:szCs w:val="28"/>
          <w:lang w:val="uk-UA"/>
        </w:rPr>
        <w:t xml:space="preserve">, підтвердили результати </w:t>
      </w:r>
      <w:r>
        <w:rPr>
          <w:sz w:val="28"/>
          <w:szCs w:val="28"/>
          <w:lang w:val="en-US"/>
        </w:rPr>
        <w:t>Pass</w:t>
      </w:r>
      <w:r>
        <w:rPr>
          <w:sz w:val="28"/>
          <w:szCs w:val="28"/>
          <w:lang w:val="uk-UA"/>
        </w:rPr>
        <w:t xml:space="preserve">-прогнозу і показали високий рівень протизапальної дії сполук №2 (Комплекс І) і </w:t>
      </w:r>
      <w:r w:rsidR="00821BED">
        <w:rPr>
          <w:sz w:val="28"/>
          <w:szCs w:val="28"/>
          <w:lang w:val="uk-UA"/>
        </w:rPr>
        <w:br/>
      </w:r>
      <w:r>
        <w:rPr>
          <w:sz w:val="28"/>
          <w:szCs w:val="28"/>
          <w:lang w:val="uk-UA"/>
        </w:rPr>
        <w:t xml:space="preserve">№5 (Комплекс ІІ). </w:t>
      </w:r>
    </w:p>
    <w:p w14:paraId="01E3A77A" w14:textId="77777777" w:rsidR="00F05F4E" w:rsidRPr="00B37CCE" w:rsidRDefault="00F05F4E" w:rsidP="00F05F4E">
      <w:pPr>
        <w:pStyle w:val="a6"/>
        <w:spacing w:line="360" w:lineRule="auto"/>
        <w:ind w:firstLine="708"/>
        <w:jc w:val="both"/>
        <w:rPr>
          <w:sz w:val="28"/>
          <w:szCs w:val="28"/>
          <w:lang w:val="uk-UA"/>
        </w:rPr>
      </w:pPr>
      <w:r>
        <w:rPr>
          <w:sz w:val="28"/>
          <w:szCs w:val="28"/>
          <w:lang w:val="uk-UA"/>
        </w:rPr>
        <w:t xml:space="preserve">Саме тому, комплексні сполуки І і ІІ заслуговують уваги як перспективні протизапальні засоби із супутніми аналгетичним, антидепресантним, антиноцицептивним, протисудомним та ін. </w:t>
      </w:r>
    </w:p>
    <w:p w14:paraId="159C9976" w14:textId="77777777" w:rsidR="00F05F4E" w:rsidRPr="0071066B" w:rsidRDefault="00F05F4E" w:rsidP="00F05F4E">
      <w:pPr>
        <w:pStyle w:val="a6"/>
        <w:spacing w:line="360" w:lineRule="auto"/>
        <w:ind w:firstLine="708"/>
        <w:jc w:val="both"/>
        <w:rPr>
          <w:b/>
          <w:sz w:val="28"/>
          <w:szCs w:val="28"/>
          <w:lang w:val="uk-UA"/>
        </w:rPr>
      </w:pPr>
      <w:r w:rsidRPr="0071066B">
        <w:rPr>
          <w:b/>
          <w:sz w:val="28"/>
          <w:szCs w:val="28"/>
          <w:lang w:val="uk-UA"/>
        </w:rPr>
        <w:t>3.2 Гостра токсичність</w:t>
      </w:r>
    </w:p>
    <w:p w14:paraId="33B808CE" w14:textId="77777777" w:rsidR="00F05F4E" w:rsidRDefault="00F05F4E" w:rsidP="00F05F4E">
      <w:pPr>
        <w:pStyle w:val="a6"/>
        <w:spacing w:line="360" w:lineRule="auto"/>
        <w:ind w:firstLine="708"/>
        <w:jc w:val="both"/>
        <w:rPr>
          <w:sz w:val="28"/>
          <w:szCs w:val="28"/>
          <w:lang w:val="uk-UA" w:eastAsia="zh-CN"/>
        </w:rPr>
      </w:pPr>
      <w:r>
        <w:rPr>
          <w:sz w:val="28"/>
          <w:szCs w:val="28"/>
          <w:lang w:val="uk-UA" w:eastAsia="zh-CN"/>
        </w:rPr>
        <w:t xml:space="preserve">Для вивчення фармакологічної активності нових комплексних сполук саліцилоїлгідразонів бензальдегіду та 4-бромбензальдегіду з оловом, необхідно було провести попереднє дослідження їх гострої токсичної в експерименті </w:t>
      </w:r>
      <w:r>
        <w:rPr>
          <w:i/>
          <w:sz w:val="28"/>
          <w:szCs w:val="28"/>
          <w:lang w:val="en-US" w:eastAsia="zh-CN"/>
        </w:rPr>
        <w:t>in</w:t>
      </w:r>
      <w:r>
        <w:rPr>
          <w:i/>
          <w:sz w:val="28"/>
          <w:szCs w:val="28"/>
          <w:lang w:val="uk-UA" w:eastAsia="zh-CN"/>
        </w:rPr>
        <w:t xml:space="preserve"> </w:t>
      </w:r>
      <w:r>
        <w:rPr>
          <w:i/>
          <w:sz w:val="28"/>
          <w:szCs w:val="28"/>
          <w:lang w:val="en-US" w:eastAsia="zh-CN"/>
        </w:rPr>
        <w:t>vivo</w:t>
      </w:r>
      <w:r>
        <w:rPr>
          <w:sz w:val="28"/>
          <w:szCs w:val="28"/>
          <w:lang w:val="uk-UA" w:eastAsia="zh-CN"/>
        </w:rPr>
        <w:t>.</w:t>
      </w:r>
    </w:p>
    <w:p w14:paraId="36369583" w14:textId="43948042" w:rsidR="00F05F4E" w:rsidRPr="00973D06" w:rsidRDefault="00F05F4E" w:rsidP="00F05F4E">
      <w:pPr>
        <w:pStyle w:val="a6"/>
        <w:spacing w:line="360" w:lineRule="auto"/>
        <w:ind w:firstLine="708"/>
        <w:jc w:val="both"/>
        <w:rPr>
          <w:sz w:val="28"/>
          <w:szCs w:val="28"/>
        </w:rPr>
      </w:pPr>
      <w:r w:rsidRPr="00973D06">
        <w:rPr>
          <w:sz w:val="28"/>
          <w:szCs w:val="28"/>
          <w:lang w:val="uk-UA" w:eastAsia="zh-CN"/>
        </w:rPr>
        <w:t>Також було досліджено було досліджено сполуки, ліганди яких входять до структури комплексів І і ІІ.</w:t>
      </w:r>
      <w:r w:rsidRPr="00973D06">
        <w:rPr>
          <w:sz w:val="28"/>
          <w:szCs w:val="28"/>
          <w:lang w:eastAsia="zh-CN"/>
        </w:rPr>
        <w:t xml:space="preserve"> </w:t>
      </w:r>
      <w:r w:rsidRPr="00973D06">
        <w:rPr>
          <w:sz w:val="28"/>
          <w:szCs w:val="28"/>
          <w:lang w:val="uk-UA"/>
        </w:rPr>
        <w:t>З літератури відомо, що ЛД</w:t>
      </w:r>
      <w:r w:rsidRPr="00973D06">
        <w:rPr>
          <w:sz w:val="28"/>
          <w:szCs w:val="28"/>
          <w:vertAlign w:val="subscript"/>
          <w:lang w:val="uk-UA"/>
        </w:rPr>
        <w:t>50</w:t>
      </w:r>
      <w:r w:rsidRPr="00973D06">
        <w:rPr>
          <w:sz w:val="28"/>
          <w:szCs w:val="28"/>
          <w:lang w:val="uk-UA"/>
        </w:rPr>
        <w:t xml:space="preserve"> бензальдегіду складає </w:t>
      </w:r>
      <w:r w:rsidRPr="00973D06">
        <w:rPr>
          <w:color w:val="000000"/>
          <w:sz w:val="28"/>
          <w:szCs w:val="28"/>
          <w:lang w:val="uk-UA"/>
        </w:rPr>
        <w:t>2400 мг/кг</w:t>
      </w:r>
      <w:r w:rsidRPr="00973D06">
        <w:rPr>
          <w:sz w:val="28"/>
          <w:szCs w:val="28"/>
          <w:shd w:val="clear" w:color="auto" w:fill="FFFFFF"/>
          <w:lang w:val="uk-UA"/>
        </w:rPr>
        <w:t xml:space="preserve"> (щури, перорально), </w:t>
      </w:r>
      <w:r w:rsidRPr="00973D06">
        <w:rPr>
          <w:color w:val="000000"/>
          <w:sz w:val="28"/>
          <w:szCs w:val="28"/>
          <w:lang w:val="uk-UA"/>
        </w:rPr>
        <w:t>2020 мг/кг (миші, перорально)</w:t>
      </w:r>
      <w:r w:rsidRPr="00973D06">
        <w:rPr>
          <w:color w:val="000000"/>
          <w:sz w:val="28"/>
          <w:szCs w:val="28"/>
        </w:rPr>
        <w:t xml:space="preserve"> [</w:t>
      </w:r>
      <w:r w:rsidR="00390008" w:rsidRPr="00390008">
        <w:rPr>
          <w:color w:val="000000"/>
          <w:sz w:val="28"/>
          <w:szCs w:val="28"/>
        </w:rPr>
        <w:t>1</w:t>
      </w:r>
      <w:r w:rsidR="00FE60C3">
        <w:rPr>
          <w:color w:val="000000"/>
          <w:sz w:val="28"/>
          <w:szCs w:val="28"/>
        </w:rPr>
        <w:t>89</w:t>
      </w:r>
      <w:r w:rsidRPr="00973D06">
        <w:rPr>
          <w:color w:val="000000"/>
          <w:sz w:val="28"/>
          <w:szCs w:val="28"/>
        </w:rPr>
        <w:t>]</w:t>
      </w:r>
      <w:r w:rsidRPr="00973D06">
        <w:rPr>
          <w:color w:val="000000"/>
          <w:sz w:val="28"/>
          <w:szCs w:val="28"/>
          <w:lang w:val="uk-UA"/>
        </w:rPr>
        <w:t>;</w:t>
      </w:r>
      <w:r w:rsidRPr="00973D06">
        <w:rPr>
          <w:sz w:val="28"/>
          <w:szCs w:val="28"/>
          <w:lang w:val="uk-UA"/>
        </w:rPr>
        <w:t xml:space="preserve"> </w:t>
      </w:r>
      <w:r w:rsidRPr="00973D06">
        <w:rPr>
          <w:sz w:val="28"/>
          <w:szCs w:val="28"/>
          <w:shd w:val="clear" w:color="auto" w:fill="FFFFFF"/>
          <w:lang w:val="uk-UA"/>
        </w:rPr>
        <w:t xml:space="preserve">бромбензальдегіду &gt; </w:t>
      </w:r>
      <w:r w:rsidRPr="00973D06">
        <w:rPr>
          <w:sz w:val="28"/>
          <w:szCs w:val="28"/>
          <w:lang w:val="uk-UA"/>
        </w:rPr>
        <w:t>10750 мг/кг (щури, перорально)</w:t>
      </w:r>
      <w:r w:rsidRPr="00973D06">
        <w:rPr>
          <w:sz w:val="28"/>
          <w:szCs w:val="28"/>
        </w:rPr>
        <w:t xml:space="preserve"> </w:t>
      </w:r>
      <w:r w:rsidRPr="00973D06">
        <w:rPr>
          <w:color w:val="000000"/>
          <w:sz w:val="28"/>
          <w:szCs w:val="28"/>
        </w:rPr>
        <w:t>[</w:t>
      </w:r>
      <w:r w:rsidR="00390008" w:rsidRPr="00390008">
        <w:rPr>
          <w:color w:val="000000"/>
          <w:sz w:val="28"/>
          <w:szCs w:val="28"/>
        </w:rPr>
        <w:t>19</w:t>
      </w:r>
      <w:r w:rsidR="00FE60C3">
        <w:rPr>
          <w:color w:val="000000"/>
          <w:sz w:val="28"/>
          <w:szCs w:val="28"/>
        </w:rPr>
        <w:t>0</w:t>
      </w:r>
      <w:r w:rsidRPr="00973D06">
        <w:rPr>
          <w:color w:val="000000"/>
          <w:sz w:val="28"/>
          <w:szCs w:val="28"/>
        </w:rPr>
        <w:t>]</w:t>
      </w:r>
      <w:r w:rsidRPr="00973D06">
        <w:rPr>
          <w:sz w:val="28"/>
          <w:szCs w:val="28"/>
          <w:lang w:val="uk-UA"/>
        </w:rPr>
        <w:t xml:space="preserve">; 1230 мг/кг </w:t>
      </w:r>
      <w:r w:rsidRPr="00973D06">
        <w:rPr>
          <w:color w:val="000000"/>
          <w:sz w:val="28"/>
          <w:szCs w:val="28"/>
          <w:lang w:val="uk-UA"/>
        </w:rPr>
        <w:t>(миші, перорально)</w:t>
      </w:r>
      <w:r w:rsidRPr="00973D06">
        <w:rPr>
          <w:color w:val="000000"/>
          <w:sz w:val="28"/>
          <w:szCs w:val="28"/>
        </w:rPr>
        <w:t xml:space="preserve"> [</w:t>
      </w:r>
      <w:r w:rsidR="00390008" w:rsidRPr="00390008">
        <w:rPr>
          <w:color w:val="000000"/>
          <w:sz w:val="28"/>
          <w:szCs w:val="28"/>
        </w:rPr>
        <w:t>19</w:t>
      </w:r>
      <w:r w:rsidR="00FE60C3">
        <w:rPr>
          <w:color w:val="000000"/>
          <w:sz w:val="28"/>
          <w:szCs w:val="28"/>
        </w:rPr>
        <w:t>1</w:t>
      </w:r>
      <w:r w:rsidRPr="00973D06">
        <w:rPr>
          <w:color w:val="000000"/>
          <w:sz w:val="28"/>
          <w:szCs w:val="28"/>
        </w:rPr>
        <w:t>]</w:t>
      </w:r>
      <w:r w:rsidRPr="00973D06">
        <w:rPr>
          <w:color w:val="000000"/>
          <w:sz w:val="28"/>
          <w:szCs w:val="28"/>
          <w:lang w:val="uk-UA"/>
        </w:rPr>
        <w:t>;</w:t>
      </w:r>
      <w:r w:rsidRPr="00973D06">
        <w:rPr>
          <w:sz w:val="28"/>
          <w:szCs w:val="28"/>
          <w:lang w:val="uk-UA"/>
        </w:rPr>
        <w:t xml:space="preserve"> </w:t>
      </w:r>
      <w:r w:rsidRPr="00973D06">
        <w:rPr>
          <w:sz w:val="28"/>
          <w:szCs w:val="28"/>
          <w:shd w:val="clear" w:color="auto" w:fill="FFFFFF"/>
          <w:lang w:val="uk-UA"/>
        </w:rPr>
        <w:t xml:space="preserve">саліцилової кислоти &gt; 891 мг/кг (шури, перорально), </w:t>
      </w:r>
      <w:r w:rsidR="00821BED">
        <w:rPr>
          <w:sz w:val="28"/>
          <w:szCs w:val="28"/>
          <w:shd w:val="clear" w:color="auto" w:fill="FFFFFF"/>
          <w:lang w:val="uk-UA"/>
        </w:rPr>
        <w:br/>
      </w:r>
      <w:r w:rsidRPr="00973D06">
        <w:rPr>
          <w:color w:val="000000"/>
          <w:sz w:val="28"/>
          <w:szCs w:val="28"/>
          <w:lang w:val="uk-UA"/>
        </w:rPr>
        <w:t xml:space="preserve">480 мг/кг </w:t>
      </w:r>
      <w:r w:rsidRPr="00973D06">
        <w:rPr>
          <w:sz w:val="28"/>
          <w:szCs w:val="28"/>
          <w:shd w:val="clear" w:color="auto" w:fill="FFFFFF"/>
          <w:lang w:val="uk-UA"/>
        </w:rPr>
        <w:t>(миші, перорально)</w:t>
      </w:r>
      <w:r w:rsidRPr="00973D06">
        <w:rPr>
          <w:sz w:val="28"/>
          <w:szCs w:val="28"/>
          <w:shd w:val="clear" w:color="auto" w:fill="FFFFFF"/>
        </w:rPr>
        <w:t xml:space="preserve"> [</w:t>
      </w:r>
      <w:r w:rsidR="00390008" w:rsidRPr="00390008">
        <w:rPr>
          <w:sz w:val="28"/>
          <w:szCs w:val="28"/>
          <w:shd w:val="clear" w:color="auto" w:fill="FFFFFF"/>
        </w:rPr>
        <w:t>19</w:t>
      </w:r>
      <w:r w:rsidR="00FE60C3">
        <w:rPr>
          <w:sz w:val="28"/>
          <w:szCs w:val="28"/>
          <w:shd w:val="clear" w:color="auto" w:fill="FFFFFF"/>
        </w:rPr>
        <w:t>2</w:t>
      </w:r>
      <w:r w:rsidRPr="00973D06">
        <w:rPr>
          <w:sz w:val="28"/>
          <w:szCs w:val="28"/>
          <w:shd w:val="clear" w:color="auto" w:fill="FFFFFF"/>
        </w:rPr>
        <w:t>]</w:t>
      </w:r>
      <w:r w:rsidRPr="00973D06">
        <w:rPr>
          <w:color w:val="000000"/>
          <w:sz w:val="28"/>
          <w:szCs w:val="28"/>
          <w:lang w:val="uk-UA"/>
        </w:rPr>
        <w:t xml:space="preserve">; </w:t>
      </w:r>
      <w:r w:rsidRPr="00973D06">
        <w:rPr>
          <w:sz w:val="28"/>
          <w:szCs w:val="28"/>
          <w:shd w:val="clear" w:color="auto" w:fill="FFFFFF"/>
          <w:lang w:val="uk-UA"/>
        </w:rPr>
        <w:t xml:space="preserve">хлорид олова &gt; </w:t>
      </w:r>
      <w:r w:rsidRPr="00973D06">
        <w:rPr>
          <w:sz w:val="28"/>
          <w:szCs w:val="28"/>
        </w:rPr>
        <w:t xml:space="preserve">1745 - 2275 </w:t>
      </w:r>
      <w:r w:rsidRPr="00973D06">
        <w:rPr>
          <w:sz w:val="28"/>
          <w:szCs w:val="28"/>
          <w:shd w:val="clear" w:color="auto" w:fill="FFFFFF"/>
          <w:lang w:val="uk-UA"/>
        </w:rPr>
        <w:t>мг/кг (щури, перорально)</w:t>
      </w:r>
      <w:r w:rsidRPr="00973D06">
        <w:rPr>
          <w:sz w:val="28"/>
          <w:szCs w:val="28"/>
          <w:shd w:val="clear" w:color="auto" w:fill="FFFFFF"/>
        </w:rPr>
        <w:t xml:space="preserve"> [</w:t>
      </w:r>
      <w:r w:rsidR="00390008" w:rsidRPr="00390008">
        <w:rPr>
          <w:sz w:val="28"/>
          <w:szCs w:val="28"/>
          <w:shd w:val="clear" w:color="auto" w:fill="FFFFFF"/>
        </w:rPr>
        <w:t>19</w:t>
      </w:r>
      <w:r w:rsidR="00FE60C3">
        <w:rPr>
          <w:sz w:val="28"/>
          <w:szCs w:val="28"/>
          <w:shd w:val="clear" w:color="auto" w:fill="FFFFFF"/>
        </w:rPr>
        <w:t>3</w:t>
      </w:r>
      <w:r w:rsidRPr="00973D06">
        <w:rPr>
          <w:sz w:val="28"/>
          <w:szCs w:val="28"/>
          <w:shd w:val="clear" w:color="auto" w:fill="FFFFFF"/>
        </w:rPr>
        <w:t>]</w:t>
      </w:r>
      <w:r w:rsidRPr="00973D06">
        <w:rPr>
          <w:sz w:val="28"/>
          <w:szCs w:val="28"/>
          <w:shd w:val="clear" w:color="auto" w:fill="FFFFFF"/>
          <w:lang w:val="uk-UA"/>
        </w:rPr>
        <w:t>.</w:t>
      </w:r>
    </w:p>
    <w:p w14:paraId="671291C9" w14:textId="77777777" w:rsidR="00F05F4E" w:rsidRDefault="00F05F4E" w:rsidP="00F05F4E">
      <w:pPr>
        <w:pStyle w:val="a6"/>
        <w:spacing w:line="360" w:lineRule="auto"/>
        <w:ind w:firstLine="708"/>
        <w:jc w:val="both"/>
        <w:rPr>
          <w:sz w:val="28"/>
          <w:szCs w:val="28"/>
          <w:lang w:val="uk-UA"/>
        </w:rPr>
      </w:pPr>
      <w:r>
        <w:rPr>
          <w:sz w:val="28"/>
          <w:szCs w:val="28"/>
          <w:lang w:val="uk-UA"/>
        </w:rPr>
        <w:t>Досліджувані</w:t>
      </w:r>
      <w:r w:rsidRPr="00C6149C">
        <w:rPr>
          <w:sz w:val="28"/>
          <w:szCs w:val="28"/>
          <w:lang w:val="uk-UA"/>
        </w:rPr>
        <w:t xml:space="preserve"> </w:t>
      </w:r>
      <w:r>
        <w:rPr>
          <w:sz w:val="28"/>
          <w:szCs w:val="28"/>
          <w:lang w:val="uk-UA"/>
        </w:rPr>
        <w:t xml:space="preserve">комплексні сполуки І і ІІ розчиняли у водно-твиновій емульсії у дозах від 175 мг/кг до 1750 мг/кг, після перорального введення сполук за тваринами спостерігали протягом 14 діб. Головним критерієм токсичності сполук була загибель піддослідних тварин. Також, реєструвалися показники доза-ефект на стан органів і тварин в цілому: маса тіла тварин, стан шкіри та шерсті, колір слизових оболонок, ринореї, млявість, сонливість, </w:t>
      </w:r>
      <w:r>
        <w:rPr>
          <w:sz w:val="28"/>
          <w:szCs w:val="28"/>
          <w:lang w:val="uk-UA"/>
        </w:rPr>
        <w:lastRenderedPageBreak/>
        <w:t>наявність тремору, загальний стан тварин, а також діяльність нервової, дихальної та серцево-судинної систем. Дослідження стану тварин, а також їх загибель реєстрували у перший день, спостереження проводили у першу годину безперервно, а потім через дві, три та п’ять годин.</w:t>
      </w:r>
      <w:r>
        <w:rPr>
          <w:sz w:val="28"/>
          <w:szCs w:val="28"/>
          <w:lang w:val="uk-UA"/>
        </w:rPr>
        <w:br/>
        <w:t>Через 14 днів після введення досліджуваних сполук тварини підлягали мортифікації та досліджувався стан їх внутрішніх органів та тканин.</w:t>
      </w:r>
    </w:p>
    <w:p w14:paraId="4E6FCBFF" w14:textId="77777777" w:rsidR="00F05F4E" w:rsidRDefault="00F05F4E" w:rsidP="00F05F4E">
      <w:pPr>
        <w:pStyle w:val="a6"/>
        <w:spacing w:line="360" w:lineRule="auto"/>
        <w:ind w:firstLine="708"/>
        <w:jc w:val="both"/>
        <w:rPr>
          <w:sz w:val="28"/>
          <w:szCs w:val="28"/>
          <w:lang w:val="uk-UA"/>
        </w:rPr>
      </w:pPr>
      <w:r>
        <w:rPr>
          <w:sz w:val="28"/>
          <w:szCs w:val="28"/>
          <w:lang w:val="uk-UA"/>
        </w:rPr>
        <w:t>За результатами дослідження було встановлено, що введення комплексних сполук І і ІІ не викликає істотних змін маси тіла впродовж 14 діб, приріст маси тіла був у рамках фізіологічної норми (табл. 3.2).</w:t>
      </w:r>
    </w:p>
    <w:p w14:paraId="31F1D8C5" w14:textId="77777777" w:rsidR="00F05F4E" w:rsidRPr="0071066B" w:rsidRDefault="00F05F4E" w:rsidP="00F05F4E">
      <w:pPr>
        <w:spacing w:line="360" w:lineRule="auto"/>
        <w:jc w:val="right"/>
        <w:rPr>
          <w:i/>
          <w:sz w:val="28"/>
          <w:szCs w:val="28"/>
          <w:lang w:val="uk-UA"/>
        </w:rPr>
      </w:pPr>
      <w:r w:rsidRPr="0071066B">
        <w:rPr>
          <w:i/>
          <w:sz w:val="28"/>
          <w:szCs w:val="28"/>
          <w:lang w:val="uk-UA"/>
        </w:rPr>
        <w:t>Табл 3.2</w:t>
      </w:r>
    </w:p>
    <w:p w14:paraId="2615BCF5" w14:textId="77777777" w:rsidR="00F05F4E" w:rsidRPr="0071066B" w:rsidRDefault="00F05F4E" w:rsidP="00F05F4E">
      <w:pPr>
        <w:spacing w:line="360" w:lineRule="auto"/>
        <w:jc w:val="right"/>
        <w:rPr>
          <w:b/>
          <w:sz w:val="28"/>
          <w:szCs w:val="28"/>
        </w:rPr>
      </w:pPr>
      <w:r w:rsidRPr="0071066B">
        <w:rPr>
          <w:b/>
          <w:sz w:val="28"/>
          <w:szCs w:val="28"/>
        </w:rPr>
        <w:t xml:space="preserve">Динаміка </w:t>
      </w:r>
      <w:r w:rsidRPr="0071066B">
        <w:rPr>
          <w:b/>
          <w:sz w:val="28"/>
          <w:szCs w:val="28"/>
          <w:lang w:val="uk-UA"/>
        </w:rPr>
        <w:t xml:space="preserve">зміни </w:t>
      </w:r>
      <w:r w:rsidRPr="0071066B">
        <w:rPr>
          <w:b/>
          <w:sz w:val="28"/>
          <w:szCs w:val="28"/>
        </w:rPr>
        <w:t xml:space="preserve">маси тіла (M±m) у статевозрілих білих </w:t>
      </w:r>
      <w:r w:rsidRPr="0071066B">
        <w:rPr>
          <w:b/>
          <w:sz w:val="28"/>
          <w:szCs w:val="28"/>
          <w:lang w:val="uk-UA"/>
        </w:rPr>
        <w:t>мишей</w:t>
      </w:r>
      <w:r w:rsidRPr="0071066B">
        <w:rPr>
          <w:b/>
          <w:sz w:val="28"/>
          <w:szCs w:val="28"/>
        </w:rPr>
        <w:t xml:space="preserve"> після </w:t>
      </w:r>
      <w:r w:rsidRPr="0071066B">
        <w:rPr>
          <w:b/>
          <w:sz w:val="28"/>
          <w:szCs w:val="28"/>
          <w:lang w:val="uk-UA"/>
        </w:rPr>
        <w:t>однократного перорального введення комплексних сполук у порівнянні із контролем</w:t>
      </w:r>
    </w:p>
    <w:tbl>
      <w:tblPr>
        <w:tblStyle w:val="afb"/>
        <w:tblW w:w="0" w:type="auto"/>
        <w:tblLayout w:type="fixed"/>
        <w:tblLook w:val="04A0" w:firstRow="1" w:lastRow="0" w:firstColumn="1" w:lastColumn="0" w:noHBand="0" w:noVBand="1"/>
      </w:tblPr>
      <w:tblGrid>
        <w:gridCol w:w="2695"/>
        <w:gridCol w:w="1710"/>
        <w:gridCol w:w="1620"/>
        <w:gridCol w:w="1620"/>
        <w:gridCol w:w="1694"/>
      </w:tblGrid>
      <w:tr w:rsidR="00F05F4E" w:rsidRPr="00A50810" w14:paraId="0361190F" w14:textId="77777777" w:rsidTr="00A50810">
        <w:tc>
          <w:tcPr>
            <w:tcW w:w="2695" w:type="dxa"/>
            <w:vMerge w:val="restart"/>
            <w:vAlign w:val="bottom"/>
          </w:tcPr>
          <w:p w14:paraId="2AFED01B" w14:textId="77777777" w:rsidR="00F05F4E" w:rsidRPr="00A50810" w:rsidRDefault="00F05F4E" w:rsidP="00A50810">
            <w:pPr>
              <w:pStyle w:val="a6"/>
              <w:jc w:val="center"/>
              <w:rPr>
                <w:lang w:val="uk-UA"/>
              </w:rPr>
            </w:pPr>
            <w:r w:rsidRPr="00A50810">
              <w:rPr>
                <w:lang w:val="uk-UA"/>
              </w:rPr>
              <w:t>Група</w:t>
            </w:r>
          </w:p>
        </w:tc>
        <w:tc>
          <w:tcPr>
            <w:tcW w:w="6644" w:type="dxa"/>
            <w:gridSpan w:val="4"/>
            <w:vAlign w:val="bottom"/>
          </w:tcPr>
          <w:p w14:paraId="0C827221" w14:textId="77777777" w:rsidR="00F05F4E" w:rsidRPr="00A50810" w:rsidRDefault="00F05F4E" w:rsidP="00A50810">
            <w:pPr>
              <w:pStyle w:val="a6"/>
              <w:jc w:val="center"/>
              <w:rPr>
                <w:lang w:val="uk-UA"/>
              </w:rPr>
            </w:pPr>
            <w:r w:rsidRPr="00A50810">
              <w:rPr>
                <w:lang w:val="uk-UA"/>
              </w:rPr>
              <w:t>Час спостереження, доба</w:t>
            </w:r>
          </w:p>
        </w:tc>
      </w:tr>
      <w:tr w:rsidR="00F05F4E" w:rsidRPr="00A50810" w14:paraId="44114EA3" w14:textId="77777777" w:rsidTr="00A50810">
        <w:tc>
          <w:tcPr>
            <w:tcW w:w="2695" w:type="dxa"/>
            <w:vMerge/>
            <w:vAlign w:val="bottom"/>
          </w:tcPr>
          <w:p w14:paraId="3F0B0959" w14:textId="77777777" w:rsidR="00F05F4E" w:rsidRPr="00A50810" w:rsidRDefault="00F05F4E" w:rsidP="00A50810">
            <w:pPr>
              <w:pStyle w:val="a6"/>
              <w:jc w:val="center"/>
            </w:pPr>
          </w:p>
        </w:tc>
        <w:tc>
          <w:tcPr>
            <w:tcW w:w="1710" w:type="dxa"/>
            <w:vAlign w:val="bottom"/>
          </w:tcPr>
          <w:p w14:paraId="25727E50" w14:textId="488EC422" w:rsidR="00F05F4E" w:rsidRPr="00A50810" w:rsidRDefault="00F05F4E" w:rsidP="00A50810">
            <w:pPr>
              <w:pStyle w:val="a6"/>
              <w:jc w:val="center"/>
              <w:rPr>
                <w:lang w:val="uk-UA"/>
              </w:rPr>
            </w:pPr>
            <w:r w:rsidRPr="00A50810">
              <w:rPr>
                <w:lang w:val="uk-UA"/>
              </w:rPr>
              <w:t>0 доба дослідження</w:t>
            </w:r>
          </w:p>
        </w:tc>
        <w:tc>
          <w:tcPr>
            <w:tcW w:w="1620" w:type="dxa"/>
            <w:vAlign w:val="bottom"/>
          </w:tcPr>
          <w:p w14:paraId="34649AE1" w14:textId="0045766C" w:rsidR="00F05F4E" w:rsidRPr="00A50810" w:rsidRDefault="00F05F4E" w:rsidP="00A50810">
            <w:pPr>
              <w:pStyle w:val="a6"/>
              <w:jc w:val="center"/>
              <w:rPr>
                <w:lang w:val="uk-UA"/>
              </w:rPr>
            </w:pPr>
            <w:r w:rsidRPr="00A50810">
              <w:rPr>
                <w:lang w:val="uk-UA"/>
              </w:rPr>
              <w:t>3 доба дослідження</w:t>
            </w:r>
          </w:p>
        </w:tc>
        <w:tc>
          <w:tcPr>
            <w:tcW w:w="1620" w:type="dxa"/>
            <w:vAlign w:val="bottom"/>
          </w:tcPr>
          <w:p w14:paraId="12967F16" w14:textId="2B2B2B7E" w:rsidR="00F05F4E" w:rsidRPr="00A50810" w:rsidRDefault="00F05F4E" w:rsidP="00A50810">
            <w:pPr>
              <w:pStyle w:val="a6"/>
              <w:jc w:val="center"/>
              <w:rPr>
                <w:lang w:val="uk-UA"/>
              </w:rPr>
            </w:pPr>
            <w:r w:rsidRPr="00A50810">
              <w:rPr>
                <w:lang w:val="uk-UA"/>
              </w:rPr>
              <w:t>7 доба дослідження</w:t>
            </w:r>
          </w:p>
        </w:tc>
        <w:tc>
          <w:tcPr>
            <w:tcW w:w="1694" w:type="dxa"/>
            <w:vAlign w:val="bottom"/>
          </w:tcPr>
          <w:p w14:paraId="32961E33" w14:textId="77777777" w:rsidR="00F05F4E" w:rsidRPr="00A50810" w:rsidRDefault="00F05F4E" w:rsidP="00A50810">
            <w:pPr>
              <w:pStyle w:val="a6"/>
              <w:jc w:val="center"/>
              <w:rPr>
                <w:lang w:val="uk-UA"/>
              </w:rPr>
            </w:pPr>
            <w:r w:rsidRPr="00A50810">
              <w:rPr>
                <w:lang w:val="uk-UA"/>
              </w:rPr>
              <w:t>14 доба дослідження</w:t>
            </w:r>
          </w:p>
        </w:tc>
      </w:tr>
      <w:tr w:rsidR="00F05F4E" w:rsidRPr="00A50810" w14:paraId="6EF35C69" w14:textId="77777777" w:rsidTr="00A50810">
        <w:tc>
          <w:tcPr>
            <w:tcW w:w="2695" w:type="dxa"/>
            <w:vAlign w:val="bottom"/>
          </w:tcPr>
          <w:p w14:paraId="6702A153" w14:textId="77777777" w:rsidR="00F05F4E" w:rsidRPr="00A50810" w:rsidRDefault="00F05F4E" w:rsidP="00A50810">
            <w:pPr>
              <w:pStyle w:val="a6"/>
              <w:rPr>
                <w:lang w:val="uk-UA"/>
              </w:rPr>
            </w:pPr>
            <w:r w:rsidRPr="00A50810">
              <w:rPr>
                <w:lang w:val="uk-UA"/>
              </w:rPr>
              <w:t xml:space="preserve">Маса тварин, г (контрольна група, </w:t>
            </w:r>
            <w:r w:rsidRPr="00A50810">
              <w:rPr>
                <w:lang w:val="en-US"/>
              </w:rPr>
              <w:t>n</w:t>
            </w:r>
            <w:r w:rsidRPr="00A50810">
              <w:t>=6</w:t>
            </w:r>
            <w:r w:rsidRPr="00A50810">
              <w:rPr>
                <w:lang w:val="uk-UA"/>
              </w:rPr>
              <w:t>)</w:t>
            </w:r>
          </w:p>
        </w:tc>
        <w:tc>
          <w:tcPr>
            <w:tcW w:w="1710" w:type="dxa"/>
            <w:vAlign w:val="bottom"/>
          </w:tcPr>
          <w:p w14:paraId="6AF3CC62" w14:textId="77777777" w:rsidR="00F05F4E" w:rsidRPr="00A50810" w:rsidRDefault="00F05F4E" w:rsidP="00A50810">
            <w:pPr>
              <w:rPr>
                <w:lang w:val="uk-UA"/>
              </w:rPr>
            </w:pPr>
            <w:r w:rsidRPr="00A50810">
              <w:rPr>
                <w:lang w:val="uk-UA"/>
              </w:rPr>
              <w:t>19,8</w:t>
            </w:r>
            <w:r w:rsidRPr="00A50810">
              <w:t xml:space="preserve"> ±</w:t>
            </w:r>
            <w:r w:rsidRPr="00A50810">
              <w:rPr>
                <w:lang w:val="uk-UA"/>
              </w:rPr>
              <w:t xml:space="preserve"> </w:t>
            </w:r>
            <w:r w:rsidRPr="00A50810">
              <w:t>1,</w:t>
            </w:r>
            <w:r w:rsidRPr="00A50810">
              <w:rPr>
                <w:lang w:val="uk-UA"/>
              </w:rPr>
              <w:t>3</w:t>
            </w:r>
          </w:p>
        </w:tc>
        <w:tc>
          <w:tcPr>
            <w:tcW w:w="1620" w:type="dxa"/>
            <w:vAlign w:val="bottom"/>
          </w:tcPr>
          <w:p w14:paraId="25F4C6A3" w14:textId="77777777" w:rsidR="00F05F4E" w:rsidRPr="00A50810" w:rsidRDefault="00F05F4E" w:rsidP="00A50810">
            <w:pPr>
              <w:pStyle w:val="a6"/>
              <w:rPr>
                <w:lang w:val="uk-UA"/>
              </w:rPr>
            </w:pPr>
            <w:r w:rsidRPr="00A50810">
              <w:rPr>
                <w:lang w:val="uk-UA"/>
              </w:rPr>
              <w:t xml:space="preserve">21,4 </w:t>
            </w:r>
            <w:r w:rsidRPr="00A50810">
              <w:t>±</w:t>
            </w:r>
            <w:r w:rsidRPr="00A50810">
              <w:rPr>
                <w:lang w:val="uk-UA"/>
              </w:rPr>
              <w:t xml:space="preserve"> </w:t>
            </w:r>
            <w:r w:rsidRPr="00A50810">
              <w:t>1,1</w:t>
            </w:r>
          </w:p>
        </w:tc>
        <w:tc>
          <w:tcPr>
            <w:tcW w:w="1620" w:type="dxa"/>
            <w:vAlign w:val="bottom"/>
          </w:tcPr>
          <w:p w14:paraId="3A751895" w14:textId="77777777" w:rsidR="00F05F4E" w:rsidRPr="00A50810" w:rsidRDefault="00F05F4E" w:rsidP="00A50810">
            <w:pPr>
              <w:pStyle w:val="a6"/>
              <w:rPr>
                <w:lang w:val="uk-UA"/>
              </w:rPr>
            </w:pPr>
            <w:r w:rsidRPr="00A50810">
              <w:rPr>
                <w:lang w:val="uk-UA"/>
              </w:rPr>
              <w:t xml:space="preserve">23,6 </w:t>
            </w:r>
            <w:r w:rsidRPr="00A50810">
              <w:t>±</w:t>
            </w:r>
            <w:r w:rsidRPr="00A50810">
              <w:rPr>
                <w:lang w:val="uk-UA"/>
              </w:rPr>
              <w:t xml:space="preserve"> </w:t>
            </w:r>
            <w:r w:rsidRPr="00A50810">
              <w:t>1,4</w:t>
            </w:r>
          </w:p>
        </w:tc>
        <w:tc>
          <w:tcPr>
            <w:tcW w:w="1694" w:type="dxa"/>
            <w:vAlign w:val="bottom"/>
          </w:tcPr>
          <w:p w14:paraId="393CDCE7" w14:textId="77777777" w:rsidR="00F05F4E" w:rsidRPr="00A50810" w:rsidRDefault="00F05F4E" w:rsidP="00A50810">
            <w:pPr>
              <w:pStyle w:val="a6"/>
              <w:rPr>
                <w:lang w:val="uk-UA"/>
              </w:rPr>
            </w:pPr>
            <w:r w:rsidRPr="00A50810">
              <w:t>2</w:t>
            </w:r>
            <w:r w:rsidRPr="00A50810">
              <w:rPr>
                <w:lang w:val="uk-UA"/>
              </w:rPr>
              <w:t>6,5</w:t>
            </w:r>
            <w:r w:rsidRPr="00A50810">
              <w:t>±1,</w:t>
            </w:r>
            <w:r w:rsidRPr="00A50810">
              <w:rPr>
                <w:lang w:val="uk-UA"/>
              </w:rPr>
              <w:t>2</w:t>
            </w:r>
          </w:p>
        </w:tc>
      </w:tr>
      <w:tr w:rsidR="00F05F4E" w:rsidRPr="00A50810" w14:paraId="107DD70F" w14:textId="77777777" w:rsidTr="00A50810">
        <w:tc>
          <w:tcPr>
            <w:tcW w:w="2695" w:type="dxa"/>
            <w:vAlign w:val="bottom"/>
          </w:tcPr>
          <w:p w14:paraId="092D27D3" w14:textId="77777777" w:rsidR="00F05F4E" w:rsidRPr="00A50810" w:rsidRDefault="00F05F4E" w:rsidP="00A50810">
            <w:pPr>
              <w:pStyle w:val="a6"/>
            </w:pPr>
            <w:r w:rsidRPr="00A50810">
              <w:rPr>
                <w:lang w:val="uk-UA"/>
              </w:rPr>
              <w:t>Маса тварин, г (Комплекс І</w:t>
            </w:r>
            <w:r w:rsidRPr="00A50810">
              <w:t>, n=24</w:t>
            </w:r>
            <w:r w:rsidRPr="00A50810">
              <w:rPr>
                <w:lang w:val="uk-UA"/>
              </w:rPr>
              <w:t>)</w:t>
            </w:r>
          </w:p>
        </w:tc>
        <w:tc>
          <w:tcPr>
            <w:tcW w:w="1710" w:type="dxa"/>
            <w:vAlign w:val="bottom"/>
          </w:tcPr>
          <w:p w14:paraId="245D90E9" w14:textId="77777777" w:rsidR="00F05F4E" w:rsidRPr="00A50810" w:rsidRDefault="00F05F4E" w:rsidP="00A50810">
            <w:pPr>
              <w:pStyle w:val="a6"/>
              <w:rPr>
                <w:lang w:val="uk-UA"/>
              </w:rPr>
            </w:pPr>
            <w:r w:rsidRPr="00A50810">
              <w:rPr>
                <w:lang w:val="uk-UA"/>
              </w:rPr>
              <w:t xml:space="preserve">19,7 </w:t>
            </w:r>
            <w:r w:rsidRPr="00A50810">
              <w:t>±</w:t>
            </w:r>
            <w:r w:rsidRPr="00A50810">
              <w:rPr>
                <w:lang w:val="uk-UA"/>
              </w:rPr>
              <w:t xml:space="preserve"> </w:t>
            </w:r>
            <w:r w:rsidRPr="00A50810">
              <w:t>1,</w:t>
            </w:r>
            <w:r w:rsidRPr="00A50810">
              <w:rPr>
                <w:lang w:val="uk-UA"/>
              </w:rPr>
              <w:t>5</w:t>
            </w:r>
          </w:p>
        </w:tc>
        <w:tc>
          <w:tcPr>
            <w:tcW w:w="1620" w:type="dxa"/>
            <w:vAlign w:val="bottom"/>
          </w:tcPr>
          <w:p w14:paraId="348D0A85" w14:textId="77777777" w:rsidR="00F05F4E" w:rsidRPr="00A50810" w:rsidRDefault="00F05F4E" w:rsidP="00A50810">
            <w:pPr>
              <w:pStyle w:val="a6"/>
              <w:rPr>
                <w:lang w:val="uk-UA"/>
              </w:rPr>
            </w:pPr>
            <w:r w:rsidRPr="00A50810">
              <w:rPr>
                <w:lang w:val="uk-UA"/>
              </w:rPr>
              <w:t xml:space="preserve">21,2  </w:t>
            </w:r>
            <w:r w:rsidRPr="00A50810">
              <w:t>±</w:t>
            </w:r>
            <w:r w:rsidRPr="00A50810">
              <w:rPr>
                <w:lang w:val="uk-UA"/>
              </w:rPr>
              <w:t xml:space="preserve"> </w:t>
            </w:r>
            <w:r w:rsidRPr="00A50810">
              <w:t>1,4</w:t>
            </w:r>
          </w:p>
        </w:tc>
        <w:tc>
          <w:tcPr>
            <w:tcW w:w="1620" w:type="dxa"/>
            <w:vAlign w:val="bottom"/>
          </w:tcPr>
          <w:p w14:paraId="21D95BEC" w14:textId="77777777" w:rsidR="00F05F4E" w:rsidRPr="00A50810" w:rsidRDefault="00F05F4E" w:rsidP="00A50810">
            <w:pPr>
              <w:pStyle w:val="a6"/>
              <w:rPr>
                <w:lang w:val="uk-UA"/>
              </w:rPr>
            </w:pPr>
            <w:r w:rsidRPr="00A50810">
              <w:rPr>
                <w:lang w:val="uk-UA"/>
              </w:rPr>
              <w:t xml:space="preserve">23,7 </w:t>
            </w:r>
            <w:r w:rsidRPr="00A50810">
              <w:t>±</w:t>
            </w:r>
            <w:r w:rsidRPr="00A50810">
              <w:rPr>
                <w:lang w:val="uk-UA"/>
              </w:rPr>
              <w:t xml:space="preserve"> </w:t>
            </w:r>
            <w:r w:rsidRPr="00A50810">
              <w:t>1,3</w:t>
            </w:r>
          </w:p>
        </w:tc>
        <w:tc>
          <w:tcPr>
            <w:tcW w:w="1694" w:type="dxa"/>
            <w:vAlign w:val="bottom"/>
          </w:tcPr>
          <w:p w14:paraId="2AA82AC7" w14:textId="77777777" w:rsidR="00F05F4E" w:rsidRPr="00A50810" w:rsidRDefault="00F05F4E" w:rsidP="00A50810">
            <w:pPr>
              <w:pStyle w:val="a6"/>
              <w:rPr>
                <w:lang w:val="uk-UA"/>
              </w:rPr>
            </w:pPr>
            <w:r w:rsidRPr="00A50810">
              <w:rPr>
                <w:lang w:val="uk-UA"/>
              </w:rPr>
              <w:t xml:space="preserve">26,3 </w:t>
            </w:r>
            <w:r w:rsidRPr="00A50810">
              <w:t>±</w:t>
            </w:r>
            <w:r w:rsidRPr="00A50810">
              <w:rPr>
                <w:lang w:val="uk-UA"/>
              </w:rPr>
              <w:t xml:space="preserve"> 0</w:t>
            </w:r>
            <w:r w:rsidRPr="00A50810">
              <w:t>,</w:t>
            </w:r>
            <w:r w:rsidRPr="00A50810">
              <w:rPr>
                <w:lang w:val="uk-UA"/>
              </w:rPr>
              <w:t>9</w:t>
            </w:r>
          </w:p>
        </w:tc>
      </w:tr>
      <w:tr w:rsidR="00F05F4E" w:rsidRPr="00A50810" w14:paraId="545099DD" w14:textId="77777777" w:rsidTr="00A50810">
        <w:tc>
          <w:tcPr>
            <w:tcW w:w="2695" w:type="dxa"/>
            <w:vAlign w:val="bottom"/>
          </w:tcPr>
          <w:p w14:paraId="46B007DB" w14:textId="77777777" w:rsidR="00F05F4E" w:rsidRPr="00A50810" w:rsidRDefault="00F05F4E" w:rsidP="00A50810">
            <w:pPr>
              <w:pStyle w:val="a6"/>
              <w:rPr>
                <w:lang w:val="uk-UA"/>
              </w:rPr>
            </w:pPr>
            <w:r w:rsidRPr="00A50810">
              <w:rPr>
                <w:lang w:val="uk-UA"/>
              </w:rPr>
              <w:t>Маса тварин, г (Комплекс ІІ</w:t>
            </w:r>
            <w:r w:rsidRPr="00A50810">
              <w:t>, n=24</w:t>
            </w:r>
            <w:r w:rsidRPr="00A50810">
              <w:rPr>
                <w:lang w:val="uk-UA"/>
              </w:rPr>
              <w:t>)</w:t>
            </w:r>
          </w:p>
        </w:tc>
        <w:tc>
          <w:tcPr>
            <w:tcW w:w="1710" w:type="dxa"/>
            <w:vAlign w:val="bottom"/>
          </w:tcPr>
          <w:p w14:paraId="6A2A393E" w14:textId="77777777" w:rsidR="00F05F4E" w:rsidRPr="00A50810" w:rsidRDefault="00F05F4E" w:rsidP="00A50810">
            <w:pPr>
              <w:pStyle w:val="a6"/>
              <w:rPr>
                <w:lang w:val="uk-UA"/>
              </w:rPr>
            </w:pPr>
            <w:r w:rsidRPr="00A50810">
              <w:rPr>
                <w:lang w:val="uk-UA"/>
              </w:rPr>
              <w:t xml:space="preserve">19,7 </w:t>
            </w:r>
            <w:r w:rsidRPr="00A50810">
              <w:t>±</w:t>
            </w:r>
            <w:r w:rsidRPr="00A50810">
              <w:rPr>
                <w:lang w:val="uk-UA"/>
              </w:rPr>
              <w:t xml:space="preserve"> </w:t>
            </w:r>
            <w:r w:rsidRPr="00A50810">
              <w:t>1,</w:t>
            </w:r>
            <w:r w:rsidRPr="00A50810">
              <w:rPr>
                <w:lang w:val="uk-UA"/>
              </w:rPr>
              <w:t>2</w:t>
            </w:r>
          </w:p>
        </w:tc>
        <w:tc>
          <w:tcPr>
            <w:tcW w:w="1620" w:type="dxa"/>
            <w:vAlign w:val="bottom"/>
          </w:tcPr>
          <w:p w14:paraId="70E2F3CF" w14:textId="77777777" w:rsidR="00F05F4E" w:rsidRPr="00A50810" w:rsidRDefault="00F05F4E" w:rsidP="00A50810">
            <w:pPr>
              <w:pStyle w:val="a6"/>
              <w:rPr>
                <w:lang w:val="uk-UA"/>
              </w:rPr>
            </w:pPr>
            <w:r w:rsidRPr="00A50810">
              <w:rPr>
                <w:lang w:val="uk-UA"/>
              </w:rPr>
              <w:t xml:space="preserve">21,3 </w:t>
            </w:r>
            <w:r w:rsidRPr="00A50810">
              <w:t>±</w:t>
            </w:r>
            <w:r w:rsidRPr="00A50810">
              <w:rPr>
                <w:lang w:val="uk-UA"/>
              </w:rPr>
              <w:t xml:space="preserve"> </w:t>
            </w:r>
            <w:r w:rsidRPr="00A50810">
              <w:t>1,</w:t>
            </w:r>
            <w:r w:rsidRPr="00A50810">
              <w:rPr>
                <w:lang w:val="uk-UA"/>
              </w:rPr>
              <w:t>3</w:t>
            </w:r>
          </w:p>
        </w:tc>
        <w:tc>
          <w:tcPr>
            <w:tcW w:w="1620" w:type="dxa"/>
            <w:vAlign w:val="bottom"/>
          </w:tcPr>
          <w:p w14:paraId="4DB048CE" w14:textId="77777777" w:rsidR="00F05F4E" w:rsidRPr="00A50810" w:rsidRDefault="00F05F4E" w:rsidP="00A50810">
            <w:pPr>
              <w:pStyle w:val="a6"/>
              <w:rPr>
                <w:lang w:val="uk-UA"/>
              </w:rPr>
            </w:pPr>
            <w:r w:rsidRPr="00A50810">
              <w:rPr>
                <w:lang w:val="uk-UA"/>
              </w:rPr>
              <w:t xml:space="preserve">23,6 </w:t>
            </w:r>
            <w:r w:rsidRPr="00A50810">
              <w:t>±</w:t>
            </w:r>
            <w:r w:rsidRPr="00A50810">
              <w:rPr>
                <w:lang w:val="uk-UA"/>
              </w:rPr>
              <w:t xml:space="preserve"> 0</w:t>
            </w:r>
            <w:r w:rsidRPr="00A50810">
              <w:t>,9</w:t>
            </w:r>
          </w:p>
        </w:tc>
        <w:tc>
          <w:tcPr>
            <w:tcW w:w="1694" w:type="dxa"/>
            <w:vAlign w:val="bottom"/>
          </w:tcPr>
          <w:p w14:paraId="7EE5E35E" w14:textId="77777777" w:rsidR="00F05F4E" w:rsidRPr="00A50810" w:rsidRDefault="00F05F4E" w:rsidP="00A50810">
            <w:pPr>
              <w:pStyle w:val="a6"/>
              <w:rPr>
                <w:lang w:val="uk-UA"/>
              </w:rPr>
            </w:pPr>
            <w:r w:rsidRPr="00A50810">
              <w:rPr>
                <w:lang w:val="uk-UA"/>
              </w:rPr>
              <w:t xml:space="preserve">26,4 </w:t>
            </w:r>
            <w:r w:rsidRPr="00A50810">
              <w:t>± 1,</w:t>
            </w:r>
            <w:r w:rsidRPr="00A50810">
              <w:rPr>
                <w:lang w:val="uk-UA"/>
              </w:rPr>
              <w:t>1</w:t>
            </w:r>
          </w:p>
        </w:tc>
      </w:tr>
    </w:tbl>
    <w:p w14:paraId="332B91EC" w14:textId="77777777" w:rsidR="00F05F4E" w:rsidRDefault="00F05F4E" w:rsidP="00F05F4E">
      <w:pPr>
        <w:pStyle w:val="a6"/>
        <w:spacing w:line="360" w:lineRule="auto"/>
        <w:ind w:firstLine="708"/>
        <w:jc w:val="both"/>
        <w:rPr>
          <w:sz w:val="28"/>
          <w:szCs w:val="28"/>
          <w:lang w:val="uk-UA"/>
        </w:rPr>
      </w:pPr>
      <w:r w:rsidRPr="00C6149C">
        <w:rPr>
          <w:sz w:val="28"/>
          <w:szCs w:val="28"/>
          <w:lang w:val="uk-UA"/>
        </w:rPr>
        <w:t>Згідно з отриманими в ході проведеного експерименту результатами,</w:t>
      </w:r>
      <w:r>
        <w:rPr>
          <w:sz w:val="28"/>
          <w:szCs w:val="28"/>
          <w:lang w:val="uk-UA"/>
        </w:rPr>
        <w:t xml:space="preserve"> було встановлено, що введення комплексних сполук в дозі 175-810 мг/кг не викликало зовнішніх змін у фізичному стані тварин, поведінці, тонусі скелетної мускулатури, споживанні їжі та води, діурезу та дефекації, тварини були активні, мали гладку шерсть та охайний вигляд. Варто зазначити, що у групі тварин, яка отримувала комплексні сполуки у дозі 1750 мг/кг на другу добу спостерігалася деяка млявість та сонливість, при цьому інших змін у поведінці, судом, зміни частоти дихання, тремору та інших проявів інтоксикації зареєстровано не було. Показник виживання тварин у дослідних групах становив 100%.</w:t>
      </w:r>
    </w:p>
    <w:p w14:paraId="2989CE06" w14:textId="77777777" w:rsidR="00F05F4E" w:rsidRDefault="00F05F4E" w:rsidP="00F05F4E">
      <w:pPr>
        <w:pStyle w:val="a6"/>
        <w:spacing w:line="360" w:lineRule="auto"/>
        <w:ind w:firstLine="708"/>
        <w:jc w:val="both"/>
        <w:rPr>
          <w:sz w:val="28"/>
          <w:szCs w:val="28"/>
          <w:lang w:val="uk-UA"/>
        </w:rPr>
      </w:pPr>
      <w:r>
        <w:rPr>
          <w:sz w:val="28"/>
          <w:szCs w:val="28"/>
          <w:lang w:val="uk-UA"/>
        </w:rPr>
        <w:lastRenderedPageBreak/>
        <w:t xml:space="preserve">Дослідження стану тварин на 14 добу експерименту не показало зовнішніх змін у органах та системах. Візуально шерсть та шкірні покрови були чисті, на слизовій та шкірі не спостерігалося уражень. Дослідження внутрішніх органів після розтину дослідних тварин показало відсутність ознак ушкодження та запалення, черевні та плевральні порожнини були гладкі, блискучі, звичайної консистенції та кольору. </w:t>
      </w:r>
    </w:p>
    <w:p w14:paraId="26B17401" w14:textId="33092EFB" w:rsidR="00F05F4E" w:rsidRDefault="00F05F4E" w:rsidP="00F05F4E">
      <w:pPr>
        <w:pStyle w:val="a6"/>
        <w:spacing w:line="360" w:lineRule="auto"/>
        <w:ind w:firstLine="708"/>
        <w:jc w:val="both"/>
        <w:rPr>
          <w:sz w:val="28"/>
          <w:szCs w:val="28"/>
          <w:lang w:val="uk-UA"/>
        </w:rPr>
      </w:pPr>
      <w:r>
        <w:rPr>
          <w:sz w:val="28"/>
          <w:szCs w:val="28"/>
          <w:lang w:val="uk-UA"/>
        </w:rPr>
        <w:t xml:space="preserve">Отже, пероральне введення комплексних сполук І і ІІ у дозі 1750 мг/кг не призвело до загибелі жодної тварини, згідно із класифікацією хімічних речовин за ступенем небезпечності (за ГОСТ 12.1.007.76 «Шкідливі речовини. Класифікація та загальні вимоги нешкідливості») та за класифікацією </w:t>
      </w:r>
      <w:r w:rsidR="00821BED">
        <w:rPr>
          <w:sz w:val="28"/>
          <w:szCs w:val="28"/>
          <w:lang w:val="uk-UA"/>
        </w:rPr>
        <w:br/>
      </w:r>
      <w:r>
        <w:rPr>
          <w:sz w:val="28"/>
          <w:szCs w:val="28"/>
          <w:lang w:val="uk-UA"/>
        </w:rPr>
        <w:t>К. К. Сидорова до відносно нешкідливих препаратів (</w:t>
      </w:r>
      <w:r>
        <w:rPr>
          <w:sz w:val="28"/>
          <w:szCs w:val="28"/>
          <w:lang w:val="en-US"/>
        </w:rPr>
        <w:t>VI</w:t>
      </w:r>
      <w:r w:rsidRPr="007354FA">
        <w:rPr>
          <w:sz w:val="28"/>
          <w:szCs w:val="28"/>
          <w:lang w:val="uk-UA"/>
        </w:rPr>
        <w:t xml:space="preserve"> </w:t>
      </w:r>
      <w:r w:rsidRPr="00112A09">
        <w:rPr>
          <w:sz w:val="28"/>
          <w:szCs w:val="28"/>
          <w:lang w:val="uk-UA"/>
        </w:rPr>
        <w:t>клас) [</w:t>
      </w:r>
      <w:r w:rsidR="00FE60C3" w:rsidRPr="00112A09">
        <w:rPr>
          <w:sz w:val="28"/>
          <w:szCs w:val="28"/>
          <w:lang w:val="uk-UA"/>
        </w:rPr>
        <w:t>15</w:t>
      </w:r>
      <w:r w:rsidR="00B85935" w:rsidRPr="001759D5">
        <w:rPr>
          <w:sz w:val="28"/>
          <w:szCs w:val="28"/>
        </w:rPr>
        <w:t>6</w:t>
      </w:r>
      <w:r w:rsidR="00FE60C3" w:rsidRPr="00112A09">
        <w:rPr>
          <w:sz w:val="28"/>
          <w:szCs w:val="28"/>
          <w:lang w:val="uk-UA"/>
        </w:rPr>
        <w:t>,15</w:t>
      </w:r>
      <w:r w:rsidR="00B85935" w:rsidRPr="001759D5">
        <w:rPr>
          <w:sz w:val="28"/>
          <w:szCs w:val="28"/>
        </w:rPr>
        <w:t>7</w:t>
      </w:r>
      <w:r w:rsidRPr="00112A09">
        <w:rPr>
          <w:sz w:val="28"/>
          <w:szCs w:val="28"/>
          <w:lang w:val="uk-UA"/>
        </w:rPr>
        <w:t>].</w:t>
      </w:r>
      <w:r w:rsidRPr="009161C6">
        <w:rPr>
          <w:sz w:val="28"/>
          <w:szCs w:val="28"/>
          <w:lang w:val="uk-UA"/>
        </w:rPr>
        <w:t xml:space="preserve"> </w:t>
      </w:r>
    </w:p>
    <w:p w14:paraId="48E03D70" w14:textId="4E2D8440" w:rsidR="00F05F4E" w:rsidRPr="00772B75" w:rsidRDefault="00F05F4E" w:rsidP="00F05F4E">
      <w:pPr>
        <w:pStyle w:val="a6"/>
        <w:spacing w:line="360" w:lineRule="auto"/>
        <w:ind w:firstLine="708"/>
        <w:jc w:val="both"/>
        <w:rPr>
          <w:sz w:val="28"/>
          <w:szCs w:val="28"/>
          <w:lang w:val="uk-UA"/>
        </w:rPr>
      </w:pPr>
      <w:r>
        <w:rPr>
          <w:sz w:val="28"/>
          <w:szCs w:val="28"/>
          <w:lang w:val="uk-UA"/>
        </w:rPr>
        <w:t xml:space="preserve">За результатами проведеного </w:t>
      </w:r>
      <w:r>
        <w:rPr>
          <w:sz w:val="28"/>
          <w:szCs w:val="28"/>
          <w:lang w:val="en-US"/>
        </w:rPr>
        <w:t>Pass</w:t>
      </w:r>
      <w:r w:rsidRPr="00973D06">
        <w:rPr>
          <w:sz w:val="28"/>
          <w:szCs w:val="28"/>
          <w:lang w:val="uk-UA"/>
        </w:rPr>
        <w:t>-</w:t>
      </w:r>
      <w:r>
        <w:rPr>
          <w:sz w:val="28"/>
          <w:szCs w:val="28"/>
          <w:lang w:val="uk-UA"/>
        </w:rPr>
        <w:t xml:space="preserve">прогнозу комплексні сполуки </w:t>
      </w:r>
      <w:r>
        <w:rPr>
          <w:sz w:val="28"/>
          <w:szCs w:val="28"/>
          <w:lang w:val="uk-UA" w:eastAsia="zh-CN"/>
        </w:rPr>
        <w:t xml:space="preserve">саліцилоїлгідразонів бензальдегіду (Комплекс І) та 4-бромбензальдегіду (Комплекс ІІ ) з оловом можуть проявляти широкий спектр фармакологічної дії, що стало підставою для вивчення протизапальної, аналгетичної, протисудомної та інших активностей на моделях </w:t>
      </w:r>
      <w:r w:rsidRPr="00973D06">
        <w:rPr>
          <w:i/>
          <w:sz w:val="28"/>
          <w:szCs w:val="28"/>
          <w:lang w:val="en-US" w:eastAsia="zh-CN"/>
        </w:rPr>
        <w:t>in</w:t>
      </w:r>
      <w:r w:rsidRPr="00973D06">
        <w:rPr>
          <w:i/>
          <w:sz w:val="28"/>
          <w:szCs w:val="28"/>
          <w:lang w:val="uk-UA" w:eastAsia="zh-CN"/>
        </w:rPr>
        <w:t xml:space="preserve"> </w:t>
      </w:r>
      <w:r w:rsidRPr="00973D06">
        <w:rPr>
          <w:i/>
          <w:sz w:val="28"/>
          <w:szCs w:val="28"/>
          <w:lang w:val="en-US" w:eastAsia="zh-CN"/>
        </w:rPr>
        <w:t>vivo</w:t>
      </w:r>
      <w:r w:rsidRPr="00973D06">
        <w:rPr>
          <w:sz w:val="28"/>
          <w:szCs w:val="28"/>
          <w:lang w:val="uk-UA" w:eastAsia="zh-CN"/>
        </w:rPr>
        <w:t>.</w:t>
      </w:r>
    </w:p>
    <w:p w14:paraId="3D40B3DC" w14:textId="7640CFC4" w:rsidR="00F05F4E" w:rsidRPr="00F05F4E" w:rsidRDefault="00F05F4E" w:rsidP="00F05F4E">
      <w:pPr>
        <w:rPr>
          <w:b/>
          <w:bCs/>
          <w:kern w:val="32"/>
          <w:sz w:val="28"/>
          <w:szCs w:val="28"/>
          <w:lang w:val="uk-UA"/>
        </w:rPr>
      </w:pPr>
      <w:r>
        <w:rPr>
          <w:bCs/>
          <w:szCs w:val="28"/>
          <w:lang w:val="uk-UA"/>
        </w:rPr>
        <w:br w:type="page"/>
      </w:r>
    </w:p>
    <w:p w14:paraId="53DD32A2" w14:textId="68E45C06" w:rsidR="00F05F4E" w:rsidRDefault="00F05F4E" w:rsidP="00F05F4E">
      <w:pPr>
        <w:pStyle w:val="10"/>
        <w:rPr>
          <w:bCs/>
          <w:szCs w:val="28"/>
          <w:lang w:val="uk-UA"/>
        </w:rPr>
      </w:pPr>
      <w:r w:rsidRPr="003D4DAC">
        <w:rPr>
          <w:bCs/>
          <w:szCs w:val="28"/>
          <w:lang w:val="uk-UA"/>
        </w:rPr>
        <w:lastRenderedPageBreak/>
        <w:t xml:space="preserve">РОЗДІЛ </w:t>
      </w:r>
      <w:r>
        <w:rPr>
          <w:bCs/>
          <w:szCs w:val="28"/>
          <w:lang w:val="uk-UA"/>
        </w:rPr>
        <w:t>4</w:t>
      </w:r>
    </w:p>
    <w:p w14:paraId="41466B7B" w14:textId="105D502C" w:rsidR="0071066B" w:rsidRPr="0071066B" w:rsidRDefault="00F05F4E" w:rsidP="0071066B">
      <w:pPr>
        <w:pStyle w:val="10"/>
        <w:rPr>
          <w:bCs/>
          <w:szCs w:val="28"/>
          <w:lang w:val="uk-UA"/>
        </w:rPr>
      </w:pPr>
      <w:r w:rsidRPr="003D4DAC">
        <w:rPr>
          <w:bCs/>
          <w:szCs w:val="28"/>
          <w:lang w:val="uk-UA"/>
        </w:rPr>
        <w:t>ДОСЛІДЖЕННЯ</w:t>
      </w:r>
      <w:r>
        <w:rPr>
          <w:bCs/>
          <w:szCs w:val="28"/>
          <w:lang w:val="uk-UA"/>
        </w:rPr>
        <w:t xml:space="preserve"> П</w:t>
      </w:r>
      <w:r w:rsidRPr="00F24BC1">
        <w:rPr>
          <w:bCs/>
          <w:szCs w:val="28"/>
          <w:lang w:val="uk-UA"/>
        </w:rPr>
        <w:t>РОТИЗАПАЛЬН</w:t>
      </w:r>
      <w:r>
        <w:rPr>
          <w:bCs/>
          <w:szCs w:val="28"/>
          <w:lang w:val="uk-UA"/>
        </w:rPr>
        <w:t>ОЇ</w:t>
      </w:r>
      <w:r w:rsidRPr="00F24BC1">
        <w:rPr>
          <w:bCs/>
          <w:szCs w:val="28"/>
          <w:lang w:val="uk-UA"/>
        </w:rPr>
        <w:t xml:space="preserve"> АКТИВН</w:t>
      </w:r>
      <w:r>
        <w:rPr>
          <w:bCs/>
          <w:szCs w:val="28"/>
          <w:lang w:val="uk-UA"/>
        </w:rPr>
        <w:t>О</w:t>
      </w:r>
      <w:r w:rsidRPr="00F24BC1">
        <w:rPr>
          <w:bCs/>
          <w:szCs w:val="28"/>
          <w:lang w:val="uk-UA"/>
        </w:rPr>
        <w:t>СТ</w:t>
      </w:r>
      <w:r>
        <w:rPr>
          <w:bCs/>
          <w:szCs w:val="28"/>
          <w:lang w:val="uk-UA"/>
        </w:rPr>
        <w:t>І</w:t>
      </w:r>
      <w:r w:rsidRPr="00F24BC1">
        <w:rPr>
          <w:bCs/>
          <w:szCs w:val="28"/>
          <w:lang w:val="uk-UA"/>
        </w:rPr>
        <w:t xml:space="preserve"> КОМПЛЕКСНИХ СПОЛУК </w:t>
      </w:r>
      <w:r w:rsidRPr="00F24BC1">
        <w:rPr>
          <w:bCs/>
          <w:szCs w:val="28"/>
          <w:lang w:val="en-US"/>
        </w:rPr>
        <w:t>Sn</w:t>
      </w:r>
      <w:r w:rsidR="00C57D1F">
        <w:rPr>
          <w:bCs/>
          <w:szCs w:val="28"/>
          <w:lang w:val="uk-UA"/>
        </w:rPr>
        <w:t>(</w:t>
      </w:r>
      <w:r w:rsidR="00C57D1F">
        <w:rPr>
          <w:bCs/>
          <w:szCs w:val="28"/>
          <w:lang w:val="en-US"/>
        </w:rPr>
        <w:t>VI</w:t>
      </w:r>
      <w:r w:rsidR="00C57D1F">
        <w:rPr>
          <w:bCs/>
          <w:szCs w:val="28"/>
          <w:lang w:val="uk-UA"/>
        </w:rPr>
        <w:t>)</w:t>
      </w:r>
      <w:r w:rsidRPr="00F24BC1">
        <w:rPr>
          <w:bCs/>
          <w:szCs w:val="28"/>
          <w:lang w:val="uk-UA"/>
        </w:rPr>
        <w:t xml:space="preserve"> З САЛІЦИЛОЇЛГІДРАЗОНАМИ</w:t>
      </w:r>
      <w:r w:rsidRPr="00F24BC1">
        <w:rPr>
          <w:bCs/>
          <w:szCs w:val="28"/>
        </w:rPr>
        <w:t xml:space="preserve"> </w:t>
      </w:r>
      <w:r w:rsidRPr="00F24BC1">
        <w:rPr>
          <w:bCs/>
          <w:szCs w:val="28"/>
          <w:lang w:val="uk-UA"/>
        </w:rPr>
        <w:t>БЕНЗАЛЬДЕГІД</w:t>
      </w:r>
      <w:r w:rsidR="00C57D1F">
        <w:rPr>
          <w:bCs/>
          <w:szCs w:val="28"/>
          <w:lang w:val="uk-UA"/>
        </w:rPr>
        <w:t xml:space="preserve">ІВ </w:t>
      </w:r>
      <w:r w:rsidRPr="00F24BC1">
        <w:rPr>
          <w:bCs/>
          <w:szCs w:val="28"/>
          <w:lang w:val="uk-UA"/>
        </w:rPr>
        <w:t>НА РІЗНИХ МОДЕЛЯХ ЗАПАЛЕННЯ</w:t>
      </w:r>
      <w:bookmarkEnd w:id="5"/>
    </w:p>
    <w:p w14:paraId="72CB8E00" w14:textId="213F9CBF" w:rsidR="00F05F4E" w:rsidRPr="00F24BC1" w:rsidRDefault="00F05F4E" w:rsidP="00F05F4E">
      <w:pPr>
        <w:spacing w:line="360" w:lineRule="auto"/>
        <w:ind w:firstLine="720"/>
        <w:jc w:val="both"/>
        <w:rPr>
          <w:sz w:val="28"/>
          <w:szCs w:val="28"/>
          <w:lang w:val="uk-UA"/>
        </w:rPr>
      </w:pPr>
      <w:r w:rsidRPr="00F24BC1">
        <w:rPr>
          <w:sz w:val="28"/>
          <w:szCs w:val="28"/>
          <w:lang w:val="uk-UA"/>
        </w:rPr>
        <w:t>На даний момент однією з найбільш важливих і досліджуваних проблем медицини є запалення. Прийнято вважати, що запалення це сформована в процесі еволюції захисно-пристосувальна реакція організму на патогенний подразник і на пошкодження, яке їм викликане. Запалення відносять до фундаментальних патологічних процесів, які складають патофізіологічну основу більшості захворювань людини. Сучасній медицині відомо велике число засобів, що мають протизапальну активність, як з групи стероїдних, так і нестероїдних препаратів</w:t>
      </w:r>
      <w:r w:rsidR="00390008" w:rsidRPr="00390008">
        <w:rPr>
          <w:sz w:val="28"/>
          <w:szCs w:val="28"/>
          <w:lang w:val="uk-UA"/>
        </w:rPr>
        <w:t xml:space="preserve"> </w:t>
      </w:r>
      <w:r w:rsidR="00390008" w:rsidRPr="00B85935">
        <w:rPr>
          <w:color w:val="000000" w:themeColor="text1"/>
          <w:sz w:val="28"/>
          <w:szCs w:val="28"/>
          <w:lang w:val="uk-UA"/>
        </w:rPr>
        <w:t>[2</w:t>
      </w:r>
      <w:r w:rsidR="00B85935" w:rsidRPr="00B85935">
        <w:rPr>
          <w:color w:val="000000" w:themeColor="text1"/>
          <w:sz w:val="28"/>
          <w:szCs w:val="28"/>
          <w:lang w:val="uk-UA"/>
        </w:rPr>
        <w:t>6, 28</w:t>
      </w:r>
      <w:r w:rsidR="00390008" w:rsidRPr="00B85935">
        <w:rPr>
          <w:color w:val="000000" w:themeColor="text1"/>
          <w:sz w:val="28"/>
          <w:szCs w:val="28"/>
          <w:lang w:val="uk-UA"/>
        </w:rPr>
        <w:t>]</w:t>
      </w:r>
      <w:r w:rsidRPr="00B85935">
        <w:rPr>
          <w:color w:val="000000" w:themeColor="text1"/>
          <w:sz w:val="28"/>
          <w:szCs w:val="28"/>
          <w:lang w:val="uk-UA"/>
        </w:rPr>
        <w:t>.</w:t>
      </w:r>
    </w:p>
    <w:p w14:paraId="655C5CF2" w14:textId="75B6C777" w:rsidR="00F05F4E" w:rsidRDefault="00F05F4E" w:rsidP="00F05F4E">
      <w:pPr>
        <w:spacing w:line="360" w:lineRule="auto"/>
        <w:ind w:firstLine="720"/>
        <w:jc w:val="both"/>
        <w:rPr>
          <w:sz w:val="28"/>
          <w:szCs w:val="28"/>
          <w:lang w:val="uk-UA"/>
        </w:rPr>
      </w:pPr>
      <w:r w:rsidRPr="00F24BC1">
        <w:rPr>
          <w:sz w:val="28"/>
          <w:szCs w:val="28"/>
          <w:lang w:val="uk-UA"/>
        </w:rPr>
        <w:t xml:space="preserve">Раніше нашими колегами було проведено дослідження комплексних сполук саліцилоїлгідразонів, заміщених бензойним альдегідом з оловом </w:t>
      </w:r>
      <w:r w:rsidRPr="00F24BC1">
        <w:rPr>
          <w:sz w:val="28"/>
          <w:szCs w:val="28"/>
        </w:rPr>
        <w:t>[</w:t>
      </w:r>
      <w:r w:rsidR="00FE60C3">
        <w:rPr>
          <w:sz w:val="28"/>
          <w:szCs w:val="28"/>
          <w:lang w:val="uk-UA"/>
        </w:rPr>
        <w:t>14</w:t>
      </w:r>
      <w:r w:rsidR="00B85935" w:rsidRPr="00B85935">
        <w:rPr>
          <w:sz w:val="28"/>
          <w:szCs w:val="28"/>
        </w:rPr>
        <w:t>7</w:t>
      </w:r>
      <w:r w:rsidRPr="00F24BC1">
        <w:rPr>
          <w:sz w:val="28"/>
          <w:szCs w:val="28"/>
        </w:rPr>
        <w:t>]</w:t>
      </w:r>
      <w:r w:rsidRPr="00F24BC1">
        <w:rPr>
          <w:sz w:val="28"/>
          <w:szCs w:val="28"/>
          <w:lang w:val="uk-UA"/>
        </w:rPr>
        <w:t xml:space="preserve"> на моделі каррагінанового запалення. Оскільки було доведено, що дані сполуки проявляють протизапальну активність, уявляло інтерес у подальшому дослідженні  саліцилоїлгідразонів, заміщених бензойним альдегідом. </w:t>
      </w:r>
    </w:p>
    <w:p w14:paraId="02E976CA" w14:textId="35B28829" w:rsidR="00F05F4E" w:rsidRPr="00F24BC1" w:rsidRDefault="00F05F4E" w:rsidP="00F05F4E">
      <w:pPr>
        <w:spacing w:line="360" w:lineRule="auto"/>
        <w:ind w:firstLine="720"/>
        <w:jc w:val="both"/>
        <w:rPr>
          <w:sz w:val="28"/>
          <w:szCs w:val="28"/>
          <w:lang w:val="uk-UA"/>
        </w:rPr>
      </w:pPr>
      <w:r w:rsidRPr="00F24BC1">
        <w:rPr>
          <w:sz w:val="28"/>
          <w:szCs w:val="28"/>
          <w:lang w:val="uk-UA"/>
        </w:rPr>
        <w:t>Саліцилова кислота становить інтерес із теоретичної точки зору, оскільки у її будові присутні і фенольна і карбоксильна групи. Карбоксильні групи у структурі молекули СК знаходяться у орто-положенні, що робить її перспективним реагентом – комплексоутворювачем</w:t>
      </w:r>
      <w:r w:rsidRPr="00F24BC1">
        <w:rPr>
          <w:sz w:val="28"/>
          <w:szCs w:val="28"/>
        </w:rPr>
        <w:t xml:space="preserve"> [</w:t>
      </w:r>
      <w:r w:rsidR="00FE60C3">
        <w:rPr>
          <w:sz w:val="28"/>
          <w:szCs w:val="28"/>
        </w:rPr>
        <w:t>194</w:t>
      </w:r>
      <w:r w:rsidRPr="00F24BC1">
        <w:rPr>
          <w:sz w:val="28"/>
          <w:szCs w:val="28"/>
        </w:rPr>
        <w:t>]</w:t>
      </w:r>
      <w:r w:rsidRPr="00F24BC1">
        <w:rPr>
          <w:sz w:val="28"/>
          <w:szCs w:val="28"/>
          <w:lang w:val="uk-UA"/>
        </w:rPr>
        <w:t xml:space="preserve">. </w:t>
      </w:r>
    </w:p>
    <w:p w14:paraId="2D2761FA" w14:textId="1D1E5940" w:rsidR="001759D5" w:rsidRDefault="00F05F4E" w:rsidP="001759D5">
      <w:pPr>
        <w:tabs>
          <w:tab w:val="left" w:pos="720"/>
        </w:tabs>
        <w:spacing w:line="360" w:lineRule="auto"/>
        <w:ind w:firstLine="720"/>
        <w:jc w:val="both"/>
        <w:rPr>
          <w:sz w:val="28"/>
          <w:szCs w:val="28"/>
          <w:lang w:val="uk-UA"/>
        </w:rPr>
      </w:pPr>
      <w:r w:rsidRPr="00F24BC1">
        <w:rPr>
          <w:sz w:val="28"/>
          <w:szCs w:val="28"/>
          <w:lang w:val="uk-UA"/>
        </w:rPr>
        <w:t>Наявність у структурі комплексу іону металу видається актуальним і перспективним, оскільки таке поєднання компонентів дозволяє зменшити подразнюючий ефект СК та токсичну дію саліцилатних комплексів  у порівнянні із солями перехідних металів-мікроелементів [</w:t>
      </w:r>
      <w:r w:rsidR="00FE60C3">
        <w:rPr>
          <w:sz w:val="28"/>
          <w:szCs w:val="28"/>
          <w:lang w:val="uk-UA"/>
        </w:rPr>
        <w:t>195</w:t>
      </w:r>
      <w:r w:rsidRPr="00F24BC1">
        <w:rPr>
          <w:sz w:val="28"/>
          <w:szCs w:val="28"/>
          <w:lang w:val="uk-UA"/>
        </w:rPr>
        <w:t>].</w:t>
      </w:r>
    </w:p>
    <w:p w14:paraId="22D93C42" w14:textId="3052A340" w:rsidR="00F05F4E" w:rsidRDefault="00F05F4E" w:rsidP="001759D5">
      <w:pPr>
        <w:tabs>
          <w:tab w:val="left" w:pos="720"/>
        </w:tabs>
        <w:spacing w:line="360" w:lineRule="auto"/>
        <w:ind w:firstLine="720"/>
        <w:jc w:val="both"/>
        <w:rPr>
          <w:sz w:val="28"/>
          <w:szCs w:val="28"/>
          <w:lang w:val="uk-UA"/>
        </w:rPr>
      </w:pPr>
      <w:r w:rsidRPr="00F24BC1">
        <w:rPr>
          <w:sz w:val="28"/>
          <w:szCs w:val="28"/>
          <w:lang w:val="uk-UA"/>
        </w:rPr>
        <w:t>Терапевтична активність СК обумовлена її здатністю утворювати хелатні сполуки, тому, імовірно, що біологічна дія похідних СК викликана її здатністю зв’язувати іони металів. Результати досліджень наших колег підтверджують дані про те, що комплекс іону металу і СК, при пероральному введені проявляє більш ефективну протизапальну дію, ніж СК окремо [</w:t>
      </w:r>
      <w:r w:rsidR="00FE60C3">
        <w:rPr>
          <w:sz w:val="28"/>
          <w:szCs w:val="28"/>
          <w:lang w:val="uk-UA"/>
        </w:rPr>
        <w:t>196</w:t>
      </w:r>
      <w:r w:rsidRPr="00F24BC1">
        <w:rPr>
          <w:sz w:val="28"/>
          <w:szCs w:val="28"/>
          <w:lang w:val="uk-UA"/>
        </w:rPr>
        <w:t>].</w:t>
      </w:r>
    </w:p>
    <w:p w14:paraId="2366A840" w14:textId="0F7E58E7" w:rsidR="00F05F4E" w:rsidRDefault="00F05F4E" w:rsidP="00F05F4E">
      <w:pPr>
        <w:spacing w:line="360" w:lineRule="auto"/>
        <w:ind w:firstLine="720"/>
        <w:jc w:val="both"/>
        <w:rPr>
          <w:sz w:val="28"/>
          <w:szCs w:val="28"/>
          <w:lang w:val="uk-UA"/>
        </w:rPr>
      </w:pPr>
      <w:r w:rsidRPr="00F24BC1">
        <w:rPr>
          <w:sz w:val="28"/>
          <w:szCs w:val="28"/>
          <w:lang w:val="uk-UA"/>
        </w:rPr>
        <w:lastRenderedPageBreak/>
        <w:t>Дослідження похідних бензальдегідів нашими колегами показало, що дані сполуки інгібують продукцію прозапальних медіаторів, прозапальних цитокінів, а також викликають експресію гемоксігенази [</w:t>
      </w:r>
      <w:r w:rsidR="00FE60C3">
        <w:rPr>
          <w:sz w:val="28"/>
          <w:szCs w:val="28"/>
          <w:lang w:val="uk-UA"/>
        </w:rPr>
        <w:t>197</w:t>
      </w:r>
      <w:r w:rsidRPr="00F24BC1">
        <w:rPr>
          <w:sz w:val="28"/>
          <w:szCs w:val="28"/>
          <w:lang w:val="uk-UA"/>
        </w:rPr>
        <w:t>]. Також, існують дані, про здатність похідних бензальдегідів інгібувати експресію ЦОГ-2 [</w:t>
      </w:r>
      <w:r w:rsidR="00FE60C3">
        <w:rPr>
          <w:sz w:val="28"/>
          <w:szCs w:val="28"/>
          <w:lang w:val="uk-UA"/>
        </w:rPr>
        <w:t>198</w:t>
      </w:r>
      <w:r w:rsidRPr="00F24BC1">
        <w:rPr>
          <w:sz w:val="28"/>
          <w:szCs w:val="28"/>
          <w:lang w:val="uk-UA"/>
        </w:rPr>
        <w:t>].</w:t>
      </w:r>
    </w:p>
    <w:p w14:paraId="3B33FBE7" w14:textId="1BAB3636" w:rsidR="00A55657" w:rsidRDefault="00F05F4E" w:rsidP="00A55657">
      <w:pPr>
        <w:spacing w:line="360" w:lineRule="auto"/>
        <w:ind w:firstLine="720"/>
        <w:jc w:val="both"/>
        <w:rPr>
          <w:sz w:val="28"/>
          <w:szCs w:val="28"/>
          <w:lang w:val="uk-UA"/>
        </w:rPr>
      </w:pPr>
      <w:r w:rsidRPr="00F24BC1">
        <w:rPr>
          <w:sz w:val="28"/>
          <w:szCs w:val="28"/>
          <w:lang w:val="uk-UA"/>
        </w:rPr>
        <w:t xml:space="preserve">Використання різних моделей запального процесу з різними механізмами розвитку дозволяє припустити можливі механізми протизапальної дії сполук, що досліджуються. </w:t>
      </w:r>
    </w:p>
    <w:p w14:paraId="124B7BE7" w14:textId="77777777" w:rsidR="00DE015D" w:rsidRDefault="00DE015D" w:rsidP="00A55657">
      <w:pPr>
        <w:spacing w:line="360" w:lineRule="auto"/>
        <w:ind w:firstLine="720"/>
        <w:jc w:val="both"/>
        <w:rPr>
          <w:sz w:val="28"/>
          <w:szCs w:val="28"/>
          <w:lang w:val="uk-UA"/>
        </w:rPr>
      </w:pPr>
    </w:p>
    <w:p w14:paraId="32FB8BE9" w14:textId="6CBB789A" w:rsidR="00F05F4E" w:rsidRPr="003D4DAC" w:rsidRDefault="00F05F4E" w:rsidP="00F05F4E">
      <w:pPr>
        <w:pStyle w:val="a6"/>
        <w:spacing w:before="0" w:beforeAutospacing="0" w:after="0" w:afterAutospacing="0" w:line="360" w:lineRule="auto"/>
        <w:ind w:firstLine="567"/>
        <w:jc w:val="both"/>
        <w:outlineLvl w:val="1"/>
        <w:rPr>
          <w:sz w:val="28"/>
          <w:szCs w:val="28"/>
          <w:lang w:val="uk-UA"/>
        </w:rPr>
      </w:pPr>
      <w:r>
        <w:rPr>
          <w:b/>
          <w:bCs/>
          <w:sz w:val="28"/>
          <w:szCs w:val="28"/>
          <w:lang w:val="uk-UA"/>
        </w:rPr>
        <w:t>4</w:t>
      </w:r>
      <w:r w:rsidRPr="00F24BC1">
        <w:rPr>
          <w:b/>
          <w:bCs/>
          <w:sz w:val="28"/>
          <w:szCs w:val="28"/>
          <w:lang w:val="uk-UA"/>
        </w:rPr>
        <w:t>.</w:t>
      </w:r>
      <w:r>
        <w:rPr>
          <w:b/>
          <w:bCs/>
          <w:sz w:val="28"/>
          <w:szCs w:val="28"/>
          <w:lang w:val="uk-UA"/>
        </w:rPr>
        <w:t>1</w:t>
      </w:r>
      <w:r w:rsidRPr="00F24BC1">
        <w:rPr>
          <w:b/>
          <w:bCs/>
          <w:sz w:val="28"/>
          <w:szCs w:val="28"/>
          <w:lang w:val="uk-UA"/>
        </w:rPr>
        <w:t xml:space="preserve"> </w:t>
      </w:r>
      <w:r>
        <w:rPr>
          <w:b/>
          <w:bCs/>
          <w:sz w:val="28"/>
          <w:szCs w:val="28"/>
          <w:lang w:val="uk-UA"/>
        </w:rPr>
        <w:t>Дослідження п</w:t>
      </w:r>
      <w:r w:rsidRPr="00F24BC1">
        <w:rPr>
          <w:b/>
          <w:bCs/>
          <w:sz w:val="28"/>
          <w:szCs w:val="28"/>
          <w:lang w:val="uk-UA"/>
        </w:rPr>
        <w:t>ротизапальн</w:t>
      </w:r>
      <w:r>
        <w:rPr>
          <w:b/>
          <w:bCs/>
          <w:sz w:val="28"/>
          <w:szCs w:val="28"/>
          <w:lang w:val="uk-UA"/>
        </w:rPr>
        <w:t>ої</w:t>
      </w:r>
      <w:r w:rsidRPr="00F24BC1">
        <w:rPr>
          <w:b/>
          <w:bCs/>
          <w:sz w:val="28"/>
          <w:szCs w:val="28"/>
          <w:lang w:val="uk-UA"/>
        </w:rPr>
        <w:t xml:space="preserve"> ді</w:t>
      </w:r>
      <w:r>
        <w:rPr>
          <w:b/>
          <w:bCs/>
          <w:sz w:val="28"/>
          <w:szCs w:val="28"/>
          <w:lang w:val="uk-UA"/>
        </w:rPr>
        <w:t>ї</w:t>
      </w:r>
      <w:r w:rsidRPr="00F24BC1">
        <w:rPr>
          <w:b/>
          <w:bCs/>
          <w:sz w:val="28"/>
          <w:szCs w:val="28"/>
          <w:lang w:val="uk-UA"/>
        </w:rPr>
        <w:t xml:space="preserve"> комплексних сполук </w:t>
      </w:r>
      <w:r w:rsidRPr="00F24BC1">
        <w:rPr>
          <w:b/>
          <w:bCs/>
          <w:sz w:val="28"/>
          <w:szCs w:val="28"/>
        </w:rPr>
        <w:t>Sn</w:t>
      </w:r>
      <w:r w:rsidR="00C57D1F">
        <w:rPr>
          <w:b/>
          <w:bCs/>
          <w:sz w:val="28"/>
          <w:szCs w:val="28"/>
          <w:lang w:val="uk-UA"/>
        </w:rPr>
        <w:t xml:space="preserve"> (</w:t>
      </w:r>
      <w:r w:rsidR="00C57D1F">
        <w:rPr>
          <w:b/>
          <w:bCs/>
          <w:sz w:val="28"/>
          <w:szCs w:val="28"/>
          <w:lang w:val="en-US"/>
        </w:rPr>
        <w:t>IV</w:t>
      </w:r>
      <w:r w:rsidR="00C57D1F">
        <w:rPr>
          <w:b/>
          <w:bCs/>
          <w:sz w:val="28"/>
          <w:szCs w:val="28"/>
          <w:lang w:val="uk-UA"/>
        </w:rPr>
        <w:t>)</w:t>
      </w:r>
      <w:r w:rsidRPr="00F24BC1">
        <w:rPr>
          <w:b/>
          <w:bCs/>
          <w:sz w:val="28"/>
          <w:szCs w:val="28"/>
          <w:lang w:val="uk-UA"/>
        </w:rPr>
        <w:t xml:space="preserve"> з саліцилоїлгідразонами бензальдегід</w:t>
      </w:r>
      <w:r w:rsidR="00C57D1F">
        <w:rPr>
          <w:b/>
          <w:bCs/>
          <w:sz w:val="28"/>
          <w:szCs w:val="28"/>
          <w:lang w:val="uk-UA"/>
        </w:rPr>
        <w:t xml:space="preserve">ів </w:t>
      </w:r>
      <w:r w:rsidRPr="00F24BC1">
        <w:rPr>
          <w:b/>
          <w:bCs/>
          <w:sz w:val="28"/>
          <w:szCs w:val="28"/>
          <w:lang w:val="uk-UA"/>
        </w:rPr>
        <w:t>на моделі каррагінанового запалення</w:t>
      </w:r>
    </w:p>
    <w:p w14:paraId="773336E4" w14:textId="54539021" w:rsidR="00F05F4E" w:rsidRPr="00F24BC1" w:rsidRDefault="00F05F4E" w:rsidP="00F05F4E">
      <w:pPr>
        <w:pStyle w:val="a6"/>
        <w:spacing w:before="0" w:beforeAutospacing="0" w:after="0" w:afterAutospacing="0" w:line="360" w:lineRule="auto"/>
        <w:ind w:firstLine="851"/>
        <w:jc w:val="both"/>
        <w:rPr>
          <w:sz w:val="28"/>
          <w:szCs w:val="28"/>
          <w:lang w:val="uk-UA"/>
        </w:rPr>
      </w:pPr>
      <w:r w:rsidRPr="00F24BC1">
        <w:rPr>
          <w:sz w:val="28"/>
          <w:szCs w:val="28"/>
          <w:lang w:val="uk-UA"/>
        </w:rPr>
        <w:t>Структурно каррагінани - це складна група полісахаридів, що складається з мономерів, що повторюються, пов’язаних з галактозою, і складаються з трьох основних типів: лямбда, каппа та йота. Форма лямбда не сильно гелює при кімнатній температурі та використовується при моделюванні запальної реакції. Запалення, викликане каррагінаном, є гострим, неімунним, добре дослідженим та легковідтворюваним. Характерні ознаки запалення - набряк, гіпералгезія та еритема розвиваються одразу після підшкірної ін’єкції внаслідок дії прозапальних агентів - брадикініну, гістаміну, тахікінінів, реактивного кисню, а також різновидів азоту. Ці агенти утворюються у місці запалення або у результаті інфільтрації у клітини. Нейтрофіли легко мігрують до місця запалення, утворюючи, серед інших медіаторів, вільні радикали, такі як аніон супероксиду (O</w:t>
      </w:r>
      <w:r w:rsidRPr="00F24BC1">
        <w:rPr>
          <w:sz w:val="28"/>
          <w:szCs w:val="28"/>
          <w:vertAlign w:val="superscript"/>
          <w:lang w:val="uk-UA"/>
        </w:rPr>
        <w:t>2–</w:t>
      </w:r>
      <w:r w:rsidRPr="00F24BC1">
        <w:rPr>
          <w:sz w:val="28"/>
          <w:szCs w:val="28"/>
          <w:lang w:val="uk-UA"/>
        </w:rPr>
        <w:t>) та гідроксильні радикали [</w:t>
      </w:r>
      <w:r w:rsidR="00FE60C3">
        <w:rPr>
          <w:sz w:val="28"/>
          <w:szCs w:val="28"/>
          <w:lang w:val="uk-UA"/>
        </w:rPr>
        <w:t>199</w:t>
      </w:r>
      <w:r w:rsidRPr="00F24BC1">
        <w:rPr>
          <w:sz w:val="28"/>
          <w:szCs w:val="28"/>
          <w:lang w:val="uk-UA"/>
        </w:rPr>
        <w:t>]. Запальна реакція зазвичай кількісно визначається збільшенням розміру лапи (набряком) і модулюється інгібіторами специфічних молекул у каскаді запальної реакції [</w:t>
      </w:r>
      <w:r w:rsidRPr="007F6945">
        <w:rPr>
          <w:sz w:val="28"/>
          <w:szCs w:val="28"/>
          <w:lang w:val="uk-UA"/>
        </w:rPr>
        <w:t>2</w:t>
      </w:r>
      <w:r w:rsidR="00390008" w:rsidRPr="00390008">
        <w:rPr>
          <w:sz w:val="28"/>
          <w:szCs w:val="28"/>
          <w:lang w:val="uk-UA"/>
        </w:rPr>
        <w:t>0</w:t>
      </w:r>
      <w:r w:rsidR="00FE60C3">
        <w:rPr>
          <w:sz w:val="28"/>
          <w:szCs w:val="28"/>
          <w:lang w:val="uk-UA"/>
        </w:rPr>
        <w:t>0</w:t>
      </w:r>
      <w:r w:rsidRPr="00F24BC1">
        <w:rPr>
          <w:sz w:val="28"/>
          <w:szCs w:val="28"/>
          <w:lang w:val="uk-UA"/>
        </w:rPr>
        <w:t>]. Запалення, індуковане каррагінаном, призводить до індукції ЦОГ-2, що у свою чергу викликає посилення продукції простагландину, тромбоксану та простацикліну на ранній фазі та до значного збільшення вироблення простагландину Е</w:t>
      </w:r>
      <w:r w:rsidRPr="00F24BC1">
        <w:rPr>
          <w:sz w:val="28"/>
          <w:szCs w:val="28"/>
          <w:vertAlign w:val="subscript"/>
          <w:lang w:val="uk-UA"/>
        </w:rPr>
        <w:t xml:space="preserve">2 </w:t>
      </w:r>
      <w:r w:rsidRPr="00F24BC1">
        <w:rPr>
          <w:sz w:val="28"/>
          <w:szCs w:val="28"/>
          <w:vertAlign w:val="subscript"/>
        </w:rPr>
        <w:t xml:space="preserve"> </w:t>
      </w:r>
      <w:r w:rsidRPr="00F24BC1">
        <w:rPr>
          <w:sz w:val="28"/>
          <w:szCs w:val="28"/>
          <w:lang w:val="uk-UA"/>
        </w:rPr>
        <w:t>[</w:t>
      </w:r>
      <w:r w:rsidRPr="007F6945">
        <w:rPr>
          <w:sz w:val="28"/>
          <w:szCs w:val="28"/>
        </w:rPr>
        <w:t>2</w:t>
      </w:r>
      <w:r w:rsidR="00390008" w:rsidRPr="00390008">
        <w:rPr>
          <w:sz w:val="28"/>
          <w:szCs w:val="28"/>
        </w:rPr>
        <w:t>0</w:t>
      </w:r>
      <w:r w:rsidR="00FE60C3">
        <w:rPr>
          <w:sz w:val="28"/>
          <w:szCs w:val="28"/>
        </w:rPr>
        <w:t>1</w:t>
      </w:r>
      <w:r w:rsidRPr="00F24BC1">
        <w:rPr>
          <w:sz w:val="28"/>
          <w:szCs w:val="28"/>
          <w:lang w:val="uk-UA"/>
        </w:rPr>
        <w:t>].</w:t>
      </w:r>
    </w:p>
    <w:p w14:paraId="02CDD373" w14:textId="24CD1935" w:rsidR="00F05F4E" w:rsidRPr="00F24BC1" w:rsidRDefault="00F05F4E" w:rsidP="00F05F4E">
      <w:pPr>
        <w:pStyle w:val="a6"/>
        <w:spacing w:before="0" w:beforeAutospacing="0" w:after="0" w:afterAutospacing="0" w:line="360" w:lineRule="auto"/>
        <w:ind w:firstLine="851"/>
        <w:jc w:val="both"/>
        <w:rPr>
          <w:sz w:val="28"/>
          <w:szCs w:val="28"/>
          <w:lang w:val="uk-UA"/>
        </w:rPr>
      </w:pPr>
      <w:r w:rsidRPr="00F24BC1">
        <w:rPr>
          <w:sz w:val="28"/>
          <w:szCs w:val="28"/>
          <w:lang w:val="uk-UA"/>
        </w:rPr>
        <w:lastRenderedPageBreak/>
        <w:t xml:space="preserve">Відомо, що інгібування запалення, викликаного каррагінаном у щурів, є однією з найбільш відповідних процедур тестування для виявлення протизапальних засобів, оскільки </w:t>
      </w:r>
      <w:r>
        <w:rPr>
          <w:sz w:val="28"/>
          <w:szCs w:val="28"/>
          <w:lang w:val="uk-UA"/>
        </w:rPr>
        <w:t>сильно</w:t>
      </w:r>
      <w:r w:rsidRPr="00F24BC1">
        <w:rPr>
          <w:sz w:val="28"/>
          <w:szCs w:val="28"/>
          <w:lang w:val="uk-UA"/>
        </w:rPr>
        <w:t xml:space="preserve"> нагадує артрит людини [</w:t>
      </w:r>
      <w:r w:rsidRPr="007F6945">
        <w:rPr>
          <w:sz w:val="28"/>
          <w:szCs w:val="28"/>
          <w:lang w:val="uk-UA"/>
        </w:rPr>
        <w:t>2</w:t>
      </w:r>
      <w:r w:rsidR="00390008" w:rsidRPr="00390008">
        <w:rPr>
          <w:sz w:val="28"/>
          <w:szCs w:val="28"/>
          <w:lang w:val="uk-UA"/>
        </w:rPr>
        <w:t>0</w:t>
      </w:r>
      <w:r w:rsidR="00FE60C3">
        <w:rPr>
          <w:sz w:val="28"/>
          <w:szCs w:val="28"/>
          <w:lang w:val="uk-UA"/>
        </w:rPr>
        <w:t>2</w:t>
      </w:r>
      <w:r w:rsidRPr="00F24BC1">
        <w:rPr>
          <w:sz w:val="28"/>
          <w:szCs w:val="28"/>
          <w:lang w:val="uk-UA"/>
        </w:rPr>
        <w:t>].</w:t>
      </w:r>
    </w:p>
    <w:p w14:paraId="2D3597C1" w14:textId="71D0F432" w:rsidR="00F05F4E" w:rsidRPr="00F24BC1" w:rsidRDefault="00F05F4E" w:rsidP="00F05F4E">
      <w:pPr>
        <w:pStyle w:val="a6"/>
        <w:spacing w:before="0" w:beforeAutospacing="0" w:after="0" w:afterAutospacing="0" w:line="360" w:lineRule="auto"/>
        <w:ind w:firstLine="851"/>
        <w:jc w:val="both"/>
        <w:rPr>
          <w:sz w:val="28"/>
          <w:szCs w:val="28"/>
          <w:lang w:val="uk-UA"/>
        </w:rPr>
      </w:pPr>
      <w:r w:rsidRPr="00F24BC1">
        <w:rPr>
          <w:sz w:val="28"/>
          <w:szCs w:val="28"/>
          <w:lang w:val="uk-UA"/>
        </w:rPr>
        <w:t xml:space="preserve">Нами було досліджено протизапальну активність комплексних сполук І і ІІ, а також речовин, </w:t>
      </w:r>
      <w:r>
        <w:rPr>
          <w:sz w:val="28"/>
          <w:szCs w:val="28"/>
          <w:lang w:val="uk-UA"/>
        </w:rPr>
        <w:t xml:space="preserve">ліганди яких </w:t>
      </w:r>
      <w:r w:rsidRPr="00F24BC1">
        <w:rPr>
          <w:sz w:val="28"/>
          <w:szCs w:val="28"/>
          <w:lang w:val="uk-UA"/>
        </w:rPr>
        <w:t>входять</w:t>
      </w:r>
      <w:r>
        <w:rPr>
          <w:sz w:val="28"/>
          <w:szCs w:val="28"/>
          <w:lang w:val="uk-UA"/>
        </w:rPr>
        <w:t xml:space="preserve">, </w:t>
      </w:r>
      <w:r w:rsidRPr="00F24BC1">
        <w:rPr>
          <w:sz w:val="28"/>
          <w:szCs w:val="28"/>
          <w:lang w:val="uk-UA"/>
        </w:rPr>
        <w:t xml:space="preserve">до їх </w:t>
      </w:r>
      <w:r>
        <w:rPr>
          <w:sz w:val="28"/>
          <w:szCs w:val="28"/>
          <w:lang w:val="uk-UA"/>
        </w:rPr>
        <w:t>структури</w:t>
      </w:r>
      <w:r w:rsidRPr="00F24BC1">
        <w:rPr>
          <w:sz w:val="28"/>
          <w:szCs w:val="28"/>
          <w:lang w:val="uk-UA"/>
        </w:rPr>
        <w:t xml:space="preserve">. Дані, представлені на рис. </w:t>
      </w:r>
      <w:r>
        <w:rPr>
          <w:sz w:val="28"/>
          <w:szCs w:val="28"/>
          <w:lang w:val="uk-UA"/>
        </w:rPr>
        <w:t>4</w:t>
      </w:r>
      <w:r w:rsidRPr="00F24BC1">
        <w:rPr>
          <w:sz w:val="28"/>
          <w:szCs w:val="28"/>
          <w:lang w:val="uk-UA"/>
        </w:rPr>
        <w:t>.</w:t>
      </w:r>
      <w:r>
        <w:rPr>
          <w:sz w:val="28"/>
          <w:szCs w:val="28"/>
          <w:lang w:val="uk-UA"/>
        </w:rPr>
        <w:t>1</w:t>
      </w:r>
      <w:r w:rsidRPr="00F24BC1">
        <w:rPr>
          <w:sz w:val="28"/>
          <w:szCs w:val="28"/>
          <w:lang w:val="uk-UA"/>
        </w:rPr>
        <w:t xml:space="preserve">.1. та </w:t>
      </w:r>
      <w:r>
        <w:rPr>
          <w:sz w:val="28"/>
          <w:szCs w:val="28"/>
          <w:lang w:val="uk-UA"/>
        </w:rPr>
        <w:t>4</w:t>
      </w:r>
      <w:r w:rsidRPr="00F24BC1">
        <w:rPr>
          <w:sz w:val="28"/>
          <w:szCs w:val="28"/>
          <w:lang w:val="uk-UA"/>
        </w:rPr>
        <w:t>.</w:t>
      </w:r>
      <w:r>
        <w:rPr>
          <w:sz w:val="28"/>
          <w:szCs w:val="28"/>
          <w:lang w:val="uk-UA"/>
        </w:rPr>
        <w:t>1</w:t>
      </w:r>
      <w:r w:rsidRPr="00F24BC1">
        <w:rPr>
          <w:sz w:val="28"/>
          <w:szCs w:val="28"/>
          <w:lang w:val="uk-UA"/>
        </w:rPr>
        <w:t xml:space="preserve">.2. свідчать, що об'єм запалених кінцівок усіх груп досліджуваних тварин збільшився в середньому на 60% через 24 години після введення каррагінану, але вже через дві доби після початку експерименту простежувалась чітка тенденція до зниження об'єму осередку запалення у тварин, яким перорально вводили комплексні сполуки I і II. </w:t>
      </w:r>
    </w:p>
    <w:p w14:paraId="7C0B8AB3" w14:textId="77777777" w:rsidR="00F05F4E" w:rsidRPr="00F24BC1" w:rsidRDefault="00F05F4E" w:rsidP="00F05F4E">
      <w:pPr>
        <w:pStyle w:val="a6"/>
        <w:spacing w:before="0" w:beforeAutospacing="0" w:after="0" w:afterAutospacing="0" w:line="360" w:lineRule="auto"/>
        <w:jc w:val="center"/>
        <w:rPr>
          <w:sz w:val="28"/>
          <w:szCs w:val="28"/>
          <w:lang w:val="uk-UA"/>
        </w:rPr>
      </w:pPr>
      <w:r w:rsidRPr="006D1679">
        <w:rPr>
          <w:noProof/>
          <w:sz w:val="28"/>
          <w:szCs w:val="28"/>
          <w:lang w:val="en-US" w:eastAsia="en-US"/>
        </w:rPr>
        <w:drawing>
          <wp:inline distT="0" distB="0" distL="0" distR="0" wp14:anchorId="2B7ECCBE" wp14:editId="182EA8D1">
            <wp:extent cx="4607560" cy="2261937"/>
            <wp:effectExtent l="0" t="0" r="2540" b="0"/>
            <wp:docPr id="7"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8505" cy="2267310"/>
                    </a:xfrm>
                    <a:prstGeom prst="rect">
                      <a:avLst/>
                    </a:prstGeom>
                    <a:noFill/>
                    <a:ln>
                      <a:noFill/>
                    </a:ln>
                  </pic:spPr>
                </pic:pic>
              </a:graphicData>
            </a:graphic>
          </wp:inline>
        </w:drawing>
      </w:r>
    </w:p>
    <w:p w14:paraId="4395B682" w14:textId="77777777" w:rsidR="00F05F4E" w:rsidRDefault="00F05F4E" w:rsidP="00F05F4E">
      <w:pPr>
        <w:pStyle w:val="a6"/>
        <w:tabs>
          <w:tab w:val="left" w:pos="720"/>
        </w:tabs>
        <w:spacing w:before="0" w:beforeAutospacing="0" w:after="0" w:afterAutospacing="0" w:line="360" w:lineRule="auto"/>
        <w:ind w:firstLine="720"/>
        <w:jc w:val="both"/>
        <w:rPr>
          <w:sz w:val="28"/>
          <w:szCs w:val="28"/>
        </w:rPr>
      </w:pPr>
      <w:r w:rsidRPr="00F24BC1">
        <w:rPr>
          <w:sz w:val="28"/>
          <w:szCs w:val="28"/>
          <w:lang w:val="uk-UA"/>
        </w:rPr>
        <w:t xml:space="preserve">Рис. </w:t>
      </w:r>
      <w:r>
        <w:rPr>
          <w:sz w:val="28"/>
          <w:szCs w:val="28"/>
          <w:lang w:val="uk-UA"/>
        </w:rPr>
        <w:t>4</w:t>
      </w:r>
      <w:r w:rsidRPr="00F24BC1">
        <w:rPr>
          <w:sz w:val="28"/>
          <w:szCs w:val="28"/>
          <w:lang w:val="uk-UA"/>
        </w:rPr>
        <w:t>.</w:t>
      </w:r>
      <w:r>
        <w:rPr>
          <w:sz w:val="28"/>
          <w:szCs w:val="28"/>
          <w:lang w:val="uk-UA"/>
        </w:rPr>
        <w:t>1</w:t>
      </w:r>
      <w:r w:rsidRPr="00F24BC1">
        <w:rPr>
          <w:sz w:val="28"/>
          <w:szCs w:val="28"/>
          <w:lang w:val="uk-UA"/>
        </w:rPr>
        <w:t xml:space="preserve">.1 Протизапальна активність комплексної сполуки ІІ при пероральному введенні </w:t>
      </w:r>
      <w:r>
        <w:rPr>
          <w:sz w:val="28"/>
          <w:szCs w:val="28"/>
          <w:lang w:val="uk-UA"/>
        </w:rPr>
        <w:t xml:space="preserve">на моделі каррагінан-індукованого запалення </w:t>
      </w:r>
      <w:r w:rsidRPr="00F24BC1">
        <w:rPr>
          <w:sz w:val="28"/>
          <w:szCs w:val="28"/>
          <w:lang w:val="uk-UA"/>
        </w:rPr>
        <w:t>(об’єм запалених кінцівок щурів, у % до контрольної групи, (М</w:t>
      </w:r>
      <w:r w:rsidRPr="00F24BC1">
        <w:rPr>
          <w:color w:val="4D5156"/>
          <w:sz w:val="28"/>
          <w:szCs w:val="28"/>
        </w:rPr>
        <w:t>±</w:t>
      </w:r>
      <w:r w:rsidRPr="00F24BC1">
        <w:rPr>
          <w:sz w:val="28"/>
          <w:szCs w:val="28"/>
          <w:lang w:val="en-US"/>
        </w:rPr>
        <w:t>m</w:t>
      </w:r>
      <w:r w:rsidRPr="00F24BC1">
        <w:rPr>
          <w:sz w:val="28"/>
          <w:szCs w:val="28"/>
        </w:rPr>
        <w:t xml:space="preserve">, </w:t>
      </w:r>
      <w:r w:rsidRPr="00F24BC1">
        <w:rPr>
          <w:sz w:val="28"/>
          <w:szCs w:val="28"/>
          <w:lang w:val="en-US"/>
        </w:rPr>
        <w:t>n</w:t>
      </w:r>
      <w:r w:rsidRPr="00F24BC1">
        <w:rPr>
          <w:sz w:val="28"/>
          <w:szCs w:val="28"/>
        </w:rPr>
        <w:t>=</w:t>
      </w:r>
      <w:r w:rsidRPr="00F24BC1">
        <w:rPr>
          <w:sz w:val="28"/>
          <w:szCs w:val="28"/>
          <w:lang w:val="uk-UA"/>
        </w:rPr>
        <w:t>5</w:t>
      </w:r>
      <w:r w:rsidRPr="00F24BC1">
        <w:rPr>
          <w:sz w:val="28"/>
          <w:szCs w:val="28"/>
        </w:rPr>
        <w:t>)</w:t>
      </w:r>
    </w:p>
    <w:p w14:paraId="3E97AF39" w14:textId="628280D7" w:rsidR="00F05F4E" w:rsidRPr="008A6B7D" w:rsidRDefault="00F05F4E" w:rsidP="00352B8A">
      <w:pPr>
        <w:pStyle w:val="a6"/>
        <w:spacing w:before="0" w:beforeAutospacing="0" w:after="0" w:afterAutospacing="0" w:line="360" w:lineRule="auto"/>
        <w:ind w:left="450" w:hanging="450"/>
        <w:jc w:val="both"/>
      </w:pPr>
      <w:r w:rsidRPr="008A6B7D">
        <w:rPr>
          <w:lang w:val="uk-UA"/>
        </w:rPr>
        <w:t xml:space="preserve">Примітки: </w:t>
      </w:r>
    </w:p>
    <w:p w14:paraId="5C29F094" w14:textId="77777777" w:rsidR="00F05F4E" w:rsidRPr="008A6B7D" w:rsidRDefault="00F05F4E" w:rsidP="00352B8A">
      <w:pPr>
        <w:numPr>
          <w:ilvl w:val="6"/>
          <w:numId w:val="20"/>
        </w:numPr>
        <w:ind w:left="450" w:hanging="450"/>
        <w:jc w:val="both"/>
      </w:pPr>
      <w:r w:rsidRPr="008A6B7D">
        <w:t>*</w:t>
      </w:r>
      <w:r w:rsidRPr="008A6B7D">
        <w:rPr>
          <w:lang w:val="uk-UA"/>
        </w:rPr>
        <w:t xml:space="preserve"> </w:t>
      </w:r>
      <w:r w:rsidRPr="008A6B7D">
        <w:t>-</w:t>
      </w:r>
      <w:r w:rsidRPr="008A6B7D">
        <w:rPr>
          <w:lang w:val="uk-UA"/>
        </w:rPr>
        <w:t xml:space="preserve"> </w:t>
      </w:r>
      <w:r w:rsidRPr="008A6B7D">
        <w:rPr>
          <w:lang w:val="en-US"/>
        </w:rPr>
        <w:t>p</w:t>
      </w:r>
      <w:r w:rsidRPr="008A6B7D">
        <w:rPr>
          <w:lang w:val="en-US"/>
        </w:rPr>
        <w:sym w:font="Symbol" w:char="F03C"/>
      </w:r>
      <w:r w:rsidRPr="008A6B7D">
        <w:t xml:space="preserve">0,05 </w:t>
      </w:r>
      <w:r w:rsidRPr="008A6B7D">
        <w:rPr>
          <w:lang w:val="uk-UA"/>
        </w:rPr>
        <w:t>статистично значуща різниця у порівнянні з контрольною групою.</w:t>
      </w:r>
    </w:p>
    <w:p w14:paraId="4FFF338F" w14:textId="77777777" w:rsidR="00F05F4E" w:rsidRPr="008A6B7D" w:rsidRDefault="00F05F4E" w:rsidP="00352B8A">
      <w:pPr>
        <w:numPr>
          <w:ilvl w:val="6"/>
          <w:numId w:val="20"/>
        </w:numPr>
        <w:ind w:left="450" w:hanging="450"/>
        <w:jc w:val="both"/>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w:t>
      </w:r>
    </w:p>
    <w:p w14:paraId="520F4E7A" w14:textId="732E100A" w:rsidR="00F05F4E" w:rsidRPr="008A6B7D" w:rsidRDefault="00F05F4E" w:rsidP="00352B8A">
      <w:pPr>
        <w:numPr>
          <w:ilvl w:val="6"/>
          <w:numId w:val="20"/>
        </w:numPr>
        <w:ind w:left="450" w:hanging="450"/>
        <w:jc w:val="both"/>
        <w:rPr>
          <w:lang w:val="uk-UA"/>
        </w:rPr>
      </w:pPr>
      <w:r w:rsidRPr="008A6B7D">
        <w:rPr>
          <w:rFonts w:eastAsia="Calibri"/>
          <w:lang w:val="uk-UA"/>
        </w:rPr>
        <w:t xml:space="preserve">n </w:t>
      </w:r>
      <w:r w:rsidRPr="008A6B7D">
        <w:rPr>
          <w:lang w:val="uk-UA"/>
        </w:rPr>
        <w:t>–</w:t>
      </w:r>
      <w:r w:rsidRPr="008A6B7D">
        <w:rPr>
          <w:rFonts w:eastAsia="Calibri"/>
          <w:lang w:val="uk-UA"/>
        </w:rPr>
        <w:t xml:space="preserve"> кількість тварин у групі.</w:t>
      </w:r>
    </w:p>
    <w:p w14:paraId="492A36CF" w14:textId="77777777" w:rsidR="00F05F4E" w:rsidRPr="00F05F4E" w:rsidRDefault="00F05F4E" w:rsidP="00F05F4E">
      <w:pPr>
        <w:ind w:left="450"/>
        <w:jc w:val="both"/>
        <w:rPr>
          <w:sz w:val="28"/>
          <w:szCs w:val="28"/>
          <w:lang w:val="uk-UA"/>
        </w:rPr>
      </w:pPr>
    </w:p>
    <w:p w14:paraId="0D13C41A" w14:textId="025C2635" w:rsidR="00F05F4E" w:rsidRDefault="00F05F4E" w:rsidP="00A55657">
      <w:pPr>
        <w:tabs>
          <w:tab w:val="left" w:pos="720"/>
        </w:tabs>
        <w:spacing w:line="360" w:lineRule="auto"/>
        <w:ind w:firstLine="720"/>
        <w:jc w:val="both"/>
        <w:rPr>
          <w:sz w:val="28"/>
          <w:szCs w:val="28"/>
          <w:lang w:val="uk-UA"/>
        </w:rPr>
      </w:pPr>
      <w:r w:rsidRPr="00F24BC1">
        <w:rPr>
          <w:sz w:val="28"/>
          <w:szCs w:val="28"/>
          <w:lang w:val="uk-UA"/>
        </w:rPr>
        <w:t>Так, через добу після початку експерименту приріст об'єму запаленої</w:t>
      </w:r>
      <w:r w:rsidRPr="00F24BC1">
        <w:rPr>
          <w:sz w:val="28"/>
          <w:szCs w:val="28"/>
        </w:rPr>
        <w:t xml:space="preserve"> </w:t>
      </w:r>
      <w:r w:rsidRPr="00F24BC1">
        <w:rPr>
          <w:sz w:val="28"/>
          <w:szCs w:val="28"/>
          <w:lang w:val="uk-UA"/>
        </w:rPr>
        <w:t xml:space="preserve">кінцівки для комплексної сполуки II склав всього 13% (рис. </w:t>
      </w:r>
      <w:r>
        <w:rPr>
          <w:sz w:val="28"/>
          <w:szCs w:val="28"/>
          <w:lang w:val="uk-UA"/>
        </w:rPr>
        <w:t>4.1</w:t>
      </w:r>
      <w:r w:rsidRPr="00F24BC1">
        <w:rPr>
          <w:sz w:val="28"/>
          <w:szCs w:val="28"/>
          <w:lang w:val="uk-UA"/>
        </w:rPr>
        <w:t xml:space="preserve">.1). Надалі спостерігається поступове зменшення об'єму запаленої кінцівки протягом п'яти діб після початку лікування і досягнення показників об'єму інтактних тварин. З огляду на те, що до складу комплексної сполуки ІІ входять </w:t>
      </w:r>
      <w:r>
        <w:rPr>
          <w:sz w:val="28"/>
          <w:szCs w:val="28"/>
          <w:lang w:val="uk-UA"/>
        </w:rPr>
        <w:t xml:space="preserve">ліганди </w:t>
      </w:r>
      <w:r w:rsidRPr="00F24BC1">
        <w:rPr>
          <w:sz w:val="28"/>
          <w:szCs w:val="28"/>
          <w:lang w:val="uk-UA"/>
        </w:rPr>
        <w:t>саліцилов</w:t>
      </w:r>
      <w:r>
        <w:rPr>
          <w:sz w:val="28"/>
          <w:szCs w:val="28"/>
          <w:lang w:val="uk-UA"/>
        </w:rPr>
        <w:t>ої</w:t>
      </w:r>
      <w:r w:rsidRPr="00F24BC1">
        <w:rPr>
          <w:sz w:val="28"/>
          <w:szCs w:val="28"/>
          <w:lang w:val="uk-UA"/>
        </w:rPr>
        <w:t xml:space="preserve"> кислот</w:t>
      </w:r>
      <w:r>
        <w:rPr>
          <w:sz w:val="28"/>
          <w:szCs w:val="28"/>
          <w:lang w:val="uk-UA"/>
        </w:rPr>
        <w:t>и</w:t>
      </w:r>
      <w:r w:rsidRPr="00F24BC1">
        <w:rPr>
          <w:sz w:val="28"/>
          <w:szCs w:val="28"/>
          <w:lang w:val="uk-UA"/>
        </w:rPr>
        <w:t xml:space="preserve"> та бензальдегід</w:t>
      </w:r>
      <w:r>
        <w:rPr>
          <w:sz w:val="28"/>
          <w:szCs w:val="28"/>
          <w:lang w:val="uk-UA"/>
        </w:rPr>
        <w:t>у</w:t>
      </w:r>
      <w:r w:rsidRPr="00F24BC1">
        <w:rPr>
          <w:sz w:val="28"/>
          <w:szCs w:val="28"/>
          <w:lang w:val="uk-UA"/>
        </w:rPr>
        <w:t xml:space="preserve">, </w:t>
      </w:r>
      <w:r>
        <w:rPr>
          <w:sz w:val="28"/>
          <w:szCs w:val="28"/>
          <w:lang w:val="uk-UA"/>
        </w:rPr>
        <w:t>ймовірно</w:t>
      </w:r>
      <w:r w:rsidRPr="00F24BC1">
        <w:rPr>
          <w:sz w:val="28"/>
          <w:szCs w:val="28"/>
          <w:lang w:val="uk-UA"/>
        </w:rPr>
        <w:t xml:space="preserve">, що саме вони надають </w:t>
      </w:r>
      <w:r w:rsidRPr="00F24BC1">
        <w:rPr>
          <w:sz w:val="28"/>
          <w:szCs w:val="28"/>
          <w:lang w:val="uk-UA"/>
        </w:rPr>
        <w:lastRenderedPageBreak/>
        <w:t xml:space="preserve">основний внесок </w:t>
      </w:r>
      <w:r>
        <w:rPr>
          <w:sz w:val="28"/>
          <w:szCs w:val="28"/>
          <w:lang w:val="uk-UA"/>
        </w:rPr>
        <w:t>у</w:t>
      </w:r>
      <w:r w:rsidRPr="00F24BC1">
        <w:rPr>
          <w:sz w:val="28"/>
          <w:szCs w:val="28"/>
          <w:lang w:val="uk-UA"/>
        </w:rPr>
        <w:t xml:space="preserve"> протизапальну активність комплексу ІІ. З отриманих даних видно, що саліцилова кислота, а також бензальдегід</w:t>
      </w:r>
      <w:r>
        <w:rPr>
          <w:sz w:val="28"/>
          <w:szCs w:val="28"/>
          <w:lang w:val="uk-UA"/>
        </w:rPr>
        <w:t>,</w:t>
      </w:r>
      <w:r w:rsidRPr="00F24BC1">
        <w:rPr>
          <w:sz w:val="28"/>
          <w:szCs w:val="28"/>
          <w:lang w:val="uk-UA"/>
        </w:rPr>
        <w:t xml:space="preserve"> проявляють протизапальну активність, що призводить до зниження запального процесу протягом першої доби терапії. Показники об’єму запаленої кінцівки під час лікування щурів саліциловою кислотою достовірно зниж</w:t>
      </w:r>
      <w:r>
        <w:rPr>
          <w:sz w:val="28"/>
          <w:szCs w:val="28"/>
          <w:lang w:val="uk-UA"/>
        </w:rPr>
        <w:t>ува</w:t>
      </w:r>
      <w:r w:rsidRPr="00F24BC1">
        <w:rPr>
          <w:sz w:val="28"/>
          <w:szCs w:val="28"/>
          <w:lang w:val="uk-UA"/>
        </w:rPr>
        <w:t xml:space="preserve">лись кожної доби в середньому на 10% протягом 6 діб та на 7-му добу </w:t>
      </w:r>
      <w:r>
        <w:rPr>
          <w:sz w:val="28"/>
          <w:szCs w:val="28"/>
          <w:lang w:val="uk-UA"/>
        </w:rPr>
        <w:t>сягнули</w:t>
      </w:r>
      <w:r w:rsidRPr="00F24BC1">
        <w:rPr>
          <w:sz w:val="28"/>
          <w:szCs w:val="28"/>
          <w:lang w:val="uk-UA"/>
        </w:rPr>
        <w:t xml:space="preserve"> інтактних. </w:t>
      </w:r>
      <w:r w:rsidR="001759D5">
        <w:rPr>
          <w:sz w:val="28"/>
          <w:szCs w:val="28"/>
          <w:lang w:val="uk-UA"/>
        </w:rPr>
        <w:t xml:space="preserve"> </w:t>
      </w:r>
      <w:r w:rsidRPr="00F24BC1">
        <w:rPr>
          <w:sz w:val="28"/>
          <w:szCs w:val="28"/>
          <w:lang w:val="uk-UA"/>
        </w:rPr>
        <w:t>Варто зазначити, що 4-бромбензальдегід мав динаміку, схожу з динамікою комплексної сполуки ІІ, спостерігалось стрімке зниження показників запалення на 23% між першою та другою добою лікування, та надалі показники поступово знижувались.</w:t>
      </w:r>
      <w:r w:rsidR="001759D5">
        <w:rPr>
          <w:sz w:val="28"/>
          <w:szCs w:val="28"/>
          <w:lang w:val="uk-UA"/>
        </w:rPr>
        <w:t xml:space="preserve"> </w:t>
      </w:r>
      <w:r w:rsidRPr="00F24BC1">
        <w:rPr>
          <w:sz w:val="28"/>
          <w:szCs w:val="28"/>
          <w:lang w:val="uk-UA"/>
        </w:rPr>
        <w:t xml:space="preserve">Найбільш виразну протизапальну дію </w:t>
      </w:r>
      <w:r>
        <w:rPr>
          <w:sz w:val="28"/>
          <w:szCs w:val="28"/>
          <w:lang w:val="uk-UA"/>
        </w:rPr>
        <w:t>здійснював</w:t>
      </w:r>
      <w:r w:rsidRPr="00F24BC1">
        <w:rPr>
          <w:sz w:val="28"/>
          <w:szCs w:val="28"/>
          <w:lang w:val="uk-UA"/>
        </w:rPr>
        <w:t xml:space="preserve"> саліцилоїлгідразон бензальдегіду, так, вже на четверту добу </w:t>
      </w:r>
      <w:r w:rsidR="00821BED">
        <w:rPr>
          <w:sz w:val="28"/>
          <w:szCs w:val="28"/>
          <w:lang w:val="uk-UA"/>
        </w:rPr>
        <w:br/>
      </w:r>
      <w:r w:rsidRPr="00F24BC1">
        <w:rPr>
          <w:sz w:val="28"/>
          <w:szCs w:val="28"/>
          <w:lang w:val="uk-UA"/>
        </w:rPr>
        <w:t xml:space="preserve">(3 доба терапії) показники об’єму запалених кінцівок вийшли на рівень контрольних значень. </w:t>
      </w:r>
    </w:p>
    <w:p w14:paraId="3A40268E" w14:textId="5760EEE7" w:rsidR="00F05F4E" w:rsidRPr="001759D5" w:rsidRDefault="00F05F4E" w:rsidP="001759D5">
      <w:pPr>
        <w:tabs>
          <w:tab w:val="left" w:pos="720"/>
        </w:tabs>
        <w:spacing w:line="360" w:lineRule="auto"/>
        <w:ind w:firstLine="720"/>
        <w:jc w:val="both"/>
        <w:rPr>
          <w:sz w:val="28"/>
          <w:szCs w:val="28"/>
          <w:lang w:val="uk-UA"/>
        </w:rPr>
      </w:pPr>
      <w:r w:rsidRPr="00F24BC1">
        <w:rPr>
          <w:sz w:val="28"/>
          <w:szCs w:val="28"/>
          <w:lang w:val="uk-UA"/>
        </w:rPr>
        <w:t xml:space="preserve">Протизапальна активність комплексної сполуки І була декілька </w:t>
      </w:r>
      <w:r>
        <w:rPr>
          <w:sz w:val="28"/>
          <w:szCs w:val="28"/>
          <w:lang w:val="uk-UA"/>
        </w:rPr>
        <w:t>нижчою</w:t>
      </w:r>
      <w:r w:rsidRPr="00F24BC1">
        <w:rPr>
          <w:sz w:val="28"/>
          <w:szCs w:val="28"/>
          <w:lang w:val="uk-UA"/>
        </w:rPr>
        <w:t xml:space="preserve">, у </w:t>
      </w:r>
      <w:r>
        <w:rPr>
          <w:sz w:val="28"/>
          <w:szCs w:val="28"/>
          <w:lang w:val="uk-UA"/>
        </w:rPr>
        <w:t xml:space="preserve">порівнянні із </w:t>
      </w:r>
      <w:r w:rsidRPr="00F24BC1">
        <w:rPr>
          <w:sz w:val="28"/>
          <w:szCs w:val="28"/>
          <w:lang w:val="uk-UA"/>
        </w:rPr>
        <w:t>комплексно</w:t>
      </w:r>
      <w:r>
        <w:rPr>
          <w:sz w:val="28"/>
          <w:szCs w:val="28"/>
          <w:lang w:val="uk-UA"/>
        </w:rPr>
        <w:t>ю</w:t>
      </w:r>
      <w:r w:rsidRPr="00F24BC1">
        <w:rPr>
          <w:sz w:val="28"/>
          <w:szCs w:val="28"/>
          <w:lang w:val="uk-UA"/>
        </w:rPr>
        <w:t xml:space="preserve"> сполук</w:t>
      </w:r>
      <w:r>
        <w:rPr>
          <w:sz w:val="28"/>
          <w:szCs w:val="28"/>
          <w:lang w:val="uk-UA"/>
        </w:rPr>
        <w:t>ою</w:t>
      </w:r>
      <w:r w:rsidRPr="00F24BC1">
        <w:rPr>
          <w:sz w:val="28"/>
          <w:szCs w:val="28"/>
          <w:lang w:val="uk-UA"/>
        </w:rPr>
        <w:t xml:space="preserve"> ІІ, так приріст об’єму</w:t>
      </w:r>
      <w:r>
        <w:rPr>
          <w:sz w:val="28"/>
          <w:szCs w:val="28"/>
          <w:lang w:val="uk-UA"/>
        </w:rPr>
        <w:t xml:space="preserve"> запаленої</w:t>
      </w:r>
      <w:r w:rsidRPr="00F24BC1">
        <w:rPr>
          <w:sz w:val="28"/>
          <w:szCs w:val="28"/>
          <w:lang w:val="uk-UA"/>
        </w:rPr>
        <w:t xml:space="preserve"> кінцівки через добу після початку лікування (2 доба досліду) складав 24,2% (рис. </w:t>
      </w:r>
      <w:r>
        <w:rPr>
          <w:sz w:val="28"/>
          <w:szCs w:val="28"/>
          <w:lang w:val="uk-UA"/>
        </w:rPr>
        <w:t>4</w:t>
      </w:r>
      <w:r w:rsidRPr="00F24BC1">
        <w:rPr>
          <w:sz w:val="28"/>
          <w:szCs w:val="28"/>
          <w:lang w:val="uk-UA"/>
        </w:rPr>
        <w:t>.</w:t>
      </w:r>
      <w:r>
        <w:rPr>
          <w:sz w:val="28"/>
          <w:szCs w:val="28"/>
          <w:lang w:val="uk-UA"/>
        </w:rPr>
        <w:t>1</w:t>
      </w:r>
      <w:r w:rsidRPr="00F24BC1">
        <w:rPr>
          <w:sz w:val="28"/>
          <w:szCs w:val="28"/>
          <w:lang w:val="uk-UA"/>
        </w:rPr>
        <w:t xml:space="preserve">.2). </w:t>
      </w:r>
    </w:p>
    <w:p w14:paraId="12B194ED" w14:textId="77777777" w:rsidR="00F05F4E" w:rsidRDefault="00F05F4E" w:rsidP="00F05F4E">
      <w:pPr>
        <w:spacing w:line="360" w:lineRule="auto"/>
        <w:ind w:hanging="90"/>
        <w:jc w:val="center"/>
        <w:rPr>
          <w:sz w:val="28"/>
          <w:szCs w:val="28"/>
          <w:lang w:val="uk-UA"/>
        </w:rPr>
      </w:pPr>
      <w:r w:rsidRPr="006D1679">
        <w:rPr>
          <w:noProof/>
          <w:sz w:val="28"/>
          <w:szCs w:val="28"/>
          <w:lang w:val="en-US" w:eastAsia="en-US"/>
        </w:rPr>
        <w:drawing>
          <wp:inline distT="0" distB="0" distL="0" distR="0" wp14:anchorId="0E6235AE" wp14:editId="7F8CD7D3">
            <wp:extent cx="5053263" cy="2273969"/>
            <wp:effectExtent l="0" t="0" r="1905" b="0"/>
            <wp:docPr id="8" name="Рисунок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4008" cy="2310304"/>
                    </a:xfrm>
                    <a:prstGeom prst="rect">
                      <a:avLst/>
                    </a:prstGeom>
                    <a:noFill/>
                    <a:ln>
                      <a:noFill/>
                    </a:ln>
                  </pic:spPr>
                </pic:pic>
              </a:graphicData>
            </a:graphic>
          </wp:inline>
        </w:drawing>
      </w:r>
    </w:p>
    <w:p w14:paraId="4A13DE0B" w14:textId="7D8C8404" w:rsidR="00F05F4E" w:rsidRPr="00F24BC1" w:rsidRDefault="00F05F4E" w:rsidP="00F05F4E">
      <w:pPr>
        <w:spacing w:line="360" w:lineRule="auto"/>
        <w:ind w:firstLine="720"/>
        <w:jc w:val="both"/>
        <w:rPr>
          <w:sz w:val="28"/>
          <w:szCs w:val="28"/>
        </w:rPr>
      </w:pPr>
      <w:r w:rsidRPr="00F24BC1">
        <w:rPr>
          <w:sz w:val="28"/>
          <w:szCs w:val="28"/>
          <w:lang w:val="uk-UA"/>
        </w:rPr>
        <w:t xml:space="preserve">Рис. </w:t>
      </w:r>
      <w:r>
        <w:rPr>
          <w:sz w:val="28"/>
          <w:szCs w:val="28"/>
          <w:lang w:val="uk-UA"/>
        </w:rPr>
        <w:t>4</w:t>
      </w:r>
      <w:r w:rsidRPr="00F24BC1">
        <w:rPr>
          <w:sz w:val="28"/>
          <w:szCs w:val="28"/>
          <w:lang w:val="uk-UA"/>
        </w:rPr>
        <w:t>.</w:t>
      </w:r>
      <w:r>
        <w:rPr>
          <w:sz w:val="28"/>
          <w:szCs w:val="28"/>
          <w:lang w:val="uk-UA"/>
        </w:rPr>
        <w:t>1</w:t>
      </w:r>
      <w:r w:rsidRPr="00F24BC1">
        <w:rPr>
          <w:sz w:val="28"/>
          <w:szCs w:val="28"/>
          <w:lang w:val="uk-UA"/>
        </w:rPr>
        <w:t xml:space="preserve">.2 Протизапальна активність комплексної сполуки І при пероральному введенні </w:t>
      </w:r>
      <w:r>
        <w:rPr>
          <w:sz w:val="28"/>
          <w:szCs w:val="28"/>
          <w:lang w:val="uk-UA"/>
        </w:rPr>
        <w:t xml:space="preserve">на моделі каррагінан-індукованого запалення </w:t>
      </w:r>
      <w:r w:rsidRPr="00F24BC1">
        <w:rPr>
          <w:sz w:val="28"/>
          <w:szCs w:val="28"/>
          <w:lang w:val="uk-UA"/>
        </w:rPr>
        <w:t>(об’єм запалених кінцівок щурів, у % до контрольної групи, (М</w:t>
      </w:r>
      <w:r w:rsidRPr="00F24BC1">
        <w:rPr>
          <w:color w:val="4D5156"/>
          <w:sz w:val="28"/>
          <w:szCs w:val="28"/>
        </w:rPr>
        <w:t>±</w:t>
      </w:r>
      <w:r w:rsidRPr="00F24BC1">
        <w:rPr>
          <w:sz w:val="28"/>
          <w:szCs w:val="28"/>
          <w:lang w:val="en-US"/>
        </w:rPr>
        <w:t>m</w:t>
      </w:r>
      <w:r w:rsidRPr="00F24BC1">
        <w:rPr>
          <w:sz w:val="28"/>
          <w:szCs w:val="28"/>
        </w:rPr>
        <w:t xml:space="preserve">, </w:t>
      </w:r>
      <w:r w:rsidRPr="00F24BC1">
        <w:rPr>
          <w:sz w:val="28"/>
          <w:szCs w:val="28"/>
          <w:lang w:val="en-US"/>
        </w:rPr>
        <w:t>n</w:t>
      </w:r>
      <w:r w:rsidRPr="00F24BC1">
        <w:rPr>
          <w:sz w:val="28"/>
          <w:szCs w:val="28"/>
        </w:rPr>
        <w:t>=</w:t>
      </w:r>
      <w:r w:rsidRPr="00F24BC1">
        <w:rPr>
          <w:sz w:val="28"/>
          <w:szCs w:val="28"/>
          <w:lang w:val="uk-UA"/>
        </w:rPr>
        <w:t>5</w:t>
      </w:r>
      <w:r w:rsidRPr="00F24BC1">
        <w:rPr>
          <w:sz w:val="28"/>
          <w:szCs w:val="28"/>
        </w:rPr>
        <w:t>)</w:t>
      </w:r>
    </w:p>
    <w:p w14:paraId="773A2F46" w14:textId="77777777" w:rsidR="00F05F4E" w:rsidRPr="008A6B7D" w:rsidRDefault="00F05F4E" w:rsidP="00352B8A">
      <w:pPr>
        <w:ind w:left="450" w:hanging="450"/>
        <w:jc w:val="both"/>
        <w:rPr>
          <w:lang w:val="uk-UA"/>
        </w:rPr>
      </w:pPr>
      <w:r w:rsidRPr="008A6B7D">
        <w:rPr>
          <w:lang w:val="uk-UA"/>
        </w:rPr>
        <w:t xml:space="preserve">Примітки: </w:t>
      </w:r>
    </w:p>
    <w:p w14:paraId="0E34841F" w14:textId="77777777" w:rsidR="00F05F4E" w:rsidRPr="008A6B7D" w:rsidRDefault="00F05F4E" w:rsidP="00352B8A">
      <w:pPr>
        <w:numPr>
          <w:ilvl w:val="6"/>
          <w:numId w:val="24"/>
        </w:numPr>
        <w:ind w:left="450" w:hanging="450"/>
        <w:jc w:val="both"/>
        <w:rPr>
          <w:lang w:val="uk-UA"/>
        </w:rPr>
      </w:pPr>
      <w:r w:rsidRPr="008A6B7D">
        <w:t>*</w:t>
      </w:r>
      <w:r w:rsidRPr="008A6B7D">
        <w:rPr>
          <w:lang w:val="uk-UA"/>
        </w:rPr>
        <w:t xml:space="preserve"> </w:t>
      </w:r>
      <w:r w:rsidRPr="008A6B7D">
        <w:t>-</w:t>
      </w:r>
      <w:r w:rsidRPr="008A6B7D">
        <w:rPr>
          <w:lang w:val="uk-UA"/>
        </w:rPr>
        <w:t xml:space="preserve"> </w:t>
      </w:r>
      <w:r w:rsidRPr="008A6B7D">
        <w:rPr>
          <w:lang w:val="en-US"/>
        </w:rPr>
        <w:t>p</w:t>
      </w:r>
      <w:r w:rsidRPr="008A6B7D">
        <w:rPr>
          <w:lang w:val="en-US"/>
        </w:rPr>
        <w:sym w:font="Symbol" w:char="F03C"/>
      </w:r>
      <w:r w:rsidRPr="008A6B7D">
        <w:t xml:space="preserve">0,05 </w:t>
      </w:r>
      <w:r w:rsidRPr="008A6B7D">
        <w:rPr>
          <w:lang w:val="uk-UA"/>
        </w:rPr>
        <w:t>статистично значуща різниця у порівнянні з контрольною групою.</w:t>
      </w:r>
    </w:p>
    <w:p w14:paraId="0FBD5E20" w14:textId="77777777" w:rsidR="00F05F4E" w:rsidRPr="008A6B7D" w:rsidRDefault="00F05F4E" w:rsidP="00352B8A">
      <w:pPr>
        <w:numPr>
          <w:ilvl w:val="6"/>
          <w:numId w:val="24"/>
        </w:numPr>
        <w:tabs>
          <w:tab w:val="left" w:pos="1440"/>
        </w:tabs>
        <w:ind w:left="450" w:hanging="450"/>
        <w:jc w:val="both"/>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w:t>
      </w:r>
    </w:p>
    <w:p w14:paraId="36CEA1B1" w14:textId="0EFE94CA" w:rsidR="00F05F4E" w:rsidRPr="001759D5" w:rsidRDefault="00F05F4E" w:rsidP="00352B8A">
      <w:pPr>
        <w:numPr>
          <w:ilvl w:val="6"/>
          <w:numId w:val="24"/>
        </w:numPr>
        <w:tabs>
          <w:tab w:val="left" w:pos="1440"/>
        </w:tabs>
        <w:ind w:left="450" w:hanging="450"/>
        <w:jc w:val="both"/>
        <w:rPr>
          <w:lang w:val="uk-UA"/>
        </w:rPr>
      </w:pPr>
      <w:r w:rsidRPr="008A6B7D">
        <w:rPr>
          <w:rFonts w:eastAsia="Calibri"/>
        </w:rPr>
        <w:t xml:space="preserve">n </w:t>
      </w:r>
      <w:r w:rsidRPr="008A6B7D">
        <w:t>–</w:t>
      </w:r>
      <w:r w:rsidRPr="008A6B7D">
        <w:rPr>
          <w:rFonts w:eastAsia="Calibri"/>
        </w:rPr>
        <w:t xml:space="preserve"> кількість тварин у групі.</w:t>
      </w:r>
    </w:p>
    <w:p w14:paraId="1851F865" w14:textId="579EB810" w:rsidR="00F05F4E" w:rsidRDefault="00F05F4E" w:rsidP="00DE015D">
      <w:pPr>
        <w:pStyle w:val="a6"/>
        <w:spacing w:before="0" w:beforeAutospacing="0" w:after="0" w:afterAutospacing="0" w:line="360" w:lineRule="auto"/>
        <w:ind w:firstLine="450"/>
        <w:jc w:val="both"/>
        <w:rPr>
          <w:color w:val="000000"/>
          <w:sz w:val="28"/>
          <w:szCs w:val="28"/>
          <w:lang w:val="uk-UA"/>
        </w:rPr>
      </w:pPr>
      <w:r w:rsidRPr="00F24BC1">
        <w:rPr>
          <w:sz w:val="28"/>
          <w:szCs w:val="28"/>
          <w:lang w:val="uk-UA"/>
        </w:rPr>
        <w:lastRenderedPageBreak/>
        <w:t xml:space="preserve">Пероральне введення розчину </w:t>
      </w:r>
      <w:r w:rsidRPr="00F24BC1">
        <w:rPr>
          <w:sz w:val="28"/>
          <w:szCs w:val="28"/>
          <w:lang w:val="en-US"/>
        </w:rPr>
        <w:t>SnCl</w:t>
      </w:r>
      <w:r w:rsidRPr="00F24BC1">
        <w:rPr>
          <w:sz w:val="28"/>
          <w:szCs w:val="28"/>
          <w:vertAlign w:val="subscript"/>
          <w:lang w:val="uk-UA"/>
        </w:rPr>
        <w:t>2</w:t>
      </w:r>
      <w:r w:rsidRPr="00F24BC1">
        <w:rPr>
          <w:sz w:val="28"/>
          <w:szCs w:val="28"/>
          <w:lang w:val="uk-UA"/>
        </w:rPr>
        <w:t xml:space="preserve"> достовірно зменшувало об'єм і товщину запаленої кінцівки щура. З кожним наступним днем об'єм запаленої</w:t>
      </w:r>
      <w:r w:rsidRPr="00F24BC1">
        <w:rPr>
          <w:sz w:val="28"/>
          <w:szCs w:val="28"/>
        </w:rPr>
        <w:t xml:space="preserve"> </w:t>
      </w:r>
      <w:r w:rsidRPr="00F24BC1">
        <w:rPr>
          <w:sz w:val="28"/>
          <w:szCs w:val="28"/>
          <w:lang w:val="uk-UA"/>
        </w:rPr>
        <w:t xml:space="preserve">кінцівки дослідної групи зменшувався на 20% і до п'ятого дня досяг об'єму інтактних тварин, у той час, як показники товщини (табл. </w:t>
      </w:r>
      <w:r>
        <w:rPr>
          <w:iCs/>
          <w:sz w:val="28"/>
          <w:szCs w:val="28"/>
          <w:lang w:val="uk-UA"/>
        </w:rPr>
        <w:t>4</w:t>
      </w:r>
      <w:r w:rsidRPr="00F24BC1">
        <w:rPr>
          <w:iCs/>
          <w:sz w:val="28"/>
          <w:szCs w:val="28"/>
          <w:lang w:val="uk-UA"/>
        </w:rPr>
        <w:t>.</w:t>
      </w:r>
      <w:r>
        <w:rPr>
          <w:iCs/>
          <w:sz w:val="28"/>
          <w:szCs w:val="28"/>
          <w:lang w:val="uk-UA"/>
        </w:rPr>
        <w:t>1</w:t>
      </w:r>
      <w:r w:rsidRPr="00F24BC1">
        <w:rPr>
          <w:iCs/>
          <w:sz w:val="28"/>
          <w:szCs w:val="28"/>
          <w:lang w:val="uk-UA"/>
        </w:rPr>
        <w:t>.</w:t>
      </w:r>
      <w:r>
        <w:rPr>
          <w:iCs/>
          <w:sz w:val="28"/>
          <w:szCs w:val="28"/>
          <w:lang w:val="uk-UA"/>
        </w:rPr>
        <w:t>1</w:t>
      </w:r>
      <w:r w:rsidRPr="00F24BC1">
        <w:rPr>
          <w:iCs/>
          <w:sz w:val="28"/>
          <w:szCs w:val="28"/>
          <w:lang w:val="uk-UA"/>
        </w:rPr>
        <w:t>.</w:t>
      </w:r>
      <w:r w:rsidRPr="00F24BC1">
        <w:rPr>
          <w:sz w:val="28"/>
          <w:szCs w:val="28"/>
          <w:lang w:val="uk-UA"/>
        </w:rPr>
        <w:t>) досягли інтактних на 6 добу лікування, але т</w:t>
      </w:r>
      <w:r w:rsidRPr="00F24BC1">
        <w:rPr>
          <w:color w:val="000000"/>
          <w:sz w:val="28"/>
          <w:szCs w:val="28"/>
          <w:lang w:val="uk-UA"/>
        </w:rPr>
        <w:t xml:space="preserve">реба зазначити, що зміна динаміки товщини запаленої кінцівки (табл. </w:t>
      </w:r>
      <w:r>
        <w:rPr>
          <w:iCs/>
          <w:sz w:val="28"/>
          <w:szCs w:val="28"/>
          <w:lang w:val="uk-UA"/>
        </w:rPr>
        <w:t>4</w:t>
      </w:r>
      <w:r w:rsidRPr="00F24BC1">
        <w:rPr>
          <w:iCs/>
          <w:sz w:val="28"/>
          <w:szCs w:val="28"/>
          <w:lang w:val="uk-UA"/>
        </w:rPr>
        <w:t>.</w:t>
      </w:r>
      <w:r>
        <w:rPr>
          <w:iCs/>
          <w:sz w:val="28"/>
          <w:szCs w:val="28"/>
          <w:lang w:val="uk-UA"/>
        </w:rPr>
        <w:t>1</w:t>
      </w:r>
      <w:r w:rsidRPr="00F24BC1">
        <w:rPr>
          <w:iCs/>
          <w:sz w:val="28"/>
          <w:szCs w:val="28"/>
          <w:lang w:val="uk-UA"/>
        </w:rPr>
        <w:t>.</w:t>
      </w:r>
      <w:r>
        <w:rPr>
          <w:iCs/>
          <w:sz w:val="28"/>
          <w:szCs w:val="28"/>
          <w:lang w:val="uk-UA"/>
        </w:rPr>
        <w:t>1</w:t>
      </w:r>
      <w:r w:rsidRPr="00F24BC1">
        <w:rPr>
          <w:iCs/>
          <w:sz w:val="28"/>
          <w:szCs w:val="28"/>
          <w:lang w:val="uk-UA"/>
        </w:rPr>
        <w:t xml:space="preserve">.) </w:t>
      </w:r>
      <w:r w:rsidRPr="00F24BC1">
        <w:rPr>
          <w:color w:val="000000"/>
          <w:sz w:val="28"/>
          <w:szCs w:val="28"/>
          <w:lang w:val="uk-UA"/>
        </w:rPr>
        <w:t xml:space="preserve">схожа на показники зміни об’єму </w:t>
      </w:r>
      <w:r w:rsidRPr="00F24BC1">
        <w:rPr>
          <w:sz w:val="28"/>
          <w:szCs w:val="28"/>
          <w:lang w:val="uk-UA"/>
        </w:rPr>
        <w:t>запаленої</w:t>
      </w:r>
      <w:r w:rsidRPr="00F24BC1">
        <w:rPr>
          <w:sz w:val="28"/>
          <w:szCs w:val="28"/>
        </w:rPr>
        <w:t xml:space="preserve"> </w:t>
      </w:r>
      <w:r w:rsidRPr="00F24BC1">
        <w:rPr>
          <w:color w:val="000000"/>
          <w:sz w:val="28"/>
          <w:szCs w:val="28"/>
          <w:lang w:val="uk-UA"/>
        </w:rPr>
        <w:t>кінцівки та не має статистичних відмінностей.</w:t>
      </w:r>
    </w:p>
    <w:p w14:paraId="3F7B5970" w14:textId="71D7550B" w:rsidR="00F05F4E" w:rsidRPr="0071066B" w:rsidRDefault="00F05F4E" w:rsidP="00F05F4E">
      <w:pPr>
        <w:jc w:val="right"/>
        <w:rPr>
          <w:rFonts w:eastAsia="Calibri"/>
          <w:i/>
          <w:color w:val="000000"/>
          <w:sz w:val="28"/>
          <w:szCs w:val="28"/>
          <w:lang w:val="uk-UA"/>
        </w:rPr>
      </w:pPr>
      <w:r w:rsidRPr="0071066B">
        <w:rPr>
          <w:i/>
          <w:iCs/>
          <w:sz w:val="28"/>
          <w:szCs w:val="28"/>
          <w:lang w:val="uk-UA"/>
        </w:rPr>
        <w:t>Таблиця 4.1.1</w:t>
      </w:r>
    </w:p>
    <w:p w14:paraId="7A230349" w14:textId="08781150" w:rsidR="00F05F4E" w:rsidRPr="00F05F4E" w:rsidRDefault="00F05F4E" w:rsidP="0071066B">
      <w:pPr>
        <w:spacing w:line="360" w:lineRule="auto"/>
        <w:jc w:val="right"/>
        <w:rPr>
          <w:b/>
          <w:sz w:val="28"/>
          <w:szCs w:val="28"/>
        </w:rPr>
      </w:pPr>
      <w:r w:rsidRPr="00F05F4E">
        <w:rPr>
          <w:b/>
          <w:color w:val="000000"/>
          <w:sz w:val="28"/>
          <w:szCs w:val="28"/>
          <w:lang w:val="uk-UA"/>
        </w:rPr>
        <w:t>Протизапальна активність досліджуваних сполук при пероральному введенні</w:t>
      </w:r>
      <w:r>
        <w:rPr>
          <w:b/>
          <w:color w:val="000000"/>
          <w:sz w:val="28"/>
          <w:szCs w:val="28"/>
        </w:rPr>
        <w:t xml:space="preserve"> </w:t>
      </w:r>
      <w:r w:rsidRPr="00F05F4E">
        <w:rPr>
          <w:b/>
          <w:color w:val="000000"/>
          <w:sz w:val="28"/>
          <w:szCs w:val="28"/>
          <w:lang w:val="uk-UA"/>
        </w:rPr>
        <w:t xml:space="preserve">(товщина кінцівки), </w:t>
      </w:r>
      <w:r w:rsidRPr="00F05F4E">
        <w:rPr>
          <w:b/>
          <w:sz w:val="28"/>
          <w:szCs w:val="28"/>
          <w:lang w:val="uk-UA"/>
        </w:rPr>
        <w:t>(М</w:t>
      </w:r>
      <w:r w:rsidRPr="00F05F4E">
        <w:rPr>
          <w:b/>
          <w:color w:val="4D5156"/>
          <w:sz w:val="28"/>
          <w:szCs w:val="28"/>
          <w:shd w:val="clear" w:color="auto" w:fill="FFFFFF"/>
          <w:lang w:val="uk-UA"/>
        </w:rPr>
        <w:t>±</w:t>
      </w:r>
      <w:r w:rsidRPr="00F05F4E">
        <w:rPr>
          <w:b/>
          <w:sz w:val="28"/>
          <w:szCs w:val="28"/>
          <w:lang w:val="en-US"/>
        </w:rPr>
        <w:t>m</w:t>
      </w:r>
      <w:r w:rsidRPr="00F05F4E">
        <w:rPr>
          <w:b/>
          <w:sz w:val="28"/>
          <w:szCs w:val="28"/>
          <w:lang w:val="uk-UA"/>
        </w:rPr>
        <w:t xml:space="preserve">, </w:t>
      </w:r>
      <w:r w:rsidRPr="00F05F4E">
        <w:rPr>
          <w:b/>
          <w:sz w:val="28"/>
          <w:szCs w:val="28"/>
          <w:lang w:val="en-US"/>
        </w:rPr>
        <w:t>n</w:t>
      </w:r>
      <w:r w:rsidRPr="00F05F4E">
        <w:rPr>
          <w:b/>
          <w:sz w:val="28"/>
          <w:szCs w:val="28"/>
          <w:lang w:val="uk-UA"/>
        </w:rPr>
        <w:t>=5)</w:t>
      </w:r>
    </w:p>
    <w:tbl>
      <w:tblPr>
        <w:tblW w:w="93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50"/>
        <w:gridCol w:w="990"/>
        <w:gridCol w:w="810"/>
        <w:gridCol w:w="810"/>
        <w:gridCol w:w="900"/>
        <w:gridCol w:w="990"/>
        <w:gridCol w:w="810"/>
        <w:gridCol w:w="810"/>
        <w:gridCol w:w="795"/>
        <w:gridCol w:w="597"/>
      </w:tblGrid>
      <w:tr w:rsidR="00F05F4E" w:rsidRPr="00A50810" w14:paraId="43C233E3" w14:textId="77777777" w:rsidTr="00A50810">
        <w:trPr>
          <w:trHeight w:val="779"/>
        </w:trPr>
        <w:tc>
          <w:tcPr>
            <w:tcW w:w="450" w:type="dxa"/>
            <w:shd w:val="clear" w:color="auto" w:fill="auto"/>
            <w:vAlign w:val="bottom"/>
          </w:tcPr>
          <w:p w14:paraId="2C42136A" w14:textId="77777777" w:rsidR="00F05F4E" w:rsidRPr="00A50810" w:rsidRDefault="00F05F4E" w:rsidP="00A50810">
            <w:pPr>
              <w:widowControl w:val="0"/>
              <w:autoSpaceDE w:val="0"/>
              <w:autoSpaceDN w:val="0"/>
              <w:adjustRightInd w:val="0"/>
              <w:jc w:val="center"/>
              <w:rPr>
                <w:sz w:val="22"/>
                <w:szCs w:val="22"/>
              </w:rPr>
            </w:pPr>
            <w:r w:rsidRPr="00A50810">
              <w:rPr>
                <w:sz w:val="22"/>
                <w:szCs w:val="22"/>
              </w:rPr>
              <w:t>№ гр</w:t>
            </w:r>
          </w:p>
        </w:tc>
        <w:tc>
          <w:tcPr>
            <w:tcW w:w="1350" w:type="dxa"/>
            <w:shd w:val="clear" w:color="auto" w:fill="auto"/>
            <w:vAlign w:val="bottom"/>
          </w:tcPr>
          <w:p w14:paraId="7DEF81C7" w14:textId="77777777" w:rsidR="00F05F4E" w:rsidRPr="00A50810" w:rsidRDefault="00F05F4E" w:rsidP="00A50810">
            <w:pPr>
              <w:widowControl w:val="0"/>
              <w:autoSpaceDE w:val="0"/>
              <w:autoSpaceDN w:val="0"/>
              <w:adjustRightInd w:val="0"/>
              <w:jc w:val="center"/>
              <w:rPr>
                <w:sz w:val="22"/>
                <w:szCs w:val="22"/>
              </w:rPr>
            </w:pPr>
            <w:r w:rsidRPr="00A50810">
              <w:rPr>
                <w:sz w:val="22"/>
                <w:szCs w:val="22"/>
              </w:rPr>
              <w:t>Сполука</w:t>
            </w:r>
          </w:p>
        </w:tc>
        <w:tc>
          <w:tcPr>
            <w:tcW w:w="7512" w:type="dxa"/>
            <w:gridSpan w:val="9"/>
            <w:shd w:val="clear" w:color="auto" w:fill="auto"/>
            <w:vAlign w:val="bottom"/>
          </w:tcPr>
          <w:p w14:paraId="685298F1" w14:textId="77777777" w:rsidR="00F05F4E" w:rsidRPr="00A50810" w:rsidRDefault="00F05F4E" w:rsidP="00A50810">
            <w:pPr>
              <w:widowControl w:val="0"/>
              <w:autoSpaceDE w:val="0"/>
              <w:autoSpaceDN w:val="0"/>
              <w:adjustRightInd w:val="0"/>
              <w:jc w:val="center"/>
              <w:rPr>
                <w:b/>
                <w:sz w:val="22"/>
                <w:szCs w:val="22"/>
              </w:rPr>
            </w:pPr>
            <w:r w:rsidRPr="00A50810">
              <w:rPr>
                <w:b/>
                <w:sz w:val="22"/>
                <w:szCs w:val="22"/>
              </w:rPr>
              <w:t>Час спостереження (</w:t>
            </w:r>
            <w:r w:rsidRPr="00A50810">
              <w:rPr>
                <w:b/>
                <w:sz w:val="22"/>
                <w:szCs w:val="22"/>
                <w:lang w:val="uk-UA"/>
              </w:rPr>
              <w:t>доба</w:t>
            </w:r>
            <w:r w:rsidRPr="00A50810">
              <w:rPr>
                <w:b/>
                <w:sz w:val="22"/>
                <w:szCs w:val="22"/>
              </w:rPr>
              <w:t>)</w:t>
            </w:r>
          </w:p>
        </w:tc>
      </w:tr>
      <w:tr w:rsidR="00A50810" w:rsidRPr="00A50810" w14:paraId="4BBDFD8B" w14:textId="77777777" w:rsidTr="00DE015D">
        <w:trPr>
          <w:trHeight w:val="1074"/>
        </w:trPr>
        <w:tc>
          <w:tcPr>
            <w:tcW w:w="450" w:type="dxa"/>
            <w:shd w:val="clear" w:color="auto" w:fill="auto"/>
            <w:vAlign w:val="bottom"/>
          </w:tcPr>
          <w:p w14:paraId="0C4D593E" w14:textId="77777777" w:rsidR="00F05F4E" w:rsidRPr="00A50810" w:rsidRDefault="00F05F4E" w:rsidP="00A50810">
            <w:pPr>
              <w:widowControl w:val="0"/>
              <w:autoSpaceDE w:val="0"/>
              <w:autoSpaceDN w:val="0"/>
              <w:adjustRightInd w:val="0"/>
              <w:jc w:val="center"/>
              <w:rPr>
                <w:sz w:val="22"/>
                <w:szCs w:val="22"/>
              </w:rPr>
            </w:pPr>
          </w:p>
        </w:tc>
        <w:tc>
          <w:tcPr>
            <w:tcW w:w="1350" w:type="dxa"/>
            <w:shd w:val="clear" w:color="auto" w:fill="auto"/>
            <w:vAlign w:val="bottom"/>
          </w:tcPr>
          <w:p w14:paraId="0E6567D5" w14:textId="77777777" w:rsidR="00F05F4E" w:rsidRPr="00A50810" w:rsidRDefault="00F05F4E" w:rsidP="00A50810">
            <w:pPr>
              <w:widowControl w:val="0"/>
              <w:autoSpaceDE w:val="0"/>
              <w:autoSpaceDN w:val="0"/>
              <w:adjustRightInd w:val="0"/>
              <w:jc w:val="center"/>
              <w:rPr>
                <w:sz w:val="22"/>
                <w:szCs w:val="22"/>
              </w:rPr>
            </w:pPr>
          </w:p>
        </w:tc>
        <w:tc>
          <w:tcPr>
            <w:tcW w:w="990" w:type="dxa"/>
            <w:shd w:val="clear" w:color="auto" w:fill="auto"/>
            <w:vAlign w:val="bottom"/>
          </w:tcPr>
          <w:p w14:paraId="634D14B8" w14:textId="49CB1786" w:rsidR="00F05F4E" w:rsidRPr="00A50810" w:rsidRDefault="00F05F4E" w:rsidP="00A50810">
            <w:pPr>
              <w:widowControl w:val="0"/>
              <w:autoSpaceDE w:val="0"/>
              <w:autoSpaceDN w:val="0"/>
              <w:adjustRightInd w:val="0"/>
              <w:jc w:val="center"/>
              <w:rPr>
                <w:sz w:val="22"/>
                <w:szCs w:val="22"/>
                <w:lang w:val="uk-UA"/>
              </w:rPr>
            </w:pPr>
            <w:r w:rsidRPr="00A50810">
              <w:rPr>
                <w:sz w:val="22"/>
                <w:szCs w:val="22"/>
                <w:lang w:val="uk-UA"/>
              </w:rPr>
              <w:t>після введе</w:t>
            </w:r>
            <w:r w:rsidR="00A50810">
              <w:rPr>
                <w:sz w:val="22"/>
                <w:szCs w:val="22"/>
                <w:lang w:val="uk-UA"/>
              </w:rPr>
              <w:t>-</w:t>
            </w:r>
            <w:r w:rsidRPr="00A50810">
              <w:rPr>
                <w:sz w:val="22"/>
                <w:szCs w:val="22"/>
                <w:lang w:val="uk-UA"/>
              </w:rPr>
              <w:t>ння</w:t>
            </w:r>
          </w:p>
        </w:tc>
        <w:tc>
          <w:tcPr>
            <w:tcW w:w="810" w:type="dxa"/>
            <w:shd w:val="clear" w:color="auto" w:fill="auto"/>
            <w:vAlign w:val="bottom"/>
          </w:tcPr>
          <w:p w14:paraId="1F20B57B" w14:textId="77777777" w:rsidR="00F05F4E" w:rsidRPr="00A50810" w:rsidRDefault="00F05F4E" w:rsidP="00A50810">
            <w:pPr>
              <w:widowControl w:val="0"/>
              <w:autoSpaceDE w:val="0"/>
              <w:autoSpaceDN w:val="0"/>
              <w:adjustRightInd w:val="0"/>
              <w:jc w:val="center"/>
              <w:rPr>
                <w:sz w:val="22"/>
                <w:szCs w:val="22"/>
                <w:lang w:val="uk-UA"/>
              </w:rPr>
            </w:pPr>
            <w:r w:rsidRPr="00A50810">
              <w:rPr>
                <w:sz w:val="22"/>
                <w:szCs w:val="22"/>
                <w:lang w:val="uk-UA"/>
              </w:rPr>
              <w:t>1</w:t>
            </w:r>
          </w:p>
        </w:tc>
        <w:tc>
          <w:tcPr>
            <w:tcW w:w="810" w:type="dxa"/>
            <w:shd w:val="clear" w:color="auto" w:fill="auto"/>
            <w:vAlign w:val="bottom"/>
          </w:tcPr>
          <w:p w14:paraId="44DEF2F8" w14:textId="77777777" w:rsidR="00F05F4E" w:rsidRPr="00A50810" w:rsidRDefault="00F05F4E" w:rsidP="00A50810">
            <w:pPr>
              <w:widowControl w:val="0"/>
              <w:autoSpaceDE w:val="0"/>
              <w:autoSpaceDN w:val="0"/>
              <w:adjustRightInd w:val="0"/>
              <w:jc w:val="center"/>
              <w:rPr>
                <w:sz w:val="22"/>
                <w:szCs w:val="22"/>
                <w:lang w:val="uk-UA"/>
              </w:rPr>
            </w:pPr>
            <w:r w:rsidRPr="00A50810">
              <w:rPr>
                <w:sz w:val="22"/>
                <w:szCs w:val="22"/>
                <w:lang w:val="uk-UA"/>
              </w:rPr>
              <w:t>2</w:t>
            </w:r>
          </w:p>
        </w:tc>
        <w:tc>
          <w:tcPr>
            <w:tcW w:w="900" w:type="dxa"/>
            <w:shd w:val="clear" w:color="auto" w:fill="auto"/>
            <w:vAlign w:val="bottom"/>
          </w:tcPr>
          <w:p w14:paraId="381BF248" w14:textId="77777777" w:rsidR="00F05F4E" w:rsidRPr="00A50810" w:rsidRDefault="00F05F4E" w:rsidP="00A50810">
            <w:pPr>
              <w:widowControl w:val="0"/>
              <w:autoSpaceDE w:val="0"/>
              <w:autoSpaceDN w:val="0"/>
              <w:adjustRightInd w:val="0"/>
              <w:jc w:val="center"/>
              <w:rPr>
                <w:sz w:val="22"/>
                <w:szCs w:val="22"/>
                <w:lang w:val="uk-UA"/>
              </w:rPr>
            </w:pPr>
            <w:r w:rsidRPr="00A50810">
              <w:rPr>
                <w:sz w:val="22"/>
                <w:szCs w:val="22"/>
                <w:lang w:val="uk-UA"/>
              </w:rPr>
              <w:t>3</w:t>
            </w:r>
          </w:p>
        </w:tc>
        <w:tc>
          <w:tcPr>
            <w:tcW w:w="990" w:type="dxa"/>
            <w:shd w:val="clear" w:color="auto" w:fill="auto"/>
            <w:vAlign w:val="bottom"/>
          </w:tcPr>
          <w:p w14:paraId="232A73FF" w14:textId="77777777" w:rsidR="00F05F4E" w:rsidRPr="00A50810" w:rsidRDefault="00F05F4E" w:rsidP="00A50810">
            <w:pPr>
              <w:widowControl w:val="0"/>
              <w:autoSpaceDE w:val="0"/>
              <w:autoSpaceDN w:val="0"/>
              <w:adjustRightInd w:val="0"/>
              <w:jc w:val="center"/>
              <w:rPr>
                <w:sz w:val="22"/>
                <w:szCs w:val="22"/>
                <w:lang w:val="uk-UA"/>
              </w:rPr>
            </w:pPr>
            <w:r w:rsidRPr="00A50810">
              <w:rPr>
                <w:sz w:val="22"/>
                <w:szCs w:val="22"/>
                <w:lang w:val="uk-UA"/>
              </w:rPr>
              <w:t>4</w:t>
            </w:r>
          </w:p>
        </w:tc>
        <w:tc>
          <w:tcPr>
            <w:tcW w:w="810" w:type="dxa"/>
            <w:shd w:val="clear" w:color="auto" w:fill="auto"/>
            <w:vAlign w:val="bottom"/>
          </w:tcPr>
          <w:p w14:paraId="2EB0CE30" w14:textId="77777777" w:rsidR="00F05F4E" w:rsidRPr="00A50810" w:rsidRDefault="00F05F4E" w:rsidP="00A50810">
            <w:pPr>
              <w:widowControl w:val="0"/>
              <w:autoSpaceDE w:val="0"/>
              <w:autoSpaceDN w:val="0"/>
              <w:adjustRightInd w:val="0"/>
              <w:jc w:val="center"/>
              <w:rPr>
                <w:sz w:val="22"/>
                <w:szCs w:val="22"/>
                <w:lang w:val="uk-UA"/>
              </w:rPr>
            </w:pPr>
            <w:r w:rsidRPr="00A50810">
              <w:rPr>
                <w:sz w:val="22"/>
                <w:szCs w:val="22"/>
                <w:lang w:val="uk-UA"/>
              </w:rPr>
              <w:t>5</w:t>
            </w:r>
          </w:p>
        </w:tc>
        <w:tc>
          <w:tcPr>
            <w:tcW w:w="810" w:type="dxa"/>
            <w:shd w:val="clear" w:color="auto" w:fill="auto"/>
            <w:vAlign w:val="bottom"/>
          </w:tcPr>
          <w:p w14:paraId="4FE2C507" w14:textId="77777777" w:rsidR="00F05F4E" w:rsidRPr="00A50810" w:rsidRDefault="00F05F4E" w:rsidP="00A50810">
            <w:pPr>
              <w:widowControl w:val="0"/>
              <w:autoSpaceDE w:val="0"/>
              <w:autoSpaceDN w:val="0"/>
              <w:adjustRightInd w:val="0"/>
              <w:jc w:val="center"/>
              <w:rPr>
                <w:sz w:val="22"/>
                <w:szCs w:val="22"/>
                <w:lang w:val="uk-UA"/>
              </w:rPr>
            </w:pPr>
            <w:r w:rsidRPr="00A50810">
              <w:rPr>
                <w:sz w:val="22"/>
                <w:szCs w:val="22"/>
                <w:lang w:val="uk-UA"/>
              </w:rPr>
              <w:t>6</w:t>
            </w:r>
          </w:p>
        </w:tc>
        <w:tc>
          <w:tcPr>
            <w:tcW w:w="795" w:type="dxa"/>
            <w:shd w:val="clear" w:color="auto" w:fill="auto"/>
            <w:vAlign w:val="bottom"/>
          </w:tcPr>
          <w:p w14:paraId="49AD8338" w14:textId="77777777" w:rsidR="00F05F4E" w:rsidRPr="00A50810" w:rsidRDefault="00F05F4E" w:rsidP="00A50810">
            <w:pPr>
              <w:widowControl w:val="0"/>
              <w:autoSpaceDE w:val="0"/>
              <w:autoSpaceDN w:val="0"/>
              <w:adjustRightInd w:val="0"/>
              <w:jc w:val="center"/>
              <w:rPr>
                <w:sz w:val="22"/>
                <w:szCs w:val="22"/>
                <w:lang w:val="uk-UA"/>
              </w:rPr>
            </w:pPr>
            <w:r w:rsidRPr="00A50810">
              <w:rPr>
                <w:sz w:val="22"/>
                <w:szCs w:val="22"/>
                <w:lang w:val="uk-UA"/>
              </w:rPr>
              <w:t>7</w:t>
            </w:r>
          </w:p>
        </w:tc>
        <w:tc>
          <w:tcPr>
            <w:tcW w:w="597" w:type="dxa"/>
            <w:shd w:val="clear" w:color="auto" w:fill="auto"/>
            <w:vAlign w:val="bottom"/>
          </w:tcPr>
          <w:p w14:paraId="208FE7D8" w14:textId="77777777" w:rsidR="00F05F4E" w:rsidRPr="00A50810" w:rsidRDefault="00F05F4E" w:rsidP="00A50810">
            <w:pPr>
              <w:widowControl w:val="0"/>
              <w:autoSpaceDE w:val="0"/>
              <w:autoSpaceDN w:val="0"/>
              <w:adjustRightInd w:val="0"/>
              <w:jc w:val="center"/>
              <w:rPr>
                <w:sz w:val="22"/>
                <w:szCs w:val="22"/>
                <w:lang w:val="uk-UA"/>
              </w:rPr>
            </w:pPr>
            <w:r w:rsidRPr="00A50810">
              <w:rPr>
                <w:sz w:val="22"/>
                <w:szCs w:val="22"/>
                <w:lang w:val="uk-UA"/>
              </w:rPr>
              <w:t>8</w:t>
            </w:r>
          </w:p>
        </w:tc>
      </w:tr>
      <w:tr w:rsidR="00F05F4E" w:rsidRPr="00A50810" w14:paraId="76802001" w14:textId="77777777" w:rsidTr="00A50810">
        <w:trPr>
          <w:trHeight w:val="378"/>
        </w:trPr>
        <w:tc>
          <w:tcPr>
            <w:tcW w:w="9312" w:type="dxa"/>
            <w:gridSpan w:val="11"/>
            <w:shd w:val="clear" w:color="auto" w:fill="auto"/>
            <w:vAlign w:val="bottom"/>
          </w:tcPr>
          <w:p w14:paraId="52B4A08D" w14:textId="77777777" w:rsidR="00F05F4E" w:rsidRPr="00A50810" w:rsidRDefault="00F05F4E" w:rsidP="00A50810">
            <w:pPr>
              <w:widowControl w:val="0"/>
              <w:autoSpaceDE w:val="0"/>
              <w:autoSpaceDN w:val="0"/>
              <w:adjustRightInd w:val="0"/>
              <w:ind w:firstLine="1330"/>
              <w:jc w:val="center"/>
              <w:rPr>
                <w:sz w:val="22"/>
                <w:szCs w:val="22"/>
                <w:lang w:val="uk-UA"/>
              </w:rPr>
            </w:pPr>
            <w:r w:rsidRPr="00A50810">
              <w:rPr>
                <w:sz w:val="22"/>
                <w:szCs w:val="22"/>
                <w:lang w:val="uk-UA"/>
              </w:rPr>
              <w:t>Приріст товщини, у % до вихідних значень</w:t>
            </w:r>
          </w:p>
        </w:tc>
      </w:tr>
      <w:tr w:rsidR="00A50810" w:rsidRPr="00A50810" w14:paraId="11ECF1D3" w14:textId="77777777" w:rsidTr="00DE015D">
        <w:trPr>
          <w:trHeight w:val="464"/>
        </w:trPr>
        <w:tc>
          <w:tcPr>
            <w:tcW w:w="450" w:type="dxa"/>
            <w:shd w:val="clear" w:color="auto" w:fill="auto"/>
            <w:vAlign w:val="bottom"/>
          </w:tcPr>
          <w:p w14:paraId="2C58BDF3"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1</w:t>
            </w:r>
          </w:p>
        </w:tc>
        <w:tc>
          <w:tcPr>
            <w:tcW w:w="1350" w:type="dxa"/>
            <w:shd w:val="clear" w:color="auto" w:fill="auto"/>
            <w:vAlign w:val="bottom"/>
          </w:tcPr>
          <w:p w14:paraId="637BE938"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Контроль</w:t>
            </w:r>
          </w:p>
        </w:tc>
        <w:tc>
          <w:tcPr>
            <w:tcW w:w="990" w:type="dxa"/>
            <w:shd w:val="clear" w:color="auto" w:fill="auto"/>
            <w:vAlign w:val="bottom"/>
          </w:tcPr>
          <w:p w14:paraId="23AEF04C" w14:textId="77777777" w:rsidR="00F05F4E" w:rsidRPr="00A50810" w:rsidRDefault="00F05F4E" w:rsidP="00A50810">
            <w:pPr>
              <w:rPr>
                <w:color w:val="000000"/>
                <w:sz w:val="22"/>
                <w:szCs w:val="22"/>
              </w:rPr>
            </w:pPr>
            <w:r w:rsidRPr="00A50810">
              <w:rPr>
                <w:color w:val="000000"/>
                <w:sz w:val="22"/>
                <w:szCs w:val="22"/>
              </w:rPr>
              <w:t>57,1 ± 3,4</w:t>
            </w:r>
          </w:p>
        </w:tc>
        <w:tc>
          <w:tcPr>
            <w:tcW w:w="810" w:type="dxa"/>
            <w:shd w:val="clear" w:color="auto" w:fill="auto"/>
            <w:vAlign w:val="bottom"/>
          </w:tcPr>
          <w:p w14:paraId="09455D1E" w14:textId="77777777" w:rsidR="00F05F4E" w:rsidRPr="00A50810" w:rsidRDefault="00F05F4E" w:rsidP="00A50810">
            <w:pPr>
              <w:rPr>
                <w:color w:val="000000"/>
                <w:sz w:val="22"/>
                <w:szCs w:val="22"/>
              </w:rPr>
            </w:pPr>
            <w:r w:rsidRPr="00A50810">
              <w:rPr>
                <w:color w:val="000000"/>
                <w:sz w:val="22"/>
                <w:szCs w:val="22"/>
              </w:rPr>
              <w:t>58,2 ± 3,9</w:t>
            </w:r>
          </w:p>
        </w:tc>
        <w:tc>
          <w:tcPr>
            <w:tcW w:w="810" w:type="dxa"/>
            <w:shd w:val="clear" w:color="auto" w:fill="auto"/>
            <w:vAlign w:val="bottom"/>
          </w:tcPr>
          <w:p w14:paraId="451202A4" w14:textId="77777777" w:rsidR="00F05F4E" w:rsidRPr="00A50810" w:rsidRDefault="00F05F4E" w:rsidP="00A50810">
            <w:pPr>
              <w:rPr>
                <w:color w:val="000000"/>
                <w:sz w:val="22"/>
                <w:szCs w:val="22"/>
              </w:rPr>
            </w:pPr>
            <w:r w:rsidRPr="00A50810">
              <w:rPr>
                <w:color w:val="000000"/>
                <w:sz w:val="22"/>
                <w:szCs w:val="22"/>
              </w:rPr>
              <w:t>48,0 ± 8,3</w:t>
            </w:r>
          </w:p>
        </w:tc>
        <w:tc>
          <w:tcPr>
            <w:tcW w:w="900" w:type="dxa"/>
            <w:shd w:val="clear" w:color="auto" w:fill="auto"/>
            <w:vAlign w:val="bottom"/>
          </w:tcPr>
          <w:p w14:paraId="5EFC3700" w14:textId="77777777" w:rsidR="00F05F4E" w:rsidRPr="00A50810" w:rsidRDefault="00F05F4E" w:rsidP="00A50810">
            <w:pPr>
              <w:rPr>
                <w:color w:val="000000"/>
                <w:sz w:val="22"/>
                <w:szCs w:val="22"/>
                <w:lang w:val="uk-UA"/>
              </w:rPr>
            </w:pPr>
            <w:r w:rsidRPr="00A50810">
              <w:rPr>
                <w:color w:val="000000"/>
                <w:sz w:val="22"/>
                <w:szCs w:val="22"/>
                <w:lang w:val="uk-UA"/>
              </w:rPr>
              <w:t>51</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lang w:val="uk-UA"/>
              </w:rPr>
              <w:t>4,7</w:t>
            </w:r>
          </w:p>
        </w:tc>
        <w:tc>
          <w:tcPr>
            <w:tcW w:w="990" w:type="dxa"/>
            <w:shd w:val="clear" w:color="auto" w:fill="auto"/>
            <w:vAlign w:val="bottom"/>
          </w:tcPr>
          <w:p w14:paraId="0CD6EAA6" w14:textId="77777777" w:rsidR="00F05F4E" w:rsidRPr="00A50810" w:rsidRDefault="00F05F4E" w:rsidP="00A50810">
            <w:pPr>
              <w:widowControl w:val="0"/>
              <w:autoSpaceDE w:val="0"/>
              <w:autoSpaceDN w:val="0"/>
              <w:adjustRightInd w:val="0"/>
              <w:rPr>
                <w:sz w:val="22"/>
                <w:szCs w:val="22"/>
                <w:lang w:val="en-US"/>
              </w:rPr>
            </w:pPr>
            <w:r w:rsidRPr="00A50810">
              <w:rPr>
                <w:color w:val="000000"/>
                <w:sz w:val="22"/>
                <w:szCs w:val="22"/>
              </w:rPr>
              <w:t>43 ± 4,0</w:t>
            </w:r>
          </w:p>
        </w:tc>
        <w:tc>
          <w:tcPr>
            <w:tcW w:w="810" w:type="dxa"/>
            <w:shd w:val="clear" w:color="auto" w:fill="auto"/>
            <w:vAlign w:val="bottom"/>
          </w:tcPr>
          <w:p w14:paraId="2BF48825" w14:textId="77777777" w:rsidR="00F05F4E" w:rsidRPr="00A50810" w:rsidRDefault="00F05F4E" w:rsidP="00A50810">
            <w:pPr>
              <w:widowControl w:val="0"/>
              <w:autoSpaceDE w:val="0"/>
              <w:autoSpaceDN w:val="0"/>
              <w:adjustRightInd w:val="0"/>
              <w:rPr>
                <w:sz w:val="22"/>
                <w:szCs w:val="22"/>
                <w:lang w:val="en-US"/>
              </w:rPr>
            </w:pPr>
            <w:r w:rsidRPr="00A50810">
              <w:rPr>
                <w:color w:val="000000"/>
                <w:sz w:val="22"/>
                <w:szCs w:val="22"/>
              </w:rPr>
              <w:t>39 ± 3,8</w:t>
            </w:r>
          </w:p>
        </w:tc>
        <w:tc>
          <w:tcPr>
            <w:tcW w:w="810" w:type="dxa"/>
            <w:shd w:val="clear" w:color="auto" w:fill="auto"/>
            <w:vAlign w:val="bottom"/>
          </w:tcPr>
          <w:p w14:paraId="5F17C2DD" w14:textId="77777777" w:rsidR="00F05F4E" w:rsidRPr="00A50810" w:rsidRDefault="00F05F4E" w:rsidP="00A50810">
            <w:pPr>
              <w:widowControl w:val="0"/>
              <w:autoSpaceDE w:val="0"/>
              <w:autoSpaceDN w:val="0"/>
              <w:adjustRightInd w:val="0"/>
              <w:rPr>
                <w:sz w:val="22"/>
                <w:szCs w:val="22"/>
                <w:lang w:val="en-US"/>
              </w:rPr>
            </w:pPr>
            <w:r w:rsidRPr="00A50810">
              <w:rPr>
                <w:color w:val="000000"/>
                <w:sz w:val="22"/>
                <w:szCs w:val="22"/>
              </w:rPr>
              <w:t>26 ± 6,8</w:t>
            </w:r>
          </w:p>
        </w:tc>
        <w:tc>
          <w:tcPr>
            <w:tcW w:w="795" w:type="dxa"/>
            <w:shd w:val="clear" w:color="auto" w:fill="auto"/>
            <w:vAlign w:val="bottom"/>
          </w:tcPr>
          <w:p w14:paraId="2D9B86CE" w14:textId="77777777" w:rsidR="00F05F4E" w:rsidRPr="00A50810" w:rsidRDefault="00F05F4E" w:rsidP="00A50810">
            <w:pPr>
              <w:widowControl w:val="0"/>
              <w:autoSpaceDE w:val="0"/>
              <w:autoSpaceDN w:val="0"/>
              <w:adjustRightInd w:val="0"/>
              <w:rPr>
                <w:sz w:val="22"/>
                <w:szCs w:val="22"/>
                <w:lang w:val="en-US"/>
              </w:rPr>
            </w:pPr>
            <w:r w:rsidRPr="00A50810">
              <w:rPr>
                <w:color w:val="000000"/>
                <w:sz w:val="22"/>
                <w:szCs w:val="22"/>
              </w:rPr>
              <w:t>22 ± 5,4</w:t>
            </w:r>
          </w:p>
        </w:tc>
        <w:tc>
          <w:tcPr>
            <w:tcW w:w="597" w:type="dxa"/>
            <w:shd w:val="clear" w:color="auto" w:fill="auto"/>
            <w:vAlign w:val="bottom"/>
          </w:tcPr>
          <w:p w14:paraId="428F639A" w14:textId="77777777" w:rsidR="00F05F4E" w:rsidRPr="00A50810" w:rsidRDefault="00F05F4E" w:rsidP="00A50810">
            <w:pPr>
              <w:widowControl w:val="0"/>
              <w:autoSpaceDE w:val="0"/>
              <w:autoSpaceDN w:val="0"/>
              <w:adjustRightInd w:val="0"/>
              <w:rPr>
                <w:sz w:val="22"/>
                <w:szCs w:val="22"/>
                <w:lang w:val="uk-UA"/>
              </w:rPr>
            </w:pPr>
            <w:r w:rsidRPr="00A50810">
              <w:rPr>
                <w:color w:val="000000"/>
                <w:sz w:val="22"/>
                <w:szCs w:val="22"/>
                <w:lang w:val="uk-UA"/>
              </w:rPr>
              <w:t>15</w:t>
            </w:r>
            <w:r w:rsidRPr="00A50810">
              <w:rPr>
                <w:color w:val="000000"/>
                <w:sz w:val="22"/>
                <w:szCs w:val="22"/>
              </w:rPr>
              <w:t xml:space="preserve"> ± </w:t>
            </w:r>
            <w:r w:rsidRPr="00A50810">
              <w:rPr>
                <w:color w:val="000000"/>
                <w:sz w:val="22"/>
                <w:szCs w:val="22"/>
                <w:lang w:val="uk-UA"/>
              </w:rPr>
              <w:t>2,0</w:t>
            </w:r>
          </w:p>
        </w:tc>
      </w:tr>
      <w:tr w:rsidR="00A50810" w:rsidRPr="00A50810" w14:paraId="4A82DC38" w14:textId="77777777" w:rsidTr="00DE015D">
        <w:trPr>
          <w:trHeight w:val="340"/>
        </w:trPr>
        <w:tc>
          <w:tcPr>
            <w:tcW w:w="450" w:type="dxa"/>
            <w:shd w:val="clear" w:color="auto" w:fill="auto"/>
            <w:vAlign w:val="bottom"/>
          </w:tcPr>
          <w:p w14:paraId="4A05EE30"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2</w:t>
            </w:r>
          </w:p>
        </w:tc>
        <w:tc>
          <w:tcPr>
            <w:tcW w:w="1350" w:type="dxa"/>
            <w:shd w:val="clear" w:color="auto" w:fill="auto"/>
            <w:vAlign w:val="bottom"/>
          </w:tcPr>
          <w:p w14:paraId="608F8CAA"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Ібупрофен</w:t>
            </w:r>
          </w:p>
        </w:tc>
        <w:tc>
          <w:tcPr>
            <w:tcW w:w="990" w:type="dxa"/>
            <w:shd w:val="clear" w:color="auto" w:fill="auto"/>
            <w:vAlign w:val="bottom"/>
          </w:tcPr>
          <w:p w14:paraId="7E143ECE" w14:textId="77777777" w:rsidR="00F05F4E" w:rsidRPr="00A50810" w:rsidRDefault="00F05F4E" w:rsidP="00A50810">
            <w:pPr>
              <w:rPr>
                <w:color w:val="000000"/>
                <w:sz w:val="22"/>
                <w:szCs w:val="22"/>
                <w:lang w:val="uk-UA"/>
              </w:rPr>
            </w:pPr>
            <w:r w:rsidRPr="00A50810">
              <w:rPr>
                <w:color w:val="000000"/>
                <w:sz w:val="22"/>
                <w:szCs w:val="22"/>
                <w:lang w:val="uk-UA"/>
              </w:rPr>
              <w:t>43,1</w:t>
            </w:r>
            <w:r w:rsidRPr="00A50810">
              <w:rPr>
                <w:color w:val="000000"/>
                <w:sz w:val="22"/>
                <w:szCs w:val="22"/>
              </w:rPr>
              <w:t xml:space="preserve"> ±</w:t>
            </w:r>
            <w:r w:rsidRPr="00A50810">
              <w:rPr>
                <w:color w:val="000000"/>
                <w:sz w:val="22"/>
                <w:szCs w:val="22"/>
                <w:lang w:val="uk-UA"/>
              </w:rPr>
              <w:t xml:space="preserve"> 4,0</w:t>
            </w:r>
          </w:p>
        </w:tc>
        <w:tc>
          <w:tcPr>
            <w:tcW w:w="810" w:type="dxa"/>
            <w:shd w:val="clear" w:color="auto" w:fill="auto"/>
            <w:vAlign w:val="bottom"/>
          </w:tcPr>
          <w:p w14:paraId="69BA5800" w14:textId="77777777" w:rsidR="00F05F4E" w:rsidRPr="00A50810" w:rsidRDefault="00F05F4E" w:rsidP="00A50810">
            <w:pPr>
              <w:rPr>
                <w:color w:val="000000"/>
                <w:sz w:val="22"/>
                <w:szCs w:val="22"/>
                <w:lang w:val="uk-UA"/>
              </w:rPr>
            </w:pPr>
            <w:r w:rsidRPr="00A50810">
              <w:rPr>
                <w:color w:val="000000"/>
                <w:sz w:val="22"/>
                <w:szCs w:val="22"/>
                <w:lang w:val="uk-UA"/>
              </w:rPr>
              <w:t>52,9</w:t>
            </w:r>
            <w:r w:rsidRPr="00A50810">
              <w:rPr>
                <w:color w:val="000000"/>
                <w:sz w:val="22"/>
                <w:szCs w:val="22"/>
              </w:rPr>
              <w:t xml:space="preserve"> ±</w:t>
            </w:r>
            <w:r w:rsidRPr="00A50810">
              <w:rPr>
                <w:color w:val="000000"/>
                <w:sz w:val="22"/>
                <w:szCs w:val="22"/>
                <w:lang w:val="uk-UA"/>
              </w:rPr>
              <w:t xml:space="preserve"> 5,6</w:t>
            </w:r>
          </w:p>
        </w:tc>
        <w:tc>
          <w:tcPr>
            <w:tcW w:w="810" w:type="dxa"/>
            <w:shd w:val="clear" w:color="auto" w:fill="auto"/>
            <w:vAlign w:val="bottom"/>
          </w:tcPr>
          <w:p w14:paraId="2CCED8E2" w14:textId="77777777" w:rsidR="00F05F4E" w:rsidRPr="00A50810" w:rsidRDefault="00F05F4E" w:rsidP="00A50810">
            <w:pPr>
              <w:rPr>
                <w:color w:val="000000"/>
                <w:sz w:val="22"/>
                <w:szCs w:val="22"/>
                <w:lang w:val="uk-UA"/>
              </w:rPr>
            </w:pPr>
            <w:r w:rsidRPr="00A50810">
              <w:rPr>
                <w:color w:val="000000"/>
                <w:sz w:val="22"/>
                <w:szCs w:val="22"/>
                <w:lang w:val="uk-UA"/>
              </w:rPr>
              <w:t>29</w:t>
            </w:r>
            <w:r w:rsidRPr="00A50810">
              <w:rPr>
                <w:color w:val="000000"/>
                <w:sz w:val="22"/>
                <w:szCs w:val="22"/>
              </w:rPr>
              <w:t xml:space="preserve"> ±</w:t>
            </w:r>
            <w:r w:rsidRPr="00A50810">
              <w:rPr>
                <w:color w:val="000000"/>
                <w:sz w:val="22"/>
                <w:szCs w:val="22"/>
                <w:lang w:val="uk-UA"/>
              </w:rPr>
              <w:t xml:space="preserve"> 5,3</w:t>
            </w:r>
          </w:p>
        </w:tc>
        <w:tc>
          <w:tcPr>
            <w:tcW w:w="900" w:type="dxa"/>
            <w:shd w:val="clear" w:color="auto" w:fill="auto"/>
            <w:vAlign w:val="bottom"/>
          </w:tcPr>
          <w:p w14:paraId="16632AA0" w14:textId="77777777" w:rsidR="00F05F4E" w:rsidRPr="00A50810" w:rsidRDefault="00F05F4E" w:rsidP="00A50810">
            <w:pPr>
              <w:rPr>
                <w:color w:val="000000"/>
                <w:sz w:val="22"/>
                <w:szCs w:val="22"/>
                <w:lang w:val="uk-UA"/>
              </w:rPr>
            </w:pPr>
            <w:r w:rsidRPr="00A50810">
              <w:rPr>
                <w:color w:val="000000"/>
                <w:sz w:val="22"/>
                <w:szCs w:val="22"/>
                <w:lang w:val="uk-UA"/>
              </w:rPr>
              <w:t>24</w:t>
            </w:r>
            <w:r w:rsidRPr="00A50810">
              <w:rPr>
                <w:color w:val="000000"/>
                <w:sz w:val="22"/>
                <w:szCs w:val="22"/>
              </w:rPr>
              <w:t xml:space="preserve"> ±</w:t>
            </w:r>
            <w:r w:rsidRPr="00A50810">
              <w:rPr>
                <w:color w:val="000000"/>
                <w:sz w:val="22"/>
                <w:szCs w:val="22"/>
                <w:lang w:val="uk-UA"/>
              </w:rPr>
              <w:t xml:space="preserve"> 4,2</w:t>
            </w:r>
          </w:p>
        </w:tc>
        <w:tc>
          <w:tcPr>
            <w:tcW w:w="990" w:type="dxa"/>
            <w:shd w:val="clear" w:color="auto" w:fill="auto"/>
            <w:vAlign w:val="bottom"/>
          </w:tcPr>
          <w:p w14:paraId="7566EB67" w14:textId="77777777" w:rsidR="00F05F4E" w:rsidRPr="00A50810" w:rsidRDefault="00F05F4E" w:rsidP="00A50810">
            <w:pPr>
              <w:widowControl w:val="0"/>
              <w:autoSpaceDE w:val="0"/>
              <w:autoSpaceDN w:val="0"/>
              <w:adjustRightInd w:val="0"/>
              <w:rPr>
                <w:color w:val="000000"/>
                <w:sz w:val="22"/>
                <w:szCs w:val="22"/>
                <w:lang w:val="uk-UA"/>
              </w:rPr>
            </w:pPr>
            <w:r w:rsidRPr="00A50810">
              <w:rPr>
                <w:color w:val="000000"/>
                <w:sz w:val="22"/>
                <w:szCs w:val="22"/>
                <w:lang w:val="uk-UA"/>
              </w:rPr>
              <w:t>17</w:t>
            </w:r>
            <w:r w:rsidRPr="00A50810">
              <w:rPr>
                <w:color w:val="000000"/>
                <w:sz w:val="22"/>
                <w:szCs w:val="22"/>
              </w:rPr>
              <w:t xml:space="preserve"> ±</w:t>
            </w:r>
            <w:r w:rsidRPr="00A50810">
              <w:rPr>
                <w:color w:val="000000"/>
                <w:sz w:val="22"/>
                <w:szCs w:val="22"/>
                <w:lang w:val="uk-UA"/>
              </w:rPr>
              <w:t xml:space="preserve"> 3,9</w:t>
            </w:r>
          </w:p>
        </w:tc>
        <w:tc>
          <w:tcPr>
            <w:tcW w:w="810" w:type="dxa"/>
            <w:shd w:val="clear" w:color="auto" w:fill="auto"/>
            <w:vAlign w:val="bottom"/>
          </w:tcPr>
          <w:p w14:paraId="0861BFDD" w14:textId="77777777" w:rsidR="00F05F4E" w:rsidRPr="00A50810" w:rsidRDefault="00F05F4E" w:rsidP="00A50810">
            <w:pPr>
              <w:widowControl w:val="0"/>
              <w:autoSpaceDE w:val="0"/>
              <w:autoSpaceDN w:val="0"/>
              <w:adjustRightInd w:val="0"/>
              <w:rPr>
                <w:color w:val="000000"/>
                <w:sz w:val="22"/>
                <w:szCs w:val="22"/>
                <w:lang w:val="uk-UA"/>
              </w:rPr>
            </w:pPr>
            <w:r w:rsidRPr="00A50810">
              <w:rPr>
                <w:color w:val="000000"/>
                <w:sz w:val="22"/>
                <w:szCs w:val="22"/>
                <w:lang w:val="uk-UA"/>
              </w:rPr>
              <w:t xml:space="preserve">16 </w:t>
            </w:r>
            <w:r w:rsidRPr="00A50810">
              <w:rPr>
                <w:color w:val="000000"/>
                <w:sz w:val="22"/>
                <w:szCs w:val="22"/>
              </w:rPr>
              <w:t xml:space="preserve"> ±</w:t>
            </w:r>
            <w:r w:rsidRPr="00A50810">
              <w:rPr>
                <w:color w:val="000000"/>
                <w:sz w:val="22"/>
                <w:szCs w:val="22"/>
                <w:lang w:val="uk-UA"/>
              </w:rPr>
              <w:t xml:space="preserve"> 5,7</w:t>
            </w:r>
          </w:p>
        </w:tc>
        <w:tc>
          <w:tcPr>
            <w:tcW w:w="810" w:type="dxa"/>
            <w:shd w:val="clear" w:color="auto" w:fill="auto"/>
            <w:vAlign w:val="bottom"/>
          </w:tcPr>
          <w:p w14:paraId="290A3510" w14:textId="77777777" w:rsidR="00F05F4E" w:rsidRPr="00A50810" w:rsidRDefault="00F05F4E" w:rsidP="00A50810">
            <w:pPr>
              <w:widowControl w:val="0"/>
              <w:autoSpaceDE w:val="0"/>
              <w:autoSpaceDN w:val="0"/>
              <w:adjustRightInd w:val="0"/>
              <w:rPr>
                <w:color w:val="000000"/>
                <w:sz w:val="22"/>
                <w:szCs w:val="22"/>
                <w:lang w:val="uk-UA"/>
              </w:rPr>
            </w:pPr>
            <w:r w:rsidRPr="00A50810">
              <w:rPr>
                <w:color w:val="000000"/>
                <w:sz w:val="22"/>
                <w:szCs w:val="22"/>
                <w:lang w:val="uk-UA"/>
              </w:rPr>
              <w:t xml:space="preserve">7 </w:t>
            </w:r>
            <w:r w:rsidRPr="00A50810">
              <w:rPr>
                <w:color w:val="000000"/>
                <w:sz w:val="22"/>
                <w:szCs w:val="22"/>
              </w:rPr>
              <w:t xml:space="preserve"> ±</w:t>
            </w:r>
            <w:r w:rsidRPr="00A50810">
              <w:rPr>
                <w:color w:val="000000"/>
                <w:sz w:val="22"/>
                <w:szCs w:val="22"/>
                <w:lang w:val="uk-UA"/>
              </w:rPr>
              <w:t xml:space="preserve"> 3,1</w:t>
            </w:r>
          </w:p>
        </w:tc>
        <w:tc>
          <w:tcPr>
            <w:tcW w:w="795" w:type="dxa"/>
            <w:shd w:val="clear" w:color="auto" w:fill="auto"/>
            <w:vAlign w:val="bottom"/>
          </w:tcPr>
          <w:p w14:paraId="07A26E00" w14:textId="77777777" w:rsidR="00F05F4E" w:rsidRPr="00A50810" w:rsidRDefault="00F05F4E" w:rsidP="00A50810">
            <w:pPr>
              <w:widowControl w:val="0"/>
              <w:autoSpaceDE w:val="0"/>
              <w:autoSpaceDN w:val="0"/>
              <w:adjustRightInd w:val="0"/>
              <w:rPr>
                <w:color w:val="000000"/>
                <w:sz w:val="22"/>
                <w:szCs w:val="22"/>
                <w:lang w:val="uk-UA"/>
              </w:rPr>
            </w:pPr>
            <w:r w:rsidRPr="00A50810">
              <w:rPr>
                <w:color w:val="000000"/>
                <w:sz w:val="22"/>
                <w:szCs w:val="22"/>
                <w:lang w:val="uk-UA"/>
              </w:rPr>
              <w:t>4</w:t>
            </w:r>
            <w:r w:rsidRPr="00A50810">
              <w:rPr>
                <w:color w:val="000000"/>
                <w:sz w:val="22"/>
                <w:szCs w:val="22"/>
              </w:rPr>
              <w:t xml:space="preserve"> ±</w:t>
            </w:r>
            <w:r w:rsidRPr="00A50810">
              <w:rPr>
                <w:color w:val="000000"/>
                <w:sz w:val="22"/>
                <w:szCs w:val="22"/>
                <w:lang w:val="uk-UA"/>
              </w:rPr>
              <w:t xml:space="preserve"> 3,8</w:t>
            </w:r>
          </w:p>
        </w:tc>
        <w:tc>
          <w:tcPr>
            <w:tcW w:w="597" w:type="dxa"/>
            <w:shd w:val="clear" w:color="auto" w:fill="auto"/>
            <w:vAlign w:val="bottom"/>
          </w:tcPr>
          <w:p w14:paraId="7D62988A" w14:textId="77777777" w:rsidR="00F05F4E" w:rsidRPr="00A50810" w:rsidRDefault="00F05F4E" w:rsidP="00A50810">
            <w:pPr>
              <w:widowControl w:val="0"/>
              <w:autoSpaceDE w:val="0"/>
              <w:autoSpaceDN w:val="0"/>
              <w:adjustRightInd w:val="0"/>
              <w:rPr>
                <w:color w:val="000000"/>
                <w:sz w:val="22"/>
                <w:szCs w:val="22"/>
                <w:lang w:val="uk-UA"/>
              </w:rPr>
            </w:pPr>
          </w:p>
        </w:tc>
      </w:tr>
      <w:tr w:rsidR="00A50810" w:rsidRPr="00A50810" w14:paraId="60A5AC4A" w14:textId="77777777" w:rsidTr="00DE015D">
        <w:trPr>
          <w:trHeight w:val="251"/>
        </w:trPr>
        <w:tc>
          <w:tcPr>
            <w:tcW w:w="450" w:type="dxa"/>
            <w:shd w:val="clear" w:color="auto" w:fill="auto"/>
            <w:vAlign w:val="bottom"/>
          </w:tcPr>
          <w:p w14:paraId="19473460"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3</w:t>
            </w:r>
          </w:p>
        </w:tc>
        <w:tc>
          <w:tcPr>
            <w:tcW w:w="1350" w:type="dxa"/>
            <w:shd w:val="clear" w:color="auto" w:fill="auto"/>
            <w:vAlign w:val="bottom"/>
          </w:tcPr>
          <w:p w14:paraId="5BB10D28"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К І</w:t>
            </w:r>
          </w:p>
        </w:tc>
        <w:tc>
          <w:tcPr>
            <w:tcW w:w="990" w:type="dxa"/>
            <w:shd w:val="clear" w:color="auto" w:fill="auto"/>
            <w:vAlign w:val="bottom"/>
          </w:tcPr>
          <w:p w14:paraId="32529FE8" w14:textId="77777777" w:rsidR="00F05F4E" w:rsidRPr="00A50810" w:rsidRDefault="00F05F4E" w:rsidP="00A50810">
            <w:pPr>
              <w:rPr>
                <w:color w:val="000000"/>
                <w:sz w:val="22"/>
                <w:szCs w:val="22"/>
                <w:highlight w:val="lightGray"/>
                <w:lang w:val="en-US"/>
              </w:rPr>
            </w:pPr>
            <w:r w:rsidRPr="00A50810">
              <w:rPr>
                <w:color w:val="000000"/>
                <w:sz w:val="22"/>
                <w:szCs w:val="22"/>
              </w:rPr>
              <w:t>57 ± 3,4</w:t>
            </w:r>
            <w:r w:rsidRPr="00A50810">
              <w:rPr>
                <w:color w:val="000000"/>
                <w:sz w:val="22"/>
                <w:szCs w:val="22"/>
                <w:lang w:val="en-US"/>
              </w:rPr>
              <w:t>**</w:t>
            </w:r>
          </w:p>
        </w:tc>
        <w:tc>
          <w:tcPr>
            <w:tcW w:w="810" w:type="dxa"/>
            <w:shd w:val="clear" w:color="auto" w:fill="auto"/>
            <w:vAlign w:val="bottom"/>
          </w:tcPr>
          <w:p w14:paraId="26CD6219" w14:textId="77777777" w:rsidR="00F05F4E" w:rsidRPr="00A50810" w:rsidRDefault="00F05F4E" w:rsidP="00A50810">
            <w:pPr>
              <w:rPr>
                <w:color w:val="000000"/>
                <w:sz w:val="22"/>
                <w:szCs w:val="22"/>
                <w:highlight w:val="lightGray"/>
                <w:lang w:val="en-US"/>
              </w:rPr>
            </w:pPr>
            <w:r w:rsidRPr="00A50810">
              <w:rPr>
                <w:color w:val="000000"/>
                <w:sz w:val="22"/>
                <w:szCs w:val="22"/>
              </w:rPr>
              <w:t>28 ± 2,6</w:t>
            </w:r>
            <w:r w:rsidRPr="00A50810">
              <w:rPr>
                <w:color w:val="000000"/>
                <w:sz w:val="22"/>
                <w:szCs w:val="22"/>
                <w:lang w:val="en-US"/>
              </w:rPr>
              <w:t>**</w:t>
            </w:r>
          </w:p>
        </w:tc>
        <w:tc>
          <w:tcPr>
            <w:tcW w:w="810" w:type="dxa"/>
            <w:shd w:val="clear" w:color="auto" w:fill="auto"/>
            <w:vAlign w:val="bottom"/>
          </w:tcPr>
          <w:p w14:paraId="30391241" w14:textId="77777777" w:rsidR="00F05F4E" w:rsidRPr="00A50810" w:rsidRDefault="00F05F4E" w:rsidP="00A50810">
            <w:pPr>
              <w:widowControl w:val="0"/>
              <w:autoSpaceDE w:val="0"/>
              <w:autoSpaceDN w:val="0"/>
              <w:adjustRightInd w:val="0"/>
              <w:rPr>
                <w:sz w:val="22"/>
                <w:szCs w:val="22"/>
                <w:highlight w:val="lightGray"/>
                <w:lang w:val="en-US"/>
              </w:rPr>
            </w:pPr>
            <w:r w:rsidRPr="00A50810">
              <w:rPr>
                <w:color w:val="000000"/>
                <w:sz w:val="22"/>
                <w:szCs w:val="22"/>
              </w:rPr>
              <w:t>2</w:t>
            </w:r>
            <w:r w:rsidRPr="00A50810">
              <w:rPr>
                <w:color w:val="000000"/>
                <w:sz w:val="22"/>
                <w:szCs w:val="22"/>
                <w:lang w:val="uk-UA"/>
              </w:rPr>
              <w:t>5,6</w:t>
            </w:r>
            <w:r w:rsidRPr="00A50810">
              <w:rPr>
                <w:color w:val="000000"/>
                <w:sz w:val="22"/>
                <w:szCs w:val="22"/>
              </w:rPr>
              <w:t xml:space="preserve"> ± 5,4</w:t>
            </w:r>
          </w:p>
        </w:tc>
        <w:tc>
          <w:tcPr>
            <w:tcW w:w="900" w:type="dxa"/>
            <w:shd w:val="clear" w:color="auto" w:fill="auto"/>
            <w:vAlign w:val="bottom"/>
          </w:tcPr>
          <w:p w14:paraId="187E11CC" w14:textId="77777777" w:rsidR="00F05F4E" w:rsidRPr="00A50810" w:rsidRDefault="00F05F4E" w:rsidP="00A50810">
            <w:pPr>
              <w:widowControl w:val="0"/>
              <w:autoSpaceDE w:val="0"/>
              <w:autoSpaceDN w:val="0"/>
              <w:adjustRightInd w:val="0"/>
              <w:rPr>
                <w:sz w:val="22"/>
                <w:szCs w:val="22"/>
                <w:lang w:val="en-US"/>
              </w:rPr>
            </w:pPr>
            <w:r w:rsidRPr="00A50810">
              <w:rPr>
                <w:color w:val="000000"/>
                <w:sz w:val="22"/>
                <w:szCs w:val="22"/>
                <w:lang w:val="uk-UA"/>
              </w:rPr>
              <w:t>2</w:t>
            </w:r>
            <w:r w:rsidRPr="00A50810">
              <w:rPr>
                <w:color w:val="000000"/>
                <w:sz w:val="22"/>
                <w:szCs w:val="22"/>
              </w:rPr>
              <w:t>4,4 ± 5</w:t>
            </w:r>
          </w:p>
        </w:tc>
        <w:tc>
          <w:tcPr>
            <w:tcW w:w="990" w:type="dxa"/>
            <w:shd w:val="clear" w:color="auto" w:fill="auto"/>
            <w:vAlign w:val="bottom"/>
          </w:tcPr>
          <w:p w14:paraId="377D6BD8" w14:textId="77777777" w:rsidR="00F05F4E" w:rsidRPr="00A50810" w:rsidRDefault="00F05F4E" w:rsidP="00A50810">
            <w:pPr>
              <w:widowControl w:val="0"/>
              <w:autoSpaceDE w:val="0"/>
              <w:autoSpaceDN w:val="0"/>
              <w:adjustRightInd w:val="0"/>
              <w:rPr>
                <w:sz w:val="22"/>
                <w:szCs w:val="22"/>
              </w:rPr>
            </w:pPr>
            <w:r w:rsidRPr="00A50810">
              <w:rPr>
                <w:color w:val="000000"/>
                <w:sz w:val="22"/>
                <w:szCs w:val="22"/>
              </w:rPr>
              <w:t>19,3 ± 5,0</w:t>
            </w:r>
          </w:p>
        </w:tc>
        <w:tc>
          <w:tcPr>
            <w:tcW w:w="810" w:type="dxa"/>
            <w:shd w:val="clear" w:color="auto" w:fill="auto"/>
            <w:vAlign w:val="bottom"/>
          </w:tcPr>
          <w:p w14:paraId="619F01CD" w14:textId="77777777" w:rsidR="00F05F4E" w:rsidRPr="00A50810" w:rsidRDefault="00F05F4E" w:rsidP="00A50810">
            <w:pPr>
              <w:widowControl w:val="0"/>
              <w:autoSpaceDE w:val="0"/>
              <w:autoSpaceDN w:val="0"/>
              <w:adjustRightInd w:val="0"/>
              <w:rPr>
                <w:sz w:val="22"/>
                <w:szCs w:val="22"/>
              </w:rPr>
            </w:pPr>
            <w:r w:rsidRPr="00A50810">
              <w:rPr>
                <w:color w:val="000000"/>
                <w:sz w:val="22"/>
                <w:szCs w:val="22"/>
              </w:rPr>
              <w:t>11,7 ± 3,3</w:t>
            </w:r>
          </w:p>
        </w:tc>
        <w:tc>
          <w:tcPr>
            <w:tcW w:w="810" w:type="dxa"/>
            <w:shd w:val="clear" w:color="auto" w:fill="auto"/>
            <w:vAlign w:val="bottom"/>
          </w:tcPr>
          <w:p w14:paraId="2C15087D" w14:textId="77777777" w:rsidR="00F05F4E" w:rsidRPr="00A50810" w:rsidRDefault="00F05F4E" w:rsidP="00A50810">
            <w:pPr>
              <w:widowControl w:val="0"/>
              <w:autoSpaceDE w:val="0"/>
              <w:autoSpaceDN w:val="0"/>
              <w:adjustRightInd w:val="0"/>
              <w:rPr>
                <w:sz w:val="22"/>
                <w:szCs w:val="22"/>
                <w:lang w:val="en-US"/>
              </w:rPr>
            </w:pPr>
            <w:r w:rsidRPr="00A50810">
              <w:rPr>
                <w:color w:val="000000"/>
                <w:sz w:val="22"/>
                <w:szCs w:val="22"/>
              </w:rPr>
              <w:t>2,7 ± 1,8</w:t>
            </w:r>
            <w:r w:rsidRPr="00A50810">
              <w:rPr>
                <w:color w:val="000000"/>
                <w:sz w:val="22"/>
                <w:szCs w:val="22"/>
                <w:lang w:val="en-US"/>
              </w:rPr>
              <w:t>**</w:t>
            </w:r>
          </w:p>
        </w:tc>
        <w:tc>
          <w:tcPr>
            <w:tcW w:w="795" w:type="dxa"/>
            <w:shd w:val="clear" w:color="auto" w:fill="auto"/>
            <w:vAlign w:val="bottom"/>
          </w:tcPr>
          <w:p w14:paraId="3DF37648"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w:t>
            </w:r>
          </w:p>
        </w:tc>
        <w:tc>
          <w:tcPr>
            <w:tcW w:w="597" w:type="dxa"/>
            <w:shd w:val="clear" w:color="auto" w:fill="auto"/>
            <w:vAlign w:val="bottom"/>
          </w:tcPr>
          <w:p w14:paraId="400D7DF3" w14:textId="77777777" w:rsidR="00F05F4E" w:rsidRPr="00A50810" w:rsidRDefault="00F05F4E" w:rsidP="00A50810">
            <w:pPr>
              <w:widowControl w:val="0"/>
              <w:autoSpaceDE w:val="0"/>
              <w:autoSpaceDN w:val="0"/>
              <w:adjustRightInd w:val="0"/>
              <w:rPr>
                <w:color w:val="000000"/>
                <w:sz w:val="22"/>
                <w:szCs w:val="22"/>
                <w:lang w:val="uk-UA"/>
              </w:rPr>
            </w:pPr>
            <w:r w:rsidRPr="00A50810">
              <w:rPr>
                <w:color w:val="000000"/>
                <w:sz w:val="22"/>
                <w:szCs w:val="22"/>
                <w:lang w:val="uk-UA"/>
              </w:rPr>
              <w:t>-</w:t>
            </w:r>
          </w:p>
        </w:tc>
      </w:tr>
      <w:tr w:rsidR="00A50810" w:rsidRPr="00A50810" w14:paraId="2E070944" w14:textId="77777777" w:rsidTr="00DE015D">
        <w:trPr>
          <w:trHeight w:val="265"/>
        </w:trPr>
        <w:tc>
          <w:tcPr>
            <w:tcW w:w="450" w:type="dxa"/>
            <w:shd w:val="clear" w:color="auto" w:fill="auto"/>
            <w:vAlign w:val="bottom"/>
          </w:tcPr>
          <w:p w14:paraId="4ECF8AFE"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4</w:t>
            </w:r>
          </w:p>
        </w:tc>
        <w:tc>
          <w:tcPr>
            <w:tcW w:w="1350" w:type="dxa"/>
            <w:shd w:val="clear" w:color="auto" w:fill="auto"/>
            <w:vAlign w:val="bottom"/>
          </w:tcPr>
          <w:p w14:paraId="0B1412A3"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К ІІ</w:t>
            </w:r>
          </w:p>
        </w:tc>
        <w:tc>
          <w:tcPr>
            <w:tcW w:w="990" w:type="dxa"/>
            <w:shd w:val="clear" w:color="auto" w:fill="auto"/>
            <w:vAlign w:val="bottom"/>
          </w:tcPr>
          <w:p w14:paraId="1C1B9AF5" w14:textId="77777777" w:rsidR="00F05F4E" w:rsidRPr="00A50810" w:rsidRDefault="00F05F4E" w:rsidP="00A50810">
            <w:pPr>
              <w:rPr>
                <w:color w:val="000000"/>
                <w:sz w:val="22"/>
                <w:szCs w:val="22"/>
                <w:highlight w:val="lightGray"/>
                <w:lang w:val="en-US"/>
              </w:rPr>
            </w:pPr>
            <w:r w:rsidRPr="00A50810">
              <w:rPr>
                <w:color w:val="000000"/>
                <w:sz w:val="22"/>
                <w:szCs w:val="22"/>
              </w:rPr>
              <w:t>57 ± 3,4</w:t>
            </w:r>
          </w:p>
        </w:tc>
        <w:tc>
          <w:tcPr>
            <w:tcW w:w="810" w:type="dxa"/>
            <w:shd w:val="clear" w:color="auto" w:fill="auto"/>
            <w:vAlign w:val="bottom"/>
          </w:tcPr>
          <w:p w14:paraId="6A147521" w14:textId="77777777" w:rsidR="00F05F4E" w:rsidRPr="00A50810" w:rsidRDefault="00F05F4E" w:rsidP="00A50810">
            <w:pPr>
              <w:rPr>
                <w:color w:val="000000"/>
                <w:sz w:val="22"/>
                <w:szCs w:val="22"/>
                <w:highlight w:val="lightGray"/>
              </w:rPr>
            </w:pPr>
            <w:r w:rsidRPr="00A50810">
              <w:rPr>
                <w:color w:val="000000"/>
                <w:sz w:val="22"/>
                <w:szCs w:val="22"/>
              </w:rPr>
              <w:t>9 ± 4,6</w:t>
            </w:r>
          </w:p>
        </w:tc>
        <w:tc>
          <w:tcPr>
            <w:tcW w:w="810" w:type="dxa"/>
            <w:shd w:val="clear" w:color="auto" w:fill="auto"/>
            <w:vAlign w:val="bottom"/>
          </w:tcPr>
          <w:p w14:paraId="2DDE61CF" w14:textId="77777777" w:rsidR="00F05F4E" w:rsidRPr="00A50810" w:rsidRDefault="00F05F4E" w:rsidP="00A50810">
            <w:pPr>
              <w:rPr>
                <w:color w:val="000000"/>
                <w:sz w:val="22"/>
                <w:szCs w:val="22"/>
                <w:highlight w:val="lightGray"/>
                <w:lang w:val="uk-UA"/>
              </w:rPr>
            </w:pPr>
            <w:r w:rsidRPr="00A50810">
              <w:rPr>
                <w:color w:val="000000"/>
                <w:sz w:val="22"/>
                <w:szCs w:val="22"/>
              </w:rPr>
              <w:t>9 ± 4,</w:t>
            </w:r>
            <w:r w:rsidRPr="00A50810">
              <w:rPr>
                <w:color w:val="000000"/>
                <w:sz w:val="22"/>
                <w:szCs w:val="22"/>
                <w:lang w:val="uk-UA"/>
              </w:rPr>
              <w:t>9</w:t>
            </w:r>
          </w:p>
        </w:tc>
        <w:tc>
          <w:tcPr>
            <w:tcW w:w="900" w:type="dxa"/>
            <w:shd w:val="clear" w:color="auto" w:fill="auto"/>
            <w:vAlign w:val="bottom"/>
          </w:tcPr>
          <w:p w14:paraId="475B0E7A" w14:textId="77777777" w:rsidR="00F05F4E" w:rsidRPr="00A50810" w:rsidRDefault="00F05F4E" w:rsidP="00A50810">
            <w:pPr>
              <w:widowControl w:val="0"/>
              <w:autoSpaceDE w:val="0"/>
              <w:autoSpaceDN w:val="0"/>
              <w:adjustRightInd w:val="0"/>
              <w:rPr>
                <w:sz w:val="22"/>
                <w:szCs w:val="22"/>
              </w:rPr>
            </w:pPr>
            <w:r w:rsidRPr="00A50810">
              <w:rPr>
                <w:color w:val="000000"/>
                <w:sz w:val="22"/>
                <w:szCs w:val="22"/>
                <w:lang w:val="uk-UA"/>
              </w:rPr>
              <w:t>7</w:t>
            </w:r>
            <w:r w:rsidRPr="00A50810">
              <w:rPr>
                <w:color w:val="000000"/>
                <w:sz w:val="22"/>
                <w:szCs w:val="22"/>
              </w:rPr>
              <w:t xml:space="preserve"> ± 4,2</w:t>
            </w:r>
          </w:p>
        </w:tc>
        <w:tc>
          <w:tcPr>
            <w:tcW w:w="990" w:type="dxa"/>
            <w:shd w:val="clear" w:color="auto" w:fill="auto"/>
            <w:vAlign w:val="bottom"/>
          </w:tcPr>
          <w:p w14:paraId="0B4734B7" w14:textId="77777777" w:rsidR="00F05F4E" w:rsidRPr="00A50810" w:rsidRDefault="00F05F4E" w:rsidP="00A50810">
            <w:pPr>
              <w:widowControl w:val="0"/>
              <w:autoSpaceDE w:val="0"/>
              <w:autoSpaceDN w:val="0"/>
              <w:adjustRightInd w:val="0"/>
              <w:rPr>
                <w:sz w:val="22"/>
                <w:szCs w:val="22"/>
                <w:lang w:val="en-US"/>
              </w:rPr>
            </w:pPr>
            <w:r w:rsidRPr="00A50810">
              <w:rPr>
                <w:color w:val="000000"/>
                <w:sz w:val="22"/>
                <w:szCs w:val="22"/>
              </w:rPr>
              <w:t>13 ± 5,0</w:t>
            </w:r>
            <w:r w:rsidRPr="00A50810">
              <w:rPr>
                <w:color w:val="000000"/>
                <w:sz w:val="22"/>
                <w:szCs w:val="22"/>
                <w:lang w:val="en-US"/>
              </w:rPr>
              <w:t>**</w:t>
            </w:r>
          </w:p>
        </w:tc>
        <w:tc>
          <w:tcPr>
            <w:tcW w:w="810" w:type="dxa"/>
            <w:shd w:val="clear" w:color="auto" w:fill="auto"/>
            <w:vAlign w:val="bottom"/>
          </w:tcPr>
          <w:p w14:paraId="45BE1484" w14:textId="77777777" w:rsidR="00F05F4E" w:rsidRPr="00A50810" w:rsidRDefault="00F05F4E" w:rsidP="00A50810">
            <w:pPr>
              <w:widowControl w:val="0"/>
              <w:autoSpaceDE w:val="0"/>
              <w:autoSpaceDN w:val="0"/>
              <w:adjustRightInd w:val="0"/>
              <w:rPr>
                <w:sz w:val="22"/>
                <w:szCs w:val="22"/>
              </w:rPr>
            </w:pPr>
            <w:r w:rsidRPr="00A50810">
              <w:rPr>
                <w:color w:val="000000"/>
                <w:sz w:val="22"/>
                <w:szCs w:val="22"/>
              </w:rPr>
              <w:t>11 ± 4,0</w:t>
            </w:r>
          </w:p>
        </w:tc>
        <w:tc>
          <w:tcPr>
            <w:tcW w:w="810" w:type="dxa"/>
            <w:shd w:val="clear" w:color="auto" w:fill="auto"/>
            <w:vAlign w:val="bottom"/>
          </w:tcPr>
          <w:p w14:paraId="2825E319" w14:textId="77777777" w:rsidR="00F05F4E" w:rsidRPr="00A50810" w:rsidRDefault="00F05F4E" w:rsidP="00A50810">
            <w:pPr>
              <w:widowControl w:val="0"/>
              <w:autoSpaceDE w:val="0"/>
              <w:autoSpaceDN w:val="0"/>
              <w:adjustRightInd w:val="0"/>
              <w:rPr>
                <w:sz w:val="22"/>
                <w:szCs w:val="22"/>
                <w:lang w:val="en-US"/>
              </w:rPr>
            </w:pPr>
            <w:r w:rsidRPr="00A50810">
              <w:rPr>
                <w:color w:val="000000"/>
                <w:sz w:val="22"/>
                <w:szCs w:val="22"/>
              </w:rPr>
              <w:t>9 ± 5,0</w:t>
            </w:r>
            <w:r w:rsidRPr="00A50810">
              <w:rPr>
                <w:color w:val="000000"/>
                <w:sz w:val="22"/>
                <w:szCs w:val="22"/>
                <w:lang w:val="en-US"/>
              </w:rPr>
              <w:t>**</w:t>
            </w:r>
          </w:p>
        </w:tc>
        <w:tc>
          <w:tcPr>
            <w:tcW w:w="795" w:type="dxa"/>
            <w:shd w:val="clear" w:color="auto" w:fill="auto"/>
            <w:vAlign w:val="bottom"/>
          </w:tcPr>
          <w:p w14:paraId="5085F313" w14:textId="77777777" w:rsidR="00F05F4E" w:rsidRPr="00A50810" w:rsidRDefault="00F05F4E" w:rsidP="00A50810">
            <w:pPr>
              <w:widowControl w:val="0"/>
              <w:autoSpaceDE w:val="0"/>
              <w:autoSpaceDN w:val="0"/>
              <w:adjustRightInd w:val="0"/>
              <w:rPr>
                <w:sz w:val="22"/>
                <w:szCs w:val="22"/>
              </w:rPr>
            </w:pPr>
            <w:r w:rsidRPr="00A50810">
              <w:rPr>
                <w:color w:val="000000"/>
                <w:sz w:val="22"/>
                <w:szCs w:val="22"/>
                <w:lang w:val="uk-UA"/>
              </w:rPr>
              <w:t>1</w:t>
            </w:r>
            <w:r w:rsidRPr="00A50810">
              <w:rPr>
                <w:color w:val="000000"/>
                <w:sz w:val="22"/>
                <w:szCs w:val="22"/>
              </w:rPr>
              <w:t xml:space="preserve"> ± 2,0</w:t>
            </w:r>
          </w:p>
        </w:tc>
        <w:tc>
          <w:tcPr>
            <w:tcW w:w="597" w:type="dxa"/>
            <w:shd w:val="clear" w:color="auto" w:fill="auto"/>
            <w:vAlign w:val="bottom"/>
          </w:tcPr>
          <w:p w14:paraId="3DCAF432"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w:t>
            </w:r>
          </w:p>
        </w:tc>
      </w:tr>
      <w:tr w:rsidR="00A50810" w:rsidRPr="00A50810" w14:paraId="40AFC94A" w14:textId="77777777" w:rsidTr="00DE015D">
        <w:trPr>
          <w:trHeight w:val="262"/>
        </w:trPr>
        <w:tc>
          <w:tcPr>
            <w:tcW w:w="450" w:type="dxa"/>
            <w:shd w:val="clear" w:color="auto" w:fill="auto"/>
            <w:vAlign w:val="bottom"/>
          </w:tcPr>
          <w:p w14:paraId="5EFB4D25"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5</w:t>
            </w:r>
          </w:p>
        </w:tc>
        <w:tc>
          <w:tcPr>
            <w:tcW w:w="1350" w:type="dxa"/>
            <w:shd w:val="clear" w:color="auto" w:fill="auto"/>
            <w:vAlign w:val="bottom"/>
          </w:tcPr>
          <w:p w14:paraId="69CB5D4E"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БА</w:t>
            </w:r>
          </w:p>
        </w:tc>
        <w:tc>
          <w:tcPr>
            <w:tcW w:w="990" w:type="dxa"/>
            <w:shd w:val="clear" w:color="auto" w:fill="auto"/>
            <w:vAlign w:val="bottom"/>
          </w:tcPr>
          <w:p w14:paraId="39C76383" w14:textId="77777777" w:rsidR="00F05F4E" w:rsidRPr="00A50810" w:rsidRDefault="00F05F4E" w:rsidP="00A50810">
            <w:pPr>
              <w:rPr>
                <w:color w:val="000000"/>
                <w:sz w:val="22"/>
                <w:szCs w:val="22"/>
              </w:rPr>
            </w:pPr>
            <w:r w:rsidRPr="00A50810">
              <w:rPr>
                <w:color w:val="000000"/>
                <w:sz w:val="22"/>
                <w:szCs w:val="22"/>
              </w:rPr>
              <w:t>35 ± 7,0</w:t>
            </w:r>
          </w:p>
        </w:tc>
        <w:tc>
          <w:tcPr>
            <w:tcW w:w="810" w:type="dxa"/>
            <w:shd w:val="clear" w:color="auto" w:fill="auto"/>
            <w:vAlign w:val="bottom"/>
          </w:tcPr>
          <w:p w14:paraId="31415AD4" w14:textId="77777777" w:rsidR="00F05F4E" w:rsidRPr="00A50810" w:rsidRDefault="00F05F4E" w:rsidP="00A50810">
            <w:pPr>
              <w:rPr>
                <w:color w:val="000000"/>
                <w:sz w:val="22"/>
                <w:szCs w:val="22"/>
              </w:rPr>
            </w:pPr>
            <w:r w:rsidRPr="00A50810">
              <w:rPr>
                <w:color w:val="000000"/>
                <w:sz w:val="22"/>
                <w:szCs w:val="22"/>
                <w:lang w:val="uk-UA"/>
              </w:rPr>
              <w:t>32</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lang w:val="uk-UA"/>
              </w:rPr>
              <w:t>2</w:t>
            </w:r>
            <w:r w:rsidRPr="00A50810">
              <w:rPr>
                <w:color w:val="000000"/>
                <w:sz w:val="22"/>
                <w:szCs w:val="22"/>
              </w:rPr>
              <w:t>,0</w:t>
            </w:r>
          </w:p>
        </w:tc>
        <w:tc>
          <w:tcPr>
            <w:tcW w:w="810" w:type="dxa"/>
            <w:shd w:val="clear" w:color="auto" w:fill="auto"/>
            <w:vAlign w:val="bottom"/>
          </w:tcPr>
          <w:p w14:paraId="3346405F" w14:textId="77777777" w:rsidR="00F05F4E" w:rsidRPr="00A50810" w:rsidRDefault="00F05F4E" w:rsidP="00A50810">
            <w:pPr>
              <w:rPr>
                <w:color w:val="000000"/>
                <w:sz w:val="22"/>
                <w:szCs w:val="22"/>
              </w:rPr>
            </w:pPr>
            <w:r w:rsidRPr="00A50810">
              <w:rPr>
                <w:color w:val="000000"/>
                <w:sz w:val="22"/>
                <w:szCs w:val="22"/>
              </w:rPr>
              <w:t>25 ± 3,0</w:t>
            </w:r>
          </w:p>
        </w:tc>
        <w:tc>
          <w:tcPr>
            <w:tcW w:w="900" w:type="dxa"/>
            <w:shd w:val="clear" w:color="auto" w:fill="auto"/>
            <w:vAlign w:val="bottom"/>
          </w:tcPr>
          <w:p w14:paraId="29204FAF" w14:textId="77777777" w:rsidR="00F05F4E" w:rsidRPr="00A50810" w:rsidRDefault="00F05F4E" w:rsidP="00A50810">
            <w:pPr>
              <w:rPr>
                <w:color w:val="000000"/>
                <w:sz w:val="22"/>
                <w:szCs w:val="22"/>
              </w:rPr>
            </w:pPr>
            <w:r w:rsidRPr="00A50810">
              <w:rPr>
                <w:color w:val="000000"/>
                <w:sz w:val="22"/>
                <w:szCs w:val="22"/>
              </w:rPr>
              <w:t>23 ± 4,0</w:t>
            </w:r>
          </w:p>
        </w:tc>
        <w:tc>
          <w:tcPr>
            <w:tcW w:w="990" w:type="dxa"/>
            <w:shd w:val="clear" w:color="auto" w:fill="auto"/>
            <w:vAlign w:val="bottom"/>
          </w:tcPr>
          <w:p w14:paraId="579DB7E0" w14:textId="77777777" w:rsidR="00F05F4E" w:rsidRPr="00A50810" w:rsidRDefault="00F05F4E" w:rsidP="00A50810">
            <w:pPr>
              <w:rPr>
                <w:color w:val="000000"/>
                <w:sz w:val="22"/>
                <w:szCs w:val="22"/>
              </w:rPr>
            </w:pPr>
            <w:r w:rsidRPr="00A50810">
              <w:rPr>
                <w:color w:val="000000"/>
                <w:sz w:val="22"/>
                <w:szCs w:val="22"/>
              </w:rPr>
              <w:t>16 ± 3,0</w:t>
            </w:r>
          </w:p>
        </w:tc>
        <w:tc>
          <w:tcPr>
            <w:tcW w:w="810" w:type="dxa"/>
            <w:shd w:val="clear" w:color="auto" w:fill="auto"/>
            <w:vAlign w:val="bottom"/>
          </w:tcPr>
          <w:p w14:paraId="58A3FB45" w14:textId="77777777" w:rsidR="00F05F4E" w:rsidRPr="00A50810" w:rsidRDefault="00F05F4E" w:rsidP="00A50810">
            <w:pPr>
              <w:rPr>
                <w:color w:val="000000"/>
                <w:sz w:val="22"/>
                <w:szCs w:val="22"/>
              </w:rPr>
            </w:pPr>
            <w:r w:rsidRPr="00A50810">
              <w:rPr>
                <w:color w:val="000000"/>
                <w:sz w:val="22"/>
                <w:szCs w:val="22"/>
              </w:rPr>
              <w:t>12 ± 2,0</w:t>
            </w:r>
          </w:p>
        </w:tc>
        <w:tc>
          <w:tcPr>
            <w:tcW w:w="810" w:type="dxa"/>
            <w:shd w:val="clear" w:color="auto" w:fill="auto"/>
            <w:vAlign w:val="bottom"/>
          </w:tcPr>
          <w:p w14:paraId="25EB5950" w14:textId="77777777" w:rsidR="00F05F4E" w:rsidRPr="00A50810" w:rsidRDefault="00F05F4E" w:rsidP="00A50810">
            <w:pPr>
              <w:rPr>
                <w:color w:val="000000"/>
                <w:sz w:val="22"/>
                <w:szCs w:val="22"/>
              </w:rPr>
            </w:pPr>
            <w:r w:rsidRPr="00A50810">
              <w:rPr>
                <w:color w:val="000000"/>
                <w:sz w:val="22"/>
                <w:szCs w:val="22"/>
              </w:rPr>
              <w:t>6 ± 3,0</w:t>
            </w:r>
          </w:p>
        </w:tc>
        <w:tc>
          <w:tcPr>
            <w:tcW w:w="795" w:type="dxa"/>
            <w:shd w:val="clear" w:color="auto" w:fill="auto"/>
            <w:vAlign w:val="bottom"/>
          </w:tcPr>
          <w:p w14:paraId="50CE2455" w14:textId="77777777" w:rsidR="00F05F4E" w:rsidRPr="00A50810" w:rsidRDefault="00F05F4E" w:rsidP="00A50810">
            <w:pPr>
              <w:rPr>
                <w:color w:val="000000"/>
                <w:sz w:val="22"/>
                <w:szCs w:val="22"/>
              </w:rPr>
            </w:pPr>
            <w:r w:rsidRPr="00A50810">
              <w:rPr>
                <w:color w:val="000000"/>
                <w:sz w:val="22"/>
                <w:szCs w:val="22"/>
              </w:rPr>
              <w:t>1 ± 2,0</w:t>
            </w:r>
          </w:p>
        </w:tc>
        <w:tc>
          <w:tcPr>
            <w:tcW w:w="597" w:type="dxa"/>
            <w:shd w:val="clear" w:color="auto" w:fill="auto"/>
            <w:vAlign w:val="bottom"/>
          </w:tcPr>
          <w:p w14:paraId="0F54BBA8" w14:textId="77777777" w:rsidR="00F05F4E" w:rsidRPr="00A50810" w:rsidRDefault="00F05F4E" w:rsidP="00A50810">
            <w:pPr>
              <w:rPr>
                <w:color w:val="000000"/>
                <w:sz w:val="22"/>
                <w:szCs w:val="22"/>
                <w:lang w:val="uk-UA"/>
              </w:rPr>
            </w:pPr>
            <w:r w:rsidRPr="00A50810">
              <w:rPr>
                <w:color w:val="000000"/>
                <w:sz w:val="22"/>
                <w:szCs w:val="22"/>
                <w:lang w:val="uk-UA"/>
              </w:rPr>
              <w:t>-</w:t>
            </w:r>
          </w:p>
        </w:tc>
      </w:tr>
      <w:tr w:rsidR="00A50810" w:rsidRPr="00A50810" w14:paraId="775F3174" w14:textId="77777777" w:rsidTr="00DE015D">
        <w:trPr>
          <w:trHeight w:val="318"/>
        </w:trPr>
        <w:tc>
          <w:tcPr>
            <w:tcW w:w="450" w:type="dxa"/>
            <w:shd w:val="clear" w:color="auto" w:fill="auto"/>
            <w:vAlign w:val="bottom"/>
          </w:tcPr>
          <w:p w14:paraId="32C9EAA2"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6</w:t>
            </w:r>
          </w:p>
        </w:tc>
        <w:tc>
          <w:tcPr>
            <w:tcW w:w="1350" w:type="dxa"/>
            <w:shd w:val="clear" w:color="auto" w:fill="auto"/>
            <w:vAlign w:val="bottom"/>
          </w:tcPr>
          <w:p w14:paraId="073B1F06"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брБА</w:t>
            </w:r>
          </w:p>
        </w:tc>
        <w:tc>
          <w:tcPr>
            <w:tcW w:w="990" w:type="dxa"/>
            <w:shd w:val="clear" w:color="auto" w:fill="auto"/>
            <w:vAlign w:val="bottom"/>
          </w:tcPr>
          <w:p w14:paraId="0221D850" w14:textId="77777777" w:rsidR="00F05F4E" w:rsidRPr="00A50810" w:rsidRDefault="00F05F4E" w:rsidP="00A50810">
            <w:pPr>
              <w:rPr>
                <w:color w:val="000000"/>
                <w:sz w:val="22"/>
                <w:szCs w:val="22"/>
                <w:lang w:val="en-US"/>
              </w:rPr>
            </w:pPr>
            <w:r w:rsidRPr="00A50810">
              <w:rPr>
                <w:color w:val="000000"/>
                <w:sz w:val="22"/>
                <w:szCs w:val="22"/>
              </w:rPr>
              <w:t>35 ± 7,0</w:t>
            </w:r>
            <w:r w:rsidRPr="00A50810">
              <w:rPr>
                <w:color w:val="000000"/>
                <w:sz w:val="22"/>
                <w:szCs w:val="22"/>
                <w:lang w:val="en-US"/>
              </w:rPr>
              <w:t>**</w:t>
            </w:r>
          </w:p>
        </w:tc>
        <w:tc>
          <w:tcPr>
            <w:tcW w:w="810" w:type="dxa"/>
            <w:shd w:val="clear" w:color="auto" w:fill="auto"/>
            <w:vAlign w:val="bottom"/>
          </w:tcPr>
          <w:p w14:paraId="67743234" w14:textId="77777777" w:rsidR="00F05F4E" w:rsidRPr="00A50810" w:rsidRDefault="00F05F4E" w:rsidP="00A50810">
            <w:pPr>
              <w:rPr>
                <w:color w:val="000000"/>
                <w:sz w:val="22"/>
                <w:szCs w:val="22"/>
                <w:lang w:val="en-US"/>
              </w:rPr>
            </w:pPr>
            <w:r w:rsidRPr="00A50810">
              <w:rPr>
                <w:color w:val="000000"/>
                <w:sz w:val="22"/>
                <w:szCs w:val="22"/>
              </w:rPr>
              <w:t>34 ± 8,0</w:t>
            </w:r>
          </w:p>
        </w:tc>
        <w:tc>
          <w:tcPr>
            <w:tcW w:w="810" w:type="dxa"/>
            <w:shd w:val="clear" w:color="auto" w:fill="auto"/>
            <w:vAlign w:val="bottom"/>
          </w:tcPr>
          <w:p w14:paraId="6FB6D71F" w14:textId="77777777" w:rsidR="00F05F4E" w:rsidRPr="00A50810" w:rsidRDefault="00F05F4E" w:rsidP="00A50810">
            <w:pPr>
              <w:rPr>
                <w:color w:val="000000"/>
                <w:sz w:val="22"/>
                <w:szCs w:val="22"/>
              </w:rPr>
            </w:pPr>
            <w:r w:rsidRPr="00A50810">
              <w:rPr>
                <w:color w:val="000000"/>
                <w:sz w:val="22"/>
                <w:szCs w:val="22"/>
              </w:rPr>
              <w:t>28 ± 9,0</w:t>
            </w:r>
          </w:p>
        </w:tc>
        <w:tc>
          <w:tcPr>
            <w:tcW w:w="900" w:type="dxa"/>
            <w:shd w:val="clear" w:color="auto" w:fill="auto"/>
            <w:vAlign w:val="bottom"/>
          </w:tcPr>
          <w:p w14:paraId="5467B61F" w14:textId="77777777" w:rsidR="00F05F4E" w:rsidRPr="00A50810" w:rsidRDefault="00F05F4E" w:rsidP="00A50810">
            <w:pPr>
              <w:rPr>
                <w:color w:val="000000"/>
                <w:sz w:val="22"/>
                <w:szCs w:val="22"/>
              </w:rPr>
            </w:pPr>
            <w:r w:rsidRPr="00A50810">
              <w:rPr>
                <w:color w:val="000000"/>
                <w:sz w:val="22"/>
                <w:szCs w:val="22"/>
              </w:rPr>
              <w:t>37 ± 8,0</w:t>
            </w:r>
          </w:p>
        </w:tc>
        <w:tc>
          <w:tcPr>
            <w:tcW w:w="990" w:type="dxa"/>
            <w:shd w:val="clear" w:color="auto" w:fill="auto"/>
            <w:vAlign w:val="bottom"/>
          </w:tcPr>
          <w:p w14:paraId="29C2B8D3" w14:textId="77777777" w:rsidR="00F05F4E" w:rsidRPr="00A50810" w:rsidRDefault="00F05F4E" w:rsidP="00A50810">
            <w:pPr>
              <w:widowControl w:val="0"/>
              <w:autoSpaceDE w:val="0"/>
              <w:autoSpaceDN w:val="0"/>
              <w:adjustRightInd w:val="0"/>
              <w:rPr>
                <w:sz w:val="22"/>
                <w:szCs w:val="22"/>
              </w:rPr>
            </w:pPr>
            <w:r w:rsidRPr="00A50810">
              <w:rPr>
                <w:color w:val="000000"/>
                <w:sz w:val="22"/>
                <w:szCs w:val="22"/>
              </w:rPr>
              <w:t>23 ± 5,0</w:t>
            </w:r>
          </w:p>
        </w:tc>
        <w:tc>
          <w:tcPr>
            <w:tcW w:w="810" w:type="dxa"/>
            <w:shd w:val="clear" w:color="auto" w:fill="auto"/>
            <w:vAlign w:val="bottom"/>
          </w:tcPr>
          <w:p w14:paraId="2E395045" w14:textId="77777777" w:rsidR="00F05F4E" w:rsidRPr="00A50810" w:rsidRDefault="00F05F4E" w:rsidP="00A50810">
            <w:pPr>
              <w:widowControl w:val="0"/>
              <w:autoSpaceDE w:val="0"/>
              <w:autoSpaceDN w:val="0"/>
              <w:adjustRightInd w:val="0"/>
              <w:rPr>
                <w:sz w:val="22"/>
                <w:szCs w:val="22"/>
              </w:rPr>
            </w:pPr>
            <w:r w:rsidRPr="00A50810">
              <w:rPr>
                <w:color w:val="000000"/>
                <w:sz w:val="22"/>
                <w:szCs w:val="22"/>
              </w:rPr>
              <w:t>15 ± 3,0</w:t>
            </w:r>
          </w:p>
        </w:tc>
        <w:tc>
          <w:tcPr>
            <w:tcW w:w="810" w:type="dxa"/>
            <w:shd w:val="clear" w:color="auto" w:fill="auto"/>
            <w:vAlign w:val="bottom"/>
          </w:tcPr>
          <w:p w14:paraId="67C923D5" w14:textId="77777777" w:rsidR="00F05F4E" w:rsidRPr="00A50810" w:rsidRDefault="00F05F4E" w:rsidP="00A50810">
            <w:pPr>
              <w:widowControl w:val="0"/>
              <w:autoSpaceDE w:val="0"/>
              <w:autoSpaceDN w:val="0"/>
              <w:adjustRightInd w:val="0"/>
              <w:rPr>
                <w:sz w:val="22"/>
                <w:szCs w:val="22"/>
              </w:rPr>
            </w:pPr>
            <w:r w:rsidRPr="00A50810">
              <w:rPr>
                <w:color w:val="000000"/>
                <w:sz w:val="22"/>
                <w:szCs w:val="22"/>
              </w:rPr>
              <w:t>9 ± 4,0</w:t>
            </w:r>
          </w:p>
        </w:tc>
        <w:tc>
          <w:tcPr>
            <w:tcW w:w="795" w:type="dxa"/>
            <w:shd w:val="clear" w:color="auto" w:fill="auto"/>
            <w:vAlign w:val="bottom"/>
          </w:tcPr>
          <w:p w14:paraId="2A708822" w14:textId="77777777" w:rsidR="00F05F4E" w:rsidRPr="00A50810" w:rsidRDefault="00F05F4E" w:rsidP="00A50810">
            <w:pPr>
              <w:widowControl w:val="0"/>
              <w:autoSpaceDE w:val="0"/>
              <w:autoSpaceDN w:val="0"/>
              <w:adjustRightInd w:val="0"/>
              <w:rPr>
                <w:sz w:val="22"/>
                <w:szCs w:val="22"/>
              </w:rPr>
            </w:pPr>
            <w:r w:rsidRPr="00A50810">
              <w:rPr>
                <w:color w:val="000000"/>
                <w:sz w:val="22"/>
                <w:szCs w:val="22"/>
              </w:rPr>
              <w:t>2 ± 2,0</w:t>
            </w:r>
          </w:p>
        </w:tc>
        <w:tc>
          <w:tcPr>
            <w:tcW w:w="597" w:type="dxa"/>
            <w:shd w:val="clear" w:color="auto" w:fill="auto"/>
            <w:vAlign w:val="bottom"/>
          </w:tcPr>
          <w:p w14:paraId="3A234D74"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w:t>
            </w:r>
          </w:p>
        </w:tc>
      </w:tr>
      <w:tr w:rsidR="00A50810" w:rsidRPr="00A50810" w14:paraId="3D38B4D6" w14:textId="77777777" w:rsidTr="00DE015D">
        <w:trPr>
          <w:trHeight w:val="330"/>
        </w:trPr>
        <w:tc>
          <w:tcPr>
            <w:tcW w:w="450" w:type="dxa"/>
            <w:shd w:val="clear" w:color="auto" w:fill="auto"/>
            <w:vAlign w:val="bottom"/>
          </w:tcPr>
          <w:p w14:paraId="19F938F0"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7</w:t>
            </w:r>
          </w:p>
        </w:tc>
        <w:tc>
          <w:tcPr>
            <w:tcW w:w="1350" w:type="dxa"/>
            <w:shd w:val="clear" w:color="auto" w:fill="auto"/>
            <w:vAlign w:val="bottom"/>
          </w:tcPr>
          <w:p w14:paraId="090A042A"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СГБА</w:t>
            </w:r>
          </w:p>
        </w:tc>
        <w:tc>
          <w:tcPr>
            <w:tcW w:w="990" w:type="dxa"/>
            <w:shd w:val="clear" w:color="auto" w:fill="auto"/>
            <w:vAlign w:val="bottom"/>
          </w:tcPr>
          <w:p w14:paraId="604E82D7" w14:textId="77777777" w:rsidR="00F05F4E" w:rsidRPr="00A50810" w:rsidRDefault="00F05F4E" w:rsidP="00A50810">
            <w:pPr>
              <w:rPr>
                <w:color w:val="000000"/>
                <w:sz w:val="22"/>
                <w:szCs w:val="22"/>
                <w:lang w:val="en-US"/>
              </w:rPr>
            </w:pPr>
            <w:r w:rsidRPr="00A50810">
              <w:rPr>
                <w:color w:val="000000"/>
                <w:sz w:val="22"/>
                <w:szCs w:val="22"/>
              </w:rPr>
              <w:t>57 ± 3,4</w:t>
            </w:r>
          </w:p>
        </w:tc>
        <w:tc>
          <w:tcPr>
            <w:tcW w:w="810" w:type="dxa"/>
            <w:shd w:val="clear" w:color="auto" w:fill="auto"/>
            <w:vAlign w:val="bottom"/>
          </w:tcPr>
          <w:p w14:paraId="3EFE6C2A" w14:textId="77777777" w:rsidR="00F05F4E" w:rsidRPr="00A50810" w:rsidRDefault="00F05F4E" w:rsidP="00A50810">
            <w:pPr>
              <w:rPr>
                <w:color w:val="000000"/>
                <w:sz w:val="22"/>
                <w:szCs w:val="22"/>
                <w:lang w:val="en-US"/>
              </w:rPr>
            </w:pPr>
            <w:r w:rsidRPr="00A50810">
              <w:rPr>
                <w:color w:val="000000"/>
                <w:sz w:val="22"/>
                <w:szCs w:val="22"/>
                <w:lang w:val="uk-UA"/>
              </w:rPr>
              <w:t>40</w:t>
            </w:r>
            <w:r w:rsidRPr="00A50810">
              <w:rPr>
                <w:color w:val="000000"/>
                <w:sz w:val="22"/>
                <w:szCs w:val="22"/>
                <w:lang w:val="en-US"/>
              </w:rPr>
              <w:t xml:space="preserve">,4 </w:t>
            </w:r>
            <w:r w:rsidRPr="00A50810">
              <w:rPr>
                <w:color w:val="000000"/>
                <w:sz w:val="22"/>
                <w:szCs w:val="22"/>
              </w:rPr>
              <w:t>±</w:t>
            </w:r>
            <w:r w:rsidRPr="00A50810">
              <w:rPr>
                <w:color w:val="000000"/>
                <w:sz w:val="22"/>
                <w:szCs w:val="22"/>
                <w:lang w:val="en-US"/>
              </w:rPr>
              <w:t xml:space="preserve"> 3,3**</w:t>
            </w:r>
          </w:p>
        </w:tc>
        <w:tc>
          <w:tcPr>
            <w:tcW w:w="810" w:type="dxa"/>
            <w:shd w:val="clear" w:color="auto" w:fill="auto"/>
            <w:vAlign w:val="bottom"/>
          </w:tcPr>
          <w:p w14:paraId="41885CFA" w14:textId="77777777" w:rsidR="00F05F4E" w:rsidRPr="00A50810" w:rsidRDefault="00F05F4E" w:rsidP="00A50810">
            <w:pPr>
              <w:rPr>
                <w:color w:val="000000"/>
                <w:sz w:val="22"/>
                <w:szCs w:val="22"/>
                <w:lang w:val="en-US"/>
              </w:rPr>
            </w:pPr>
            <w:r w:rsidRPr="00A50810">
              <w:rPr>
                <w:color w:val="000000"/>
                <w:sz w:val="22"/>
                <w:szCs w:val="22"/>
                <w:lang w:val="en-US"/>
              </w:rPr>
              <w:t xml:space="preserve">21,3 </w:t>
            </w:r>
            <w:r w:rsidRPr="00A50810">
              <w:rPr>
                <w:color w:val="000000"/>
                <w:sz w:val="22"/>
                <w:szCs w:val="22"/>
              </w:rPr>
              <w:t>±</w:t>
            </w:r>
            <w:r w:rsidRPr="00A50810">
              <w:rPr>
                <w:color w:val="000000"/>
                <w:sz w:val="22"/>
                <w:szCs w:val="22"/>
                <w:lang w:val="en-US"/>
              </w:rPr>
              <w:t xml:space="preserve"> 0,9**</w:t>
            </w:r>
          </w:p>
        </w:tc>
        <w:tc>
          <w:tcPr>
            <w:tcW w:w="900" w:type="dxa"/>
            <w:shd w:val="clear" w:color="auto" w:fill="auto"/>
            <w:vAlign w:val="bottom"/>
          </w:tcPr>
          <w:p w14:paraId="2763B4DE" w14:textId="77777777" w:rsidR="00F05F4E" w:rsidRPr="00A50810" w:rsidRDefault="00F05F4E" w:rsidP="00A50810">
            <w:pPr>
              <w:rPr>
                <w:color w:val="000000"/>
                <w:sz w:val="22"/>
                <w:szCs w:val="22"/>
                <w:lang w:val="en-US"/>
              </w:rPr>
            </w:pPr>
            <w:r w:rsidRPr="00A50810">
              <w:rPr>
                <w:color w:val="000000"/>
                <w:sz w:val="22"/>
                <w:szCs w:val="22"/>
                <w:lang w:val="en-US"/>
              </w:rPr>
              <w:t xml:space="preserve">23,4 </w:t>
            </w:r>
            <w:r w:rsidRPr="00A50810">
              <w:rPr>
                <w:color w:val="000000"/>
                <w:sz w:val="22"/>
                <w:szCs w:val="22"/>
              </w:rPr>
              <w:t>±</w:t>
            </w:r>
            <w:r w:rsidRPr="00A50810">
              <w:rPr>
                <w:color w:val="000000"/>
                <w:sz w:val="22"/>
                <w:szCs w:val="22"/>
                <w:lang w:val="en-US"/>
              </w:rPr>
              <w:t xml:space="preserve"> 0,1</w:t>
            </w:r>
          </w:p>
        </w:tc>
        <w:tc>
          <w:tcPr>
            <w:tcW w:w="990" w:type="dxa"/>
            <w:shd w:val="clear" w:color="auto" w:fill="auto"/>
            <w:vAlign w:val="bottom"/>
          </w:tcPr>
          <w:p w14:paraId="371E7E84" w14:textId="77777777" w:rsidR="00F05F4E" w:rsidRPr="00A50810" w:rsidRDefault="00F05F4E" w:rsidP="00A50810">
            <w:pPr>
              <w:widowControl w:val="0"/>
              <w:autoSpaceDE w:val="0"/>
              <w:autoSpaceDN w:val="0"/>
              <w:adjustRightInd w:val="0"/>
              <w:rPr>
                <w:sz w:val="22"/>
                <w:szCs w:val="22"/>
                <w:lang w:val="en-US"/>
              </w:rPr>
            </w:pPr>
            <w:r w:rsidRPr="00A50810">
              <w:rPr>
                <w:sz w:val="22"/>
                <w:szCs w:val="22"/>
                <w:lang w:val="en-US"/>
              </w:rPr>
              <w:t xml:space="preserve">21,3 </w:t>
            </w:r>
            <w:r w:rsidRPr="00A50810">
              <w:rPr>
                <w:color w:val="000000"/>
                <w:sz w:val="22"/>
                <w:szCs w:val="22"/>
              </w:rPr>
              <w:t>±</w:t>
            </w:r>
            <w:r w:rsidRPr="00A50810">
              <w:rPr>
                <w:color w:val="000000"/>
                <w:sz w:val="22"/>
                <w:szCs w:val="22"/>
                <w:lang w:val="en-US"/>
              </w:rPr>
              <w:t xml:space="preserve"> 0,9</w:t>
            </w:r>
          </w:p>
        </w:tc>
        <w:tc>
          <w:tcPr>
            <w:tcW w:w="810" w:type="dxa"/>
            <w:shd w:val="clear" w:color="auto" w:fill="auto"/>
            <w:vAlign w:val="bottom"/>
          </w:tcPr>
          <w:p w14:paraId="27E86DF0" w14:textId="77777777" w:rsidR="00F05F4E" w:rsidRPr="00A50810" w:rsidRDefault="00F05F4E" w:rsidP="00A50810">
            <w:pPr>
              <w:widowControl w:val="0"/>
              <w:autoSpaceDE w:val="0"/>
              <w:autoSpaceDN w:val="0"/>
              <w:adjustRightInd w:val="0"/>
              <w:rPr>
                <w:sz w:val="22"/>
                <w:szCs w:val="22"/>
              </w:rPr>
            </w:pPr>
            <w:r w:rsidRPr="00A50810">
              <w:rPr>
                <w:sz w:val="22"/>
                <w:szCs w:val="22"/>
              </w:rPr>
              <w:t>15,3</w:t>
            </w:r>
            <w:r w:rsidRPr="00A50810">
              <w:rPr>
                <w:color w:val="000000"/>
                <w:sz w:val="22"/>
                <w:szCs w:val="22"/>
              </w:rPr>
              <w:t>±3,0</w:t>
            </w:r>
          </w:p>
        </w:tc>
        <w:tc>
          <w:tcPr>
            <w:tcW w:w="810" w:type="dxa"/>
            <w:shd w:val="clear" w:color="auto" w:fill="auto"/>
            <w:vAlign w:val="bottom"/>
          </w:tcPr>
          <w:p w14:paraId="1ACE5DD1" w14:textId="77777777" w:rsidR="00F05F4E" w:rsidRPr="00A50810" w:rsidRDefault="00F05F4E" w:rsidP="00A50810">
            <w:pPr>
              <w:widowControl w:val="0"/>
              <w:autoSpaceDE w:val="0"/>
              <w:autoSpaceDN w:val="0"/>
              <w:adjustRightInd w:val="0"/>
              <w:rPr>
                <w:sz w:val="22"/>
                <w:szCs w:val="22"/>
                <w:lang w:val="en-US"/>
              </w:rPr>
            </w:pPr>
            <w:r w:rsidRPr="00A50810">
              <w:rPr>
                <w:sz w:val="22"/>
                <w:szCs w:val="22"/>
                <w:lang w:val="en-US"/>
              </w:rPr>
              <w:t xml:space="preserve">8,5 </w:t>
            </w:r>
            <w:r w:rsidRPr="00A50810">
              <w:rPr>
                <w:color w:val="000000"/>
                <w:sz w:val="22"/>
                <w:szCs w:val="22"/>
              </w:rPr>
              <w:t>±</w:t>
            </w:r>
            <w:r w:rsidRPr="00A50810">
              <w:rPr>
                <w:color w:val="000000"/>
                <w:sz w:val="22"/>
                <w:szCs w:val="22"/>
                <w:lang w:val="en-US"/>
              </w:rPr>
              <w:t xml:space="preserve"> 1,0</w:t>
            </w:r>
          </w:p>
        </w:tc>
        <w:tc>
          <w:tcPr>
            <w:tcW w:w="795" w:type="dxa"/>
            <w:shd w:val="clear" w:color="auto" w:fill="auto"/>
            <w:vAlign w:val="bottom"/>
          </w:tcPr>
          <w:p w14:paraId="79F1D54B" w14:textId="77777777" w:rsidR="00F05F4E" w:rsidRPr="00A50810" w:rsidRDefault="00F05F4E" w:rsidP="00A50810">
            <w:pPr>
              <w:widowControl w:val="0"/>
              <w:autoSpaceDE w:val="0"/>
              <w:autoSpaceDN w:val="0"/>
              <w:adjustRightInd w:val="0"/>
              <w:rPr>
                <w:sz w:val="22"/>
                <w:szCs w:val="22"/>
                <w:lang w:val="en-US"/>
              </w:rPr>
            </w:pPr>
            <w:r w:rsidRPr="00A50810">
              <w:rPr>
                <w:sz w:val="22"/>
                <w:szCs w:val="22"/>
                <w:lang w:val="en-US"/>
              </w:rPr>
              <w:t xml:space="preserve">2,1 </w:t>
            </w:r>
            <w:r w:rsidRPr="00A50810">
              <w:rPr>
                <w:color w:val="000000"/>
                <w:sz w:val="22"/>
                <w:szCs w:val="22"/>
              </w:rPr>
              <w:t>±</w:t>
            </w:r>
            <w:r w:rsidRPr="00A50810">
              <w:rPr>
                <w:color w:val="000000"/>
                <w:sz w:val="22"/>
                <w:szCs w:val="22"/>
                <w:lang w:val="en-US"/>
              </w:rPr>
              <w:t xml:space="preserve"> 1,0</w:t>
            </w:r>
          </w:p>
        </w:tc>
        <w:tc>
          <w:tcPr>
            <w:tcW w:w="597" w:type="dxa"/>
            <w:shd w:val="clear" w:color="auto" w:fill="auto"/>
            <w:vAlign w:val="bottom"/>
          </w:tcPr>
          <w:p w14:paraId="4D908B31"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w:t>
            </w:r>
          </w:p>
        </w:tc>
      </w:tr>
      <w:tr w:rsidR="00A50810" w:rsidRPr="00A50810" w14:paraId="51182739" w14:textId="77777777" w:rsidTr="00DE015D">
        <w:trPr>
          <w:trHeight w:val="308"/>
        </w:trPr>
        <w:tc>
          <w:tcPr>
            <w:tcW w:w="450" w:type="dxa"/>
            <w:shd w:val="clear" w:color="auto" w:fill="auto"/>
            <w:vAlign w:val="bottom"/>
          </w:tcPr>
          <w:p w14:paraId="437E4E02"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8</w:t>
            </w:r>
          </w:p>
        </w:tc>
        <w:tc>
          <w:tcPr>
            <w:tcW w:w="1350" w:type="dxa"/>
            <w:shd w:val="clear" w:color="auto" w:fill="auto"/>
            <w:vAlign w:val="bottom"/>
          </w:tcPr>
          <w:p w14:paraId="5F837B84"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СГБрБА</w:t>
            </w:r>
          </w:p>
        </w:tc>
        <w:tc>
          <w:tcPr>
            <w:tcW w:w="990" w:type="dxa"/>
            <w:shd w:val="clear" w:color="auto" w:fill="auto"/>
            <w:vAlign w:val="bottom"/>
          </w:tcPr>
          <w:p w14:paraId="52265A28" w14:textId="77777777" w:rsidR="00F05F4E" w:rsidRPr="00A50810" w:rsidRDefault="00F05F4E" w:rsidP="00A50810">
            <w:pPr>
              <w:rPr>
                <w:color w:val="000000"/>
                <w:sz w:val="22"/>
                <w:szCs w:val="22"/>
                <w:lang w:val="en-US"/>
              </w:rPr>
            </w:pPr>
            <w:r w:rsidRPr="00A50810">
              <w:rPr>
                <w:color w:val="000000"/>
                <w:sz w:val="22"/>
                <w:szCs w:val="22"/>
              </w:rPr>
              <w:t>57 ± 3,4</w:t>
            </w:r>
            <w:r w:rsidRPr="00A50810">
              <w:rPr>
                <w:color w:val="000000"/>
                <w:sz w:val="22"/>
                <w:szCs w:val="22"/>
                <w:lang w:val="en-US"/>
              </w:rPr>
              <w:t>**</w:t>
            </w:r>
          </w:p>
        </w:tc>
        <w:tc>
          <w:tcPr>
            <w:tcW w:w="810" w:type="dxa"/>
            <w:shd w:val="clear" w:color="auto" w:fill="auto"/>
            <w:vAlign w:val="bottom"/>
          </w:tcPr>
          <w:p w14:paraId="245D9D41" w14:textId="77777777" w:rsidR="00F05F4E" w:rsidRPr="00A50810" w:rsidRDefault="00F05F4E" w:rsidP="00A50810">
            <w:pPr>
              <w:rPr>
                <w:color w:val="000000"/>
                <w:sz w:val="22"/>
                <w:szCs w:val="22"/>
                <w:lang w:val="en-US"/>
              </w:rPr>
            </w:pPr>
            <w:r w:rsidRPr="00A50810">
              <w:rPr>
                <w:color w:val="000000"/>
                <w:sz w:val="22"/>
                <w:szCs w:val="22"/>
                <w:lang w:val="en-US"/>
              </w:rPr>
              <w:t xml:space="preserve">42,6 </w:t>
            </w:r>
            <w:r w:rsidRPr="00A50810">
              <w:rPr>
                <w:color w:val="000000"/>
                <w:sz w:val="22"/>
                <w:szCs w:val="22"/>
              </w:rPr>
              <w:t>±</w:t>
            </w:r>
            <w:r w:rsidRPr="00A50810">
              <w:rPr>
                <w:color w:val="000000"/>
                <w:sz w:val="22"/>
                <w:szCs w:val="22"/>
                <w:lang w:val="en-US"/>
              </w:rPr>
              <w:t xml:space="preserve"> 3,3</w:t>
            </w:r>
          </w:p>
        </w:tc>
        <w:tc>
          <w:tcPr>
            <w:tcW w:w="810" w:type="dxa"/>
            <w:shd w:val="clear" w:color="auto" w:fill="auto"/>
            <w:vAlign w:val="bottom"/>
          </w:tcPr>
          <w:p w14:paraId="36668F98" w14:textId="77777777" w:rsidR="00F05F4E" w:rsidRPr="00A50810" w:rsidRDefault="00F05F4E" w:rsidP="00A50810">
            <w:pPr>
              <w:rPr>
                <w:color w:val="000000"/>
                <w:sz w:val="22"/>
                <w:szCs w:val="22"/>
                <w:lang w:val="en-US"/>
              </w:rPr>
            </w:pPr>
            <w:r w:rsidRPr="00A50810">
              <w:rPr>
                <w:color w:val="000000"/>
                <w:sz w:val="22"/>
                <w:szCs w:val="22"/>
                <w:lang w:val="en-US"/>
              </w:rPr>
              <w:t xml:space="preserve">38,3 </w:t>
            </w:r>
            <w:r w:rsidRPr="00A50810">
              <w:rPr>
                <w:color w:val="000000"/>
                <w:sz w:val="22"/>
                <w:szCs w:val="22"/>
              </w:rPr>
              <w:t>±</w:t>
            </w:r>
            <w:r w:rsidRPr="00A50810">
              <w:rPr>
                <w:color w:val="000000"/>
                <w:sz w:val="22"/>
                <w:szCs w:val="22"/>
                <w:lang w:val="en-US"/>
              </w:rPr>
              <w:t xml:space="preserve"> 0,9**</w:t>
            </w:r>
          </w:p>
        </w:tc>
        <w:tc>
          <w:tcPr>
            <w:tcW w:w="900" w:type="dxa"/>
            <w:shd w:val="clear" w:color="auto" w:fill="auto"/>
            <w:vAlign w:val="bottom"/>
          </w:tcPr>
          <w:p w14:paraId="179F90EA" w14:textId="77777777" w:rsidR="00F05F4E" w:rsidRPr="00A50810" w:rsidRDefault="00F05F4E" w:rsidP="00A50810">
            <w:pPr>
              <w:widowControl w:val="0"/>
              <w:autoSpaceDE w:val="0"/>
              <w:autoSpaceDN w:val="0"/>
              <w:adjustRightInd w:val="0"/>
              <w:rPr>
                <w:sz w:val="22"/>
                <w:szCs w:val="22"/>
                <w:lang w:val="en-US"/>
              </w:rPr>
            </w:pPr>
            <w:r w:rsidRPr="00A50810">
              <w:rPr>
                <w:sz w:val="22"/>
                <w:szCs w:val="22"/>
                <w:lang w:val="en-US"/>
              </w:rPr>
              <w:t xml:space="preserve">46,8 </w:t>
            </w:r>
            <w:r w:rsidRPr="00A50810">
              <w:rPr>
                <w:color w:val="000000"/>
                <w:sz w:val="22"/>
                <w:szCs w:val="22"/>
              </w:rPr>
              <w:t>±</w:t>
            </w:r>
            <w:r w:rsidRPr="00A50810">
              <w:rPr>
                <w:color w:val="000000"/>
                <w:sz w:val="22"/>
                <w:szCs w:val="22"/>
                <w:lang w:val="en-US"/>
              </w:rPr>
              <w:t xml:space="preserve"> 0,1*</w:t>
            </w:r>
          </w:p>
        </w:tc>
        <w:tc>
          <w:tcPr>
            <w:tcW w:w="990" w:type="dxa"/>
            <w:shd w:val="clear" w:color="auto" w:fill="auto"/>
            <w:vAlign w:val="bottom"/>
          </w:tcPr>
          <w:p w14:paraId="5F871A8D" w14:textId="77777777" w:rsidR="00F05F4E" w:rsidRPr="00A50810" w:rsidRDefault="00F05F4E" w:rsidP="00A50810">
            <w:pPr>
              <w:widowControl w:val="0"/>
              <w:autoSpaceDE w:val="0"/>
              <w:autoSpaceDN w:val="0"/>
              <w:adjustRightInd w:val="0"/>
              <w:rPr>
                <w:sz w:val="22"/>
                <w:szCs w:val="22"/>
                <w:lang w:val="en-US"/>
              </w:rPr>
            </w:pPr>
            <w:r w:rsidRPr="00A50810">
              <w:rPr>
                <w:sz w:val="22"/>
                <w:szCs w:val="22"/>
                <w:lang w:val="en-US"/>
              </w:rPr>
              <w:t xml:space="preserve">44,7 </w:t>
            </w:r>
            <w:r w:rsidRPr="00A50810">
              <w:rPr>
                <w:color w:val="000000"/>
                <w:sz w:val="22"/>
                <w:szCs w:val="22"/>
              </w:rPr>
              <w:t>±</w:t>
            </w:r>
            <w:r w:rsidRPr="00A50810">
              <w:rPr>
                <w:color w:val="000000"/>
                <w:sz w:val="22"/>
                <w:szCs w:val="22"/>
                <w:lang w:val="en-US"/>
              </w:rPr>
              <w:t xml:space="preserve"> 1,0</w:t>
            </w:r>
          </w:p>
        </w:tc>
        <w:tc>
          <w:tcPr>
            <w:tcW w:w="810" w:type="dxa"/>
            <w:shd w:val="clear" w:color="auto" w:fill="auto"/>
            <w:vAlign w:val="bottom"/>
          </w:tcPr>
          <w:p w14:paraId="5D12803E" w14:textId="77777777" w:rsidR="00F05F4E" w:rsidRPr="00A50810" w:rsidRDefault="00F05F4E" w:rsidP="00A50810">
            <w:pPr>
              <w:widowControl w:val="0"/>
              <w:autoSpaceDE w:val="0"/>
              <w:autoSpaceDN w:val="0"/>
              <w:adjustRightInd w:val="0"/>
              <w:rPr>
                <w:sz w:val="22"/>
                <w:szCs w:val="22"/>
                <w:lang w:val="en-US"/>
              </w:rPr>
            </w:pPr>
            <w:r w:rsidRPr="00A50810">
              <w:rPr>
                <w:sz w:val="22"/>
                <w:szCs w:val="22"/>
                <w:lang w:val="en-US"/>
              </w:rPr>
              <w:t>25,5</w:t>
            </w:r>
            <w:r w:rsidRPr="00A50810">
              <w:rPr>
                <w:color w:val="000000"/>
                <w:sz w:val="22"/>
                <w:szCs w:val="22"/>
              </w:rPr>
              <w:t>±</w:t>
            </w:r>
            <w:r w:rsidRPr="00A50810">
              <w:rPr>
                <w:color w:val="000000"/>
                <w:sz w:val="22"/>
                <w:szCs w:val="22"/>
                <w:lang w:val="en-US"/>
              </w:rPr>
              <w:t>1,0**</w:t>
            </w:r>
          </w:p>
        </w:tc>
        <w:tc>
          <w:tcPr>
            <w:tcW w:w="810" w:type="dxa"/>
            <w:shd w:val="clear" w:color="auto" w:fill="auto"/>
            <w:vAlign w:val="bottom"/>
          </w:tcPr>
          <w:p w14:paraId="29CEAF61" w14:textId="77777777" w:rsidR="00F05F4E" w:rsidRPr="00A50810" w:rsidRDefault="00F05F4E" w:rsidP="00A50810">
            <w:pPr>
              <w:widowControl w:val="0"/>
              <w:autoSpaceDE w:val="0"/>
              <w:autoSpaceDN w:val="0"/>
              <w:adjustRightInd w:val="0"/>
              <w:rPr>
                <w:sz w:val="22"/>
                <w:szCs w:val="22"/>
                <w:lang w:val="en-US"/>
              </w:rPr>
            </w:pPr>
            <w:r w:rsidRPr="00A50810">
              <w:rPr>
                <w:sz w:val="22"/>
                <w:szCs w:val="22"/>
                <w:lang w:val="en-US"/>
              </w:rPr>
              <w:t xml:space="preserve">21,3 </w:t>
            </w:r>
            <w:r w:rsidRPr="00A50810">
              <w:rPr>
                <w:color w:val="000000"/>
                <w:sz w:val="22"/>
                <w:szCs w:val="22"/>
              </w:rPr>
              <w:t>±</w:t>
            </w:r>
            <w:r w:rsidRPr="00A50810">
              <w:rPr>
                <w:color w:val="000000"/>
                <w:sz w:val="22"/>
                <w:szCs w:val="22"/>
                <w:lang w:val="en-US"/>
              </w:rPr>
              <w:t xml:space="preserve"> 1,0**</w:t>
            </w:r>
          </w:p>
        </w:tc>
        <w:tc>
          <w:tcPr>
            <w:tcW w:w="795" w:type="dxa"/>
            <w:shd w:val="clear" w:color="auto" w:fill="auto"/>
            <w:vAlign w:val="bottom"/>
          </w:tcPr>
          <w:p w14:paraId="792AE271"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w:t>
            </w:r>
          </w:p>
        </w:tc>
        <w:tc>
          <w:tcPr>
            <w:tcW w:w="597" w:type="dxa"/>
            <w:shd w:val="clear" w:color="auto" w:fill="auto"/>
            <w:vAlign w:val="bottom"/>
          </w:tcPr>
          <w:p w14:paraId="7D3E10D1"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w:t>
            </w:r>
          </w:p>
        </w:tc>
      </w:tr>
      <w:tr w:rsidR="00A50810" w:rsidRPr="00A50810" w14:paraId="3AD5E514" w14:textId="77777777" w:rsidTr="00DE015D">
        <w:trPr>
          <w:trHeight w:val="107"/>
        </w:trPr>
        <w:tc>
          <w:tcPr>
            <w:tcW w:w="450" w:type="dxa"/>
            <w:shd w:val="clear" w:color="auto" w:fill="auto"/>
            <w:vAlign w:val="bottom"/>
          </w:tcPr>
          <w:p w14:paraId="26A594F1"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9</w:t>
            </w:r>
          </w:p>
        </w:tc>
        <w:tc>
          <w:tcPr>
            <w:tcW w:w="1350" w:type="dxa"/>
            <w:shd w:val="clear" w:color="auto" w:fill="auto"/>
            <w:vAlign w:val="bottom"/>
          </w:tcPr>
          <w:p w14:paraId="394FB638"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СК</w:t>
            </w:r>
          </w:p>
        </w:tc>
        <w:tc>
          <w:tcPr>
            <w:tcW w:w="990" w:type="dxa"/>
            <w:shd w:val="clear" w:color="auto" w:fill="auto"/>
            <w:vAlign w:val="bottom"/>
          </w:tcPr>
          <w:p w14:paraId="420E65EC" w14:textId="77777777" w:rsidR="00F05F4E" w:rsidRPr="00A50810" w:rsidRDefault="00F05F4E" w:rsidP="00A50810">
            <w:pPr>
              <w:rPr>
                <w:color w:val="000000"/>
                <w:sz w:val="22"/>
                <w:szCs w:val="22"/>
              </w:rPr>
            </w:pPr>
            <w:r w:rsidRPr="00A50810">
              <w:rPr>
                <w:color w:val="000000"/>
                <w:sz w:val="22"/>
                <w:szCs w:val="22"/>
              </w:rPr>
              <w:t>57 ± 3,4</w:t>
            </w:r>
          </w:p>
        </w:tc>
        <w:tc>
          <w:tcPr>
            <w:tcW w:w="810" w:type="dxa"/>
            <w:shd w:val="clear" w:color="auto" w:fill="auto"/>
            <w:vAlign w:val="bottom"/>
          </w:tcPr>
          <w:p w14:paraId="3D68F7EF" w14:textId="77777777" w:rsidR="00F05F4E" w:rsidRPr="00A50810" w:rsidRDefault="00F05F4E" w:rsidP="00A50810">
            <w:pPr>
              <w:rPr>
                <w:color w:val="000000"/>
                <w:sz w:val="22"/>
                <w:szCs w:val="22"/>
                <w:lang w:val="en-US"/>
              </w:rPr>
            </w:pPr>
            <w:r w:rsidRPr="00A50810">
              <w:rPr>
                <w:color w:val="000000"/>
                <w:sz w:val="22"/>
                <w:szCs w:val="22"/>
              </w:rPr>
              <w:t>42 ± 4,5</w:t>
            </w:r>
            <w:r w:rsidRPr="00A50810">
              <w:rPr>
                <w:color w:val="000000"/>
                <w:sz w:val="22"/>
                <w:szCs w:val="22"/>
                <w:lang w:val="en-US"/>
              </w:rPr>
              <w:t>**</w:t>
            </w:r>
          </w:p>
        </w:tc>
        <w:tc>
          <w:tcPr>
            <w:tcW w:w="810" w:type="dxa"/>
            <w:shd w:val="clear" w:color="auto" w:fill="auto"/>
            <w:vAlign w:val="bottom"/>
          </w:tcPr>
          <w:p w14:paraId="7EFC668F" w14:textId="77777777" w:rsidR="00F05F4E" w:rsidRPr="00A50810" w:rsidRDefault="00F05F4E" w:rsidP="00A50810">
            <w:pPr>
              <w:rPr>
                <w:color w:val="000000"/>
                <w:sz w:val="22"/>
                <w:szCs w:val="22"/>
                <w:lang w:val="en-US"/>
              </w:rPr>
            </w:pPr>
            <w:r w:rsidRPr="00A50810">
              <w:rPr>
                <w:color w:val="000000"/>
                <w:sz w:val="22"/>
                <w:szCs w:val="22"/>
              </w:rPr>
              <w:t>28 ± 4,4</w:t>
            </w:r>
            <w:r w:rsidRPr="00A50810">
              <w:rPr>
                <w:color w:val="000000"/>
                <w:sz w:val="22"/>
                <w:szCs w:val="22"/>
                <w:lang w:val="en-US"/>
              </w:rPr>
              <w:t>**</w:t>
            </w:r>
          </w:p>
        </w:tc>
        <w:tc>
          <w:tcPr>
            <w:tcW w:w="900" w:type="dxa"/>
            <w:shd w:val="clear" w:color="auto" w:fill="auto"/>
            <w:vAlign w:val="bottom"/>
          </w:tcPr>
          <w:p w14:paraId="33F77AE1" w14:textId="77777777" w:rsidR="00F05F4E" w:rsidRPr="00A50810" w:rsidRDefault="00F05F4E" w:rsidP="00A50810">
            <w:pPr>
              <w:widowControl w:val="0"/>
              <w:autoSpaceDE w:val="0"/>
              <w:autoSpaceDN w:val="0"/>
              <w:adjustRightInd w:val="0"/>
              <w:rPr>
                <w:sz w:val="22"/>
                <w:szCs w:val="22"/>
              </w:rPr>
            </w:pPr>
            <w:r w:rsidRPr="00A50810">
              <w:rPr>
                <w:color w:val="000000"/>
                <w:sz w:val="22"/>
                <w:szCs w:val="22"/>
              </w:rPr>
              <w:t>25 ± 4,7</w:t>
            </w:r>
          </w:p>
        </w:tc>
        <w:tc>
          <w:tcPr>
            <w:tcW w:w="990" w:type="dxa"/>
            <w:shd w:val="clear" w:color="auto" w:fill="auto"/>
            <w:vAlign w:val="bottom"/>
          </w:tcPr>
          <w:p w14:paraId="3831D830" w14:textId="77777777" w:rsidR="00F05F4E" w:rsidRPr="00A50810" w:rsidRDefault="00F05F4E" w:rsidP="00A50810">
            <w:pPr>
              <w:widowControl w:val="0"/>
              <w:autoSpaceDE w:val="0"/>
              <w:autoSpaceDN w:val="0"/>
              <w:adjustRightInd w:val="0"/>
              <w:rPr>
                <w:sz w:val="22"/>
                <w:szCs w:val="22"/>
              </w:rPr>
            </w:pPr>
            <w:r w:rsidRPr="00A50810">
              <w:rPr>
                <w:color w:val="000000"/>
                <w:sz w:val="22"/>
                <w:szCs w:val="22"/>
              </w:rPr>
              <w:t>17 ± 5,3</w:t>
            </w:r>
          </w:p>
        </w:tc>
        <w:tc>
          <w:tcPr>
            <w:tcW w:w="810" w:type="dxa"/>
            <w:shd w:val="clear" w:color="auto" w:fill="auto"/>
            <w:vAlign w:val="bottom"/>
          </w:tcPr>
          <w:p w14:paraId="6B3F8A18" w14:textId="77777777" w:rsidR="00F05F4E" w:rsidRPr="00A50810" w:rsidRDefault="00F05F4E" w:rsidP="00A50810">
            <w:pPr>
              <w:widowControl w:val="0"/>
              <w:autoSpaceDE w:val="0"/>
              <w:autoSpaceDN w:val="0"/>
              <w:adjustRightInd w:val="0"/>
              <w:rPr>
                <w:sz w:val="22"/>
                <w:szCs w:val="22"/>
                <w:lang w:val="en-US"/>
              </w:rPr>
            </w:pPr>
            <w:r w:rsidRPr="00A50810">
              <w:rPr>
                <w:color w:val="000000"/>
                <w:sz w:val="22"/>
                <w:szCs w:val="22"/>
              </w:rPr>
              <w:t>10 ± 2,8</w:t>
            </w:r>
            <w:r w:rsidRPr="00A50810">
              <w:rPr>
                <w:color w:val="000000"/>
                <w:sz w:val="22"/>
                <w:szCs w:val="22"/>
                <w:lang w:val="en-US"/>
              </w:rPr>
              <w:t>**</w:t>
            </w:r>
          </w:p>
        </w:tc>
        <w:tc>
          <w:tcPr>
            <w:tcW w:w="810" w:type="dxa"/>
            <w:shd w:val="clear" w:color="auto" w:fill="auto"/>
            <w:vAlign w:val="bottom"/>
          </w:tcPr>
          <w:p w14:paraId="7FA1A0B1" w14:textId="77777777" w:rsidR="00F05F4E" w:rsidRPr="00A50810" w:rsidRDefault="00F05F4E" w:rsidP="00A50810">
            <w:pPr>
              <w:widowControl w:val="0"/>
              <w:autoSpaceDE w:val="0"/>
              <w:autoSpaceDN w:val="0"/>
              <w:adjustRightInd w:val="0"/>
              <w:rPr>
                <w:sz w:val="22"/>
                <w:szCs w:val="22"/>
                <w:lang w:val="en-US"/>
              </w:rPr>
            </w:pPr>
            <w:r w:rsidRPr="00A50810">
              <w:rPr>
                <w:color w:val="000000"/>
                <w:sz w:val="22"/>
                <w:szCs w:val="22"/>
              </w:rPr>
              <w:t>5 ± 1,3</w:t>
            </w:r>
            <w:r w:rsidRPr="00A50810">
              <w:rPr>
                <w:color w:val="000000"/>
                <w:sz w:val="22"/>
                <w:szCs w:val="22"/>
                <w:lang w:val="en-US"/>
              </w:rPr>
              <w:t>**</w:t>
            </w:r>
          </w:p>
        </w:tc>
        <w:tc>
          <w:tcPr>
            <w:tcW w:w="795" w:type="dxa"/>
            <w:shd w:val="clear" w:color="auto" w:fill="auto"/>
            <w:vAlign w:val="bottom"/>
          </w:tcPr>
          <w:p w14:paraId="769EAEBE" w14:textId="77777777" w:rsidR="00F05F4E" w:rsidRPr="00A50810" w:rsidRDefault="00F05F4E" w:rsidP="00A50810">
            <w:pPr>
              <w:widowControl w:val="0"/>
              <w:autoSpaceDE w:val="0"/>
              <w:autoSpaceDN w:val="0"/>
              <w:adjustRightInd w:val="0"/>
              <w:rPr>
                <w:sz w:val="22"/>
                <w:szCs w:val="22"/>
              </w:rPr>
            </w:pPr>
            <w:r w:rsidRPr="00A50810">
              <w:rPr>
                <w:color w:val="000000"/>
                <w:sz w:val="22"/>
                <w:szCs w:val="22"/>
              </w:rPr>
              <w:t>7 ± 6,8</w:t>
            </w:r>
          </w:p>
        </w:tc>
        <w:tc>
          <w:tcPr>
            <w:tcW w:w="597" w:type="dxa"/>
            <w:shd w:val="clear" w:color="auto" w:fill="auto"/>
            <w:vAlign w:val="bottom"/>
          </w:tcPr>
          <w:p w14:paraId="40A2A662"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w:t>
            </w:r>
          </w:p>
        </w:tc>
      </w:tr>
      <w:tr w:rsidR="00A50810" w:rsidRPr="00A50810" w14:paraId="2C710519" w14:textId="77777777" w:rsidTr="00DE015D">
        <w:trPr>
          <w:trHeight w:val="413"/>
        </w:trPr>
        <w:tc>
          <w:tcPr>
            <w:tcW w:w="450" w:type="dxa"/>
            <w:shd w:val="clear" w:color="auto" w:fill="auto"/>
            <w:vAlign w:val="bottom"/>
          </w:tcPr>
          <w:p w14:paraId="3AC20430"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10</w:t>
            </w:r>
          </w:p>
        </w:tc>
        <w:tc>
          <w:tcPr>
            <w:tcW w:w="1350" w:type="dxa"/>
            <w:shd w:val="clear" w:color="auto" w:fill="auto"/>
            <w:vAlign w:val="bottom"/>
          </w:tcPr>
          <w:p w14:paraId="402769B3" w14:textId="77777777" w:rsidR="00F05F4E" w:rsidRPr="00A50810" w:rsidRDefault="00F05F4E" w:rsidP="00A50810">
            <w:pPr>
              <w:widowControl w:val="0"/>
              <w:autoSpaceDE w:val="0"/>
              <w:autoSpaceDN w:val="0"/>
              <w:adjustRightInd w:val="0"/>
              <w:rPr>
                <w:sz w:val="22"/>
                <w:szCs w:val="22"/>
                <w:lang w:val="uk-UA"/>
              </w:rPr>
            </w:pPr>
            <w:r w:rsidRPr="00A50810">
              <w:rPr>
                <w:sz w:val="22"/>
                <w:szCs w:val="22"/>
                <w:lang w:val="uk-UA"/>
              </w:rPr>
              <w:t xml:space="preserve"> </w:t>
            </w:r>
            <w:r w:rsidRPr="00A50810">
              <w:rPr>
                <w:sz w:val="22"/>
                <w:szCs w:val="22"/>
                <w:lang w:val="en-US"/>
              </w:rPr>
              <w:t>SnCl (</w:t>
            </w:r>
            <w:r w:rsidRPr="00A50810">
              <w:rPr>
                <w:sz w:val="22"/>
                <w:szCs w:val="22"/>
                <w:lang w:val="uk-UA"/>
              </w:rPr>
              <w:t>ІІ)</w:t>
            </w:r>
          </w:p>
        </w:tc>
        <w:tc>
          <w:tcPr>
            <w:tcW w:w="990" w:type="dxa"/>
            <w:shd w:val="clear" w:color="auto" w:fill="auto"/>
            <w:vAlign w:val="bottom"/>
          </w:tcPr>
          <w:p w14:paraId="430EBDB6" w14:textId="77777777" w:rsidR="00F05F4E" w:rsidRPr="00A50810" w:rsidRDefault="00F05F4E" w:rsidP="00A50810">
            <w:pPr>
              <w:rPr>
                <w:color w:val="000000"/>
                <w:sz w:val="22"/>
                <w:szCs w:val="22"/>
              </w:rPr>
            </w:pPr>
            <w:r w:rsidRPr="00A50810">
              <w:rPr>
                <w:color w:val="000000"/>
                <w:sz w:val="22"/>
                <w:szCs w:val="22"/>
              </w:rPr>
              <w:t>57 ± 3,4</w:t>
            </w:r>
          </w:p>
        </w:tc>
        <w:tc>
          <w:tcPr>
            <w:tcW w:w="810" w:type="dxa"/>
            <w:shd w:val="clear" w:color="auto" w:fill="auto"/>
            <w:vAlign w:val="bottom"/>
          </w:tcPr>
          <w:p w14:paraId="2790C61C" w14:textId="77777777" w:rsidR="00F05F4E" w:rsidRPr="00A50810" w:rsidRDefault="00F05F4E" w:rsidP="00A50810">
            <w:pPr>
              <w:rPr>
                <w:color w:val="000000"/>
                <w:sz w:val="22"/>
                <w:szCs w:val="22"/>
                <w:lang w:val="en-US"/>
              </w:rPr>
            </w:pPr>
            <w:r w:rsidRPr="00A50810">
              <w:rPr>
                <w:color w:val="000000"/>
                <w:sz w:val="22"/>
                <w:szCs w:val="22"/>
              </w:rPr>
              <w:t>39,5</w:t>
            </w:r>
            <w:r w:rsidRPr="00A50810">
              <w:rPr>
                <w:color w:val="000000"/>
                <w:sz w:val="22"/>
                <w:szCs w:val="22"/>
                <w:lang w:val="en-US"/>
              </w:rPr>
              <w:t xml:space="preserve"> </w:t>
            </w:r>
            <w:r w:rsidRPr="00A50810">
              <w:rPr>
                <w:color w:val="000000"/>
                <w:sz w:val="22"/>
                <w:szCs w:val="22"/>
                <w:lang w:val="uk-UA"/>
              </w:rPr>
              <w:t xml:space="preserve"> </w:t>
            </w:r>
            <w:r w:rsidRPr="00A50810">
              <w:rPr>
                <w:color w:val="000000"/>
                <w:sz w:val="22"/>
                <w:szCs w:val="22"/>
              </w:rPr>
              <w:t>±</w:t>
            </w:r>
            <w:r w:rsidRPr="00A50810">
              <w:rPr>
                <w:color w:val="000000"/>
                <w:sz w:val="22"/>
                <w:szCs w:val="22"/>
                <w:lang w:val="uk-UA"/>
              </w:rPr>
              <w:t xml:space="preserve"> </w:t>
            </w:r>
            <w:r w:rsidRPr="00A50810">
              <w:rPr>
                <w:color w:val="000000"/>
                <w:sz w:val="22"/>
                <w:szCs w:val="22"/>
                <w:lang w:val="en-US"/>
              </w:rPr>
              <w:t>0,1**</w:t>
            </w:r>
          </w:p>
        </w:tc>
        <w:tc>
          <w:tcPr>
            <w:tcW w:w="810" w:type="dxa"/>
            <w:shd w:val="clear" w:color="auto" w:fill="auto"/>
            <w:vAlign w:val="bottom"/>
          </w:tcPr>
          <w:p w14:paraId="780CF596" w14:textId="77777777" w:rsidR="00F05F4E" w:rsidRPr="00A50810" w:rsidRDefault="00F05F4E" w:rsidP="00A50810">
            <w:pPr>
              <w:rPr>
                <w:color w:val="000000"/>
                <w:sz w:val="22"/>
                <w:szCs w:val="22"/>
              </w:rPr>
            </w:pPr>
            <w:r w:rsidRPr="00A50810">
              <w:rPr>
                <w:color w:val="000000"/>
                <w:sz w:val="22"/>
                <w:szCs w:val="22"/>
                <w:lang w:val="uk-UA"/>
              </w:rPr>
              <w:t>30</w:t>
            </w:r>
            <w:r w:rsidRPr="00A50810">
              <w:rPr>
                <w:color w:val="000000"/>
                <w:sz w:val="22"/>
                <w:szCs w:val="22"/>
                <w:lang w:val="en-US"/>
              </w:rPr>
              <w:t xml:space="preserve">,2 </w:t>
            </w:r>
            <w:r w:rsidRPr="00A50810">
              <w:rPr>
                <w:color w:val="000000"/>
                <w:sz w:val="22"/>
                <w:szCs w:val="22"/>
              </w:rPr>
              <w:t>±</w:t>
            </w:r>
            <w:r w:rsidRPr="00A50810">
              <w:rPr>
                <w:color w:val="000000"/>
                <w:sz w:val="22"/>
                <w:szCs w:val="22"/>
                <w:lang w:val="en-US"/>
              </w:rPr>
              <w:t xml:space="preserve"> 0,1**</w:t>
            </w:r>
          </w:p>
        </w:tc>
        <w:tc>
          <w:tcPr>
            <w:tcW w:w="900" w:type="dxa"/>
            <w:shd w:val="clear" w:color="auto" w:fill="auto"/>
            <w:vAlign w:val="bottom"/>
          </w:tcPr>
          <w:p w14:paraId="24367E65" w14:textId="77777777" w:rsidR="00F05F4E" w:rsidRPr="00A50810" w:rsidRDefault="00F05F4E" w:rsidP="00A50810">
            <w:pPr>
              <w:rPr>
                <w:color w:val="000000"/>
                <w:sz w:val="22"/>
                <w:szCs w:val="22"/>
                <w:lang w:val="en-US"/>
              </w:rPr>
            </w:pPr>
            <w:r w:rsidRPr="00A50810">
              <w:rPr>
                <w:color w:val="000000"/>
                <w:sz w:val="22"/>
                <w:szCs w:val="22"/>
                <w:lang w:val="en-US"/>
              </w:rPr>
              <w:t xml:space="preserve">30,2 </w:t>
            </w:r>
            <w:r w:rsidRPr="00A50810">
              <w:rPr>
                <w:color w:val="000000"/>
                <w:sz w:val="22"/>
                <w:szCs w:val="22"/>
              </w:rPr>
              <w:t>±</w:t>
            </w:r>
            <w:r w:rsidRPr="00A50810">
              <w:rPr>
                <w:color w:val="000000"/>
                <w:sz w:val="22"/>
                <w:szCs w:val="22"/>
                <w:lang w:val="en-US"/>
              </w:rPr>
              <w:t xml:space="preserve"> 0,1</w:t>
            </w:r>
          </w:p>
        </w:tc>
        <w:tc>
          <w:tcPr>
            <w:tcW w:w="990" w:type="dxa"/>
            <w:shd w:val="clear" w:color="auto" w:fill="auto"/>
            <w:vAlign w:val="bottom"/>
          </w:tcPr>
          <w:p w14:paraId="599BA8C1" w14:textId="77777777" w:rsidR="00F05F4E" w:rsidRPr="00A50810" w:rsidRDefault="00F05F4E" w:rsidP="00A50810">
            <w:pPr>
              <w:rPr>
                <w:color w:val="000000"/>
                <w:sz w:val="22"/>
                <w:szCs w:val="22"/>
                <w:lang w:val="en-US"/>
              </w:rPr>
            </w:pPr>
            <w:r w:rsidRPr="00A50810">
              <w:rPr>
                <w:color w:val="000000"/>
                <w:sz w:val="22"/>
                <w:szCs w:val="22"/>
                <w:lang w:val="uk-UA"/>
              </w:rPr>
              <w:t>30,2</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0,1</w:t>
            </w:r>
          </w:p>
        </w:tc>
        <w:tc>
          <w:tcPr>
            <w:tcW w:w="810" w:type="dxa"/>
            <w:shd w:val="clear" w:color="auto" w:fill="auto"/>
            <w:vAlign w:val="bottom"/>
          </w:tcPr>
          <w:p w14:paraId="43A5D991" w14:textId="77777777" w:rsidR="00F05F4E" w:rsidRPr="00A50810" w:rsidRDefault="00F05F4E" w:rsidP="00A50810">
            <w:pPr>
              <w:rPr>
                <w:color w:val="000000"/>
                <w:sz w:val="22"/>
                <w:szCs w:val="22"/>
                <w:lang w:val="en-US"/>
              </w:rPr>
            </w:pPr>
            <w:r w:rsidRPr="00A50810">
              <w:rPr>
                <w:color w:val="000000"/>
                <w:sz w:val="22"/>
                <w:szCs w:val="22"/>
                <w:lang w:val="en-US"/>
              </w:rPr>
              <w:t xml:space="preserve">30,2 </w:t>
            </w:r>
            <w:r w:rsidRPr="00A50810">
              <w:rPr>
                <w:color w:val="000000"/>
                <w:sz w:val="22"/>
                <w:szCs w:val="22"/>
              </w:rPr>
              <w:t>±</w:t>
            </w:r>
            <w:r w:rsidRPr="00A50810">
              <w:rPr>
                <w:color w:val="000000"/>
                <w:sz w:val="22"/>
                <w:szCs w:val="22"/>
                <w:lang w:val="en-US"/>
              </w:rPr>
              <w:t xml:space="preserve"> 0,1</w:t>
            </w:r>
          </w:p>
        </w:tc>
        <w:tc>
          <w:tcPr>
            <w:tcW w:w="810" w:type="dxa"/>
            <w:shd w:val="clear" w:color="auto" w:fill="auto"/>
            <w:vAlign w:val="bottom"/>
          </w:tcPr>
          <w:p w14:paraId="4C986744" w14:textId="77777777" w:rsidR="00F05F4E" w:rsidRPr="00A50810" w:rsidRDefault="00F05F4E" w:rsidP="00A50810">
            <w:pPr>
              <w:rPr>
                <w:color w:val="000000"/>
                <w:sz w:val="22"/>
                <w:szCs w:val="22"/>
                <w:lang w:val="en-US"/>
              </w:rPr>
            </w:pPr>
            <w:r w:rsidRPr="00A50810">
              <w:rPr>
                <w:color w:val="000000"/>
                <w:sz w:val="22"/>
                <w:szCs w:val="22"/>
                <w:lang w:val="en-US"/>
              </w:rPr>
              <w:t xml:space="preserve">27,9 </w:t>
            </w:r>
            <w:r w:rsidRPr="00A50810">
              <w:rPr>
                <w:color w:val="000000"/>
                <w:sz w:val="22"/>
                <w:szCs w:val="22"/>
              </w:rPr>
              <w:t>±</w:t>
            </w:r>
            <w:r w:rsidRPr="00A50810">
              <w:rPr>
                <w:color w:val="000000"/>
                <w:sz w:val="22"/>
                <w:szCs w:val="22"/>
                <w:lang w:val="en-US"/>
              </w:rPr>
              <w:t xml:space="preserve"> 0,1</w:t>
            </w:r>
          </w:p>
        </w:tc>
        <w:tc>
          <w:tcPr>
            <w:tcW w:w="795" w:type="dxa"/>
            <w:shd w:val="clear" w:color="auto" w:fill="auto"/>
            <w:vAlign w:val="bottom"/>
          </w:tcPr>
          <w:p w14:paraId="0DBE8282" w14:textId="77777777" w:rsidR="00F05F4E" w:rsidRPr="00A50810" w:rsidRDefault="00F05F4E" w:rsidP="00A50810">
            <w:pPr>
              <w:rPr>
                <w:color w:val="000000"/>
                <w:sz w:val="22"/>
                <w:szCs w:val="22"/>
                <w:lang w:val="en-US"/>
              </w:rPr>
            </w:pPr>
            <w:r w:rsidRPr="00A50810">
              <w:rPr>
                <w:color w:val="000000"/>
                <w:sz w:val="22"/>
                <w:szCs w:val="22"/>
                <w:lang w:val="uk-UA"/>
              </w:rPr>
              <w:t>12,3</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0,4</w:t>
            </w:r>
          </w:p>
        </w:tc>
        <w:tc>
          <w:tcPr>
            <w:tcW w:w="597" w:type="dxa"/>
            <w:shd w:val="clear" w:color="auto" w:fill="auto"/>
            <w:vAlign w:val="bottom"/>
          </w:tcPr>
          <w:p w14:paraId="60A170CB" w14:textId="77777777" w:rsidR="00F05F4E" w:rsidRPr="00A50810" w:rsidRDefault="00F05F4E" w:rsidP="00A50810">
            <w:pPr>
              <w:rPr>
                <w:color w:val="000000"/>
                <w:sz w:val="22"/>
                <w:szCs w:val="22"/>
                <w:lang w:val="uk-UA"/>
              </w:rPr>
            </w:pPr>
            <w:r w:rsidRPr="00A50810">
              <w:rPr>
                <w:color w:val="000000"/>
                <w:sz w:val="22"/>
                <w:szCs w:val="22"/>
                <w:lang w:val="uk-UA"/>
              </w:rPr>
              <w:t>-</w:t>
            </w:r>
          </w:p>
        </w:tc>
      </w:tr>
    </w:tbl>
    <w:p w14:paraId="5BFD71C3" w14:textId="3F5FF066" w:rsidR="00352B8A" w:rsidRDefault="00F05F4E" w:rsidP="00B20467">
      <w:pPr>
        <w:ind w:left="450" w:hanging="450"/>
        <w:rPr>
          <w:lang w:val="uk-UA"/>
        </w:rPr>
      </w:pPr>
      <w:r w:rsidRPr="00F05F4E">
        <w:rPr>
          <w:lang w:val="uk-UA"/>
        </w:rPr>
        <w:t>Примітк</w:t>
      </w:r>
      <w:r w:rsidR="00B20467">
        <w:rPr>
          <w:lang w:val="uk-UA"/>
        </w:rPr>
        <w:t>и</w:t>
      </w:r>
      <w:r w:rsidRPr="00F05F4E">
        <w:rPr>
          <w:lang w:val="uk-UA"/>
        </w:rPr>
        <w:t xml:space="preserve">: </w:t>
      </w:r>
    </w:p>
    <w:p w14:paraId="34159C6D" w14:textId="77777777" w:rsidR="00352B8A" w:rsidRDefault="00352B8A" w:rsidP="00B20467">
      <w:pPr>
        <w:ind w:left="450" w:hanging="450"/>
        <w:rPr>
          <w:lang w:val="uk-UA"/>
        </w:rPr>
      </w:pPr>
      <w:r>
        <w:rPr>
          <w:lang w:val="uk-UA"/>
        </w:rPr>
        <w:t>1.</w:t>
      </w:r>
      <w:r>
        <w:rPr>
          <w:lang w:val="uk-UA"/>
        </w:rPr>
        <w:tab/>
      </w:r>
      <w:r w:rsidR="00F05F4E" w:rsidRPr="00F05F4E">
        <w:rPr>
          <w:lang w:val="uk-UA"/>
        </w:rPr>
        <w:t>* - статистично значуща різниця у порівнянні з контрольною групою (р</w:t>
      </w:r>
      <w:r w:rsidR="00F05F4E" w:rsidRPr="00F05F4E">
        <w:rPr>
          <w:lang w:val="uk-UA"/>
        </w:rPr>
        <w:sym w:font="Symbol" w:char="F03C"/>
      </w:r>
      <w:r w:rsidR="00F05F4E" w:rsidRPr="00F05F4E">
        <w:rPr>
          <w:lang w:val="uk-UA"/>
        </w:rPr>
        <w:t xml:space="preserve">0,05). </w:t>
      </w:r>
    </w:p>
    <w:p w14:paraId="39C100CB" w14:textId="5E964E3F" w:rsidR="00F05F4E" w:rsidRDefault="00352B8A" w:rsidP="00B20467">
      <w:pPr>
        <w:ind w:left="450" w:hanging="450"/>
        <w:rPr>
          <w:lang w:val="uk-UA"/>
        </w:rPr>
      </w:pPr>
      <w:r>
        <w:rPr>
          <w:lang w:val="uk-UA"/>
        </w:rPr>
        <w:t>2.</w:t>
      </w:r>
      <w:r>
        <w:rPr>
          <w:lang w:val="uk-UA"/>
        </w:rPr>
        <w:tab/>
      </w:r>
      <w:r w:rsidR="00F05F4E" w:rsidRPr="00F05F4E">
        <w:rPr>
          <w:lang w:val="uk-UA"/>
        </w:rPr>
        <w:t>** - статистично значуща різниця у порівнянні з контрольною групою (р</w:t>
      </w:r>
      <w:r w:rsidR="00F05F4E" w:rsidRPr="00F05F4E">
        <w:rPr>
          <w:lang w:val="uk-UA"/>
        </w:rPr>
        <w:sym w:font="Symbol" w:char="F03C"/>
      </w:r>
      <w:r w:rsidR="00F05F4E" w:rsidRPr="00F05F4E">
        <w:rPr>
          <w:lang w:val="uk-UA"/>
        </w:rPr>
        <w:t>0,01).</w:t>
      </w:r>
    </w:p>
    <w:p w14:paraId="4744B4E2" w14:textId="77777777" w:rsidR="00B20467" w:rsidRDefault="00B20467" w:rsidP="00B20467">
      <w:pPr>
        <w:ind w:left="450" w:hanging="450"/>
        <w:rPr>
          <w:lang w:val="uk-UA"/>
        </w:rPr>
      </w:pPr>
    </w:p>
    <w:p w14:paraId="11961181" w14:textId="6A9E10B3" w:rsidR="00F05F4E" w:rsidRPr="008A6B7D" w:rsidRDefault="00F05F4E" w:rsidP="001759D5">
      <w:pPr>
        <w:spacing w:line="360" w:lineRule="auto"/>
        <w:ind w:firstLine="567"/>
        <w:jc w:val="both"/>
        <w:rPr>
          <w:color w:val="000000" w:themeColor="text1"/>
          <w:sz w:val="28"/>
          <w:szCs w:val="28"/>
          <w:lang w:val="uk-UA"/>
        </w:rPr>
      </w:pPr>
      <w:r w:rsidRPr="008A6B7D">
        <w:rPr>
          <w:color w:val="000000" w:themeColor="text1"/>
          <w:sz w:val="28"/>
          <w:szCs w:val="28"/>
          <w:lang w:val="uk-UA"/>
        </w:rPr>
        <w:t xml:space="preserve">Вище зазначене свідчить про те, що усі ліганди комплексних сполук роблять свій внесок у сумарну протизапальну активність, при цьому найбільш  </w:t>
      </w:r>
      <w:r w:rsidRPr="008A6B7D">
        <w:rPr>
          <w:color w:val="000000" w:themeColor="text1"/>
          <w:sz w:val="28"/>
          <w:szCs w:val="28"/>
          <w:lang w:val="uk-UA"/>
        </w:rPr>
        <w:lastRenderedPageBreak/>
        <w:t>активність на моделі каррагінанового запалення проявляє саліцилова кислота і бензальдегід. За результатами проведених досліджень можливо припустити, що механізм дії досліджених комплексних сполук пов’язаний з інгібуванням циклооксигеназ.</w:t>
      </w:r>
    </w:p>
    <w:p w14:paraId="5D60ADC1" w14:textId="666F3BEB" w:rsidR="00F05F4E" w:rsidRPr="008A6B7D" w:rsidRDefault="00F05F4E" w:rsidP="00F05F4E">
      <w:pPr>
        <w:pStyle w:val="a6"/>
        <w:spacing w:before="0" w:beforeAutospacing="0" w:after="0" w:afterAutospacing="0" w:line="360" w:lineRule="auto"/>
        <w:ind w:firstLine="567"/>
        <w:jc w:val="both"/>
        <w:outlineLvl w:val="1"/>
        <w:rPr>
          <w:color w:val="000000" w:themeColor="text1"/>
          <w:sz w:val="28"/>
          <w:szCs w:val="28"/>
          <w:lang w:val="uk-UA"/>
        </w:rPr>
      </w:pPr>
      <w:r w:rsidRPr="008A6B7D">
        <w:rPr>
          <w:b/>
          <w:bCs/>
          <w:color w:val="000000" w:themeColor="text1"/>
          <w:sz w:val="28"/>
          <w:szCs w:val="28"/>
          <w:lang w:val="uk-UA"/>
        </w:rPr>
        <w:t xml:space="preserve">4.2 Дослідження протизапальної дії комплексних сполук </w:t>
      </w:r>
      <w:r w:rsidRPr="008A6B7D">
        <w:rPr>
          <w:b/>
          <w:bCs/>
          <w:color w:val="000000" w:themeColor="text1"/>
          <w:sz w:val="28"/>
          <w:szCs w:val="28"/>
          <w:lang w:val="en-US"/>
        </w:rPr>
        <w:t>Sn</w:t>
      </w:r>
      <w:r w:rsidR="00C57D1F" w:rsidRPr="008A6B7D">
        <w:rPr>
          <w:b/>
          <w:bCs/>
          <w:color w:val="000000" w:themeColor="text1"/>
          <w:sz w:val="28"/>
          <w:szCs w:val="28"/>
          <w:lang w:val="uk-UA"/>
        </w:rPr>
        <w:t xml:space="preserve"> (</w:t>
      </w:r>
      <w:r w:rsidR="00C57D1F" w:rsidRPr="008A6B7D">
        <w:rPr>
          <w:b/>
          <w:bCs/>
          <w:color w:val="000000" w:themeColor="text1"/>
          <w:sz w:val="28"/>
          <w:szCs w:val="28"/>
          <w:lang w:val="en-US"/>
        </w:rPr>
        <w:t>IV</w:t>
      </w:r>
      <w:r w:rsidR="00C57D1F" w:rsidRPr="008A6B7D">
        <w:rPr>
          <w:b/>
          <w:bCs/>
          <w:color w:val="000000" w:themeColor="text1"/>
          <w:sz w:val="28"/>
          <w:szCs w:val="28"/>
          <w:lang w:val="uk-UA"/>
        </w:rPr>
        <w:t>)</w:t>
      </w:r>
      <w:r w:rsidRPr="008A6B7D">
        <w:rPr>
          <w:b/>
          <w:bCs/>
          <w:color w:val="000000" w:themeColor="text1"/>
          <w:sz w:val="28"/>
          <w:szCs w:val="28"/>
          <w:lang w:val="uk-UA"/>
        </w:rPr>
        <w:t xml:space="preserve"> з саліцилоїлгідразонами бензальдегід</w:t>
      </w:r>
      <w:r w:rsidR="00C57D1F" w:rsidRPr="008A6B7D">
        <w:rPr>
          <w:b/>
          <w:bCs/>
          <w:color w:val="000000" w:themeColor="text1"/>
          <w:sz w:val="28"/>
          <w:szCs w:val="28"/>
          <w:lang w:val="uk-UA"/>
        </w:rPr>
        <w:t>ів</w:t>
      </w:r>
      <w:r w:rsidRPr="008A6B7D">
        <w:rPr>
          <w:b/>
          <w:bCs/>
          <w:color w:val="000000" w:themeColor="text1"/>
          <w:sz w:val="28"/>
          <w:szCs w:val="28"/>
          <w:lang w:val="uk-UA"/>
        </w:rPr>
        <w:t xml:space="preserve"> на моделі гістамінового запалення.</w:t>
      </w:r>
    </w:p>
    <w:p w14:paraId="60F6BFFF" w14:textId="38396FCB" w:rsidR="00F05F4E" w:rsidRPr="008A6B7D" w:rsidRDefault="00F05F4E" w:rsidP="00F05F4E">
      <w:pPr>
        <w:pStyle w:val="a6"/>
        <w:spacing w:before="0" w:beforeAutospacing="0" w:after="0" w:afterAutospacing="0" w:line="360" w:lineRule="auto"/>
        <w:ind w:firstLine="567"/>
        <w:jc w:val="both"/>
        <w:rPr>
          <w:color w:val="000000" w:themeColor="text1"/>
          <w:sz w:val="28"/>
          <w:szCs w:val="28"/>
          <w:lang w:val="uk-UA"/>
        </w:rPr>
      </w:pPr>
      <w:r w:rsidRPr="008A6B7D">
        <w:rPr>
          <w:color w:val="000000" w:themeColor="text1"/>
          <w:sz w:val="28"/>
          <w:szCs w:val="28"/>
          <w:lang w:val="uk-UA"/>
        </w:rPr>
        <w:t>Модель гістамінового запалення є гострим запальним процесом, що швидко розвивається. Так, вже через годину після введення флогогену відбувається розвиток гострої місцевої запальної реакції, що супроводжується почервонінням, набряком та больовим синдромом [2</w:t>
      </w:r>
      <w:r w:rsidR="00390008" w:rsidRPr="008A6B7D">
        <w:rPr>
          <w:color w:val="000000" w:themeColor="text1"/>
          <w:sz w:val="28"/>
          <w:szCs w:val="28"/>
          <w:lang w:val="uk-UA"/>
        </w:rPr>
        <w:t>0</w:t>
      </w:r>
      <w:r w:rsidR="00FE60C3" w:rsidRPr="008A6B7D">
        <w:rPr>
          <w:color w:val="000000" w:themeColor="text1"/>
          <w:sz w:val="28"/>
          <w:szCs w:val="28"/>
          <w:lang w:val="uk-UA"/>
        </w:rPr>
        <w:t>3</w:t>
      </w:r>
      <w:r w:rsidRPr="008A6B7D">
        <w:rPr>
          <w:color w:val="000000" w:themeColor="text1"/>
          <w:sz w:val="28"/>
          <w:szCs w:val="28"/>
          <w:lang w:val="uk-UA"/>
        </w:rPr>
        <w:t>].</w:t>
      </w:r>
    </w:p>
    <w:p w14:paraId="75308648" w14:textId="0E82A0AE" w:rsidR="00F05F4E" w:rsidRPr="008A6B7D" w:rsidRDefault="00F05F4E" w:rsidP="00F05F4E">
      <w:pPr>
        <w:pStyle w:val="a6"/>
        <w:spacing w:before="0" w:beforeAutospacing="0" w:after="0" w:afterAutospacing="0" w:line="360" w:lineRule="auto"/>
        <w:ind w:firstLine="709"/>
        <w:jc w:val="both"/>
        <w:rPr>
          <w:color w:val="000000" w:themeColor="text1"/>
          <w:sz w:val="28"/>
          <w:szCs w:val="28"/>
          <w:lang w:val="uk-UA"/>
        </w:rPr>
      </w:pPr>
      <w:r w:rsidRPr="008A6B7D">
        <w:rPr>
          <w:color w:val="000000" w:themeColor="text1"/>
          <w:sz w:val="28"/>
          <w:szCs w:val="28"/>
          <w:lang w:val="uk-UA"/>
        </w:rPr>
        <w:t>Гістамін є біогенним аміном і завдяки його специфічним мембранним рецепторам H1, H2, H3 і H4 відіграє важливу роль у фізіологічних та патологічних процесах, таких як секреція шлункової кислоти, скорочення гладкої мускулатури, нейротрансмісія, імуномодуляція, ангіогенез та алергічні реакції [2</w:t>
      </w:r>
      <w:r w:rsidR="00FE60C3" w:rsidRPr="008A6B7D">
        <w:rPr>
          <w:color w:val="000000" w:themeColor="text1"/>
          <w:sz w:val="28"/>
          <w:szCs w:val="28"/>
          <w:lang w:val="uk-UA"/>
        </w:rPr>
        <w:t>04</w:t>
      </w:r>
      <w:r w:rsidRPr="008A6B7D">
        <w:rPr>
          <w:color w:val="000000" w:themeColor="text1"/>
          <w:sz w:val="28"/>
          <w:szCs w:val="28"/>
          <w:lang w:val="uk-UA"/>
        </w:rPr>
        <w:t xml:space="preserve">]. </w:t>
      </w:r>
    </w:p>
    <w:p w14:paraId="619C6088" w14:textId="6D978CDB" w:rsidR="00F05F4E" w:rsidRPr="008A6B7D" w:rsidRDefault="00F05F4E" w:rsidP="00F05F4E">
      <w:pPr>
        <w:pStyle w:val="a6"/>
        <w:spacing w:before="0" w:beforeAutospacing="0" w:after="0" w:afterAutospacing="0" w:line="360" w:lineRule="auto"/>
        <w:ind w:firstLine="709"/>
        <w:jc w:val="both"/>
        <w:rPr>
          <w:color w:val="000000" w:themeColor="text1"/>
          <w:sz w:val="28"/>
          <w:szCs w:val="28"/>
          <w:lang w:val="uk-UA"/>
        </w:rPr>
      </w:pPr>
      <w:r w:rsidRPr="008A6B7D">
        <w:rPr>
          <w:color w:val="000000" w:themeColor="text1"/>
          <w:sz w:val="28"/>
          <w:szCs w:val="28"/>
          <w:lang w:val="uk-UA"/>
        </w:rPr>
        <w:t>Відомо, що запальні стани в основному опосередковуються активацією гістамінового рецептора H1. Гістамін є потужним медіатором запалення, зазвичай пов’язаним з алергічними реакціями, бере участь у локальних запальних реакціях шляхом активації вазодилатації, судинної проникності, утворення набряків, поліморфноядерної інфільтрації лейкоцитів та вивільнення цитокінів [</w:t>
      </w:r>
      <w:r w:rsidR="00390008" w:rsidRPr="008A6B7D">
        <w:rPr>
          <w:color w:val="000000" w:themeColor="text1"/>
          <w:sz w:val="28"/>
          <w:szCs w:val="28"/>
          <w:lang w:val="uk-UA"/>
        </w:rPr>
        <w:t>20</w:t>
      </w:r>
      <w:r w:rsidR="00FE60C3" w:rsidRPr="008A6B7D">
        <w:rPr>
          <w:color w:val="000000" w:themeColor="text1"/>
          <w:sz w:val="28"/>
          <w:szCs w:val="28"/>
          <w:lang w:val="uk-UA"/>
        </w:rPr>
        <w:t>3</w:t>
      </w:r>
      <w:r w:rsidRPr="008A6B7D">
        <w:rPr>
          <w:color w:val="000000" w:themeColor="text1"/>
          <w:sz w:val="28"/>
          <w:szCs w:val="28"/>
          <w:lang w:val="uk-UA"/>
        </w:rPr>
        <w:t xml:space="preserve">]. </w:t>
      </w:r>
    </w:p>
    <w:p w14:paraId="47301C4B" w14:textId="4B586C3B" w:rsidR="00F05F4E" w:rsidRPr="00F24BC1" w:rsidRDefault="00F05F4E" w:rsidP="00F05F4E">
      <w:pPr>
        <w:pStyle w:val="a6"/>
        <w:spacing w:before="0" w:beforeAutospacing="0" w:after="0" w:afterAutospacing="0" w:line="360" w:lineRule="auto"/>
        <w:ind w:firstLine="567"/>
        <w:jc w:val="both"/>
        <w:rPr>
          <w:sz w:val="28"/>
          <w:szCs w:val="28"/>
          <w:lang w:val="uk-UA"/>
        </w:rPr>
      </w:pPr>
      <w:r w:rsidRPr="008A6B7D">
        <w:rPr>
          <w:color w:val="000000" w:themeColor="text1"/>
          <w:sz w:val="28"/>
          <w:szCs w:val="28"/>
          <w:lang w:val="uk-UA"/>
        </w:rPr>
        <w:t xml:space="preserve">Дані, представлені на рис. 4.2.1. та рис 4.2.2. свідчать, що комплексні сполуки I і II мають виразну протизапальну дію на моделі гістамінового запалення. Так, через годину після початку експерименту приріст об’єму запаленої кінцівки після перорального введення комплексної сполуки II склав всього 9%, а вже через три години дані сягнули контрольних показників, що свідчить про її високу протизапальну активність. При вивченні внеску ліганду 4-бромбензальдегіду в протизапальну активність комплексної сполуки ІІ, було показано його значний протизапальний ефект у порівнянні із контролем. Динаміка зміни об’єму запалених кінцівок статистично відрізнялася від </w:t>
      </w:r>
      <w:r w:rsidRPr="008A6B7D">
        <w:rPr>
          <w:color w:val="000000" w:themeColor="text1"/>
          <w:sz w:val="28"/>
          <w:szCs w:val="28"/>
          <w:lang w:val="uk-UA"/>
        </w:rPr>
        <w:lastRenderedPageBreak/>
        <w:t xml:space="preserve">контролю. Так, через годину після введення флогогену об’єм запаленої кінцівки був менше показників контрольної групи на 28%, а через три години показники сягнули даних об’єму контрольної групи. Протизапальна </w:t>
      </w:r>
      <w:r w:rsidRPr="00F24BC1">
        <w:rPr>
          <w:sz w:val="28"/>
          <w:szCs w:val="28"/>
          <w:lang w:val="uk-UA"/>
        </w:rPr>
        <w:t xml:space="preserve">ефективність 4-бромбензальдегіду статистично відрізняється від ефективності комплексної сполуки ІІ (рис </w:t>
      </w:r>
      <w:r>
        <w:rPr>
          <w:sz w:val="28"/>
          <w:szCs w:val="28"/>
          <w:lang w:val="uk-UA"/>
        </w:rPr>
        <w:t>4</w:t>
      </w:r>
      <w:r w:rsidRPr="00F24BC1">
        <w:rPr>
          <w:sz w:val="28"/>
          <w:szCs w:val="28"/>
          <w:lang w:val="uk-UA"/>
        </w:rPr>
        <w:t>.2.1.).</w:t>
      </w:r>
    </w:p>
    <w:p w14:paraId="1BBA4FC0" w14:textId="77777777" w:rsidR="00F05F4E" w:rsidRPr="00F24BC1" w:rsidRDefault="00F05F4E" w:rsidP="00F05F4E">
      <w:pPr>
        <w:pStyle w:val="a6"/>
        <w:spacing w:before="0" w:beforeAutospacing="0" w:after="0" w:afterAutospacing="0" w:line="360" w:lineRule="auto"/>
        <w:jc w:val="center"/>
        <w:rPr>
          <w:sz w:val="28"/>
          <w:szCs w:val="28"/>
          <w:lang w:val="uk-UA"/>
        </w:rPr>
      </w:pPr>
      <w:r w:rsidRPr="006D1679">
        <w:rPr>
          <w:noProof/>
          <w:sz w:val="28"/>
          <w:szCs w:val="28"/>
          <w:lang w:val="en-US" w:eastAsia="en-US"/>
        </w:rPr>
        <w:drawing>
          <wp:inline distT="0" distB="0" distL="0" distR="0" wp14:anchorId="14787319" wp14:editId="43CD090E">
            <wp:extent cx="4644189" cy="2658979"/>
            <wp:effectExtent l="0" t="0" r="4445" b="0"/>
            <wp:docPr id="9" name="Рисунок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1733" cy="2674749"/>
                    </a:xfrm>
                    <a:prstGeom prst="rect">
                      <a:avLst/>
                    </a:prstGeom>
                    <a:noFill/>
                    <a:ln>
                      <a:noFill/>
                    </a:ln>
                  </pic:spPr>
                </pic:pic>
              </a:graphicData>
            </a:graphic>
          </wp:inline>
        </w:drawing>
      </w:r>
    </w:p>
    <w:p w14:paraId="55923ECF" w14:textId="031703ED" w:rsidR="00F05F4E" w:rsidRPr="00F24BC1" w:rsidRDefault="00F05F4E" w:rsidP="00F05F4E">
      <w:pPr>
        <w:spacing w:line="360" w:lineRule="auto"/>
        <w:ind w:firstLine="630"/>
        <w:jc w:val="both"/>
        <w:rPr>
          <w:sz w:val="28"/>
          <w:szCs w:val="28"/>
        </w:rPr>
      </w:pPr>
      <w:r w:rsidRPr="00F24BC1">
        <w:rPr>
          <w:sz w:val="28"/>
          <w:szCs w:val="28"/>
          <w:lang w:val="uk-UA"/>
        </w:rPr>
        <w:t xml:space="preserve">Рис. </w:t>
      </w:r>
      <w:r>
        <w:rPr>
          <w:sz w:val="28"/>
          <w:szCs w:val="28"/>
          <w:lang w:val="uk-UA"/>
        </w:rPr>
        <w:t>4</w:t>
      </w:r>
      <w:r w:rsidRPr="00F24BC1">
        <w:rPr>
          <w:sz w:val="28"/>
          <w:szCs w:val="28"/>
          <w:lang w:val="uk-UA"/>
        </w:rPr>
        <w:t xml:space="preserve">.2.1 Протизапальна активність комплексної сполуки ІІ при пероральному введенні </w:t>
      </w:r>
      <w:r>
        <w:rPr>
          <w:sz w:val="28"/>
          <w:szCs w:val="28"/>
          <w:lang w:val="uk-UA"/>
        </w:rPr>
        <w:t xml:space="preserve">на моделі гістамін-індукованого запалення </w:t>
      </w:r>
      <w:r w:rsidRPr="00F24BC1">
        <w:rPr>
          <w:sz w:val="28"/>
          <w:szCs w:val="28"/>
          <w:lang w:val="uk-UA"/>
        </w:rPr>
        <w:t>(об’єм запалених кінцівок щурів, у % до контрольної групи, (М</w:t>
      </w:r>
      <w:r w:rsidRPr="00F24BC1">
        <w:rPr>
          <w:color w:val="4D5156"/>
          <w:sz w:val="28"/>
          <w:szCs w:val="28"/>
        </w:rPr>
        <w:t>±</w:t>
      </w:r>
      <w:r w:rsidRPr="00F24BC1">
        <w:rPr>
          <w:sz w:val="28"/>
          <w:szCs w:val="28"/>
          <w:lang w:val="en-US"/>
        </w:rPr>
        <w:t>m</w:t>
      </w:r>
      <w:r w:rsidRPr="00F24BC1">
        <w:rPr>
          <w:sz w:val="28"/>
          <w:szCs w:val="28"/>
        </w:rPr>
        <w:t xml:space="preserve">, </w:t>
      </w:r>
      <w:r w:rsidRPr="00F24BC1">
        <w:rPr>
          <w:sz w:val="28"/>
          <w:szCs w:val="28"/>
          <w:lang w:val="en-US"/>
        </w:rPr>
        <w:t>n</w:t>
      </w:r>
      <w:r w:rsidRPr="00F24BC1">
        <w:rPr>
          <w:sz w:val="28"/>
          <w:szCs w:val="28"/>
        </w:rPr>
        <w:t>=</w:t>
      </w:r>
      <w:r w:rsidRPr="00F24BC1">
        <w:rPr>
          <w:sz w:val="28"/>
          <w:szCs w:val="28"/>
          <w:lang w:val="uk-UA"/>
        </w:rPr>
        <w:t>5</w:t>
      </w:r>
      <w:r w:rsidRPr="00F24BC1">
        <w:rPr>
          <w:sz w:val="28"/>
          <w:szCs w:val="28"/>
        </w:rPr>
        <w:t>)</w:t>
      </w:r>
    </w:p>
    <w:p w14:paraId="66805EAB" w14:textId="77777777" w:rsidR="00F05F4E" w:rsidRPr="008A6B7D" w:rsidRDefault="00F05F4E" w:rsidP="00352B8A">
      <w:pPr>
        <w:spacing w:line="360" w:lineRule="auto"/>
        <w:ind w:left="450" w:hanging="450"/>
        <w:jc w:val="both"/>
        <w:rPr>
          <w:lang w:val="uk-UA"/>
        </w:rPr>
      </w:pPr>
      <w:r w:rsidRPr="008A6B7D">
        <w:rPr>
          <w:lang w:val="uk-UA"/>
        </w:rPr>
        <w:t xml:space="preserve">Примітки: </w:t>
      </w:r>
    </w:p>
    <w:p w14:paraId="65BCAD4C" w14:textId="77777777" w:rsidR="00F05F4E" w:rsidRPr="008A6B7D" w:rsidRDefault="00F05F4E" w:rsidP="00352B8A">
      <w:pPr>
        <w:numPr>
          <w:ilvl w:val="6"/>
          <w:numId w:val="18"/>
        </w:numPr>
        <w:ind w:left="450" w:hanging="450"/>
        <w:jc w:val="both"/>
      </w:pPr>
      <w:r w:rsidRPr="008A6B7D">
        <w:t>*</w:t>
      </w:r>
      <w:r w:rsidRPr="008A6B7D">
        <w:rPr>
          <w:lang w:val="uk-UA"/>
        </w:rPr>
        <w:t xml:space="preserve"> </w:t>
      </w:r>
      <w:r w:rsidRPr="008A6B7D">
        <w:t>-</w:t>
      </w:r>
      <w:r w:rsidRPr="008A6B7D">
        <w:rPr>
          <w:lang w:val="uk-UA"/>
        </w:rPr>
        <w:t xml:space="preserve"> </w:t>
      </w:r>
      <w:r w:rsidRPr="008A6B7D">
        <w:rPr>
          <w:lang w:val="en-US"/>
        </w:rPr>
        <w:t>p</w:t>
      </w:r>
      <w:r w:rsidRPr="008A6B7D">
        <w:rPr>
          <w:lang w:val="en-US"/>
        </w:rPr>
        <w:sym w:font="Symbol" w:char="F03C"/>
      </w:r>
      <w:r w:rsidRPr="008A6B7D">
        <w:t>0,05 (</w:t>
      </w:r>
      <w:r w:rsidRPr="008A6B7D">
        <w:rPr>
          <w:lang w:val="uk-UA"/>
        </w:rPr>
        <w:t>статистично значуща різниця у порівнянні з контрольною групою</w:t>
      </w:r>
      <w:r w:rsidRPr="008A6B7D">
        <w:t xml:space="preserve">). </w:t>
      </w:r>
    </w:p>
    <w:p w14:paraId="12511B06" w14:textId="77777777" w:rsidR="00F05F4E" w:rsidRPr="008A6B7D" w:rsidRDefault="00F05F4E" w:rsidP="00352B8A">
      <w:pPr>
        <w:numPr>
          <w:ilvl w:val="6"/>
          <w:numId w:val="18"/>
        </w:numPr>
        <w:ind w:left="450" w:hanging="450"/>
        <w:jc w:val="both"/>
      </w:pPr>
      <w:r w:rsidRPr="008A6B7D">
        <w:t>**</w:t>
      </w:r>
      <w:r w:rsidRPr="008A6B7D">
        <w:rPr>
          <w:lang w:val="uk-UA"/>
        </w:rPr>
        <w:t xml:space="preserve"> -</w:t>
      </w:r>
      <w:r w:rsidRPr="008A6B7D">
        <w:t xml:space="preserve"> </w:t>
      </w:r>
      <w:r w:rsidRPr="008A6B7D">
        <w:rPr>
          <w:lang w:val="uk-UA"/>
        </w:rPr>
        <w:t>р</w:t>
      </w:r>
      <w:r w:rsidRPr="008A6B7D">
        <w:rPr>
          <w:lang w:val="uk-UA"/>
        </w:rPr>
        <w:sym w:font="Symbol" w:char="F03C"/>
      </w:r>
      <w:r w:rsidRPr="008A6B7D">
        <w:rPr>
          <w:lang w:val="uk-UA"/>
        </w:rPr>
        <w:t xml:space="preserve">0,01 </w:t>
      </w:r>
      <w:r w:rsidRPr="008A6B7D">
        <w:t>(</w:t>
      </w:r>
      <w:r w:rsidRPr="008A6B7D">
        <w:rPr>
          <w:lang w:val="uk-UA"/>
        </w:rPr>
        <w:t>статистично значуща різниця у порівнянні з контрольною групою).</w:t>
      </w:r>
    </w:p>
    <w:p w14:paraId="4C86638F" w14:textId="77777777" w:rsidR="00F05F4E" w:rsidRPr="008A6B7D" w:rsidRDefault="00F05F4E" w:rsidP="00352B8A">
      <w:pPr>
        <w:numPr>
          <w:ilvl w:val="6"/>
          <w:numId w:val="18"/>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0,05 (у порівнянні із комплексною сполукою ІІ).</w:t>
      </w:r>
    </w:p>
    <w:p w14:paraId="5AA64F7F" w14:textId="77777777" w:rsidR="00F05F4E" w:rsidRPr="008A6B7D" w:rsidRDefault="00F05F4E" w:rsidP="00352B8A">
      <w:pPr>
        <w:numPr>
          <w:ilvl w:val="6"/>
          <w:numId w:val="18"/>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0,05 (у порівнянні із комплексною сполукою ІІ).</w:t>
      </w:r>
    </w:p>
    <w:p w14:paraId="3944A037" w14:textId="77777777" w:rsidR="00F05F4E" w:rsidRPr="008A6B7D" w:rsidRDefault="00F05F4E" w:rsidP="00352B8A">
      <w:pPr>
        <w:numPr>
          <w:ilvl w:val="6"/>
          <w:numId w:val="18"/>
        </w:numPr>
        <w:ind w:left="450" w:hanging="450"/>
        <w:jc w:val="both"/>
        <w:rPr>
          <w:lang w:val="uk-UA"/>
        </w:rPr>
      </w:pPr>
      <w:r w:rsidRPr="008A6B7D">
        <w:rPr>
          <w:rFonts w:eastAsia="Calibri"/>
        </w:rPr>
        <w:t xml:space="preserve">n </w:t>
      </w:r>
      <w:r w:rsidRPr="008A6B7D">
        <w:t>–</w:t>
      </w:r>
      <w:r w:rsidRPr="008A6B7D">
        <w:rPr>
          <w:rFonts w:eastAsia="Calibri"/>
        </w:rPr>
        <w:t xml:space="preserve"> кількість тварин у групі.</w:t>
      </w:r>
    </w:p>
    <w:p w14:paraId="18C33919" w14:textId="77777777" w:rsidR="00F05F4E" w:rsidRPr="00F05F4E" w:rsidRDefault="00F05F4E" w:rsidP="00F05F4E">
      <w:pPr>
        <w:ind w:left="880"/>
        <w:jc w:val="both"/>
        <w:rPr>
          <w:sz w:val="28"/>
          <w:szCs w:val="28"/>
          <w:lang w:val="uk-UA"/>
        </w:rPr>
      </w:pPr>
    </w:p>
    <w:p w14:paraId="147222C4" w14:textId="2FB1F93B" w:rsidR="00F05F4E" w:rsidRPr="00F24BC1" w:rsidRDefault="00F05F4E" w:rsidP="00F05F4E">
      <w:pPr>
        <w:pStyle w:val="a6"/>
        <w:spacing w:before="0" w:beforeAutospacing="0" w:after="0" w:afterAutospacing="0" w:line="360" w:lineRule="auto"/>
        <w:ind w:firstLine="630"/>
        <w:jc w:val="both"/>
        <w:rPr>
          <w:sz w:val="28"/>
          <w:szCs w:val="28"/>
        </w:rPr>
      </w:pPr>
      <w:r w:rsidRPr="00F24BC1">
        <w:rPr>
          <w:sz w:val="28"/>
          <w:szCs w:val="28"/>
          <w:lang w:val="uk-UA"/>
        </w:rPr>
        <w:t>На моделі гістамінового запалення бензальдегід також прояв</w:t>
      </w:r>
      <w:r>
        <w:rPr>
          <w:sz w:val="28"/>
          <w:szCs w:val="28"/>
          <w:lang w:val="uk-UA"/>
        </w:rPr>
        <w:t>ляв</w:t>
      </w:r>
      <w:r w:rsidRPr="00F24BC1">
        <w:rPr>
          <w:sz w:val="28"/>
          <w:szCs w:val="28"/>
          <w:lang w:val="uk-UA"/>
        </w:rPr>
        <w:t xml:space="preserve"> виразну протизапальну активність, через годину після початку експерименту приріст об’єму запаленої</w:t>
      </w:r>
      <w:r w:rsidRPr="00F24BC1">
        <w:rPr>
          <w:sz w:val="28"/>
          <w:szCs w:val="28"/>
        </w:rPr>
        <w:t xml:space="preserve"> </w:t>
      </w:r>
      <w:r w:rsidRPr="00F24BC1">
        <w:rPr>
          <w:sz w:val="28"/>
          <w:szCs w:val="28"/>
          <w:lang w:val="uk-UA"/>
        </w:rPr>
        <w:t xml:space="preserve">кінцівки при пероральному введенні бензальдегіду склав лише 15%, а через три години показники об’єму сягнули контрольних значень (рис </w:t>
      </w:r>
      <w:r>
        <w:rPr>
          <w:sz w:val="28"/>
          <w:szCs w:val="28"/>
          <w:lang w:val="uk-UA"/>
        </w:rPr>
        <w:t>4</w:t>
      </w:r>
      <w:r w:rsidRPr="00F24BC1">
        <w:rPr>
          <w:sz w:val="28"/>
          <w:szCs w:val="28"/>
          <w:lang w:val="uk-UA"/>
        </w:rPr>
        <w:t>.2.2.).</w:t>
      </w:r>
    </w:p>
    <w:p w14:paraId="79AC72E5" w14:textId="46B69549" w:rsidR="00F05F4E" w:rsidRPr="00F24BC1" w:rsidRDefault="00F05F4E" w:rsidP="00F05F4E">
      <w:pPr>
        <w:spacing w:line="360" w:lineRule="auto"/>
        <w:ind w:firstLine="567"/>
        <w:jc w:val="both"/>
        <w:rPr>
          <w:sz w:val="28"/>
          <w:szCs w:val="28"/>
          <w:lang w:val="uk-UA"/>
        </w:rPr>
      </w:pPr>
      <w:r>
        <w:rPr>
          <w:sz w:val="28"/>
          <w:szCs w:val="28"/>
          <w:lang w:val="uk-UA"/>
        </w:rPr>
        <w:t>Ч</w:t>
      </w:r>
      <w:r w:rsidRPr="00DA77E4">
        <w:rPr>
          <w:sz w:val="28"/>
          <w:szCs w:val="28"/>
          <w:lang w:val="uk-UA"/>
        </w:rPr>
        <w:t>ерез годину після введення флогогену об’єм запаленої</w:t>
      </w:r>
      <w:r w:rsidRPr="00DA77E4">
        <w:rPr>
          <w:sz w:val="28"/>
          <w:szCs w:val="28"/>
        </w:rPr>
        <w:t xml:space="preserve"> </w:t>
      </w:r>
      <w:r w:rsidRPr="00DA77E4">
        <w:rPr>
          <w:sz w:val="28"/>
          <w:szCs w:val="28"/>
          <w:lang w:val="uk-UA"/>
        </w:rPr>
        <w:t xml:space="preserve">кінцівки </w:t>
      </w:r>
      <w:r>
        <w:rPr>
          <w:sz w:val="28"/>
          <w:szCs w:val="28"/>
          <w:lang w:val="uk-UA"/>
        </w:rPr>
        <w:t>у групі, що отримувала емульсійний розчин с</w:t>
      </w:r>
      <w:r w:rsidRPr="00DA77E4">
        <w:rPr>
          <w:sz w:val="28"/>
          <w:szCs w:val="28"/>
          <w:lang w:val="uk-UA"/>
        </w:rPr>
        <w:t>аліцилов</w:t>
      </w:r>
      <w:r>
        <w:rPr>
          <w:sz w:val="28"/>
          <w:szCs w:val="28"/>
          <w:lang w:val="uk-UA"/>
        </w:rPr>
        <w:t>ої</w:t>
      </w:r>
      <w:r w:rsidRPr="00DA77E4">
        <w:rPr>
          <w:sz w:val="28"/>
          <w:szCs w:val="28"/>
          <w:lang w:val="uk-UA"/>
        </w:rPr>
        <w:t xml:space="preserve"> кислот</w:t>
      </w:r>
      <w:r>
        <w:rPr>
          <w:sz w:val="28"/>
          <w:szCs w:val="28"/>
          <w:lang w:val="uk-UA"/>
        </w:rPr>
        <w:t xml:space="preserve">и, </w:t>
      </w:r>
      <w:r w:rsidRPr="00DA77E4">
        <w:rPr>
          <w:sz w:val="28"/>
          <w:szCs w:val="28"/>
          <w:lang w:val="uk-UA"/>
        </w:rPr>
        <w:t xml:space="preserve">був нижчими за показники контрольної групи на 14%, проте вже через 2 години після початку </w:t>
      </w:r>
      <w:r w:rsidRPr="00DA77E4">
        <w:rPr>
          <w:sz w:val="28"/>
          <w:szCs w:val="28"/>
          <w:lang w:val="uk-UA"/>
        </w:rPr>
        <w:lastRenderedPageBreak/>
        <w:t xml:space="preserve">експерименту показники стрімко знизилися і практично не відрізнялися від контролю (рис </w:t>
      </w:r>
      <w:r>
        <w:rPr>
          <w:sz w:val="28"/>
          <w:szCs w:val="28"/>
          <w:lang w:val="uk-UA"/>
        </w:rPr>
        <w:t>4</w:t>
      </w:r>
      <w:r w:rsidRPr="00DA77E4">
        <w:rPr>
          <w:sz w:val="28"/>
          <w:szCs w:val="28"/>
          <w:lang w:val="uk-UA"/>
        </w:rPr>
        <w:t>.2.2).</w:t>
      </w:r>
    </w:p>
    <w:p w14:paraId="53719F99" w14:textId="490491FD" w:rsidR="008A6B7D" w:rsidRPr="00F24BC1" w:rsidRDefault="00F05F4E" w:rsidP="008A6B7D">
      <w:pPr>
        <w:spacing w:line="360" w:lineRule="auto"/>
        <w:ind w:firstLine="567"/>
        <w:jc w:val="both"/>
        <w:rPr>
          <w:sz w:val="28"/>
          <w:szCs w:val="28"/>
          <w:lang w:val="uk-UA"/>
        </w:rPr>
      </w:pPr>
      <w:r w:rsidRPr="00F24BC1">
        <w:rPr>
          <w:sz w:val="28"/>
          <w:szCs w:val="28"/>
          <w:lang w:val="uk-UA"/>
        </w:rPr>
        <w:t xml:space="preserve">Протизапальна активність комплексної сполуки I не має достовірних статистичних відмінностей від показників комплексної сполуки II, так, через 6 годин після початку експерименту показники об’єму запалених кінцівок досягли контрольних (рис. </w:t>
      </w:r>
      <w:r>
        <w:rPr>
          <w:sz w:val="28"/>
          <w:szCs w:val="28"/>
          <w:lang w:val="uk-UA"/>
        </w:rPr>
        <w:t>4</w:t>
      </w:r>
      <w:r w:rsidRPr="00F24BC1">
        <w:rPr>
          <w:sz w:val="28"/>
          <w:szCs w:val="28"/>
          <w:lang w:val="uk-UA"/>
        </w:rPr>
        <w:t xml:space="preserve">.2.1., </w:t>
      </w:r>
      <w:r>
        <w:rPr>
          <w:sz w:val="28"/>
          <w:szCs w:val="28"/>
          <w:lang w:val="uk-UA"/>
        </w:rPr>
        <w:t>4</w:t>
      </w:r>
      <w:r w:rsidRPr="00F24BC1">
        <w:rPr>
          <w:sz w:val="28"/>
          <w:szCs w:val="28"/>
          <w:lang w:val="uk-UA"/>
        </w:rPr>
        <w:t xml:space="preserve">.2.2). </w:t>
      </w:r>
    </w:p>
    <w:p w14:paraId="6718AC7D" w14:textId="77777777" w:rsidR="00F05F4E" w:rsidRPr="00F24BC1" w:rsidRDefault="00F05F4E" w:rsidP="00F05F4E">
      <w:pPr>
        <w:spacing w:line="360" w:lineRule="auto"/>
        <w:jc w:val="center"/>
        <w:rPr>
          <w:sz w:val="28"/>
          <w:szCs w:val="28"/>
          <w:lang w:val="uk-UA"/>
        </w:rPr>
      </w:pPr>
      <w:r w:rsidRPr="006D1679">
        <w:rPr>
          <w:noProof/>
          <w:sz w:val="28"/>
          <w:szCs w:val="28"/>
          <w:lang w:val="en-US" w:eastAsia="en-US"/>
        </w:rPr>
        <w:drawing>
          <wp:inline distT="0" distB="0" distL="0" distR="0" wp14:anchorId="30697320" wp14:editId="1D436E0A">
            <wp:extent cx="4547870" cy="3043989"/>
            <wp:effectExtent l="0" t="0" r="0" b="4445"/>
            <wp:docPr id="4" name="Рисунок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9292" cy="3058327"/>
                    </a:xfrm>
                    <a:prstGeom prst="rect">
                      <a:avLst/>
                    </a:prstGeom>
                    <a:noFill/>
                    <a:ln>
                      <a:noFill/>
                    </a:ln>
                  </pic:spPr>
                </pic:pic>
              </a:graphicData>
            </a:graphic>
          </wp:inline>
        </w:drawing>
      </w:r>
    </w:p>
    <w:p w14:paraId="389E2BB3" w14:textId="02FE9A88" w:rsidR="00F05F4E" w:rsidRPr="00F24BC1" w:rsidRDefault="00F05F4E" w:rsidP="00F05F4E">
      <w:pPr>
        <w:spacing w:line="360" w:lineRule="auto"/>
        <w:ind w:firstLine="630"/>
        <w:jc w:val="both"/>
        <w:rPr>
          <w:sz w:val="28"/>
          <w:szCs w:val="28"/>
          <w:lang w:val="uk-UA"/>
        </w:rPr>
      </w:pPr>
      <w:r w:rsidRPr="00F24BC1">
        <w:rPr>
          <w:sz w:val="28"/>
          <w:szCs w:val="28"/>
          <w:lang w:val="uk-UA"/>
        </w:rPr>
        <w:t xml:space="preserve">Рис. </w:t>
      </w:r>
      <w:r>
        <w:rPr>
          <w:sz w:val="28"/>
          <w:szCs w:val="28"/>
          <w:lang w:val="uk-UA"/>
        </w:rPr>
        <w:t>4</w:t>
      </w:r>
      <w:r w:rsidRPr="00F24BC1">
        <w:rPr>
          <w:sz w:val="28"/>
          <w:szCs w:val="28"/>
          <w:lang w:val="uk-UA"/>
        </w:rPr>
        <w:t>.2.2 Протизапальна активність комплексної сполуки І при пероральному введенні (об’єм запалених кінцівок щурів, у % до контрольної групи, (М</w:t>
      </w:r>
      <w:r w:rsidRPr="00F24BC1">
        <w:rPr>
          <w:color w:val="4D5156"/>
          <w:sz w:val="28"/>
          <w:szCs w:val="28"/>
        </w:rPr>
        <w:t>±</w:t>
      </w:r>
      <w:r w:rsidRPr="00F24BC1">
        <w:rPr>
          <w:sz w:val="28"/>
          <w:szCs w:val="28"/>
          <w:lang w:val="en-US"/>
        </w:rPr>
        <w:t>m</w:t>
      </w:r>
      <w:r w:rsidRPr="00F24BC1">
        <w:rPr>
          <w:sz w:val="28"/>
          <w:szCs w:val="28"/>
        </w:rPr>
        <w:t xml:space="preserve">, </w:t>
      </w:r>
      <w:r w:rsidRPr="00F24BC1">
        <w:rPr>
          <w:sz w:val="28"/>
          <w:szCs w:val="28"/>
          <w:lang w:val="en-US"/>
        </w:rPr>
        <w:t>n</w:t>
      </w:r>
      <w:r w:rsidRPr="00F24BC1">
        <w:rPr>
          <w:sz w:val="28"/>
          <w:szCs w:val="28"/>
        </w:rPr>
        <w:t>=</w:t>
      </w:r>
      <w:r w:rsidRPr="00F24BC1">
        <w:rPr>
          <w:sz w:val="28"/>
          <w:szCs w:val="28"/>
          <w:lang w:val="uk-UA"/>
        </w:rPr>
        <w:t>5</w:t>
      </w:r>
      <w:r w:rsidRPr="00F24BC1">
        <w:rPr>
          <w:sz w:val="28"/>
          <w:szCs w:val="28"/>
        </w:rPr>
        <w:t>)</w:t>
      </w:r>
    </w:p>
    <w:p w14:paraId="26FF4846" w14:textId="77777777" w:rsidR="00F05F4E" w:rsidRPr="008A6B7D" w:rsidRDefault="00F05F4E" w:rsidP="00352B8A">
      <w:pPr>
        <w:ind w:left="450" w:hanging="450"/>
        <w:jc w:val="both"/>
        <w:rPr>
          <w:lang w:val="uk-UA"/>
        </w:rPr>
      </w:pPr>
      <w:r w:rsidRPr="008A6B7D">
        <w:rPr>
          <w:lang w:val="uk-UA"/>
        </w:rPr>
        <w:t xml:space="preserve">Примітки: </w:t>
      </w:r>
    </w:p>
    <w:p w14:paraId="2A845B88" w14:textId="77777777" w:rsidR="00F05F4E" w:rsidRPr="008A6B7D" w:rsidRDefault="00F05F4E" w:rsidP="00352B8A">
      <w:pPr>
        <w:numPr>
          <w:ilvl w:val="6"/>
          <w:numId w:val="19"/>
        </w:numPr>
        <w:tabs>
          <w:tab w:val="left" w:pos="1440"/>
        </w:tabs>
        <w:ind w:left="450" w:hanging="450"/>
        <w:jc w:val="both"/>
      </w:pPr>
      <w:r w:rsidRPr="008A6B7D">
        <w:t>*</w:t>
      </w:r>
      <w:r w:rsidRPr="008A6B7D">
        <w:rPr>
          <w:lang w:val="uk-UA"/>
        </w:rPr>
        <w:t xml:space="preserve"> </w:t>
      </w:r>
      <w:r w:rsidRPr="008A6B7D">
        <w:t>-</w:t>
      </w:r>
      <w:r w:rsidRPr="008A6B7D">
        <w:rPr>
          <w:lang w:val="uk-UA"/>
        </w:rPr>
        <w:t xml:space="preserve"> </w:t>
      </w:r>
      <w:r w:rsidRPr="008A6B7D">
        <w:rPr>
          <w:lang w:val="en-US"/>
        </w:rPr>
        <w:t>p</w:t>
      </w:r>
      <w:r w:rsidRPr="008A6B7D">
        <w:rPr>
          <w:lang w:val="en-US"/>
        </w:rPr>
        <w:sym w:font="Symbol" w:char="F03C"/>
      </w:r>
      <w:r w:rsidRPr="008A6B7D">
        <w:t>0,05 (</w:t>
      </w:r>
      <w:r w:rsidRPr="008A6B7D">
        <w:rPr>
          <w:lang w:val="uk-UA"/>
        </w:rPr>
        <w:t>статистично значуща різниця у порівнянні з контрольною групою</w:t>
      </w:r>
      <w:r w:rsidRPr="008A6B7D">
        <w:t xml:space="preserve">). </w:t>
      </w:r>
    </w:p>
    <w:p w14:paraId="32B8296E" w14:textId="77777777" w:rsidR="00F05F4E" w:rsidRPr="008A6B7D" w:rsidRDefault="00F05F4E" w:rsidP="00352B8A">
      <w:pPr>
        <w:numPr>
          <w:ilvl w:val="6"/>
          <w:numId w:val="19"/>
        </w:numPr>
        <w:tabs>
          <w:tab w:val="left" w:pos="1440"/>
        </w:tabs>
        <w:ind w:left="450" w:hanging="450"/>
        <w:jc w:val="both"/>
      </w:pPr>
      <w:r w:rsidRPr="008A6B7D">
        <w:t>**</w:t>
      </w:r>
      <w:r w:rsidRPr="008A6B7D">
        <w:rPr>
          <w:lang w:val="uk-UA"/>
        </w:rPr>
        <w:t xml:space="preserve"> -</w:t>
      </w:r>
      <w:r w:rsidRPr="008A6B7D">
        <w:t xml:space="preserve"> </w:t>
      </w:r>
      <w:r w:rsidRPr="008A6B7D">
        <w:rPr>
          <w:lang w:val="uk-UA"/>
        </w:rPr>
        <w:t>р</w:t>
      </w:r>
      <w:r w:rsidRPr="008A6B7D">
        <w:rPr>
          <w:lang w:val="uk-UA"/>
        </w:rPr>
        <w:sym w:font="Symbol" w:char="F03C"/>
      </w:r>
      <w:r w:rsidRPr="008A6B7D">
        <w:rPr>
          <w:lang w:val="uk-UA"/>
        </w:rPr>
        <w:t xml:space="preserve">0,01 </w:t>
      </w:r>
      <w:r w:rsidRPr="008A6B7D">
        <w:t>(</w:t>
      </w:r>
      <w:r w:rsidRPr="008A6B7D">
        <w:rPr>
          <w:lang w:val="uk-UA"/>
        </w:rPr>
        <w:t>статистично значуща різниця у порівнянні з контрольною групою).</w:t>
      </w:r>
    </w:p>
    <w:p w14:paraId="5E1A1D34" w14:textId="77777777" w:rsidR="00F05F4E" w:rsidRPr="008A6B7D" w:rsidRDefault="00F05F4E" w:rsidP="00352B8A">
      <w:pPr>
        <w:numPr>
          <w:ilvl w:val="6"/>
          <w:numId w:val="19"/>
        </w:numPr>
        <w:tabs>
          <w:tab w:val="left" w:pos="1440"/>
        </w:tabs>
        <w:ind w:left="450" w:hanging="450"/>
        <w:jc w:val="both"/>
      </w:pPr>
      <w:r w:rsidRPr="008A6B7D">
        <w:rPr>
          <w:rFonts w:eastAsia="Calibri"/>
        </w:rPr>
        <w:t xml:space="preserve">n </w:t>
      </w:r>
      <w:r w:rsidRPr="008A6B7D">
        <w:t>–</w:t>
      </w:r>
      <w:r w:rsidRPr="008A6B7D">
        <w:rPr>
          <w:rFonts w:eastAsia="Calibri"/>
        </w:rPr>
        <w:t xml:space="preserve"> кількість тварин у групі.</w:t>
      </w:r>
    </w:p>
    <w:p w14:paraId="58F36E63" w14:textId="0E8735D1" w:rsidR="00F05F4E" w:rsidRPr="008A6B7D" w:rsidRDefault="00F05F4E" w:rsidP="00352B8A">
      <w:pPr>
        <w:numPr>
          <w:ilvl w:val="6"/>
          <w:numId w:val="19"/>
        </w:numPr>
        <w:tabs>
          <w:tab w:val="left" w:pos="1440"/>
        </w:tabs>
        <w:ind w:left="450" w:hanging="450"/>
        <w:jc w:val="both"/>
      </w:pPr>
      <w:r w:rsidRPr="008A6B7D">
        <w:rPr>
          <w:rFonts w:eastAsia="Calibri"/>
        </w:rPr>
        <w:t xml:space="preserve">n </w:t>
      </w:r>
      <w:r w:rsidRPr="008A6B7D">
        <w:t>–</w:t>
      </w:r>
      <w:r w:rsidRPr="008A6B7D">
        <w:rPr>
          <w:rFonts w:eastAsia="Calibri"/>
        </w:rPr>
        <w:t xml:space="preserve"> кількість тварин у групі.</w:t>
      </w:r>
    </w:p>
    <w:p w14:paraId="742851DD" w14:textId="77777777" w:rsidR="00461A45" w:rsidRPr="00F05F4E" w:rsidRDefault="00461A45" w:rsidP="00461A45">
      <w:pPr>
        <w:tabs>
          <w:tab w:val="left" w:pos="1440"/>
        </w:tabs>
        <w:ind w:left="540"/>
        <w:jc w:val="both"/>
        <w:rPr>
          <w:sz w:val="28"/>
          <w:szCs w:val="28"/>
        </w:rPr>
      </w:pPr>
    </w:p>
    <w:p w14:paraId="128658EF" w14:textId="33458EE2" w:rsidR="00F05F4E" w:rsidRPr="00461A45" w:rsidRDefault="00F05F4E" w:rsidP="00461A45">
      <w:pPr>
        <w:spacing w:line="360" w:lineRule="auto"/>
        <w:ind w:firstLine="708"/>
        <w:jc w:val="both"/>
        <w:rPr>
          <w:color w:val="000000"/>
          <w:sz w:val="28"/>
          <w:szCs w:val="28"/>
          <w:lang w:val="uk-UA"/>
        </w:rPr>
      </w:pPr>
      <w:r w:rsidRPr="00F24BC1">
        <w:rPr>
          <w:color w:val="000000"/>
          <w:sz w:val="28"/>
          <w:szCs w:val="28"/>
          <w:lang w:val="uk-UA"/>
        </w:rPr>
        <w:t xml:space="preserve">Вивчення динаміки зміни товщини </w:t>
      </w:r>
      <w:r w:rsidRPr="00F24BC1">
        <w:rPr>
          <w:sz w:val="28"/>
          <w:szCs w:val="28"/>
          <w:lang w:val="uk-UA"/>
        </w:rPr>
        <w:t xml:space="preserve">запаленої </w:t>
      </w:r>
      <w:r w:rsidRPr="00F24BC1">
        <w:rPr>
          <w:color w:val="000000"/>
          <w:sz w:val="28"/>
          <w:szCs w:val="28"/>
          <w:lang w:val="uk-UA"/>
        </w:rPr>
        <w:t xml:space="preserve">кінцівки (табл. </w:t>
      </w:r>
      <w:r>
        <w:rPr>
          <w:iCs/>
          <w:sz w:val="28"/>
          <w:szCs w:val="28"/>
          <w:lang w:val="uk-UA"/>
        </w:rPr>
        <w:t>4</w:t>
      </w:r>
      <w:r w:rsidRPr="00F24BC1">
        <w:rPr>
          <w:iCs/>
          <w:sz w:val="28"/>
          <w:szCs w:val="28"/>
          <w:lang w:val="uk-UA"/>
        </w:rPr>
        <w:t>.2.1</w:t>
      </w:r>
      <w:r w:rsidRPr="00F24BC1">
        <w:rPr>
          <w:color w:val="000000"/>
          <w:sz w:val="28"/>
          <w:szCs w:val="28"/>
          <w:lang w:val="uk-UA"/>
        </w:rPr>
        <w:t xml:space="preserve">), після введення комплексних сполук І та ІІ, а також сполук, що входять до їх структури, показало, що даний показник за своїм профілем збігається з показниками зміни об’єму </w:t>
      </w:r>
      <w:r w:rsidRPr="00F24BC1">
        <w:rPr>
          <w:sz w:val="28"/>
          <w:szCs w:val="28"/>
          <w:lang w:val="uk-UA"/>
        </w:rPr>
        <w:t xml:space="preserve">запаленої </w:t>
      </w:r>
      <w:r w:rsidRPr="00F24BC1">
        <w:rPr>
          <w:color w:val="000000"/>
          <w:sz w:val="28"/>
          <w:szCs w:val="28"/>
          <w:lang w:val="uk-UA"/>
        </w:rPr>
        <w:t xml:space="preserve">кінцівки. Показники приросту товщини </w:t>
      </w:r>
      <w:r w:rsidRPr="00F24BC1">
        <w:rPr>
          <w:sz w:val="28"/>
          <w:szCs w:val="28"/>
          <w:lang w:val="uk-UA"/>
        </w:rPr>
        <w:t>запаленої</w:t>
      </w:r>
      <w:r w:rsidRPr="00F24BC1">
        <w:rPr>
          <w:sz w:val="28"/>
          <w:szCs w:val="28"/>
        </w:rPr>
        <w:t xml:space="preserve"> </w:t>
      </w:r>
      <w:r w:rsidRPr="00F24BC1">
        <w:rPr>
          <w:color w:val="000000"/>
          <w:sz w:val="28"/>
          <w:szCs w:val="28"/>
          <w:lang w:val="uk-UA"/>
        </w:rPr>
        <w:t>кінцівки підтверджують виразний протизапальний ефект, який проявили обидва комплекси.</w:t>
      </w:r>
    </w:p>
    <w:p w14:paraId="25575F2A" w14:textId="77777777" w:rsidR="00A55657" w:rsidRDefault="00A55657" w:rsidP="00A55657">
      <w:pPr>
        <w:spacing w:line="360" w:lineRule="auto"/>
        <w:rPr>
          <w:iCs/>
          <w:sz w:val="28"/>
          <w:szCs w:val="28"/>
          <w:lang w:val="uk-UA"/>
        </w:rPr>
      </w:pPr>
    </w:p>
    <w:p w14:paraId="0D5FB4C0" w14:textId="470E8391" w:rsidR="00F05F4E" w:rsidRPr="0071066B" w:rsidRDefault="00F05F4E" w:rsidP="00F05F4E">
      <w:pPr>
        <w:spacing w:line="360" w:lineRule="auto"/>
        <w:jc w:val="right"/>
        <w:rPr>
          <w:i/>
          <w:sz w:val="28"/>
          <w:szCs w:val="28"/>
        </w:rPr>
      </w:pPr>
      <w:r w:rsidRPr="0071066B">
        <w:rPr>
          <w:i/>
          <w:iCs/>
          <w:sz w:val="28"/>
          <w:szCs w:val="28"/>
          <w:lang w:val="uk-UA"/>
        </w:rPr>
        <w:lastRenderedPageBreak/>
        <w:t>Таблиця 4.2.1</w:t>
      </w:r>
    </w:p>
    <w:p w14:paraId="148C7299" w14:textId="50493082" w:rsidR="00F05F4E" w:rsidRPr="00F05F4E" w:rsidRDefault="00F05F4E" w:rsidP="0071066B">
      <w:pPr>
        <w:spacing w:line="360" w:lineRule="auto"/>
        <w:jc w:val="right"/>
        <w:rPr>
          <w:b/>
          <w:sz w:val="28"/>
          <w:szCs w:val="28"/>
        </w:rPr>
      </w:pPr>
      <w:r w:rsidRPr="00F24BC1">
        <w:rPr>
          <w:b/>
          <w:sz w:val="28"/>
          <w:szCs w:val="28"/>
          <w:lang w:val="uk-UA"/>
        </w:rPr>
        <w:t xml:space="preserve">Протизапальна активність досліджуваних сполук при пероральному введенні </w:t>
      </w:r>
      <w:r w:rsidRPr="003D4DAC">
        <w:rPr>
          <w:b/>
          <w:sz w:val="28"/>
          <w:szCs w:val="28"/>
          <w:lang w:val="uk-UA"/>
        </w:rPr>
        <w:t>на моделі гістамін-індукованого запалення</w:t>
      </w:r>
      <w:r>
        <w:rPr>
          <w:sz w:val="28"/>
          <w:szCs w:val="28"/>
          <w:lang w:val="uk-UA"/>
        </w:rPr>
        <w:t xml:space="preserve"> </w:t>
      </w:r>
      <w:r w:rsidRPr="00F24BC1">
        <w:rPr>
          <w:b/>
          <w:sz w:val="28"/>
          <w:szCs w:val="28"/>
          <w:lang w:val="uk-UA"/>
        </w:rPr>
        <w:t>(за 30 хв. до введення флогогену, товщина запалених</w:t>
      </w:r>
      <w:r w:rsidRPr="00F24BC1">
        <w:rPr>
          <w:sz w:val="28"/>
          <w:szCs w:val="28"/>
          <w:lang w:val="uk-UA"/>
        </w:rPr>
        <w:t xml:space="preserve"> </w:t>
      </w:r>
      <w:r w:rsidRPr="00F24BC1">
        <w:rPr>
          <w:b/>
          <w:sz w:val="28"/>
          <w:szCs w:val="28"/>
          <w:lang w:val="uk-UA"/>
        </w:rPr>
        <w:t>кінцівок щурів, (М</w:t>
      </w:r>
      <w:r w:rsidRPr="00F24BC1">
        <w:rPr>
          <w:b/>
          <w:color w:val="4D5156"/>
          <w:sz w:val="28"/>
          <w:szCs w:val="28"/>
        </w:rPr>
        <w:t>±</w:t>
      </w:r>
      <w:r w:rsidRPr="00F24BC1">
        <w:rPr>
          <w:b/>
          <w:sz w:val="28"/>
          <w:szCs w:val="28"/>
          <w:lang w:val="en-US"/>
        </w:rPr>
        <w:t>m</w:t>
      </w:r>
      <w:r w:rsidRPr="00F24BC1">
        <w:rPr>
          <w:b/>
          <w:sz w:val="28"/>
          <w:szCs w:val="28"/>
        </w:rPr>
        <w:t xml:space="preserve">, </w:t>
      </w:r>
      <w:r w:rsidRPr="00F24BC1">
        <w:rPr>
          <w:b/>
          <w:sz w:val="28"/>
          <w:szCs w:val="28"/>
          <w:lang w:val="en-US"/>
        </w:rPr>
        <w:t>n</w:t>
      </w:r>
      <w:r w:rsidRPr="00F24BC1">
        <w:rPr>
          <w:b/>
          <w:sz w:val="28"/>
          <w:szCs w:val="28"/>
        </w:rPr>
        <w:t>=</w:t>
      </w:r>
      <w:r w:rsidRPr="00F24BC1">
        <w:rPr>
          <w:b/>
          <w:sz w:val="28"/>
          <w:szCs w:val="28"/>
          <w:lang w:val="uk-UA"/>
        </w:rPr>
        <w:t>5)</w:t>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108"/>
        <w:gridCol w:w="506"/>
        <w:gridCol w:w="1434"/>
        <w:gridCol w:w="1265"/>
        <w:gridCol w:w="1349"/>
        <w:gridCol w:w="1111"/>
        <w:gridCol w:w="1084"/>
      </w:tblGrid>
      <w:tr w:rsidR="00F05F4E" w:rsidRPr="00A50810" w14:paraId="2EA36188" w14:textId="77777777" w:rsidTr="00DE015D">
        <w:trPr>
          <w:trHeight w:val="939"/>
        </w:trPr>
        <w:tc>
          <w:tcPr>
            <w:tcW w:w="502" w:type="dxa"/>
            <w:vAlign w:val="center"/>
          </w:tcPr>
          <w:p w14:paraId="6B152535" w14:textId="77777777" w:rsidR="00F05F4E" w:rsidRPr="00A50810" w:rsidRDefault="00F05F4E" w:rsidP="00A50810">
            <w:pPr>
              <w:widowControl w:val="0"/>
              <w:autoSpaceDE w:val="0"/>
              <w:autoSpaceDN w:val="0"/>
              <w:adjustRightInd w:val="0"/>
              <w:spacing w:line="360" w:lineRule="auto"/>
              <w:jc w:val="center"/>
              <w:rPr>
                <w:sz w:val="22"/>
                <w:szCs w:val="22"/>
              </w:rPr>
            </w:pPr>
            <w:r w:rsidRPr="00A50810">
              <w:rPr>
                <w:sz w:val="22"/>
                <w:szCs w:val="22"/>
              </w:rPr>
              <w:t>№ гр</w:t>
            </w:r>
          </w:p>
        </w:tc>
        <w:tc>
          <w:tcPr>
            <w:tcW w:w="2108" w:type="dxa"/>
            <w:vAlign w:val="center"/>
          </w:tcPr>
          <w:p w14:paraId="254142FD" w14:textId="77777777" w:rsidR="00F05F4E" w:rsidRPr="00A50810" w:rsidRDefault="00F05F4E" w:rsidP="00A50810">
            <w:pPr>
              <w:widowControl w:val="0"/>
              <w:autoSpaceDE w:val="0"/>
              <w:autoSpaceDN w:val="0"/>
              <w:adjustRightInd w:val="0"/>
              <w:spacing w:line="360" w:lineRule="auto"/>
              <w:jc w:val="center"/>
              <w:rPr>
                <w:sz w:val="22"/>
                <w:szCs w:val="22"/>
              </w:rPr>
            </w:pPr>
            <w:r w:rsidRPr="00A50810">
              <w:rPr>
                <w:sz w:val="22"/>
                <w:szCs w:val="22"/>
              </w:rPr>
              <w:t>Сполука</w:t>
            </w:r>
          </w:p>
        </w:tc>
        <w:tc>
          <w:tcPr>
            <w:tcW w:w="6749" w:type="dxa"/>
            <w:gridSpan w:val="6"/>
            <w:vAlign w:val="center"/>
          </w:tcPr>
          <w:p w14:paraId="53B3AA91" w14:textId="77777777" w:rsidR="00F05F4E" w:rsidRPr="00A50810" w:rsidRDefault="00F05F4E" w:rsidP="00A50810">
            <w:pPr>
              <w:widowControl w:val="0"/>
              <w:autoSpaceDE w:val="0"/>
              <w:autoSpaceDN w:val="0"/>
              <w:adjustRightInd w:val="0"/>
              <w:spacing w:line="360" w:lineRule="auto"/>
              <w:jc w:val="center"/>
              <w:rPr>
                <w:b/>
                <w:sz w:val="22"/>
                <w:szCs w:val="22"/>
              </w:rPr>
            </w:pPr>
            <w:r w:rsidRPr="00A50810">
              <w:rPr>
                <w:b/>
                <w:sz w:val="22"/>
                <w:szCs w:val="22"/>
              </w:rPr>
              <w:t>Час спостереження (год)</w:t>
            </w:r>
          </w:p>
        </w:tc>
      </w:tr>
      <w:tr w:rsidR="00F05F4E" w:rsidRPr="00A50810" w14:paraId="4D869FEC" w14:textId="77777777" w:rsidTr="00DE015D">
        <w:trPr>
          <w:trHeight w:val="459"/>
        </w:trPr>
        <w:tc>
          <w:tcPr>
            <w:tcW w:w="502" w:type="dxa"/>
            <w:vAlign w:val="center"/>
          </w:tcPr>
          <w:p w14:paraId="4CE1649D" w14:textId="77777777" w:rsidR="00F05F4E" w:rsidRPr="00A50810" w:rsidRDefault="00F05F4E" w:rsidP="00A50810">
            <w:pPr>
              <w:widowControl w:val="0"/>
              <w:autoSpaceDE w:val="0"/>
              <w:autoSpaceDN w:val="0"/>
              <w:adjustRightInd w:val="0"/>
              <w:spacing w:line="360" w:lineRule="auto"/>
              <w:jc w:val="center"/>
              <w:rPr>
                <w:sz w:val="22"/>
                <w:szCs w:val="22"/>
              </w:rPr>
            </w:pPr>
          </w:p>
        </w:tc>
        <w:tc>
          <w:tcPr>
            <w:tcW w:w="2108" w:type="dxa"/>
            <w:vAlign w:val="center"/>
          </w:tcPr>
          <w:p w14:paraId="7DDDBC70" w14:textId="77777777" w:rsidR="00F05F4E" w:rsidRPr="00A50810" w:rsidRDefault="00F05F4E" w:rsidP="00A50810">
            <w:pPr>
              <w:widowControl w:val="0"/>
              <w:autoSpaceDE w:val="0"/>
              <w:autoSpaceDN w:val="0"/>
              <w:adjustRightInd w:val="0"/>
              <w:spacing w:line="360" w:lineRule="auto"/>
              <w:jc w:val="center"/>
              <w:rPr>
                <w:sz w:val="22"/>
                <w:szCs w:val="22"/>
              </w:rPr>
            </w:pPr>
          </w:p>
        </w:tc>
        <w:tc>
          <w:tcPr>
            <w:tcW w:w="506" w:type="dxa"/>
            <w:vAlign w:val="center"/>
          </w:tcPr>
          <w:p w14:paraId="3E9319FC" w14:textId="77777777" w:rsidR="00F05F4E" w:rsidRPr="00A50810" w:rsidRDefault="00F05F4E" w:rsidP="00A50810">
            <w:pPr>
              <w:widowControl w:val="0"/>
              <w:autoSpaceDE w:val="0"/>
              <w:autoSpaceDN w:val="0"/>
              <w:adjustRightInd w:val="0"/>
              <w:spacing w:line="360" w:lineRule="auto"/>
              <w:jc w:val="center"/>
              <w:rPr>
                <w:sz w:val="22"/>
                <w:szCs w:val="22"/>
              </w:rPr>
            </w:pPr>
            <w:r w:rsidRPr="00A50810">
              <w:rPr>
                <w:sz w:val="22"/>
                <w:szCs w:val="22"/>
              </w:rPr>
              <w:t>0</w:t>
            </w:r>
          </w:p>
        </w:tc>
        <w:tc>
          <w:tcPr>
            <w:tcW w:w="1434" w:type="dxa"/>
            <w:vAlign w:val="center"/>
          </w:tcPr>
          <w:p w14:paraId="2C58B7C8" w14:textId="77777777" w:rsidR="00F05F4E" w:rsidRPr="00A50810" w:rsidRDefault="00F05F4E" w:rsidP="00A50810">
            <w:pPr>
              <w:widowControl w:val="0"/>
              <w:autoSpaceDE w:val="0"/>
              <w:autoSpaceDN w:val="0"/>
              <w:adjustRightInd w:val="0"/>
              <w:spacing w:line="360" w:lineRule="auto"/>
              <w:jc w:val="center"/>
              <w:rPr>
                <w:sz w:val="22"/>
                <w:szCs w:val="22"/>
              </w:rPr>
            </w:pPr>
            <w:r w:rsidRPr="00A50810">
              <w:rPr>
                <w:sz w:val="22"/>
                <w:szCs w:val="22"/>
              </w:rPr>
              <w:t>1</w:t>
            </w:r>
          </w:p>
        </w:tc>
        <w:tc>
          <w:tcPr>
            <w:tcW w:w="1265" w:type="dxa"/>
            <w:vAlign w:val="center"/>
          </w:tcPr>
          <w:p w14:paraId="628F4853" w14:textId="77777777" w:rsidR="00F05F4E" w:rsidRPr="00A50810" w:rsidRDefault="00F05F4E" w:rsidP="00A50810">
            <w:pPr>
              <w:widowControl w:val="0"/>
              <w:autoSpaceDE w:val="0"/>
              <w:autoSpaceDN w:val="0"/>
              <w:adjustRightInd w:val="0"/>
              <w:spacing w:line="360" w:lineRule="auto"/>
              <w:jc w:val="center"/>
              <w:rPr>
                <w:sz w:val="22"/>
                <w:szCs w:val="22"/>
              </w:rPr>
            </w:pPr>
            <w:r w:rsidRPr="00A50810">
              <w:rPr>
                <w:sz w:val="22"/>
                <w:szCs w:val="22"/>
              </w:rPr>
              <w:t>2</w:t>
            </w:r>
          </w:p>
        </w:tc>
        <w:tc>
          <w:tcPr>
            <w:tcW w:w="1349" w:type="dxa"/>
            <w:vAlign w:val="center"/>
          </w:tcPr>
          <w:p w14:paraId="2DD67BBC" w14:textId="77777777" w:rsidR="00F05F4E" w:rsidRPr="00A50810" w:rsidRDefault="00F05F4E" w:rsidP="00A50810">
            <w:pPr>
              <w:widowControl w:val="0"/>
              <w:autoSpaceDE w:val="0"/>
              <w:autoSpaceDN w:val="0"/>
              <w:adjustRightInd w:val="0"/>
              <w:spacing w:line="360" w:lineRule="auto"/>
              <w:jc w:val="center"/>
              <w:rPr>
                <w:sz w:val="22"/>
                <w:szCs w:val="22"/>
              </w:rPr>
            </w:pPr>
            <w:r w:rsidRPr="00A50810">
              <w:rPr>
                <w:sz w:val="22"/>
                <w:szCs w:val="22"/>
              </w:rPr>
              <w:t>3</w:t>
            </w:r>
          </w:p>
        </w:tc>
        <w:tc>
          <w:tcPr>
            <w:tcW w:w="1111" w:type="dxa"/>
            <w:vAlign w:val="center"/>
          </w:tcPr>
          <w:p w14:paraId="18559E23" w14:textId="77777777" w:rsidR="00F05F4E" w:rsidRPr="00A50810" w:rsidRDefault="00F05F4E" w:rsidP="00A50810">
            <w:pPr>
              <w:widowControl w:val="0"/>
              <w:autoSpaceDE w:val="0"/>
              <w:autoSpaceDN w:val="0"/>
              <w:adjustRightInd w:val="0"/>
              <w:spacing w:line="360" w:lineRule="auto"/>
              <w:jc w:val="center"/>
              <w:rPr>
                <w:sz w:val="22"/>
                <w:szCs w:val="22"/>
              </w:rPr>
            </w:pPr>
            <w:r w:rsidRPr="00A50810">
              <w:rPr>
                <w:sz w:val="22"/>
                <w:szCs w:val="22"/>
              </w:rPr>
              <w:t>6</w:t>
            </w:r>
          </w:p>
        </w:tc>
        <w:tc>
          <w:tcPr>
            <w:tcW w:w="1084" w:type="dxa"/>
            <w:vAlign w:val="center"/>
          </w:tcPr>
          <w:p w14:paraId="27A05917" w14:textId="77777777" w:rsidR="00F05F4E" w:rsidRPr="00A50810" w:rsidRDefault="00F05F4E" w:rsidP="00A50810">
            <w:pPr>
              <w:widowControl w:val="0"/>
              <w:autoSpaceDE w:val="0"/>
              <w:autoSpaceDN w:val="0"/>
              <w:adjustRightInd w:val="0"/>
              <w:spacing w:line="360" w:lineRule="auto"/>
              <w:jc w:val="center"/>
              <w:rPr>
                <w:sz w:val="22"/>
                <w:szCs w:val="22"/>
              </w:rPr>
            </w:pPr>
            <w:r w:rsidRPr="00A50810">
              <w:rPr>
                <w:sz w:val="22"/>
                <w:szCs w:val="22"/>
              </w:rPr>
              <w:t>24</w:t>
            </w:r>
          </w:p>
        </w:tc>
      </w:tr>
      <w:tr w:rsidR="00F05F4E" w:rsidRPr="00A50810" w14:paraId="052BFEFF" w14:textId="77777777" w:rsidTr="00A50810">
        <w:trPr>
          <w:trHeight w:val="459"/>
        </w:trPr>
        <w:tc>
          <w:tcPr>
            <w:tcW w:w="9359" w:type="dxa"/>
            <w:gridSpan w:val="8"/>
            <w:vAlign w:val="center"/>
          </w:tcPr>
          <w:p w14:paraId="40B1EF09" w14:textId="77777777" w:rsidR="00F05F4E" w:rsidRPr="00A50810" w:rsidRDefault="00F05F4E" w:rsidP="00A50810">
            <w:pPr>
              <w:widowControl w:val="0"/>
              <w:autoSpaceDE w:val="0"/>
              <w:autoSpaceDN w:val="0"/>
              <w:adjustRightInd w:val="0"/>
              <w:spacing w:line="360" w:lineRule="auto"/>
              <w:jc w:val="center"/>
              <w:rPr>
                <w:sz w:val="22"/>
                <w:szCs w:val="22"/>
                <w:lang w:val="uk-UA"/>
              </w:rPr>
            </w:pPr>
            <w:r w:rsidRPr="00A50810">
              <w:rPr>
                <w:sz w:val="22"/>
                <w:szCs w:val="22"/>
                <w:lang w:val="uk-UA"/>
              </w:rPr>
              <w:t>Приріст товщини, у % до вихідних значень</w:t>
            </w:r>
          </w:p>
        </w:tc>
      </w:tr>
      <w:tr w:rsidR="00F05F4E" w:rsidRPr="00A50810" w14:paraId="1DE10F30" w14:textId="77777777" w:rsidTr="00DE015D">
        <w:trPr>
          <w:trHeight w:val="329"/>
        </w:trPr>
        <w:tc>
          <w:tcPr>
            <w:tcW w:w="502" w:type="dxa"/>
            <w:vAlign w:val="bottom"/>
          </w:tcPr>
          <w:p w14:paraId="03E21E22" w14:textId="77777777" w:rsidR="00F05F4E" w:rsidRPr="00A50810" w:rsidRDefault="00F05F4E" w:rsidP="00A50810">
            <w:pPr>
              <w:widowControl w:val="0"/>
              <w:autoSpaceDE w:val="0"/>
              <w:autoSpaceDN w:val="0"/>
              <w:adjustRightInd w:val="0"/>
              <w:spacing w:line="360" w:lineRule="auto"/>
              <w:rPr>
                <w:sz w:val="22"/>
                <w:szCs w:val="22"/>
                <w:lang w:val="uk-UA"/>
              </w:rPr>
            </w:pPr>
            <w:r w:rsidRPr="00A50810">
              <w:rPr>
                <w:sz w:val="22"/>
                <w:szCs w:val="22"/>
                <w:lang w:val="uk-UA"/>
              </w:rPr>
              <w:t>1</w:t>
            </w:r>
          </w:p>
        </w:tc>
        <w:tc>
          <w:tcPr>
            <w:tcW w:w="2108" w:type="dxa"/>
            <w:vAlign w:val="bottom"/>
          </w:tcPr>
          <w:p w14:paraId="14AAB940" w14:textId="77777777" w:rsidR="00F05F4E" w:rsidRPr="00A50810" w:rsidRDefault="00F05F4E" w:rsidP="00A50810">
            <w:pPr>
              <w:widowControl w:val="0"/>
              <w:autoSpaceDE w:val="0"/>
              <w:autoSpaceDN w:val="0"/>
              <w:adjustRightInd w:val="0"/>
              <w:spacing w:line="360" w:lineRule="auto"/>
              <w:rPr>
                <w:sz w:val="22"/>
                <w:szCs w:val="22"/>
                <w:lang w:val="uk-UA"/>
              </w:rPr>
            </w:pPr>
            <w:r w:rsidRPr="00A50810">
              <w:rPr>
                <w:sz w:val="22"/>
                <w:szCs w:val="22"/>
                <w:lang w:val="uk-UA"/>
              </w:rPr>
              <w:t>Контроль</w:t>
            </w:r>
          </w:p>
        </w:tc>
        <w:tc>
          <w:tcPr>
            <w:tcW w:w="506" w:type="dxa"/>
            <w:vAlign w:val="bottom"/>
          </w:tcPr>
          <w:p w14:paraId="749176E2" w14:textId="77777777" w:rsidR="00F05F4E" w:rsidRPr="00A50810" w:rsidRDefault="00F05F4E" w:rsidP="00A50810">
            <w:pPr>
              <w:spacing w:line="360" w:lineRule="auto"/>
              <w:rPr>
                <w:color w:val="000000"/>
                <w:sz w:val="22"/>
                <w:szCs w:val="22"/>
              </w:rPr>
            </w:pPr>
            <w:r w:rsidRPr="00A50810">
              <w:rPr>
                <w:color w:val="000000"/>
                <w:sz w:val="22"/>
                <w:szCs w:val="22"/>
              </w:rPr>
              <w:t>0</w:t>
            </w:r>
          </w:p>
        </w:tc>
        <w:tc>
          <w:tcPr>
            <w:tcW w:w="1434" w:type="dxa"/>
            <w:vAlign w:val="bottom"/>
          </w:tcPr>
          <w:p w14:paraId="0B8AA382" w14:textId="77777777" w:rsidR="00F05F4E" w:rsidRPr="00A50810" w:rsidRDefault="00F05F4E" w:rsidP="00A50810">
            <w:pPr>
              <w:spacing w:line="360" w:lineRule="auto"/>
              <w:rPr>
                <w:color w:val="000000"/>
                <w:sz w:val="22"/>
                <w:szCs w:val="22"/>
              </w:rPr>
            </w:pPr>
            <w:r w:rsidRPr="00A50810">
              <w:rPr>
                <w:color w:val="000000"/>
                <w:sz w:val="22"/>
                <w:szCs w:val="22"/>
              </w:rPr>
              <w:t>51,2</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2,1</w:t>
            </w:r>
          </w:p>
        </w:tc>
        <w:tc>
          <w:tcPr>
            <w:tcW w:w="1265" w:type="dxa"/>
            <w:vAlign w:val="bottom"/>
          </w:tcPr>
          <w:p w14:paraId="60AF58D0" w14:textId="77777777" w:rsidR="00F05F4E" w:rsidRPr="00A50810" w:rsidRDefault="00F05F4E" w:rsidP="00A50810">
            <w:pPr>
              <w:spacing w:line="360" w:lineRule="auto"/>
              <w:rPr>
                <w:color w:val="000000"/>
                <w:sz w:val="22"/>
                <w:szCs w:val="22"/>
              </w:rPr>
            </w:pPr>
            <w:r w:rsidRPr="00A50810">
              <w:rPr>
                <w:color w:val="000000"/>
                <w:sz w:val="22"/>
                <w:szCs w:val="22"/>
              </w:rPr>
              <w:t>30,2</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3,0</w:t>
            </w:r>
          </w:p>
        </w:tc>
        <w:tc>
          <w:tcPr>
            <w:tcW w:w="1349" w:type="dxa"/>
            <w:vAlign w:val="bottom"/>
          </w:tcPr>
          <w:p w14:paraId="41EF124F" w14:textId="77777777" w:rsidR="00F05F4E" w:rsidRPr="00A50810" w:rsidRDefault="00F05F4E" w:rsidP="00A50810">
            <w:pPr>
              <w:spacing w:line="360" w:lineRule="auto"/>
              <w:rPr>
                <w:color w:val="000000"/>
                <w:sz w:val="22"/>
                <w:szCs w:val="22"/>
              </w:rPr>
            </w:pPr>
            <w:r w:rsidRPr="00A50810">
              <w:rPr>
                <w:color w:val="000000"/>
                <w:sz w:val="22"/>
                <w:szCs w:val="22"/>
              </w:rPr>
              <w:t>18,6</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2,0</w:t>
            </w:r>
          </w:p>
        </w:tc>
        <w:tc>
          <w:tcPr>
            <w:tcW w:w="1111" w:type="dxa"/>
            <w:vAlign w:val="bottom"/>
          </w:tcPr>
          <w:p w14:paraId="0B9E2603" w14:textId="77777777" w:rsidR="00F05F4E" w:rsidRPr="00A50810" w:rsidRDefault="00F05F4E" w:rsidP="00A50810">
            <w:pPr>
              <w:spacing w:line="360" w:lineRule="auto"/>
              <w:rPr>
                <w:color w:val="000000"/>
                <w:sz w:val="22"/>
                <w:szCs w:val="22"/>
              </w:rPr>
            </w:pPr>
            <w:r w:rsidRPr="00A50810">
              <w:rPr>
                <w:color w:val="000000"/>
                <w:sz w:val="22"/>
                <w:szCs w:val="22"/>
              </w:rPr>
              <w:t>14</w:t>
            </w:r>
            <w:r w:rsidRPr="00A50810">
              <w:rPr>
                <w:color w:val="000000"/>
                <w:sz w:val="22"/>
                <w:szCs w:val="22"/>
                <w:lang w:val="en-US"/>
              </w:rPr>
              <w:t xml:space="preserve">,0 </w:t>
            </w:r>
            <w:r w:rsidRPr="00A50810">
              <w:rPr>
                <w:color w:val="000000"/>
                <w:sz w:val="22"/>
                <w:szCs w:val="22"/>
              </w:rPr>
              <w:t>±</w:t>
            </w:r>
            <w:r w:rsidRPr="00A50810">
              <w:rPr>
                <w:color w:val="000000"/>
                <w:sz w:val="22"/>
                <w:szCs w:val="22"/>
                <w:lang w:val="en-US"/>
              </w:rPr>
              <w:t xml:space="preserve"> </w:t>
            </w:r>
            <w:r w:rsidRPr="00A50810">
              <w:rPr>
                <w:color w:val="000000"/>
                <w:sz w:val="22"/>
                <w:szCs w:val="22"/>
              </w:rPr>
              <w:t>2,0</w:t>
            </w:r>
          </w:p>
        </w:tc>
        <w:tc>
          <w:tcPr>
            <w:tcW w:w="1084" w:type="dxa"/>
            <w:vAlign w:val="bottom"/>
          </w:tcPr>
          <w:p w14:paraId="4D24F53D" w14:textId="49D97B4D" w:rsidR="00F05F4E" w:rsidRPr="00A50810" w:rsidRDefault="00461A45" w:rsidP="00A50810">
            <w:pPr>
              <w:widowControl w:val="0"/>
              <w:autoSpaceDE w:val="0"/>
              <w:autoSpaceDN w:val="0"/>
              <w:adjustRightInd w:val="0"/>
              <w:spacing w:line="360" w:lineRule="auto"/>
              <w:rPr>
                <w:sz w:val="22"/>
                <w:szCs w:val="22"/>
                <w:lang w:val="uk-UA"/>
              </w:rPr>
            </w:pPr>
            <w:r w:rsidRPr="00A50810">
              <w:rPr>
                <w:sz w:val="22"/>
                <w:szCs w:val="22"/>
                <w:lang w:val="uk-UA"/>
              </w:rPr>
              <w:t>0</w:t>
            </w:r>
          </w:p>
        </w:tc>
      </w:tr>
      <w:tr w:rsidR="00F05F4E" w:rsidRPr="00A50810" w14:paraId="11485ACD" w14:textId="77777777" w:rsidTr="00DE015D">
        <w:trPr>
          <w:trHeight w:val="309"/>
        </w:trPr>
        <w:tc>
          <w:tcPr>
            <w:tcW w:w="502" w:type="dxa"/>
            <w:vAlign w:val="bottom"/>
          </w:tcPr>
          <w:p w14:paraId="5E1058BC" w14:textId="77777777" w:rsidR="00F05F4E" w:rsidRPr="00A50810" w:rsidRDefault="00F05F4E" w:rsidP="00A50810">
            <w:pPr>
              <w:widowControl w:val="0"/>
              <w:autoSpaceDE w:val="0"/>
              <w:autoSpaceDN w:val="0"/>
              <w:adjustRightInd w:val="0"/>
              <w:spacing w:line="360" w:lineRule="auto"/>
              <w:rPr>
                <w:sz w:val="22"/>
                <w:szCs w:val="22"/>
                <w:lang w:val="uk-UA"/>
              </w:rPr>
            </w:pPr>
            <w:r w:rsidRPr="00A50810">
              <w:rPr>
                <w:sz w:val="22"/>
                <w:szCs w:val="22"/>
                <w:lang w:val="uk-UA"/>
              </w:rPr>
              <w:t>2</w:t>
            </w:r>
          </w:p>
        </w:tc>
        <w:tc>
          <w:tcPr>
            <w:tcW w:w="2108" w:type="dxa"/>
            <w:vAlign w:val="bottom"/>
          </w:tcPr>
          <w:p w14:paraId="34291C42" w14:textId="77777777" w:rsidR="00F05F4E" w:rsidRPr="00A50810" w:rsidRDefault="00F05F4E" w:rsidP="00A50810">
            <w:pPr>
              <w:widowControl w:val="0"/>
              <w:autoSpaceDE w:val="0"/>
              <w:autoSpaceDN w:val="0"/>
              <w:adjustRightInd w:val="0"/>
              <w:spacing w:line="360" w:lineRule="auto"/>
              <w:rPr>
                <w:sz w:val="22"/>
                <w:szCs w:val="22"/>
                <w:lang w:val="uk-UA"/>
              </w:rPr>
            </w:pPr>
            <w:r w:rsidRPr="00A50810">
              <w:rPr>
                <w:sz w:val="22"/>
                <w:szCs w:val="22"/>
                <w:lang w:val="uk-UA"/>
              </w:rPr>
              <w:t>Ібупорфен</w:t>
            </w:r>
          </w:p>
        </w:tc>
        <w:tc>
          <w:tcPr>
            <w:tcW w:w="506" w:type="dxa"/>
            <w:vAlign w:val="bottom"/>
          </w:tcPr>
          <w:p w14:paraId="282DE266" w14:textId="77777777" w:rsidR="00F05F4E" w:rsidRPr="00A50810" w:rsidRDefault="00F05F4E" w:rsidP="00A50810">
            <w:pPr>
              <w:spacing w:line="360" w:lineRule="auto"/>
              <w:rPr>
                <w:color w:val="000000"/>
                <w:sz w:val="22"/>
                <w:szCs w:val="22"/>
                <w:lang w:val="uk-UA"/>
              </w:rPr>
            </w:pPr>
            <w:r w:rsidRPr="00A50810">
              <w:rPr>
                <w:color w:val="000000"/>
                <w:sz w:val="22"/>
                <w:szCs w:val="22"/>
                <w:lang w:val="uk-UA"/>
              </w:rPr>
              <w:t>0</w:t>
            </w:r>
          </w:p>
        </w:tc>
        <w:tc>
          <w:tcPr>
            <w:tcW w:w="1434" w:type="dxa"/>
            <w:vAlign w:val="bottom"/>
          </w:tcPr>
          <w:p w14:paraId="03533568" w14:textId="77777777" w:rsidR="00F05F4E" w:rsidRPr="00A50810" w:rsidRDefault="00F05F4E" w:rsidP="00A50810">
            <w:pPr>
              <w:spacing w:line="360" w:lineRule="auto"/>
              <w:rPr>
                <w:color w:val="000000"/>
                <w:sz w:val="22"/>
                <w:szCs w:val="22"/>
                <w:lang w:val="uk-UA"/>
              </w:rPr>
            </w:pPr>
            <w:r w:rsidRPr="00A50810">
              <w:rPr>
                <w:color w:val="000000"/>
                <w:sz w:val="22"/>
                <w:szCs w:val="22"/>
                <w:lang w:val="uk-UA"/>
              </w:rPr>
              <w:t>40,63</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1,0</w:t>
            </w:r>
          </w:p>
        </w:tc>
        <w:tc>
          <w:tcPr>
            <w:tcW w:w="1265" w:type="dxa"/>
            <w:vAlign w:val="bottom"/>
          </w:tcPr>
          <w:p w14:paraId="2A347BCC" w14:textId="77777777" w:rsidR="00F05F4E" w:rsidRPr="00A50810" w:rsidRDefault="00F05F4E" w:rsidP="00A50810">
            <w:pPr>
              <w:spacing w:line="360" w:lineRule="auto"/>
              <w:rPr>
                <w:color w:val="000000"/>
                <w:sz w:val="22"/>
                <w:szCs w:val="22"/>
                <w:lang w:val="uk-UA"/>
              </w:rPr>
            </w:pPr>
            <w:r w:rsidRPr="00A50810">
              <w:rPr>
                <w:color w:val="000000"/>
                <w:sz w:val="22"/>
                <w:szCs w:val="22"/>
                <w:lang w:val="uk-UA"/>
              </w:rPr>
              <w:t xml:space="preserve">28,29 </w:t>
            </w:r>
            <w:r w:rsidRPr="00A50810">
              <w:rPr>
                <w:color w:val="000000"/>
                <w:sz w:val="22"/>
                <w:szCs w:val="22"/>
              </w:rPr>
              <w:t>±</w:t>
            </w:r>
            <w:r w:rsidRPr="00A50810">
              <w:rPr>
                <w:color w:val="000000"/>
                <w:sz w:val="22"/>
                <w:szCs w:val="22"/>
                <w:lang w:val="en-US"/>
              </w:rPr>
              <w:t xml:space="preserve"> </w:t>
            </w:r>
            <w:r w:rsidRPr="00A50810">
              <w:rPr>
                <w:color w:val="000000"/>
                <w:sz w:val="22"/>
                <w:szCs w:val="22"/>
              </w:rPr>
              <w:t>2,2</w:t>
            </w:r>
          </w:p>
        </w:tc>
        <w:tc>
          <w:tcPr>
            <w:tcW w:w="1349" w:type="dxa"/>
            <w:vAlign w:val="bottom"/>
          </w:tcPr>
          <w:p w14:paraId="3A7E109C" w14:textId="77777777" w:rsidR="00F05F4E" w:rsidRPr="00A50810" w:rsidRDefault="00F05F4E" w:rsidP="00A50810">
            <w:pPr>
              <w:spacing w:line="360" w:lineRule="auto"/>
              <w:rPr>
                <w:color w:val="000000"/>
                <w:sz w:val="22"/>
                <w:szCs w:val="22"/>
                <w:lang w:val="uk-UA"/>
              </w:rPr>
            </w:pPr>
            <w:r w:rsidRPr="00A50810">
              <w:rPr>
                <w:color w:val="000000"/>
                <w:sz w:val="22"/>
                <w:szCs w:val="22"/>
                <w:lang w:val="uk-UA"/>
              </w:rPr>
              <w:t>17,01</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2,3</w:t>
            </w:r>
          </w:p>
        </w:tc>
        <w:tc>
          <w:tcPr>
            <w:tcW w:w="1111" w:type="dxa"/>
            <w:vAlign w:val="bottom"/>
          </w:tcPr>
          <w:p w14:paraId="115016CD" w14:textId="4077FF44" w:rsidR="00F05F4E" w:rsidRPr="00A50810" w:rsidRDefault="00F05F4E" w:rsidP="00A50810">
            <w:pPr>
              <w:spacing w:line="360" w:lineRule="auto"/>
              <w:rPr>
                <w:color w:val="000000"/>
                <w:sz w:val="22"/>
                <w:szCs w:val="22"/>
                <w:lang w:val="uk-UA"/>
              </w:rPr>
            </w:pPr>
            <w:r w:rsidRPr="00A50810">
              <w:rPr>
                <w:color w:val="000000"/>
                <w:sz w:val="22"/>
                <w:szCs w:val="22"/>
                <w:lang w:val="uk-UA"/>
              </w:rPr>
              <w:t xml:space="preserve">10,07 </w:t>
            </w:r>
            <w:r w:rsidRPr="00A50810">
              <w:rPr>
                <w:color w:val="000000"/>
                <w:sz w:val="22"/>
                <w:szCs w:val="22"/>
              </w:rPr>
              <w:t>±</w:t>
            </w:r>
            <w:r w:rsidRPr="00A50810">
              <w:rPr>
                <w:color w:val="000000"/>
                <w:sz w:val="22"/>
                <w:szCs w:val="22"/>
                <w:lang w:val="en-US"/>
              </w:rPr>
              <w:t xml:space="preserve"> </w:t>
            </w:r>
            <w:r w:rsidRPr="00A50810">
              <w:rPr>
                <w:color w:val="000000"/>
                <w:sz w:val="22"/>
                <w:szCs w:val="22"/>
              </w:rPr>
              <w:t>2</w:t>
            </w:r>
          </w:p>
        </w:tc>
        <w:tc>
          <w:tcPr>
            <w:tcW w:w="1084" w:type="dxa"/>
            <w:vAlign w:val="bottom"/>
          </w:tcPr>
          <w:p w14:paraId="4887800D" w14:textId="375C2818" w:rsidR="00F05F4E" w:rsidRPr="00A50810" w:rsidRDefault="00461A45" w:rsidP="00A50810">
            <w:pPr>
              <w:widowControl w:val="0"/>
              <w:autoSpaceDE w:val="0"/>
              <w:autoSpaceDN w:val="0"/>
              <w:adjustRightInd w:val="0"/>
              <w:spacing w:line="360" w:lineRule="auto"/>
              <w:rPr>
                <w:sz w:val="22"/>
                <w:szCs w:val="22"/>
                <w:lang w:val="uk-UA"/>
              </w:rPr>
            </w:pPr>
            <w:r w:rsidRPr="00A50810">
              <w:rPr>
                <w:sz w:val="22"/>
                <w:szCs w:val="22"/>
                <w:lang w:val="uk-UA"/>
              </w:rPr>
              <w:t>0</w:t>
            </w:r>
          </w:p>
        </w:tc>
      </w:tr>
      <w:tr w:rsidR="00F05F4E" w:rsidRPr="00A50810" w14:paraId="75D6B08E" w14:textId="77777777" w:rsidTr="00DE015D">
        <w:trPr>
          <w:trHeight w:val="301"/>
        </w:trPr>
        <w:tc>
          <w:tcPr>
            <w:tcW w:w="502" w:type="dxa"/>
            <w:vAlign w:val="bottom"/>
          </w:tcPr>
          <w:p w14:paraId="1FD0296A" w14:textId="77777777" w:rsidR="00F05F4E" w:rsidRPr="00A50810" w:rsidRDefault="00F05F4E" w:rsidP="00A50810">
            <w:pPr>
              <w:widowControl w:val="0"/>
              <w:autoSpaceDE w:val="0"/>
              <w:autoSpaceDN w:val="0"/>
              <w:adjustRightInd w:val="0"/>
              <w:spacing w:line="360" w:lineRule="auto"/>
              <w:rPr>
                <w:sz w:val="22"/>
                <w:szCs w:val="22"/>
                <w:lang w:val="uk-UA"/>
              </w:rPr>
            </w:pPr>
            <w:r w:rsidRPr="00A50810">
              <w:rPr>
                <w:sz w:val="22"/>
                <w:szCs w:val="22"/>
                <w:lang w:val="uk-UA"/>
              </w:rPr>
              <w:t>3</w:t>
            </w:r>
          </w:p>
        </w:tc>
        <w:tc>
          <w:tcPr>
            <w:tcW w:w="2108" w:type="dxa"/>
            <w:vAlign w:val="bottom"/>
          </w:tcPr>
          <w:p w14:paraId="0FD1912A" w14:textId="77777777" w:rsidR="00F05F4E" w:rsidRPr="00A50810" w:rsidRDefault="00F05F4E" w:rsidP="00A50810">
            <w:pPr>
              <w:widowControl w:val="0"/>
              <w:autoSpaceDE w:val="0"/>
              <w:autoSpaceDN w:val="0"/>
              <w:adjustRightInd w:val="0"/>
              <w:spacing w:line="360" w:lineRule="auto"/>
              <w:rPr>
                <w:sz w:val="22"/>
                <w:szCs w:val="22"/>
                <w:lang w:val="uk-UA"/>
              </w:rPr>
            </w:pPr>
            <w:r w:rsidRPr="00A50810">
              <w:rPr>
                <w:sz w:val="22"/>
                <w:szCs w:val="22"/>
                <w:lang w:val="uk-UA"/>
              </w:rPr>
              <w:t>Комплекс 1</w:t>
            </w:r>
          </w:p>
        </w:tc>
        <w:tc>
          <w:tcPr>
            <w:tcW w:w="506" w:type="dxa"/>
            <w:vAlign w:val="bottom"/>
          </w:tcPr>
          <w:p w14:paraId="75BAC0EF" w14:textId="77777777" w:rsidR="00F05F4E" w:rsidRPr="00A50810" w:rsidRDefault="00F05F4E" w:rsidP="00A50810">
            <w:pPr>
              <w:spacing w:line="360" w:lineRule="auto"/>
              <w:rPr>
                <w:color w:val="000000"/>
                <w:sz w:val="22"/>
                <w:szCs w:val="22"/>
              </w:rPr>
            </w:pPr>
            <w:r w:rsidRPr="00A50810">
              <w:rPr>
                <w:color w:val="000000"/>
                <w:sz w:val="22"/>
                <w:szCs w:val="22"/>
              </w:rPr>
              <w:t>0</w:t>
            </w:r>
          </w:p>
        </w:tc>
        <w:tc>
          <w:tcPr>
            <w:tcW w:w="1434" w:type="dxa"/>
            <w:vAlign w:val="bottom"/>
          </w:tcPr>
          <w:p w14:paraId="1888985F" w14:textId="77777777" w:rsidR="00F05F4E" w:rsidRPr="00A50810" w:rsidRDefault="00F05F4E" w:rsidP="00A50810">
            <w:pPr>
              <w:spacing w:line="360" w:lineRule="auto"/>
              <w:rPr>
                <w:color w:val="000000"/>
                <w:sz w:val="22"/>
                <w:szCs w:val="22"/>
                <w:lang w:val="en-US"/>
              </w:rPr>
            </w:pPr>
            <w:r w:rsidRPr="00A50810">
              <w:rPr>
                <w:color w:val="000000"/>
                <w:sz w:val="22"/>
                <w:szCs w:val="22"/>
              </w:rPr>
              <w:t>12,7</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1,8</w:t>
            </w:r>
            <w:r w:rsidRPr="00A50810">
              <w:rPr>
                <w:color w:val="000000"/>
                <w:sz w:val="22"/>
                <w:szCs w:val="22"/>
                <w:lang w:val="en-US"/>
              </w:rPr>
              <w:t xml:space="preserve"> **</w:t>
            </w:r>
          </w:p>
        </w:tc>
        <w:tc>
          <w:tcPr>
            <w:tcW w:w="1265" w:type="dxa"/>
            <w:vAlign w:val="bottom"/>
          </w:tcPr>
          <w:p w14:paraId="4B4A3E9E" w14:textId="77777777" w:rsidR="00F05F4E" w:rsidRPr="00A50810" w:rsidRDefault="00F05F4E" w:rsidP="00A50810">
            <w:pPr>
              <w:spacing w:line="360" w:lineRule="auto"/>
              <w:rPr>
                <w:color w:val="000000"/>
                <w:sz w:val="22"/>
                <w:szCs w:val="22"/>
                <w:lang w:val="en-US"/>
              </w:rPr>
            </w:pPr>
            <w:r w:rsidRPr="00A50810">
              <w:rPr>
                <w:color w:val="000000"/>
                <w:sz w:val="22"/>
                <w:szCs w:val="22"/>
              </w:rPr>
              <w:t>4,7</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1,8</w:t>
            </w:r>
            <w:r w:rsidRPr="00A50810">
              <w:rPr>
                <w:color w:val="000000"/>
                <w:sz w:val="22"/>
                <w:szCs w:val="22"/>
                <w:lang w:val="en-US"/>
              </w:rPr>
              <w:t xml:space="preserve"> *</w:t>
            </w:r>
          </w:p>
        </w:tc>
        <w:tc>
          <w:tcPr>
            <w:tcW w:w="1349" w:type="dxa"/>
            <w:vAlign w:val="bottom"/>
          </w:tcPr>
          <w:p w14:paraId="7A50FF86" w14:textId="77777777" w:rsidR="00F05F4E" w:rsidRPr="00A50810" w:rsidRDefault="00F05F4E" w:rsidP="00A50810">
            <w:pPr>
              <w:widowControl w:val="0"/>
              <w:autoSpaceDE w:val="0"/>
              <w:autoSpaceDN w:val="0"/>
              <w:adjustRightInd w:val="0"/>
              <w:spacing w:line="360" w:lineRule="auto"/>
              <w:rPr>
                <w:sz w:val="22"/>
                <w:szCs w:val="22"/>
                <w:lang w:val="en-US"/>
              </w:rPr>
            </w:pPr>
            <w:r w:rsidRPr="00A50810">
              <w:rPr>
                <w:sz w:val="22"/>
                <w:szCs w:val="22"/>
                <w:lang w:val="en-US"/>
              </w:rPr>
              <w:t xml:space="preserve">0 </w:t>
            </w:r>
            <w:r w:rsidRPr="00A50810">
              <w:rPr>
                <w:color w:val="000000"/>
                <w:sz w:val="22"/>
                <w:szCs w:val="22"/>
              </w:rPr>
              <w:t>±</w:t>
            </w:r>
            <w:r w:rsidRPr="00A50810">
              <w:rPr>
                <w:color w:val="000000"/>
                <w:sz w:val="22"/>
                <w:szCs w:val="22"/>
                <w:lang w:val="en-US"/>
              </w:rPr>
              <w:t xml:space="preserve"> 1,8</w:t>
            </w:r>
            <w:r w:rsidRPr="00A50810">
              <w:rPr>
                <w:sz w:val="22"/>
                <w:szCs w:val="22"/>
                <w:lang w:val="en-US"/>
              </w:rPr>
              <w:t>**</w:t>
            </w:r>
          </w:p>
        </w:tc>
        <w:tc>
          <w:tcPr>
            <w:tcW w:w="1111" w:type="dxa"/>
            <w:vAlign w:val="bottom"/>
          </w:tcPr>
          <w:p w14:paraId="1067A680" w14:textId="77777777" w:rsidR="00F05F4E" w:rsidRPr="00A50810" w:rsidRDefault="00F05F4E" w:rsidP="00A50810">
            <w:pPr>
              <w:widowControl w:val="0"/>
              <w:autoSpaceDE w:val="0"/>
              <w:autoSpaceDN w:val="0"/>
              <w:adjustRightInd w:val="0"/>
              <w:spacing w:line="360" w:lineRule="auto"/>
              <w:rPr>
                <w:sz w:val="22"/>
                <w:szCs w:val="22"/>
              </w:rPr>
            </w:pPr>
            <w:r w:rsidRPr="00A50810">
              <w:rPr>
                <w:sz w:val="22"/>
                <w:szCs w:val="22"/>
              </w:rPr>
              <w:t>0</w:t>
            </w:r>
          </w:p>
        </w:tc>
        <w:tc>
          <w:tcPr>
            <w:tcW w:w="1084" w:type="dxa"/>
            <w:vAlign w:val="bottom"/>
          </w:tcPr>
          <w:p w14:paraId="736B48D9" w14:textId="77777777" w:rsidR="00F05F4E" w:rsidRPr="00A50810" w:rsidRDefault="00F05F4E" w:rsidP="00A50810">
            <w:pPr>
              <w:widowControl w:val="0"/>
              <w:autoSpaceDE w:val="0"/>
              <w:autoSpaceDN w:val="0"/>
              <w:adjustRightInd w:val="0"/>
              <w:spacing w:line="360" w:lineRule="auto"/>
              <w:rPr>
                <w:sz w:val="22"/>
                <w:szCs w:val="22"/>
              </w:rPr>
            </w:pPr>
            <w:r w:rsidRPr="00A50810">
              <w:rPr>
                <w:sz w:val="22"/>
                <w:szCs w:val="22"/>
              </w:rPr>
              <w:t>0</w:t>
            </w:r>
          </w:p>
        </w:tc>
      </w:tr>
      <w:tr w:rsidR="00F05F4E" w:rsidRPr="00A50810" w14:paraId="404915BC" w14:textId="77777777" w:rsidTr="00DE015D">
        <w:trPr>
          <w:trHeight w:val="264"/>
        </w:trPr>
        <w:tc>
          <w:tcPr>
            <w:tcW w:w="502" w:type="dxa"/>
            <w:vAlign w:val="bottom"/>
          </w:tcPr>
          <w:p w14:paraId="36C9A491" w14:textId="4D235D54" w:rsidR="00F05F4E" w:rsidRPr="00A50810" w:rsidRDefault="00B85935" w:rsidP="00A50810">
            <w:pPr>
              <w:widowControl w:val="0"/>
              <w:autoSpaceDE w:val="0"/>
              <w:autoSpaceDN w:val="0"/>
              <w:adjustRightInd w:val="0"/>
              <w:spacing w:line="360" w:lineRule="auto"/>
              <w:rPr>
                <w:sz w:val="22"/>
                <w:szCs w:val="22"/>
                <w:lang w:val="uk-UA"/>
              </w:rPr>
            </w:pPr>
            <w:r w:rsidRPr="00A50810">
              <w:rPr>
                <w:sz w:val="22"/>
                <w:szCs w:val="22"/>
                <w:lang w:val="uk-UA"/>
              </w:rPr>
              <w:t>4</w:t>
            </w:r>
          </w:p>
        </w:tc>
        <w:tc>
          <w:tcPr>
            <w:tcW w:w="2108" w:type="dxa"/>
            <w:vAlign w:val="bottom"/>
          </w:tcPr>
          <w:p w14:paraId="70BB1D20" w14:textId="77777777" w:rsidR="00F05F4E" w:rsidRPr="00A50810" w:rsidRDefault="00F05F4E" w:rsidP="00A50810">
            <w:pPr>
              <w:widowControl w:val="0"/>
              <w:autoSpaceDE w:val="0"/>
              <w:autoSpaceDN w:val="0"/>
              <w:adjustRightInd w:val="0"/>
              <w:spacing w:line="360" w:lineRule="auto"/>
              <w:rPr>
                <w:sz w:val="22"/>
                <w:szCs w:val="22"/>
                <w:lang w:val="uk-UA"/>
              </w:rPr>
            </w:pPr>
            <w:r w:rsidRPr="00A50810">
              <w:rPr>
                <w:sz w:val="22"/>
                <w:szCs w:val="22"/>
                <w:lang w:val="uk-UA"/>
              </w:rPr>
              <w:t>Бензальдегід</w:t>
            </w:r>
          </w:p>
        </w:tc>
        <w:tc>
          <w:tcPr>
            <w:tcW w:w="506" w:type="dxa"/>
            <w:vAlign w:val="bottom"/>
          </w:tcPr>
          <w:p w14:paraId="55593548" w14:textId="77777777" w:rsidR="00F05F4E" w:rsidRPr="00A50810" w:rsidRDefault="00F05F4E" w:rsidP="00A50810">
            <w:pPr>
              <w:spacing w:line="360" w:lineRule="auto"/>
              <w:rPr>
                <w:color w:val="000000"/>
                <w:sz w:val="22"/>
                <w:szCs w:val="22"/>
              </w:rPr>
            </w:pPr>
            <w:r w:rsidRPr="00A50810">
              <w:rPr>
                <w:color w:val="000000"/>
                <w:sz w:val="22"/>
                <w:szCs w:val="22"/>
              </w:rPr>
              <w:t>0</w:t>
            </w:r>
          </w:p>
        </w:tc>
        <w:tc>
          <w:tcPr>
            <w:tcW w:w="1434" w:type="dxa"/>
            <w:vAlign w:val="bottom"/>
          </w:tcPr>
          <w:p w14:paraId="5A5DF148" w14:textId="77777777" w:rsidR="00F05F4E" w:rsidRPr="00A50810" w:rsidRDefault="00F05F4E" w:rsidP="00A50810">
            <w:pPr>
              <w:spacing w:line="360" w:lineRule="auto"/>
              <w:rPr>
                <w:color w:val="000000"/>
                <w:sz w:val="22"/>
                <w:szCs w:val="22"/>
              </w:rPr>
            </w:pPr>
            <w:r w:rsidRPr="00A50810">
              <w:rPr>
                <w:color w:val="000000"/>
                <w:sz w:val="22"/>
                <w:szCs w:val="22"/>
              </w:rPr>
              <w:t>39,5</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1,0</w:t>
            </w:r>
          </w:p>
        </w:tc>
        <w:tc>
          <w:tcPr>
            <w:tcW w:w="1265" w:type="dxa"/>
            <w:vAlign w:val="bottom"/>
          </w:tcPr>
          <w:p w14:paraId="60FE4719" w14:textId="77777777" w:rsidR="00F05F4E" w:rsidRPr="00A50810" w:rsidRDefault="00F05F4E" w:rsidP="00A50810">
            <w:pPr>
              <w:spacing w:line="360" w:lineRule="auto"/>
              <w:rPr>
                <w:color w:val="000000"/>
                <w:sz w:val="22"/>
                <w:szCs w:val="22"/>
              </w:rPr>
            </w:pPr>
            <w:r w:rsidRPr="00A50810">
              <w:rPr>
                <w:color w:val="000000"/>
                <w:sz w:val="22"/>
                <w:szCs w:val="22"/>
              </w:rPr>
              <w:t>25,6</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1,0</w:t>
            </w:r>
          </w:p>
        </w:tc>
        <w:tc>
          <w:tcPr>
            <w:tcW w:w="1349" w:type="dxa"/>
            <w:vAlign w:val="bottom"/>
          </w:tcPr>
          <w:p w14:paraId="15FA7229" w14:textId="77777777" w:rsidR="00F05F4E" w:rsidRPr="00A50810" w:rsidRDefault="00F05F4E" w:rsidP="00A50810">
            <w:pPr>
              <w:spacing w:line="360" w:lineRule="auto"/>
              <w:rPr>
                <w:color w:val="000000"/>
                <w:sz w:val="22"/>
                <w:szCs w:val="22"/>
              </w:rPr>
            </w:pPr>
            <w:r w:rsidRPr="00A50810">
              <w:rPr>
                <w:color w:val="000000"/>
                <w:sz w:val="22"/>
                <w:szCs w:val="22"/>
              </w:rPr>
              <w:t>14</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1,0</w:t>
            </w:r>
          </w:p>
        </w:tc>
        <w:tc>
          <w:tcPr>
            <w:tcW w:w="1111" w:type="dxa"/>
            <w:vAlign w:val="bottom"/>
          </w:tcPr>
          <w:p w14:paraId="43FA4DD6" w14:textId="77777777" w:rsidR="00F05F4E" w:rsidRPr="00A50810" w:rsidRDefault="00F05F4E" w:rsidP="00A50810">
            <w:pPr>
              <w:spacing w:line="360" w:lineRule="auto"/>
              <w:rPr>
                <w:color w:val="000000"/>
                <w:sz w:val="22"/>
                <w:szCs w:val="22"/>
              </w:rPr>
            </w:pPr>
            <w:r w:rsidRPr="00A50810">
              <w:rPr>
                <w:color w:val="000000"/>
                <w:sz w:val="22"/>
                <w:szCs w:val="22"/>
              </w:rPr>
              <w:t>9,3</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2,0</w:t>
            </w:r>
          </w:p>
        </w:tc>
        <w:tc>
          <w:tcPr>
            <w:tcW w:w="1084" w:type="dxa"/>
            <w:vAlign w:val="bottom"/>
          </w:tcPr>
          <w:p w14:paraId="7488D465" w14:textId="77777777" w:rsidR="00F05F4E" w:rsidRPr="00A50810" w:rsidRDefault="00F05F4E" w:rsidP="00A50810">
            <w:pPr>
              <w:spacing w:line="360" w:lineRule="auto"/>
              <w:rPr>
                <w:color w:val="000000"/>
                <w:sz w:val="22"/>
                <w:szCs w:val="22"/>
              </w:rPr>
            </w:pPr>
            <w:r w:rsidRPr="00A50810">
              <w:rPr>
                <w:color w:val="000000"/>
                <w:sz w:val="22"/>
                <w:szCs w:val="22"/>
              </w:rPr>
              <w:t>2,3</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2,3</w:t>
            </w:r>
          </w:p>
        </w:tc>
      </w:tr>
      <w:tr w:rsidR="00F05F4E" w:rsidRPr="00A50810" w14:paraId="4F2E0100" w14:textId="77777777" w:rsidTr="00DE015D">
        <w:trPr>
          <w:trHeight w:val="347"/>
        </w:trPr>
        <w:tc>
          <w:tcPr>
            <w:tcW w:w="502" w:type="dxa"/>
            <w:vAlign w:val="bottom"/>
          </w:tcPr>
          <w:p w14:paraId="4ED3AEA1" w14:textId="48A77244" w:rsidR="00F05F4E" w:rsidRPr="00A50810" w:rsidRDefault="00B85935" w:rsidP="00A50810">
            <w:pPr>
              <w:widowControl w:val="0"/>
              <w:autoSpaceDE w:val="0"/>
              <w:autoSpaceDN w:val="0"/>
              <w:adjustRightInd w:val="0"/>
              <w:spacing w:line="360" w:lineRule="auto"/>
              <w:rPr>
                <w:sz w:val="22"/>
                <w:szCs w:val="22"/>
                <w:lang w:val="uk-UA"/>
              </w:rPr>
            </w:pPr>
            <w:r w:rsidRPr="00A50810">
              <w:rPr>
                <w:sz w:val="22"/>
                <w:szCs w:val="22"/>
                <w:lang w:val="uk-UA"/>
              </w:rPr>
              <w:t>5</w:t>
            </w:r>
          </w:p>
        </w:tc>
        <w:tc>
          <w:tcPr>
            <w:tcW w:w="2108" w:type="dxa"/>
            <w:vAlign w:val="bottom"/>
          </w:tcPr>
          <w:p w14:paraId="29DF2E75" w14:textId="77777777" w:rsidR="00F05F4E" w:rsidRPr="00A50810" w:rsidRDefault="00F05F4E" w:rsidP="00A50810">
            <w:pPr>
              <w:widowControl w:val="0"/>
              <w:autoSpaceDE w:val="0"/>
              <w:autoSpaceDN w:val="0"/>
              <w:adjustRightInd w:val="0"/>
              <w:spacing w:line="360" w:lineRule="auto"/>
              <w:rPr>
                <w:sz w:val="22"/>
                <w:szCs w:val="22"/>
                <w:lang w:val="uk-UA"/>
              </w:rPr>
            </w:pPr>
            <w:r w:rsidRPr="00A50810">
              <w:rPr>
                <w:sz w:val="22"/>
                <w:szCs w:val="22"/>
                <w:lang w:val="uk-UA"/>
              </w:rPr>
              <w:t>4-бромбензальдегід</w:t>
            </w:r>
          </w:p>
        </w:tc>
        <w:tc>
          <w:tcPr>
            <w:tcW w:w="506" w:type="dxa"/>
            <w:vAlign w:val="bottom"/>
          </w:tcPr>
          <w:p w14:paraId="7205FB6B" w14:textId="77777777" w:rsidR="00F05F4E" w:rsidRPr="00A50810" w:rsidRDefault="00F05F4E" w:rsidP="00A50810">
            <w:pPr>
              <w:spacing w:line="360" w:lineRule="auto"/>
              <w:rPr>
                <w:color w:val="000000"/>
                <w:sz w:val="22"/>
                <w:szCs w:val="22"/>
              </w:rPr>
            </w:pPr>
            <w:r w:rsidRPr="00A50810">
              <w:rPr>
                <w:color w:val="000000"/>
                <w:sz w:val="22"/>
                <w:szCs w:val="22"/>
              </w:rPr>
              <w:t>0</w:t>
            </w:r>
          </w:p>
        </w:tc>
        <w:tc>
          <w:tcPr>
            <w:tcW w:w="1434" w:type="dxa"/>
            <w:vAlign w:val="bottom"/>
          </w:tcPr>
          <w:p w14:paraId="6A8B2B8F" w14:textId="77777777" w:rsidR="00F05F4E" w:rsidRPr="00A50810" w:rsidRDefault="00F05F4E" w:rsidP="00A50810">
            <w:pPr>
              <w:spacing w:line="360" w:lineRule="auto"/>
              <w:rPr>
                <w:color w:val="000000"/>
                <w:sz w:val="22"/>
                <w:szCs w:val="22"/>
              </w:rPr>
            </w:pPr>
            <w:r w:rsidRPr="00A50810">
              <w:rPr>
                <w:color w:val="000000"/>
                <w:sz w:val="22"/>
                <w:szCs w:val="22"/>
              </w:rPr>
              <w:t>30,2</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2,2</w:t>
            </w:r>
          </w:p>
        </w:tc>
        <w:tc>
          <w:tcPr>
            <w:tcW w:w="1265" w:type="dxa"/>
            <w:vAlign w:val="bottom"/>
          </w:tcPr>
          <w:p w14:paraId="7812F82B" w14:textId="77777777" w:rsidR="00F05F4E" w:rsidRPr="00A50810" w:rsidRDefault="00F05F4E" w:rsidP="00A50810">
            <w:pPr>
              <w:spacing w:line="360" w:lineRule="auto"/>
              <w:rPr>
                <w:color w:val="000000"/>
                <w:sz w:val="22"/>
                <w:szCs w:val="22"/>
              </w:rPr>
            </w:pPr>
            <w:r w:rsidRPr="00A50810">
              <w:rPr>
                <w:color w:val="000000"/>
                <w:sz w:val="22"/>
                <w:szCs w:val="22"/>
              </w:rPr>
              <w:t>27,9</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2,2</w:t>
            </w:r>
          </w:p>
        </w:tc>
        <w:tc>
          <w:tcPr>
            <w:tcW w:w="1349" w:type="dxa"/>
            <w:vAlign w:val="bottom"/>
          </w:tcPr>
          <w:p w14:paraId="0AC7870E" w14:textId="77777777" w:rsidR="00F05F4E" w:rsidRPr="00A50810" w:rsidRDefault="00F05F4E" w:rsidP="00A50810">
            <w:pPr>
              <w:spacing w:line="360" w:lineRule="auto"/>
              <w:rPr>
                <w:color w:val="000000"/>
                <w:sz w:val="22"/>
                <w:szCs w:val="22"/>
              </w:rPr>
            </w:pPr>
            <w:r w:rsidRPr="00A50810">
              <w:rPr>
                <w:color w:val="000000"/>
                <w:sz w:val="22"/>
                <w:szCs w:val="22"/>
              </w:rPr>
              <w:t>16,3</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2,3</w:t>
            </w:r>
          </w:p>
        </w:tc>
        <w:tc>
          <w:tcPr>
            <w:tcW w:w="1111" w:type="dxa"/>
            <w:vAlign w:val="bottom"/>
          </w:tcPr>
          <w:p w14:paraId="2394DA43" w14:textId="77777777" w:rsidR="00F05F4E" w:rsidRPr="00A50810" w:rsidRDefault="00F05F4E" w:rsidP="00A50810">
            <w:pPr>
              <w:spacing w:line="360" w:lineRule="auto"/>
              <w:rPr>
                <w:color w:val="000000"/>
                <w:sz w:val="22"/>
                <w:szCs w:val="22"/>
              </w:rPr>
            </w:pPr>
            <w:r w:rsidRPr="00A50810">
              <w:rPr>
                <w:color w:val="000000"/>
                <w:sz w:val="22"/>
                <w:szCs w:val="22"/>
              </w:rPr>
              <w:t>11,6</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2,3</w:t>
            </w:r>
          </w:p>
        </w:tc>
        <w:tc>
          <w:tcPr>
            <w:tcW w:w="1084" w:type="dxa"/>
            <w:vAlign w:val="bottom"/>
          </w:tcPr>
          <w:p w14:paraId="2085FC55" w14:textId="77777777" w:rsidR="00F05F4E" w:rsidRPr="00A50810" w:rsidRDefault="00F05F4E" w:rsidP="00A50810">
            <w:pPr>
              <w:widowControl w:val="0"/>
              <w:autoSpaceDE w:val="0"/>
              <w:autoSpaceDN w:val="0"/>
              <w:adjustRightInd w:val="0"/>
              <w:spacing w:line="360" w:lineRule="auto"/>
              <w:rPr>
                <w:sz w:val="22"/>
                <w:szCs w:val="22"/>
              </w:rPr>
            </w:pPr>
            <w:r w:rsidRPr="00A50810">
              <w:rPr>
                <w:sz w:val="22"/>
                <w:szCs w:val="22"/>
              </w:rPr>
              <w:t>0</w:t>
            </w:r>
          </w:p>
        </w:tc>
      </w:tr>
      <w:tr w:rsidR="00F05F4E" w:rsidRPr="00A50810" w14:paraId="33CD1AA9" w14:textId="77777777" w:rsidTr="00DE015D">
        <w:trPr>
          <w:trHeight w:val="347"/>
        </w:trPr>
        <w:tc>
          <w:tcPr>
            <w:tcW w:w="502" w:type="dxa"/>
            <w:vAlign w:val="bottom"/>
          </w:tcPr>
          <w:p w14:paraId="32E938B7" w14:textId="1711C4FF" w:rsidR="00F05F4E" w:rsidRPr="00A50810" w:rsidRDefault="00B85935" w:rsidP="00A50810">
            <w:pPr>
              <w:widowControl w:val="0"/>
              <w:autoSpaceDE w:val="0"/>
              <w:autoSpaceDN w:val="0"/>
              <w:adjustRightInd w:val="0"/>
              <w:spacing w:line="360" w:lineRule="auto"/>
              <w:rPr>
                <w:sz w:val="22"/>
                <w:szCs w:val="22"/>
                <w:lang w:val="uk-UA"/>
              </w:rPr>
            </w:pPr>
            <w:r w:rsidRPr="00A50810">
              <w:rPr>
                <w:sz w:val="22"/>
                <w:szCs w:val="22"/>
                <w:lang w:val="uk-UA"/>
              </w:rPr>
              <w:t>6</w:t>
            </w:r>
          </w:p>
        </w:tc>
        <w:tc>
          <w:tcPr>
            <w:tcW w:w="2108" w:type="dxa"/>
            <w:vAlign w:val="bottom"/>
          </w:tcPr>
          <w:p w14:paraId="3831848C" w14:textId="77777777" w:rsidR="00F05F4E" w:rsidRPr="00A50810" w:rsidRDefault="00F05F4E" w:rsidP="00A50810">
            <w:pPr>
              <w:widowControl w:val="0"/>
              <w:autoSpaceDE w:val="0"/>
              <w:autoSpaceDN w:val="0"/>
              <w:adjustRightInd w:val="0"/>
              <w:spacing w:line="360" w:lineRule="auto"/>
              <w:rPr>
                <w:sz w:val="22"/>
                <w:szCs w:val="22"/>
                <w:lang w:val="uk-UA"/>
              </w:rPr>
            </w:pPr>
            <w:r w:rsidRPr="00A50810">
              <w:rPr>
                <w:sz w:val="22"/>
                <w:szCs w:val="22"/>
                <w:lang w:val="uk-UA"/>
              </w:rPr>
              <w:t>Саліцилова кислота</w:t>
            </w:r>
          </w:p>
        </w:tc>
        <w:tc>
          <w:tcPr>
            <w:tcW w:w="506" w:type="dxa"/>
            <w:vAlign w:val="bottom"/>
          </w:tcPr>
          <w:p w14:paraId="5EB6ADF3" w14:textId="77777777" w:rsidR="00F05F4E" w:rsidRPr="00A50810" w:rsidRDefault="00F05F4E" w:rsidP="00A50810">
            <w:pPr>
              <w:spacing w:line="360" w:lineRule="auto"/>
              <w:rPr>
                <w:color w:val="000000"/>
                <w:sz w:val="22"/>
                <w:szCs w:val="22"/>
              </w:rPr>
            </w:pPr>
            <w:r w:rsidRPr="00A50810">
              <w:rPr>
                <w:color w:val="000000"/>
                <w:sz w:val="22"/>
                <w:szCs w:val="22"/>
              </w:rPr>
              <w:t>0</w:t>
            </w:r>
          </w:p>
        </w:tc>
        <w:tc>
          <w:tcPr>
            <w:tcW w:w="1434" w:type="dxa"/>
            <w:vAlign w:val="bottom"/>
          </w:tcPr>
          <w:p w14:paraId="213C1ADF" w14:textId="77777777" w:rsidR="00F05F4E" w:rsidRPr="00A50810" w:rsidRDefault="00F05F4E" w:rsidP="00A50810">
            <w:pPr>
              <w:spacing w:line="360" w:lineRule="auto"/>
              <w:rPr>
                <w:color w:val="000000"/>
                <w:sz w:val="22"/>
                <w:szCs w:val="22"/>
              </w:rPr>
            </w:pPr>
            <w:r w:rsidRPr="00A50810">
              <w:rPr>
                <w:color w:val="000000"/>
                <w:sz w:val="22"/>
                <w:szCs w:val="22"/>
              </w:rPr>
              <w:t>22,7</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2,0</w:t>
            </w:r>
          </w:p>
        </w:tc>
        <w:tc>
          <w:tcPr>
            <w:tcW w:w="1265" w:type="dxa"/>
            <w:vAlign w:val="bottom"/>
          </w:tcPr>
          <w:p w14:paraId="19DF9D74" w14:textId="77777777" w:rsidR="00F05F4E" w:rsidRPr="00A50810" w:rsidRDefault="00F05F4E" w:rsidP="00A50810">
            <w:pPr>
              <w:spacing w:line="360" w:lineRule="auto"/>
              <w:rPr>
                <w:color w:val="000000"/>
                <w:sz w:val="22"/>
                <w:szCs w:val="22"/>
              </w:rPr>
            </w:pPr>
            <w:r w:rsidRPr="00A50810">
              <w:rPr>
                <w:color w:val="000000"/>
                <w:sz w:val="22"/>
                <w:szCs w:val="22"/>
              </w:rPr>
              <w:t>9,3</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2,3</w:t>
            </w:r>
          </w:p>
        </w:tc>
        <w:tc>
          <w:tcPr>
            <w:tcW w:w="1349" w:type="dxa"/>
            <w:vAlign w:val="bottom"/>
          </w:tcPr>
          <w:p w14:paraId="32A826B6" w14:textId="77777777" w:rsidR="00F05F4E" w:rsidRPr="00A50810" w:rsidRDefault="00F05F4E" w:rsidP="00A50810">
            <w:pPr>
              <w:spacing w:line="360" w:lineRule="auto"/>
              <w:rPr>
                <w:color w:val="000000"/>
                <w:sz w:val="22"/>
                <w:szCs w:val="22"/>
                <w:lang w:val="en-US"/>
              </w:rPr>
            </w:pPr>
            <w:r w:rsidRPr="00A50810">
              <w:rPr>
                <w:color w:val="000000"/>
                <w:sz w:val="22"/>
                <w:szCs w:val="22"/>
              </w:rPr>
              <w:t>4,7</w:t>
            </w:r>
            <w:r w:rsidRPr="00A50810">
              <w:rPr>
                <w:color w:val="000000"/>
                <w:sz w:val="22"/>
                <w:szCs w:val="22"/>
                <w:lang w:val="en-US"/>
              </w:rPr>
              <w:t xml:space="preserve"> </w:t>
            </w:r>
            <w:r w:rsidRPr="00A50810">
              <w:rPr>
                <w:color w:val="000000"/>
                <w:sz w:val="22"/>
                <w:szCs w:val="22"/>
              </w:rPr>
              <w:t>±</w:t>
            </w:r>
            <w:r w:rsidRPr="00A50810">
              <w:rPr>
                <w:color w:val="000000"/>
                <w:sz w:val="22"/>
                <w:szCs w:val="22"/>
                <w:lang w:val="en-US"/>
              </w:rPr>
              <w:t xml:space="preserve"> </w:t>
            </w:r>
            <w:r w:rsidRPr="00A50810">
              <w:rPr>
                <w:color w:val="000000"/>
                <w:sz w:val="22"/>
                <w:szCs w:val="22"/>
              </w:rPr>
              <w:t>2,3</w:t>
            </w:r>
            <w:r w:rsidRPr="00A50810">
              <w:rPr>
                <w:color w:val="000000"/>
                <w:sz w:val="22"/>
                <w:szCs w:val="22"/>
                <w:lang w:val="en-US"/>
              </w:rPr>
              <w:t>*</w:t>
            </w:r>
          </w:p>
        </w:tc>
        <w:tc>
          <w:tcPr>
            <w:tcW w:w="1111" w:type="dxa"/>
            <w:vAlign w:val="bottom"/>
          </w:tcPr>
          <w:p w14:paraId="77E1D71A" w14:textId="77777777" w:rsidR="00F05F4E" w:rsidRPr="00A50810" w:rsidRDefault="00F05F4E" w:rsidP="00A50810">
            <w:pPr>
              <w:widowControl w:val="0"/>
              <w:autoSpaceDE w:val="0"/>
              <w:autoSpaceDN w:val="0"/>
              <w:adjustRightInd w:val="0"/>
              <w:spacing w:line="360" w:lineRule="auto"/>
              <w:rPr>
                <w:sz w:val="22"/>
                <w:szCs w:val="22"/>
              </w:rPr>
            </w:pPr>
            <w:r w:rsidRPr="00A50810">
              <w:rPr>
                <w:sz w:val="22"/>
                <w:szCs w:val="22"/>
              </w:rPr>
              <w:t>0</w:t>
            </w:r>
          </w:p>
        </w:tc>
        <w:tc>
          <w:tcPr>
            <w:tcW w:w="1084" w:type="dxa"/>
            <w:vAlign w:val="bottom"/>
          </w:tcPr>
          <w:p w14:paraId="2E05E91F" w14:textId="77777777" w:rsidR="00F05F4E" w:rsidRPr="00A50810" w:rsidRDefault="00F05F4E" w:rsidP="00A50810">
            <w:pPr>
              <w:widowControl w:val="0"/>
              <w:autoSpaceDE w:val="0"/>
              <w:autoSpaceDN w:val="0"/>
              <w:adjustRightInd w:val="0"/>
              <w:spacing w:line="360" w:lineRule="auto"/>
              <w:rPr>
                <w:sz w:val="22"/>
                <w:szCs w:val="22"/>
              </w:rPr>
            </w:pPr>
            <w:r w:rsidRPr="00A50810">
              <w:rPr>
                <w:sz w:val="22"/>
                <w:szCs w:val="22"/>
              </w:rPr>
              <w:t>0</w:t>
            </w:r>
          </w:p>
        </w:tc>
      </w:tr>
    </w:tbl>
    <w:p w14:paraId="4748AACF" w14:textId="49CDA709" w:rsidR="00B20467" w:rsidRDefault="00F05F4E" w:rsidP="00B20467">
      <w:pPr>
        <w:ind w:left="450" w:hanging="450"/>
        <w:jc w:val="both"/>
        <w:rPr>
          <w:lang w:val="uk-UA"/>
        </w:rPr>
      </w:pPr>
      <w:r w:rsidRPr="003D4DAC">
        <w:rPr>
          <w:lang w:val="uk-UA"/>
        </w:rPr>
        <w:t>Примітк</w:t>
      </w:r>
      <w:r w:rsidR="00B20467">
        <w:rPr>
          <w:lang w:val="uk-UA"/>
        </w:rPr>
        <w:t>и</w:t>
      </w:r>
      <w:r w:rsidRPr="003D4DAC">
        <w:rPr>
          <w:lang w:val="uk-UA"/>
        </w:rPr>
        <w:t xml:space="preserve">: </w:t>
      </w:r>
    </w:p>
    <w:p w14:paraId="3ABE573C" w14:textId="33255FE8" w:rsidR="00352B8A" w:rsidRDefault="00352B8A" w:rsidP="00B20467">
      <w:pPr>
        <w:ind w:left="450" w:hanging="450"/>
        <w:jc w:val="both"/>
      </w:pPr>
      <w:r>
        <w:rPr>
          <w:lang w:val="uk-UA"/>
        </w:rPr>
        <w:t xml:space="preserve">1. </w:t>
      </w:r>
      <w:r>
        <w:rPr>
          <w:lang w:val="uk-UA"/>
        </w:rPr>
        <w:tab/>
      </w:r>
      <w:r w:rsidR="00F05F4E" w:rsidRPr="003D4DAC">
        <w:t>*</w:t>
      </w:r>
      <w:r w:rsidR="00F05F4E" w:rsidRPr="003D4DAC">
        <w:rPr>
          <w:lang w:val="uk-UA"/>
        </w:rPr>
        <w:t xml:space="preserve"> - статистично значуща різниця у порівнянні з контрольною групою (р</w:t>
      </w:r>
      <w:r w:rsidR="00F05F4E" w:rsidRPr="003D4DAC">
        <w:rPr>
          <w:lang w:val="uk-UA"/>
        </w:rPr>
        <w:sym w:font="Symbol" w:char="F03C"/>
      </w:r>
      <w:r w:rsidR="00F05F4E" w:rsidRPr="003D4DAC">
        <w:rPr>
          <w:lang w:val="uk-UA"/>
        </w:rPr>
        <w:t>0,05)</w:t>
      </w:r>
      <w:r w:rsidR="00F05F4E" w:rsidRPr="003D4DAC">
        <w:t xml:space="preserve">. </w:t>
      </w:r>
    </w:p>
    <w:p w14:paraId="5E849B69" w14:textId="5123735F" w:rsidR="00F05F4E" w:rsidRDefault="00352B8A" w:rsidP="00B20467">
      <w:pPr>
        <w:ind w:left="450" w:hanging="450"/>
        <w:jc w:val="both"/>
      </w:pPr>
      <w:r>
        <w:t>2.</w:t>
      </w:r>
      <w:r>
        <w:tab/>
      </w:r>
      <w:r w:rsidR="00F05F4E" w:rsidRPr="003D4DAC">
        <w:t>**</w:t>
      </w:r>
      <w:r w:rsidR="00F05F4E" w:rsidRPr="003D4DAC">
        <w:rPr>
          <w:lang w:val="uk-UA"/>
        </w:rPr>
        <w:t xml:space="preserve"> - статистично значуща різниця у порівнянні з контрольною групою (р</w:t>
      </w:r>
      <w:r w:rsidR="00F05F4E" w:rsidRPr="003D4DAC">
        <w:rPr>
          <w:lang w:val="uk-UA"/>
        </w:rPr>
        <w:sym w:font="Symbol" w:char="F03C"/>
      </w:r>
      <w:r w:rsidR="00F05F4E" w:rsidRPr="003D4DAC">
        <w:rPr>
          <w:lang w:val="uk-UA"/>
        </w:rPr>
        <w:t>0,0</w:t>
      </w:r>
      <w:r w:rsidR="00F05F4E" w:rsidRPr="003D4DAC">
        <w:t>1</w:t>
      </w:r>
      <w:r w:rsidR="00F05F4E" w:rsidRPr="003D4DAC">
        <w:rPr>
          <w:lang w:val="uk-UA"/>
        </w:rPr>
        <w:t>)</w:t>
      </w:r>
      <w:r w:rsidR="00F05F4E" w:rsidRPr="003D4DAC">
        <w:t xml:space="preserve">. </w:t>
      </w:r>
    </w:p>
    <w:p w14:paraId="32BE9F8A" w14:textId="77777777" w:rsidR="00F05F4E" w:rsidRDefault="00F05F4E" w:rsidP="00F05F4E">
      <w:pPr>
        <w:pStyle w:val="a6"/>
        <w:spacing w:before="0" w:beforeAutospacing="0" w:after="0" w:afterAutospacing="0" w:line="360" w:lineRule="auto"/>
        <w:jc w:val="both"/>
        <w:outlineLvl w:val="1"/>
        <w:rPr>
          <w:b/>
          <w:bCs/>
          <w:sz w:val="28"/>
          <w:szCs w:val="28"/>
          <w:lang w:val="uk-UA"/>
        </w:rPr>
      </w:pPr>
    </w:p>
    <w:p w14:paraId="7741C68E" w14:textId="102140A5" w:rsidR="00F05F4E" w:rsidRPr="00F24BC1" w:rsidRDefault="00F05F4E" w:rsidP="00F05F4E">
      <w:pPr>
        <w:pStyle w:val="a6"/>
        <w:spacing w:before="0" w:beforeAutospacing="0" w:after="0" w:afterAutospacing="0" w:line="360" w:lineRule="auto"/>
        <w:ind w:firstLine="851"/>
        <w:jc w:val="both"/>
        <w:outlineLvl w:val="1"/>
        <w:rPr>
          <w:sz w:val="28"/>
          <w:szCs w:val="28"/>
          <w:lang w:val="uk-UA"/>
        </w:rPr>
      </w:pPr>
      <w:r>
        <w:rPr>
          <w:b/>
          <w:bCs/>
          <w:sz w:val="28"/>
          <w:szCs w:val="28"/>
          <w:lang w:val="uk-UA"/>
        </w:rPr>
        <w:t>4</w:t>
      </w:r>
      <w:r w:rsidRPr="00F24BC1">
        <w:rPr>
          <w:b/>
          <w:bCs/>
          <w:sz w:val="28"/>
          <w:szCs w:val="28"/>
          <w:lang w:val="uk-UA"/>
        </w:rPr>
        <w:t>.</w:t>
      </w:r>
      <w:r>
        <w:rPr>
          <w:b/>
          <w:bCs/>
          <w:sz w:val="28"/>
          <w:szCs w:val="28"/>
          <w:lang w:val="uk-UA"/>
        </w:rPr>
        <w:t>3</w:t>
      </w:r>
      <w:r w:rsidRPr="00F24BC1">
        <w:rPr>
          <w:b/>
          <w:bCs/>
          <w:sz w:val="28"/>
          <w:szCs w:val="28"/>
          <w:lang w:val="uk-UA"/>
        </w:rPr>
        <w:t xml:space="preserve">. Визначення протизапальної дії комплексних сполук </w:t>
      </w:r>
      <w:r w:rsidRPr="00F24BC1">
        <w:rPr>
          <w:b/>
          <w:bCs/>
          <w:sz w:val="28"/>
          <w:szCs w:val="28"/>
        </w:rPr>
        <w:t>Sn</w:t>
      </w:r>
      <w:r w:rsidR="00C57D1F">
        <w:rPr>
          <w:b/>
          <w:bCs/>
          <w:sz w:val="28"/>
          <w:szCs w:val="28"/>
          <w:lang w:val="uk-UA"/>
        </w:rPr>
        <w:t xml:space="preserve"> (</w:t>
      </w:r>
      <w:r w:rsidR="00C57D1F">
        <w:rPr>
          <w:b/>
          <w:bCs/>
          <w:sz w:val="28"/>
          <w:szCs w:val="28"/>
          <w:lang w:val="en-US"/>
        </w:rPr>
        <w:t>IV</w:t>
      </w:r>
      <w:r w:rsidR="00C57D1F">
        <w:rPr>
          <w:b/>
          <w:bCs/>
          <w:sz w:val="28"/>
          <w:szCs w:val="28"/>
          <w:lang w:val="uk-UA"/>
        </w:rPr>
        <w:t>)</w:t>
      </w:r>
      <w:r w:rsidR="00C57D1F" w:rsidRPr="00C57D1F">
        <w:rPr>
          <w:b/>
          <w:bCs/>
          <w:sz w:val="28"/>
          <w:szCs w:val="28"/>
          <w:lang w:val="uk-UA"/>
        </w:rPr>
        <w:t xml:space="preserve"> </w:t>
      </w:r>
      <w:r w:rsidRPr="00F24BC1">
        <w:rPr>
          <w:b/>
          <w:bCs/>
          <w:sz w:val="28"/>
          <w:szCs w:val="28"/>
          <w:lang w:val="uk-UA"/>
        </w:rPr>
        <w:t>з саліцилоїлгідразонами бензальдегід</w:t>
      </w:r>
      <w:r w:rsidR="00C57D1F">
        <w:rPr>
          <w:b/>
          <w:bCs/>
          <w:sz w:val="28"/>
          <w:szCs w:val="28"/>
          <w:lang w:val="uk-UA"/>
        </w:rPr>
        <w:t xml:space="preserve">ів </w:t>
      </w:r>
      <w:r w:rsidRPr="00F24BC1">
        <w:rPr>
          <w:b/>
          <w:bCs/>
          <w:sz w:val="28"/>
          <w:szCs w:val="28"/>
          <w:lang w:val="uk-UA"/>
        </w:rPr>
        <w:t>на моделі формалінового запалення.</w:t>
      </w:r>
    </w:p>
    <w:p w14:paraId="012AE0D5" w14:textId="77777777" w:rsidR="001759D5" w:rsidRDefault="00F05F4E" w:rsidP="00F05F4E">
      <w:pPr>
        <w:pStyle w:val="a6"/>
        <w:spacing w:before="0" w:beforeAutospacing="0" w:after="0" w:afterAutospacing="0" w:line="360" w:lineRule="auto"/>
        <w:ind w:firstLine="851"/>
        <w:jc w:val="both"/>
        <w:rPr>
          <w:sz w:val="28"/>
          <w:szCs w:val="28"/>
          <w:lang w:val="uk-UA"/>
        </w:rPr>
      </w:pPr>
      <w:r w:rsidRPr="00F24BC1">
        <w:rPr>
          <w:sz w:val="28"/>
          <w:szCs w:val="28"/>
          <w:lang w:val="uk-UA"/>
        </w:rPr>
        <w:t xml:space="preserve">Формаліновий тест - добре вивчена модель, яка часто використовується для оцінки знеболюючої </w:t>
      </w:r>
      <w:r w:rsidRPr="00F24BC1">
        <w:rPr>
          <w:sz w:val="28"/>
          <w:szCs w:val="28"/>
        </w:rPr>
        <w:t xml:space="preserve">та </w:t>
      </w:r>
      <w:r w:rsidRPr="00F24BC1">
        <w:rPr>
          <w:sz w:val="28"/>
          <w:szCs w:val="28"/>
          <w:lang w:val="uk-UA"/>
        </w:rPr>
        <w:t xml:space="preserve">протизапальної дії різних ендогенних та екзогенних речовин. Пошкодження тканин і травми завжди пов'язані з болем і запаленням. Формалінове запалення - це двофазна реакція, де перша фаза - це прямий ефект формаліну, що включає нейрогенний біль. </w:t>
      </w:r>
    </w:p>
    <w:p w14:paraId="316B3D6F" w14:textId="70A3C4D6" w:rsidR="00F05F4E" w:rsidRPr="00F24BC1" w:rsidRDefault="00F05F4E" w:rsidP="00F05F4E">
      <w:pPr>
        <w:pStyle w:val="a6"/>
        <w:spacing w:before="0" w:beforeAutospacing="0" w:after="0" w:afterAutospacing="0" w:line="360" w:lineRule="auto"/>
        <w:ind w:firstLine="851"/>
        <w:jc w:val="both"/>
        <w:rPr>
          <w:sz w:val="28"/>
          <w:szCs w:val="28"/>
          <w:lang w:val="uk-UA"/>
        </w:rPr>
      </w:pPr>
      <w:r w:rsidRPr="00F24BC1">
        <w:rPr>
          <w:sz w:val="28"/>
          <w:szCs w:val="28"/>
          <w:lang w:val="uk-UA"/>
        </w:rPr>
        <w:t>Друга фаза бере участь у запальних реакціях, опосередкованих простагландіном, серотоніном, гістаміном, брадикініном та цитокінами, такими як бета інтерлейкін-1, бета-інтерлейкін-6, фактор некрозу та оксид азоту [</w:t>
      </w:r>
      <w:r w:rsidRPr="007F6945">
        <w:rPr>
          <w:sz w:val="28"/>
          <w:szCs w:val="28"/>
          <w:lang w:val="uk-UA"/>
        </w:rPr>
        <w:t>2</w:t>
      </w:r>
      <w:r w:rsidR="00FE60C3">
        <w:rPr>
          <w:sz w:val="28"/>
          <w:szCs w:val="28"/>
          <w:lang w:val="uk-UA"/>
        </w:rPr>
        <w:t>05</w:t>
      </w:r>
      <w:r w:rsidRPr="00F24BC1">
        <w:rPr>
          <w:sz w:val="28"/>
          <w:szCs w:val="28"/>
          <w:lang w:val="uk-UA"/>
        </w:rPr>
        <w:t xml:space="preserve">]. Було доведено, що ін'єкція формаліну у задню лапу щура збільшує експресію ЦОГ-1, починаючи з 1 дня після введення і цей період триває щонайменше 2 тижні. Експресія ЦОГ-2 відбувається значно менше, причому </w:t>
      </w:r>
      <w:r w:rsidRPr="00F24BC1">
        <w:rPr>
          <w:sz w:val="28"/>
          <w:szCs w:val="28"/>
          <w:lang w:val="uk-UA"/>
        </w:rPr>
        <w:lastRenderedPageBreak/>
        <w:t>значне підвищення рівня білка ЦОГ-2 спостерігається лише через 2 години після введення [</w:t>
      </w:r>
      <w:r w:rsidRPr="007F6945">
        <w:rPr>
          <w:sz w:val="28"/>
          <w:szCs w:val="28"/>
          <w:lang w:val="uk-UA"/>
        </w:rPr>
        <w:t>2</w:t>
      </w:r>
      <w:r w:rsidR="00FE60C3">
        <w:rPr>
          <w:sz w:val="28"/>
          <w:szCs w:val="28"/>
          <w:lang w:val="uk-UA"/>
        </w:rPr>
        <w:t>06</w:t>
      </w:r>
      <w:r w:rsidRPr="00F24BC1">
        <w:rPr>
          <w:sz w:val="28"/>
          <w:szCs w:val="28"/>
          <w:lang w:val="uk-UA"/>
        </w:rPr>
        <w:t xml:space="preserve">]. </w:t>
      </w:r>
    </w:p>
    <w:p w14:paraId="7A208AEF" w14:textId="1AEC31D1" w:rsidR="00F05F4E" w:rsidRPr="00F24BC1" w:rsidRDefault="00F05F4E" w:rsidP="00F05F4E">
      <w:pPr>
        <w:pStyle w:val="a6"/>
        <w:spacing w:before="0" w:beforeAutospacing="0" w:after="0" w:afterAutospacing="0" w:line="360" w:lineRule="auto"/>
        <w:ind w:firstLine="567"/>
        <w:jc w:val="both"/>
        <w:rPr>
          <w:color w:val="211E1E"/>
          <w:sz w:val="28"/>
          <w:szCs w:val="28"/>
        </w:rPr>
      </w:pPr>
      <w:r w:rsidRPr="00F24BC1">
        <w:rPr>
          <w:color w:val="000000"/>
          <w:sz w:val="28"/>
          <w:szCs w:val="28"/>
          <w:lang w:val="uk-UA"/>
        </w:rPr>
        <w:t xml:space="preserve">Згідно з отриманими даними рис. </w:t>
      </w:r>
      <w:r>
        <w:rPr>
          <w:sz w:val="28"/>
          <w:szCs w:val="28"/>
          <w:lang w:val="uk-UA"/>
        </w:rPr>
        <w:t>4</w:t>
      </w:r>
      <w:r w:rsidRPr="00F24BC1">
        <w:rPr>
          <w:sz w:val="28"/>
          <w:szCs w:val="28"/>
          <w:lang w:val="uk-UA"/>
        </w:rPr>
        <w:t>.</w:t>
      </w:r>
      <w:r>
        <w:rPr>
          <w:sz w:val="28"/>
          <w:szCs w:val="28"/>
          <w:lang w:val="uk-UA"/>
        </w:rPr>
        <w:t>3</w:t>
      </w:r>
      <w:r w:rsidRPr="00F24BC1">
        <w:rPr>
          <w:sz w:val="28"/>
          <w:szCs w:val="28"/>
          <w:lang w:val="uk-UA"/>
        </w:rPr>
        <w:t xml:space="preserve">.1. </w:t>
      </w:r>
      <w:r w:rsidRPr="00F24BC1">
        <w:rPr>
          <w:color w:val="000000"/>
          <w:sz w:val="28"/>
          <w:szCs w:val="28"/>
          <w:lang w:val="uk-UA"/>
        </w:rPr>
        <w:t xml:space="preserve">та </w:t>
      </w:r>
      <w:r>
        <w:rPr>
          <w:sz w:val="28"/>
          <w:szCs w:val="28"/>
          <w:lang w:val="uk-UA"/>
        </w:rPr>
        <w:t>4</w:t>
      </w:r>
      <w:r w:rsidRPr="00F24BC1">
        <w:rPr>
          <w:sz w:val="28"/>
          <w:szCs w:val="28"/>
          <w:lang w:val="uk-UA"/>
        </w:rPr>
        <w:t>.</w:t>
      </w:r>
      <w:r>
        <w:rPr>
          <w:sz w:val="28"/>
          <w:szCs w:val="28"/>
          <w:lang w:val="uk-UA"/>
        </w:rPr>
        <w:t>3</w:t>
      </w:r>
      <w:r w:rsidRPr="00F24BC1">
        <w:rPr>
          <w:sz w:val="28"/>
          <w:szCs w:val="28"/>
          <w:lang w:val="uk-UA"/>
        </w:rPr>
        <w:t xml:space="preserve">.2. </w:t>
      </w:r>
      <w:r w:rsidRPr="00F24BC1">
        <w:rPr>
          <w:color w:val="000000"/>
          <w:sz w:val="28"/>
          <w:szCs w:val="28"/>
          <w:lang w:val="uk-UA"/>
        </w:rPr>
        <w:t xml:space="preserve">видно, що обидві комплексні сполуки безумовно проявляють протизапальну дію на моделі формалінового запалення. </w:t>
      </w:r>
    </w:p>
    <w:p w14:paraId="4D7EFB31" w14:textId="77777777" w:rsidR="00F05F4E" w:rsidRPr="00F24BC1" w:rsidRDefault="00F05F4E" w:rsidP="00F05F4E">
      <w:pPr>
        <w:pStyle w:val="a6"/>
        <w:spacing w:before="0" w:beforeAutospacing="0" w:after="0" w:afterAutospacing="0" w:line="360" w:lineRule="auto"/>
        <w:jc w:val="center"/>
        <w:rPr>
          <w:color w:val="211E1E"/>
          <w:sz w:val="28"/>
          <w:szCs w:val="28"/>
          <w:lang w:val="uk-UA"/>
        </w:rPr>
      </w:pPr>
      <w:r w:rsidRPr="006D1679">
        <w:rPr>
          <w:noProof/>
          <w:color w:val="211E1E"/>
          <w:sz w:val="28"/>
          <w:szCs w:val="28"/>
          <w:lang w:val="en-US" w:eastAsia="en-US"/>
        </w:rPr>
        <w:drawing>
          <wp:inline distT="0" distB="0" distL="0" distR="0" wp14:anchorId="39AF17C8" wp14:editId="6955A024">
            <wp:extent cx="4752474" cy="2526030"/>
            <wp:effectExtent l="0" t="0" r="0" b="1270"/>
            <wp:docPr id="5" name="Рисунок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4084" cy="2537516"/>
                    </a:xfrm>
                    <a:prstGeom prst="rect">
                      <a:avLst/>
                    </a:prstGeom>
                    <a:noFill/>
                    <a:ln>
                      <a:noFill/>
                    </a:ln>
                  </pic:spPr>
                </pic:pic>
              </a:graphicData>
            </a:graphic>
          </wp:inline>
        </w:drawing>
      </w:r>
    </w:p>
    <w:p w14:paraId="1B77771F" w14:textId="1704393F" w:rsidR="00F05F4E" w:rsidRPr="00F24BC1" w:rsidRDefault="00F05F4E" w:rsidP="00F05F4E">
      <w:pPr>
        <w:spacing w:line="360" w:lineRule="auto"/>
        <w:ind w:firstLine="630"/>
        <w:jc w:val="both"/>
        <w:rPr>
          <w:sz w:val="28"/>
          <w:szCs w:val="28"/>
        </w:rPr>
      </w:pPr>
      <w:r w:rsidRPr="00F24BC1">
        <w:rPr>
          <w:sz w:val="28"/>
          <w:szCs w:val="28"/>
          <w:lang w:val="uk-UA"/>
        </w:rPr>
        <w:t xml:space="preserve">Рис. </w:t>
      </w:r>
      <w:r>
        <w:rPr>
          <w:sz w:val="28"/>
          <w:szCs w:val="28"/>
          <w:lang w:val="uk-UA"/>
        </w:rPr>
        <w:t>4</w:t>
      </w:r>
      <w:r w:rsidRPr="00F24BC1">
        <w:rPr>
          <w:sz w:val="28"/>
          <w:szCs w:val="28"/>
          <w:lang w:val="uk-UA"/>
        </w:rPr>
        <w:t>.</w:t>
      </w:r>
      <w:r>
        <w:rPr>
          <w:sz w:val="28"/>
          <w:szCs w:val="28"/>
          <w:lang w:val="uk-UA"/>
        </w:rPr>
        <w:t>3</w:t>
      </w:r>
      <w:r w:rsidRPr="00F24BC1">
        <w:rPr>
          <w:sz w:val="28"/>
          <w:szCs w:val="28"/>
          <w:lang w:val="uk-UA"/>
        </w:rPr>
        <w:t xml:space="preserve">.1 Протизапальна активність комплексної сполуки І при пероральному введенні </w:t>
      </w:r>
      <w:r>
        <w:rPr>
          <w:sz w:val="28"/>
          <w:szCs w:val="28"/>
          <w:lang w:val="uk-UA"/>
        </w:rPr>
        <w:t>на моделі формалін-індукованого запалення</w:t>
      </w:r>
      <w:r w:rsidRPr="00F24BC1">
        <w:rPr>
          <w:sz w:val="28"/>
          <w:szCs w:val="28"/>
          <w:lang w:val="uk-UA"/>
        </w:rPr>
        <w:t xml:space="preserve"> (об’єм запалених кінцівок щурів, у % до контрольної групи, (М</w:t>
      </w:r>
      <w:r w:rsidRPr="00F24BC1">
        <w:rPr>
          <w:color w:val="4D5156"/>
          <w:sz w:val="28"/>
          <w:szCs w:val="28"/>
        </w:rPr>
        <w:t>±</w:t>
      </w:r>
      <w:r w:rsidRPr="00F24BC1">
        <w:rPr>
          <w:sz w:val="28"/>
          <w:szCs w:val="28"/>
          <w:lang w:val="en-US"/>
        </w:rPr>
        <w:t>m</w:t>
      </w:r>
      <w:r w:rsidRPr="00F24BC1">
        <w:rPr>
          <w:sz w:val="28"/>
          <w:szCs w:val="28"/>
        </w:rPr>
        <w:t xml:space="preserve">, </w:t>
      </w:r>
      <w:r w:rsidRPr="00F24BC1">
        <w:rPr>
          <w:sz w:val="28"/>
          <w:szCs w:val="28"/>
          <w:lang w:val="en-US"/>
        </w:rPr>
        <w:t>n</w:t>
      </w:r>
      <w:r w:rsidRPr="00F24BC1">
        <w:rPr>
          <w:sz w:val="28"/>
          <w:szCs w:val="28"/>
        </w:rPr>
        <w:t>=</w:t>
      </w:r>
      <w:r w:rsidRPr="00F24BC1">
        <w:rPr>
          <w:sz w:val="28"/>
          <w:szCs w:val="28"/>
          <w:lang w:val="uk-UA"/>
        </w:rPr>
        <w:t>5</w:t>
      </w:r>
      <w:r w:rsidRPr="00F24BC1">
        <w:rPr>
          <w:sz w:val="28"/>
          <w:szCs w:val="28"/>
        </w:rPr>
        <w:t>)</w:t>
      </w:r>
    </w:p>
    <w:p w14:paraId="51219E74" w14:textId="77777777" w:rsidR="00F05F4E" w:rsidRPr="008A6B7D" w:rsidRDefault="00F05F4E" w:rsidP="00352B8A">
      <w:pPr>
        <w:ind w:left="450" w:hanging="450"/>
        <w:jc w:val="both"/>
        <w:rPr>
          <w:lang w:val="uk-UA"/>
        </w:rPr>
      </w:pPr>
      <w:r w:rsidRPr="008A6B7D">
        <w:rPr>
          <w:lang w:val="uk-UA"/>
        </w:rPr>
        <w:t xml:space="preserve">Примітки: </w:t>
      </w:r>
    </w:p>
    <w:p w14:paraId="11C898D7" w14:textId="77777777" w:rsidR="00F05F4E" w:rsidRPr="008A6B7D" w:rsidRDefault="00F05F4E" w:rsidP="00352B8A">
      <w:pPr>
        <w:numPr>
          <w:ilvl w:val="6"/>
          <w:numId w:val="21"/>
        </w:numPr>
        <w:ind w:left="450" w:hanging="450"/>
        <w:jc w:val="both"/>
      </w:pPr>
      <w:r w:rsidRPr="008A6B7D">
        <w:t>*</w:t>
      </w:r>
      <w:r w:rsidRPr="008A6B7D">
        <w:rPr>
          <w:lang w:val="uk-UA"/>
        </w:rPr>
        <w:t xml:space="preserve"> </w:t>
      </w:r>
      <w:r w:rsidRPr="008A6B7D">
        <w:t>-</w:t>
      </w:r>
      <w:r w:rsidRPr="008A6B7D">
        <w:rPr>
          <w:lang w:val="uk-UA"/>
        </w:rPr>
        <w:t xml:space="preserve"> </w:t>
      </w:r>
      <w:r w:rsidRPr="008A6B7D">
        <w:rPr>
          <w:lang w:val="en-US"/>
        </w:rPr>
        <w:t>p</w:t>
      </w:r>
      <w:r w:rsidRPr="008A6B7D">
        <w:t xml:space="preserve"> </w:t>
      </w:r>
      <w:r w:rsidRPr="008A6B7D">
        <w:rPr>
          <w:lang w:val="en-US"/>
        </w:rPr>
        <w:sym w:font="Symbol" w:char="F03C"/>
      </w:r>
      <w:r w:rsidRPr="008A6B7D">
        <w:t xml:space="preserve"> 0,05 </w:t>
      </w:r>
      <w:r w:rsidRPr="008A6B7D">
        <w:rPr>
          <w:lang w:val="uk-UA"/>
        </w:rPr>
        <w:t>(статистично значуща різниця у порівнянні з контрольною групою).</w:t>
      </w:r>
      <w:r w:rsidRPr="008A6B7D">
        <w:t xml:space="preserve"> </w:t>
      </w:r>
    </w:p>
    <w:p w14:paraId="579C3BA2" w14:textId="77777777" w:rsidR="00F05F4E" w:rsidRPr="008A6B7D" w:rsidRDefault="00F05F4E" w:rsidP="00352B8A">
      <w:pPr>
        <w:numPr>
          <w:ilvl w:val="6"/>
          <w:numId w:val="21"/>
        </w:numPr>
        <w:ind w:left="450" w:hanging="450"/>
        <w:jc w:val="both"/>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 групою).</w:t>
      </w:r>
    </w:p>
    <w:p w14:paraId="1FA8934A" w14:textId="77777777" w:rsidR="00F05F4E" w:rsidRPr="008A6B7D" w:rsidRDefault="00F05F4E" w:rsidP="00352B8A">
      <w:pPr>
        <w:numPr>
          <w:ilvl w:val="6"/>
          <w:numId w:val="21"/>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0,05 (статистично значуща різниця у порівнянні у порівнянні із комплексною сполукою І).</w:t>
      </w:r>
    </w:p>
    <w:p w14:paraId="212744C4" w14:textId="77777777" w:rsidR="00F05F4E" w:rsidRPr="008A6B7D" w:rsidRDefault="00F05F4E" w:rsidP="00352B8A">
      <w:pPr>
        <w:numPr>
          <w:ilvl w:val="6"/>
          <w:numId w:val="21"/>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0,01 (статистично значуща різниця у порівнянні у порівнянні із комплексною сполукою І).</w:t>
      </w:r>
    </w:p>
    <w:p w14:paraId="7DEC5BC9" w14:textId="55D69C57" w:rsidR="00F05F4E" w:rsidRPr="008A6B7D" w:rsidRDefault="00F05F4E" w:rsidP="00352B8A">
      <w:pPr>
        <w:numPr>
          <w:ilvl w:val="6"/>
          <w:numId w:val="21"/>
        </w:numPr>
        <w:ind w:left="450" w:hanging="450"/>
        <w:jc w:val="both"/>
        <w:rPr>
          <w:lang w:val="uk-UA"/>
        </w:rPr>
      </w:pPr>
      <w:r w:rsidRPr="008A6B7D">
        <w:rPr>
          <w:rFonts w:eastAsia="Calibri"/>
        </w:rPr>
        <w:t xml:space="preserve">n </w:t>
      </w:r>
      <w:r w:rsidRPr="008A6B7D">
        <w:t>–</w:t>
      </w:r>
      <w:r w:rsidRPr="008A6B7D">
        <w:rPr>
          <w:rFonts w:eastAsia="Calibri"/>
        </w:rPr>
        <w:t xml:space="preserve"> кількість тварин у групі.</w:t>
      </w:r>
    </w:p>
    <w:p w14:paraId="25388C99" w14:textId="77777777" w:rsidR="00F05F4E" w:rsidRPr="00F05F4E" w:rsidRDefault="00F05F4E" w:rsidP="00F05F4E">
      <w:pPr>
        <w:ind w:left="1350"/>
        <w:jc w:val="both"/>
        <w:rPr>
          <w:lang w:val="uk-UA"/>
        </w:rPr>
      </w:pPr>
    </w:p>
    <w:p w14:paraId="75ED3475" w14:textId="77777777" w:rsidR="001759D5" w:rsidRDefault="00F05F4E" w:rsidP="00F05F4E">
      <w:pPr>
        <w:pStyle w:val="a6"/>
        <w:spacing w:before="0" w:beforeAutospacing="0" w:after="0" w:afterAutospacing="0" w:line="360" w:lineRule="auto"/>
        <w:ind w:firstLine="567"/>
        <w:jc w:val="both"/>
        <w:rPr>
          <w:color w:val="211E1E"/>
          <w:sz w:val="28"/>
          <w:szCs w:val="28"/>
          <w:lang w:val="uk-UA"/>
        </w:rPr>
      </w:pPr>
      <w:r w:rsidRPr="00F24BC1">
        <w:rPr>
          <w:color w:val="211E1E"/>
          <w:sz w:val="28"/>
          <w:szCs w:val="28"/>
          <w:lang w:val="uk-UA"/>
        </w:rPr>
        <w:t xml:space="preserve">Так, через 3 доби після введення формаліну об’єм </w:t>
      </w:r>
      <w:r w:rsidRPr="00F24BC1">
        <w:rPr>
          <w:sz w:val="28"/>
          <w:szCs w:val="28"/>
          <w:lang w:val="uk-UA"/>
        </w:rPr>
        <w:t xml:space="preserve">запалених </w:t>
      </w:r>
      <w:r w:rsidRPr="00F24BC1">
        <w:rPr>
          <w:color w:val="211E1E"/>
          <w:sz w:val="28"/>
          <w:szCs w:val="28"/>
          <w:lang w:val="uk-UA"/>
        </w:rPr>
        <w:t xml:space="preserve">кінцівок щурів усіх досліджуваних груп збільшився приблизно на 72% в порівнянні з </w:t>
      </w:r>
      <w:r w:rsidRPr="00F24BC1">
        <w:rPr>
          <w:sz w:val="28"/>
          <w:szCs w:val="28"/>
          <w:lang w:val="uk-UA"/>
        </w:rPr>
        <w:t xml:space="preserve">контрольними </w:t>
      </w:r>
      <w:r w:rsidRPr="00F24BC1">
        <w:rPr>
          <w:color w:val="211E1E"/>
          <w:sz w:val="28"/>
          <w:szCs w:val="28"/>
          <w:lang w:val="uk-UA"/>
        </w:rPr>
        <w:t xml:space="preserve">показниками. </w:t>
      </w:r>
    </w:p>
    <w:p w14:paraId="6F8A36E9" w14:textId="489ACE68" w:rsidR="00F05F4E" w:rsidRPr="003D4DAC" w:rsidRDefault="00F05F4E" w:rsidP="00F05F4E">
      <w:pPr>
        <w:pStyle w:val="a6"/>
        <w:spacing w:before="0" w:beforeAutospacing="0" w:after="0" w:afterAutospacing="0" w:line="360" w:lineRule="auto"/>
        <w:ind w:firstLine="567"/>
        <w:jc w:val="both"/>
        <w:rPr>
          <w:color w:val="211E1E"/>
          <w:sz w:val="28"/>
          <w:szCs w:val="28"/>
        </w:rPr>
      </w:pPr>
      <w:r w:rsidRPr="00F24BC1">
        <w:rPr>
          <w:color w:val="211E1E"/>
          <w:sz w:val="28"/>
          <w:szCs w:val="28"/>
          <w:lang w:val="uk-UA"/>
        </w:rPr>
        <w:t xml:space="preserve">Починаючи з другого дня лікування, при пероральному введенні комплексної сполуки I, об’єм </w:t>
      </w:r>
      <w:r w:rsidRPr="00F24BC1">
        <w:rPr>
          <w:sz w:val="28"/>
          <w:szCs w:val="28"/>
          <w:lang w:val="uk-UA"/>
        </w:rPr>
        <w:t xml:space="preserve">запалених </w:t>
      </w:r>
      <w:r w:rsidRPr="00F24BC1">
        <w:rPr>
          <w:color w:val="211E1E"/>
          <w:sz w:val="28"/>
          <w:szCs w:val="28"/>
          <w:lang w:val="uk-UA"/>
        </w:rPr>
        <w:t xml:space="preserve">лап щурів зменшився приблизно на 19%, і в наступні дні експерименту дана тенденція зберігалася. Через 16 діб спостереження (14 доба лікування) показники групи, </w:t>
      </w:r>
      <w:r>
        <w:rPr>
          <w:color w:val="211E1E"/>
          <w:sz w:val="28"/>
          <w:szCs w:val="28"/>
          <w:lang w:val="uk-UA"/>
        </w:rPr>
        <w:t>якій перорально вводили</w:t>
      </w:r>
      <w:r w:rsidRPr="00F24BC1">
        <w:rPr>
          <w:color w:val="211E1E"/>
          <w:sz w:val="28"/>
          <w:szCs w:val="28"/>
          <w:lang w:val="uk-UA"/>
        </w:rPr>
        <w:t xml:space="preserve"> комплексн</w:t>
      </w:r>
      <w:r>
        <w:rPr>
          <w:color w:val="211E1E"/>
          <w:sz w:val="28"/>
          <w:szCs w:val="28"/>
          <w:lang w:val="uk-UA"/>
        </w:rPr>
        <w:t>у</w:t>
      </w:r>
      <w:r w:rsidRPr="00F24BC1">
        <w:rPr>
          <w:color w:val="211E1E"/>
          <w:sz w:val="28"/>
          <w:szCs w:val="28"/>
          <w:lang w:val="uk-UA"/>
        </w:rPr>
        <w:t xml:space="preserve"> сполук</w:t>
      </w:r>
      <w:r>
        <w:rPr>
          <w:color w:val="211E1E"/>
          <w:sz w:val="28"/>
          <w:szCs w:val="28"/>
          <w:lang w:val="uk-UA"/>
        </w:rPr>
        <w:t>у</w:t>
      </w:r>
      <w:r w:rsidRPr="00F24BC1">
        <w:rPr>
          <w:color w:val="211E1E"/>
          <w:sz w:val="28"/>
          <w:szCs w:val="28"/>
          <w:lang w:val="uk-UA"/>
        </w:rPr>
        <w:t xml:space="preserve"> I практично досягл</w:t>
      </w:r>
      <w:r>
        <w:rPr>
          <w:color w:val="211E1E"/>
          <w:sz w:val="28"/>
          <w:szCs w:val="28"/>
          <w:lang w:val="uk-UA"/>
        </w:rPr>
        <w:t>и</w:t>
      </w:r>
      <w:r w:rsidRPr="00F24BC1">
        <w:rPr>
          <w:color w:val="211E1E"/>
          <w:sz w:val="28"/>
          <w:szCs w:val="28"/>
          <w:lang w:val="uk-UA"/>
        </w:rPr>
        <w:t xml:space="preserve"> показників групи інтактних тварин.</w:t>
      </w:r>
    </w:p>
    <w:p w14:paraId="24698374" w14:textId="77777777" w:rsidR="00F05F4E" w:rsidRDefault="00F05F4E" w:rsidP="00F05F4E">
      <w:pPr>
        <w:tabs>
          <w:tab w:val="left" w:pos="720"/>
        </w:tabs>
        <w:spacing w:line="360" w:lineRule="auto"/>
        <w:ind w:firstLine="720"/>
        <w:jc w:val="both"/>
        <w:rPr>
          <w:sz w:val="28"/>
          <w:szCs w:val="28"/>
        </w:rPr>
      </w:pPr>
      <w:r w:rsidRPr="00461A45">
        <w:rPr>
          <w:color w:val="000000"/>
          <w:sz w:val="28"/>
          <w:szCs w:val="28"/>
          <w:lang w:val="uk-UA"/>
        </w:rPr>
        <w:lastRenderedPageBreak/>
        <w:t>Аналогічно попереднім дослідженням, нами було проведена оцінка внеску структурних компонентів комплексних сполук І і ІІ в їх протизапальну активність. Бензальдегід</w:t>
      </w:r>
      <w:r w:rsidRPr="003D4DAC">
        <w:rPr>
          <w:color w:val="000000"/>
          <w:sz w:val="28"/>
          <w:szCs w:val="28"/>
          <w:lang w:val="uk-UA"/>
        </w:rPr>
        <w:t xml:space="preserve"> статистично достовірно проявляв протизапальну дію у порівнянні із </w:t>
      </w:r>
      <w:r w:rsidRPr="003D4DAC">
        <w:rPr>
          <w:sz w:val="28"/>
          <w:szCs w:val="28"/>
          <w:lang w:val="uk-UA"/>
        </w:rPr>
        <w:t xml:space="preserve">контрольною </w:t>
      </w:r>
      <w:r w:rsidRPr="003D4DAC">
        <w:rPr>
          <w:color w:val="000000"/>
          <w:sz w:val="28"/>
          <w:szCs w:val="28"/>
          <w:lang w:val="uk-UA"/>
        </w:rPr>
        <w:t>групою. Так, показники об’єму запаленої кінцівки з 5 по 10 добу відрізнялись від контрольних в середньому на 14%, а вже на 11 добу спостерігалося різке зниження показників об’єму на 33%.</w:t>
      </w:r>
      <w:r w:rsidRPr="00F24BC1">
        <w:rPr>
          <w:color w:val="000000"/>
          <w:sz w:val="28"/>
          <w:szCs w:val="28"/>
          <w:lang w:val="uk-UA"/>
        </w:rPr>
        <w:t xml:space="preserve"> </w:t>
      </w:r>
    </w:p>
    <w:p w14:paraId="76D14B47" w14:textId="623C5F5A" w:rsidR="00F05F4E" w:rsidRPr="00F05F4E" w:rsidRDefault="00F05F4E" w:rsidP="00F05F4E">
      <w:pPr>
        <w:tabs>
          <w:tab w:val="left" w:pos="720"/>
        </w:tabs>
        <w:spacing w:line="360" w:lineRule="auto"/>
        <w:ind w:firstLine="720"/>
        <w:jc w:val="both"/>
        <w:rPr>
          <w:color w:val="000000"/>
          <w:sz w:val="28"/>
          <w:szCs w:val="28"/>
          <w:lang w:val="uk-UA"/>
        </w:rPr>
      </w:pPr>
      <w:r w:rsidRPr="00F24BC1">
        <w:rPr>
          <w:color w:val="000000"/>
          <w:sz w:val="28"/>
          <w:szCs w:val="28"/>
          <w:lang w:val="uk-UA"/>
        </w:rPr>
        <w:t xml:space="preserve">При пероральному введенні комплексної сполуки II (рис </w:t>
      </w:r>
      <w:r>
        <w:rPr>
          <w:sz w:val="28"/>
          <w:szCs w:val="28"/>
          <w:lang w:val="uk-UA"/>
        </w:rPr>
        <w:t>4</w:t>
      </w:r>
      <w:r w:rsidRPr="00F24BC1">
        <w:rPr>
          <w:sz w:val="28"/>
          <w:szCs w:val="28"/>
          <w:lang w:val="uk-UA"/>
        </w:rPr>
        <w:t>.</w:t>
      </w:r>
      <w:r>
        <w:rPr>
          <w:sz w:val="28"/>
          <w:szCs w:val="28"/>
          <w:lang w:val="uk-UA"/>
        </w:rPr>
        <w:t>3</w:t>
      </w:r>
      <w:r w:rsidRPr="00F24BC1">
        <w:rPr>
          <w:sz w:val="28"/>
          <w:szCs w:val="28"/>
          <w:lang w:val="uk-UA"/>
        </w:rPr>
        <w:t>.2</w:t>
      </w:r>
      <w:r w:rsidRPr="00F24BC1">
        <w:rPr>
          <w:color w:val="000000"/>
          <w:sz w:val="28"/>
          <w:szCs w:val="28"/>
          <w:lang w:val="uk-UA"/>
        </w:rPr>
        <w:t xml:space="preserve">) також спостерігався виразний протизапальний ефект. </w:t>
      </w:r>
    </w:p>
    <w:p w14:paraId="5641D43C" w14:textId="77777777" w:rsidR="00F05F4E" w:rsidRPr="00F24BC1" w:rsidRDefault="00F05F4E" w:rsidP="00F05F4E">
      <w:pPr>
        <w:spacing w:line="360" w:lineRule="auto"/>
        <w:jc w:val="center"/>
        <w:rPr>
          <w:color w:val="000000"/>
          <w:sz w:val="28"/>
          <w:szCs w:val="28"/>
          <w:lang w:val="uk-UA"/>
        </w:rPr>
      </w:pPr>
      <w:r w:rsidRPr="006D1679">
        <w:rPr>
          <w:noProof/>
          <w:color w:val="000000"/>
          <w:sz w:val="28"/>
          <w:szCs w:val="28"/>
          <w:lang w:val="en-US" w:eastAsia="en-US"/>
        </w:rPr>
        <w:drawing>
          <wp:inline distT="0" distB="0" distL="0" distR="0" wp14:anchorId="0ADE435E" wp14:editId="294F02B4">
            <wp:extent cx="4499811" cy="2766695"/>
            <wp:effectExtent l="0" t="0" r="0" b="1905"/>
            <wp:docPr id="6" name="Рисунок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9667" cy="2778903"/>
                    </a:xfrm>
                    <a:prstGeom prst="rect">
                      <a:avLst/>
                    </a:prstGeom>
                    <a:noFill/>
                    <a:ln>
                      <a:noFill/>
                    </a:ln>
                  </pic:spPr>
                </pic:pic>
              </a:graphicData>
            </a:graphic>
          </wp:inline>
        </w:drawing>
      </w:r>
    </w:p>
    <w:p w14:paraId="3677DBF0" w14:textId="31177386" w:rsidR="00F05F4E" w:rsidRPr="00F24BC1" w:rsidRDefault="00F05F4E" w:rsidP="00F05F4E">
      <w:pPr>
        <w:spacing w:line="360" w:lineRule="auto"/>
        <w:ind w:firstLine="720"/>
        <w:jc w:val="both"/>
        <w:rPr>
          <w:sz w:val="28"/>
          <w:szCs w:val="28"/>
        </w:rPr>
      </w:pPr>
      <w:r w:rsidRPr="00F24BC1">
        <w:rPr>
          <w:sz w:val="28"/>
          <w:szCs w:val="28"/>
          <w:lang w:val="uk-UA"/>
        </w:rPr>
        <w:t xml:space="preserve">Рис. </w:t>
      </w:r>
      <w:r>
        <w:rPr>
          <w:sz w:val="28"/>
          <w:szCs w:val="28"/>
          <w:lang w:val="uk-UA"/>
        </w:rPr>
        <w:t>4</w:t>
      </w:r>
      <w:r w:rsidRPr="00F24BC1">
        <w:rPr>
          <w:sz w:val="28"/>
          <w:szCs w:val="28"/>
          <w:lang w:val="uk-UA"/>
        </w:rPr>
        <w:t>.</w:t>
      </w:r>
      <w:r>
        <w:rPr>
          <w:sz w:val="28"/>
          <w:szCs w:val="28"/>
          <w:lang w:val="uk-UA"/>
        </w:rPr>
        <w:t>3</w:t>
      </w:r>
      <w:r w:rsidRPr="00F24BC1">
        <w:rPr>
          <w:sz w:val="28"/>
          <w:szCs w:val="28"/>
          <w:lang w:val="uk-UA"/>
        </w:rPr>
        <w:t xml:space="preserve">.2 Протизапальна активність комплексної сполуки ІІ при пероральному введенні </w:t>
      </w:r>
      <w:r>
        <w:rPr>
          <w:sz w:val="28"/>
          <w:szCs w:val="28"/>
          <w:lang w:val="uk-UA"/>
        </w:rPr>
        <w:t xml:space="preserve">на моделі формалін-індукованого запалення </w:t>
      </w:r>
      <w:r w:rsidRPr="00F24BC1">
        <w:rPr>
          <w:sz w:val="28"/>
          <w:szCs w:val="28"/>
          <w:lang w:val="uk-UA"/>
        </w:rPr>
        <w:t>(об’єм запалених кінцівок щурів, в % до контрольної групи, (М</w:t>
      </w:r>
      <w:r w:rsidRPr="00F24BC1">
        <w:rPr>
          <w:color w:val="4D5156"/>
          <w:sz w:val="28"/>
          <w:szCs w:val="28"/>
        </w:rPr>
        <w:t>±</w:t>
      </w:r>
      <w:r w:rsidRPr="00F24BC1">
        <w:rPr>
          <w:sz w:val="28"/>
          <w:szCs w:val="28"/>
          <w:lang w:val="en-US"/>
        </w:rPr>
        <w:t>m</w:t>
      </w:r>
      <w:r w:rsidRPr="00F24BC1">
        <w:rPr>
          <w:sz w:val="28"/>
          <w:szCs w:val="28"/>
        </w:rPr>
        <w:t xml:space="preserve">, </w:t>
      </w:r>
      <w:r w:rsidRPr="00F24BC1">
        <w:rPr>
          <w:sz w:val="28"/>
          <w:szCs w:val="28"/>
          <w:lang w:val="en-US"/>
        </w:rPr>
        <w:t>n</w:t>
      </w:r>
      <w:r w:rsidRPr="00F24BC1">
        <w:rPr>
          <w:sz w:val="28"/>
          <w:szCs w:val="28"/>
        </w:rPr>
        <w:t>=</w:t>
      </w:r>
      <w:r w:rsidRPr="00F24BC1">
        <w:rPr>
          <w:sz w:val="28"/>
          <w:szCs w:val="28"/>
          <w:lang w:val="uk-UA"/>
        </w:rPr>
        <w:t>5</w:t>
      </w:r>
      <w:r w:rsidRPr="00F24BC1">
        <w:rPr>
          <w:sz w:val="28"/>
          <w:szCs w:val="28"/>
        </w:rPr>
        <w:t>)</w:t>
      </w:r>
    </w:p>
    <w:p w14:paraId="2F3D4D5F" w14:textId="77777777" w:rsidR="00F05F4E" w:rsidRPr="008A6B7D" w:rsidRDefault="00F05F4E" w:rsidP="00352B8A">
      <w:pPr>
        <w:ind w:left="450" w:hanging="450"/>
        <w:jc w:val="both"/>
        <w:rPr>
          <w:lang w:val="uk-UA"/>
        </w:rPr>
      </w:pPr>
      <w:r w:rsidRPr="008A6B7D">
        <w:rPr>
          <w:lang w:val="uk-UA"/>
        </w:rPr>
        <w:t xml:space="preserve">Примітки: </w:t>
      </w:r>
    </w:p>
    <w:p w14:paraId="5DCDFE6A" w14:textId="77777777" w:rsidR="00F05F4E" w:rsidRPr="008A6B7D" w:rsidRDefault="00F05F4E" w:rsidP="00352B8A">
      <w:pPr>
        <w:numPr>
          <w:ilvl w:val="6"/>
          <w:numId w:val="27"/>
        </w:numPr>
        <w:ind w:left="450" w:hanging="450"/>
        <w:jc w:val="both"/>
      </w:pPr>
      <w:r w:rsidRPr="008A6B7D">
        <w:t>*</w:t>
      </w:r>
      <w:r w:rsidRPr="008A6B7D">
        <w:rPr>
          <w:lang w:val="uk-UA"/>
        </w:rPr>
        <w:t xml:space="preserve"> </w:t>
      </w:r>
      <w:r w:rsidRPr="008A6B7D">
        <w:t>-</w:t>
      </w:r>
      <w:r w:rsidRPr="008A6B7D">
        <w:rPr>
          <w:lang w:val="uk-UA"/>
        </w:rPr>
        <w:t xml:space="preserve"> </w:t>
      </w:r>
      <w:r w:rsidRPr="008A6B7D">
        <w:rPr>
          <w:lang w:val="en-US"/>
        </w:rPr>
        <w:t>p</w:t>
      </w:r>
      <w:r w:rsidRPr="008A6B7D">
        <w:t xml:space="preserve"> </w:t>
      </w:r>
      <w:r w:rsidRPr="008A6B7D">
        <w:rPr>
          <w:lang w:val="en-US"/>
        </w:rPr>
        <w:sym w:font="Symbol" w:char="F03C"/>
      </w:r>
      <w:r w:rsidRPr="008A6B7D">
        <w:t xml:space="preserve"> 0,05 </w:t>
      </w:r>
      <w:r w:rsidRPr="008A6B7D">
        <w:rPr>
          <w:lang w:val="uk-UA"/>
        </w:rPr>
        <w:t>(статистично значуща різниця у порівнянні з контрольною групою).</w:t>
      </w:r>
      <w:r w:rsidRPr="008A6B7D">
        <w:t xml:space="preserve"> </w:t>
      </w:r>
    </w:p>
    <w:p w14:paraId="42A61E98" w14:textId="77777777" w:rsidR="00F05F4E" w:rsidRPr="008A6B7D" w:rsidRDefault="00F05F4E" w:rsidP="00352B8A">
      <w:pPr>
        <w:numPr>
          <w:ilvl w:val="6"/>
          <w:numId w:val="27"/>
        </w:numPr>
        <w:ind w:left="450" w:hanging="450"/>
        <w:jc w:val="both"/>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 групою).</w:t>
      </w:r>
    </w:p>
    <w:p w14:paraId="79F0913F" w14:textId="77777777" w:rsidR="00F05F4E" w:rsidRPr="008A6B7D" w:rsidRDefault="00F05F4E" w:rsidP="00352B8A">
      <w:pPr>
        <w:numPr>
          <w:ilvl w:val="6"/>
          <w:numId w:val="27"/>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0,05 (статистично значуща різниця у порівнянні у порівнянні із комплексною сполукою ІІ).</w:t>
      </w:r>
    </w:p>
    <w:p w14:paraId="1D010A89" w14:textId="77777777" w:rsidR="00F05F4E" w:rsidRPr="008A6B7D" w:rsidRDefault="00F05F4E" w:rsidP="00352B8A">
      <w:pPr>
        <w:numPr>
          <w:ilvl w:val="6"/>
          <w:numId w:val="27"/>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0,01 (статистично значуща різниця у порівнянні у порівнянні із комплексною сполукою ІІ).</w:t>
      </w:r>
    </w:p>
    <w:p w14:paraId="6750F235" w14:textId="5727751A" w:rsidR="00F05F4E" w:rsidRPr="001759D5" w:rsidRDefault="00F05F4E" w:rsidP="00352B8A">
      <w:pPr>
        <w:numPr>
          <w:ilvl w:val="6"/>
          <w:numId w:val="27"/>
        </w:numPr>
        <w:ind w:left="450" w:hanging="450"/>
        <w:jc w:val="both"/>
        <w:rPr>
          <w:lang w:val="uk-UA"/>
        </w:rPr>
      </w:pPr>
      <w:r w:rsidRPr="008A6B7D">
        <w:rPr>
          <w:rFonts w:eastAsia="Calibri"/>
        </w:rPr>
        <w:t xml:space="preserve">n </w:t>
      </w:r>
      <w:r w:rsidRPr="008A6B7D">
        <w:t>–</w:t>
      </w:r>
      <w:r w:rsidRPr="008A6B7D">
        <w:rPr>
          <w:rFonts w:eastAsia="Calibri"/>
        </w:rPr>
        <w:t xml:space="preserve"> кількість тварин у групі.</w:t>
      </w:r>
    </w:p>
    <w:p w14:paraId="1FC44BC0" w14:textId="77777777" w:rsidR="001759D5" w:rsidRPr="008A6B7D" w:rsidRDefault="001759D5" w:rsidP="001759D5">
      <w:pPr>
        <w:ind w:left="450"/>
        <w:jc w:val="both"/>
        <w:rPr>
          <w:lang w:val="uk-UA"/>
        </w:rPr>
      </w:pPr>
    </w:p>
    <w:p w14:paraId="5C82845F" w14:textId="24327C9F" w:rsidR="0071066B" w:rsidRPr="008A6B7D" w:rsidRDefault="00F05F4E" w:rsidP="00F05F4E">
      <w:pPr>
        <w:tabs>
          <w:tab w:val="left" w:pos="720"/>
        </w:tabs>
        <w:spacing w:line="360" w:lineRule="auto"/>
        <w:ind w:firstLine="720"/>
        <w:jc w:val="both"/>
        <w:rPr>
          <w:color w:val="000000" w:themeColor="text1"/>
          <w:sz w:val="28"/>
          <w:szCs w:val="28"/>
          <w:lang w:val="uk-UA"/>
        </w:rPr>
      </w:pPr>
      <w:r w:rsidRPr="008A6B7D">
        <w:rPr>
          <w:color w:val="000000" w:themeColor="text1"/>
          <w:sz w:val="28"/>
          <w:szCs w:val="28"/>
          <w:lang w:val="uk-UA"/>
        </w:rPr>
        <w:t xml:space="preserve">До 8 доби спостерігали зменшення об’єму запаленої кінцівки щура, але комплексна сполука поступалася за своєю ефективністю комплексу І, показники приросту об’єму запаленої кінцівки зменшувались в середньому </w:t>
      </w:r>
      <w:r w:rsidR="00821BED">
        <w:rPr>
          <w:color w:val="000000" w:themeColor="text1"/>
          <w:sz w:val="28"/>
          <w:szCs w:val="28"/>
          <w:lang w:val="uk-UA"/>
        </w:rPr>
        <w:br/>
      </w:r>
      <w:r w:rsidRPr="008A6B7D">
        <w:rPr>
          <w:color w:val="000000" w:themeColor="text1"/>
          <w:sz w:val="28"/>
          <w:szCs w:val="28"/>
          <w:lang w:val="uk-UA"/>
        </w:rPr>
        <w:t xml:space="preserve">5-9% на добу та досягли контрольних лише на 14 добу лікування. </w:t>
      </w:r>
    </w:p>
    <w:p w14:paraId="12ECA844" w14:textId="754517CB" w:rsidR="00F05F4E" w:rsidRPr="008A6B7D" w:rsidRDefault="00F05F4E" w:rsidP="00F05F4E">
      <w:pPr>
        <w:tabs>
          <w:tab w:val="left" w:pos="720"/>
        </w:tabs>
        <w:spacing w:line="360" w:lineRule="auto"/>
        <w:ind w:firstLine="720"/>
        <w:jc w:val="both"/>
        <w:rPr>
          <w:color w:val="000000" w:themeColor="text1"/>
          <w:sz w:val="28"/>
          <w:szCs w:val="28"/>
          <w:lang w:val="uk-UA"/>
        </w:rPr>
      </w:pPr>
      <w:r w:rsidRPr="008A6B7D">
        <w:rPr>
          <w:color w:val="000000" w:themeColor="text1"/>
          <w:sz w:val="28"/>
          <w:szCs w:val="28"/>
          <w:lang w:val="uk-UA"/>
        </w:rPr>
        <w:lastRenderedPageBreak/>
        <w:t>4-</w:t>
      </w:r>
      <w:r w:rsidR="0071066B" w:rsidRPr="008A6B7D">
        <w:rPr>
          <w:color w:val="000000" w:themeColor="text1"/>
          <w:sz w:val="28"/>
          <w:szCs w:val="28"/>
          <w:lang w:val="uk-UA"/>
        </w:rPr>
        <w:t>Б</w:t>
      </w:r>
      <w:r w:rsidRPr="008A6B7D">
        <w:rPr>
          <w:color w:val="000000" w:themeColor="text1"/>
          <w:sz w:val="28"/>
          <w:szCs w:val="28"/>
          <w:lang w:val="uk-UA"/>
        </w:rPr>
        <w:t xml:space="preserve">ромбензальдегід також проявляв протизапальну активність впродовж усього експерименту і на 16 добу спостереження (14 доба лікування) об’єм запалених кінцівок досяг вихідних показників. </w:t>
      </w:r>
    </w:p>
    <w:p w14:paraId="51FC17F0" w14:textId="77777777" w:rsidR="00F05F4E" w:rsidRPr="008A6B7D" w:rsidRDefault="00F05F4E" w:rsidP="00F05F4E">
      <w:pPr>
        <w:tabs>
          <w:tab w:val="left" w:pos="720"/>
        </w:tabs>
        <w:spacing w:line="360" w:lineRule="auto"/>
        <w:ind w:firstLine="720"/>
        <w:jc w:val="both"/>
        <w:rPr>
          <w:color w:val="000000" w:themeColor="text1"/>
          <w:sz w:val="28"/>
          <w:szCs w:val="28"/>
          <w:lang w:val="uk-UA"/>
        </w:rPr>
      </w:pPr>
      <w:r w:rsidRPr="008A6B7D">
        <w:rPr>
          <w:color w:val="000000" w:themeColor="text1"/>
          <w:sz w:val="28"/>
          <w:szCs w:val="28"/>
          <w:lang w:val="uk-UA"/>
        </w:rPr>
        <w:t xml:space="preserve">Кращу протизапальну активність продемонструвала саліцилова кислота у порівнянні із 4-бромбензальдегідом, вже на 7 добу лікування показники об’єму запалених кінцівок щурів зменшилися приблизно на 37%, але в даному експерименті показники об’єму запалених кінцівок не повернулися на рівень інтактних до кінця експерименту. </w:t>
      </w:r>
    </w:p>
    <w:p w14:paraId="74198ABF" w14:textId="10B02EB2" w:rsidR="00F05F4E" w:rsidRPr="008A6B7D" w:rsidRDefault="00F05F4E" w:rsidP="00F05F4E">
      <w:pPr>
        <w:tabs>
          <w:tab w:val="left" w:pos="720"/>
        </w:tabs>
        <w:spacing w:line="360" w:lineRule="auto"/>
        <w:ind w:firstLine="720"/>
        <w:jc w:val="both"/>
        <w:rPr>
          <w:color w:val="000000" w:themeColor="text1"/>
          <w:sz w:val="28"/>
          <w:szCs w:val="28"/>
          <w:lang w:val="uk-UA"/>
        </w:rPr>
      </w:pPr>
      <w:r w:rsidRPr="008A6B7D">
        <w:rPr>
          <w:color w:val="000000" w:themeColor="text1"/>
          <w:sz w:val="28"/>
          <w:szCs w:val="28"/>
          <w:lang w:val="uk-UA"/>
        </w:rPr>
        <w:t>При візуальному огляді не спостерігалося зовнішніх ознак запалення, на відміну від контрольної групи тварин, у яких ознаки запалення були досить виражені і на 16-у добу спостереження.</w:t>
      </w:r>
    </w:p>
    <w:p w14:paraId="60907084" w14:textId="77777777" w:rsidR="00F05F4E" w:rsidRPr="008A6B7D" w:rsidRDefault="00F05F4E" w:rsidP="00F05F4E">
      <w:pPr>
        <w:tabs>
          <w:tab w:val="left" w:pos="720"/>
        </w:tabs>
        <w:spacing w:line="360" w:lineRule="auto"/>
        <w:ind w:firstLine="720"/>
        <w:jc w:val="both"/>
        <w:rPr>
          <w:color w:val="000000" w:themeColor="text1"/>
          <w:sz w:val="28"/>
          <w:szCs w:val="28"/>
          <w:lang w:val="uk-UA"/>
        </w:rPr>
      </w:pPr>
      <w:r w:rsidRPr="008A6B7D">
        <w:rPr>
          <w:color w:val="000000" w:themeColor="text1"/>
          <w:sz w:val="28"/>
          <w:szCs w:val="28"/>
          <w:lang w:val="uk-UA"/>
        </w:rPr>
        <w:t xml:space="preserve">Дані, що були отримані при визначенні товщини запалених кінцівок (табл. 4.3.1) на моделі формалінового запалення, свідчать, що в цілому тенденція зміни товщини збігалася з динамікою зміни об'єму, при введенні всіх досліджуваних сполук, показники не досягли контрольних, і через 16 діб після введення флогогену, що, мабуть, пов'язане з фізіологією розсмоктування. </w:t>
      </w:r>
    </w:p>
    <w:p w14:paraId="2768D8E9" w14:textId="4F2F31A5" w:rsidR="00F05F4E" w:rsidRPr="008A6B7D" w:rsidRDefault="00F05F4E" w:rsidP="00F05F4E">
      <w:pPr>
        <w:tabs>
          <w:tab w:val="left" w:pos="720"/>
        </w:tabs>
        <w:spacing w:line="360" w:lineRule="auto"/>
        <w:ind w:firstLine="720"/>
        <w:jc w:val="both"/>
        <w:rPr>
          <w:color w:val="000000" w:themeColor="text1"/>
          <w:sz w:val="28"/>
          <w:szCs w:val="28"/>
          <w:lang w:val="uk-UA"/>
        </w:rPr>
        <w:sectPr w:rsidR="00F05F4E" w:rsidRPr="008A6B7D" w:rsidSect="00B23EBF">
          <w:headerReference w:type="default" r:id="rId42"/>
          <w:pgSz w:w="11900" w:h="16840"/>
          <w:pgMar w:top="1134" w:right="850" w:bottom="1134" w:left="1701" w:header="708" w:footer="708" w:gutter="0"/>
          <w:cols w:space="708"/>
          <w:titlePg/>
          <w:docGrid w:linePitch="360"/>
        </w:sectPr>
      </w:pPr>
      <w:r w:rsidRPr="008A6B7D">
        <w:rPr>
          <w:color w:val="000000" w:themeColor="text1"/>
          <w:sz w:val="28"/>
          <w:szCs w:val="28"/>
          <w:lang w:val="uk-UA"/>
        </w:rPr>
        <w:t>Усі досліджувані сполуки проявляли високу антиексудативну активність, найбільш виразну дію показав бензальдегід.</w:t>
      </w:r>
    </w:p>
    <w:p w14:paraId="7C562D92" w14:textId="7E0229D0" w:rsidR="00F05F4E" w:rsidRPr="0071066B" w:rsidRDefault="00F05F4E" w:rsidP="00F05F4E">
      <w:pPr>
        <w:jc w:val="right"/>
        <w:rPr>
          <w:i/>
          <w:iCs/>
          <w:sz w:val="22"/>
          <w:szCs w:val="22"/>
          <w:lang w:val="uk-UA"/>
        </w:rPr>
      </w:pPr>
      <w:r w:rsidRPr="0071066B">
        <w:rPr>
          <w:i/>
          <w:iCs/>
          <w:sz w:val="22"/>
          <w:szCs w:val="22"/>
          <w:lang w:val="uk-UA"/>
        </w:rPr>
        <w:lastRenderedPageBreak/>
        <w:t>Таблиця 4.3.1</w:t>
      </w:r>
    </w:p>
    <w:p w14:paraId="111F2C75" w14:textId="77777777" w:rsidR="00F05F4E" w:rsidRPr="00F05F4E" w:rsidRDefault="00F05F4E" w:rsidP="00F05F4E">
      <w:pPr>
        <w:jc w:val="center"/>
        <w:rPr>
          <w:sz w:val="22"/>
          <w:szCs w:val="22"/>
          <w:lang w:val="uk-UA"/>
        </w:rPr>
      </w:pPr>
    </w:p>
    <w:p w14:paraId="73F94610" w14:textId="77777777" w:rsidR="00F05F4E" w:rsidRPr="003D4DAC" w:rsidRDefault="00F05F4E" w:rsidP="0071066B">
      <w:pPr>
        <w:jc w:val="right"/>
        <w:rPr>
          <w:b/>
          <w:color w:val="000000"/>
          <w:lang w:val="uk-UA"/>
        </w:rPr>
      </w:pPr>
      <w:r w:rsidRPr="007212B1">
        <w:rPr>
          <w:b/>
          <w:color w:val="000000"/>
          <w:lang w:val="uk-UA"/>
        </w:rPr>
        <w:t xml:space="preserve">Протизапальна активність досліджуваних сполук при пероральному введенні (через добу після введення флогогену, товщина кінцівок), </w:t>
      </w:r>
      <w:r w:rsidRPr="007212B1">
        <w:rPr>
          <w:lang w:val="uk-UA"/>
        </w:rPr>
        <w:t>(</w:t>
      </w:r>
      <w:r w:rsidRPr="007212B1">
        <w:rPr>
          <w:b/>
          <w:lang w:val="uk-UA"/>
        </w:rPr>
        <w:t>М</w:t>
      </w:r>
      <w:r w:rsidRPr="007212B1">
        <w:rPr>
          <w:b/>
          <w:color w:val="4D5156"/>
          <w:shd w:val="clear" w:color="auto" w:fill="FFFFFF"/>
          <w:lang w:val="uk-UA"/>
        </w:rPr>
        <w:t>±</w:t>
      </w:r>
      <w:r w:rsidRPr="007212B1">
        <w:rPr>
          <w:b/>
          <w:lang w:val="en-US"/>
        </w:rPr>
        <w:t>m</w:t>
      </w:r>
      <w:r w:rsidRPr="007212B1">
        <w:rPr>
          <w:b/>
          <w:lang w:val="uk-UA"/>
        </w:rPr>
        <w:t xml:space="preserve">, </w:t>
      </w:r>
      <w:r w:rsidRPr="007212B1">
        <w:rPr>
          <w:b/>
          <w:lang w:val="en-US"/>
        </w:rPr>
        <w:t>n</w:t>
      </w:r>
      <w:r w:rsidRPr="007212B1">
        <w:rPr>
          <w:b/>
          <w:lang w:val="uk-UA"/>
        </w:rPr>
        <w:t>=5)</w:t>
      </w:r>
    </w:p>
    <w:tbl>
      <w:tblPr>
        <w:tblW w:w="1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1302"/>
        <w:gridCol w:w="1774"/>
        <w:gridCol w:w="2361"/>
        <w:gridCol w:w="1872"/>
        <w:gridCol w:w="1882"/>
        <w:gridCol w:w="1686"/>
        <w:gridCol w:w="575"/>
        <w:gridCol w:w="1312"/>
      </w:tblGrid>
      <w:tr w:rsidR="00F05F4E" w:rsidRPr="00A50810" w14:paraId="21B9115E" w14:textId="77777777" w:rsidTr="00A50810">
        <w:trPr>
          <w:trHeight w:val="660"/>
        </w:trPr>
        <w:tc>
          <w:tcPr>
            <w:tcW w:w="2056" w:type="dxa"/>
            <w:vAlign w:val="bottom"/>
          </w:tcPr>
          <w:p w14:paraId="3D01D18B" w14:textId="77777777" w:rsidR="00F05F4E" w:rsidRPr="00A50810" w:rsidRDefault="00F05F4E" w:rsidP="00A50810">
            <w:pPr>
              <w:widowControl w:val="0"/>
              <w:autoSpaceDE w:val="0"/>
              <w:autoSpaceDN w:val="0"/>
              <w:adjustRightInd w:val="0"/>
              <w:jc w:val="center"/>
            </w:pPr>
            <w:r w:rsidRPr="00A50810">
              <w:t>Час</w:t>
            </w:r>
            <w:r w:rsidRPr="00A50810">
              <w:rPr>
                <w:lang w:val="uk-UA"/>
              </w:rPr>
              <w:t xml:space="preserve"> </w:t>
            </w:r>
            <w:r w:rsidRPr="00A50810">
              <w:t>спостереження (</w:t>
            </w:r>
            <w:r w:rsidRPr="00A50810">
              <w:rPr>
                <w:lang w:val="uk-UA"/>
              </w:rPr>
              <w:t>доба</w:t>
            </w:r>
            <w:r w:rsidRPr="00A50810">
              <w:t>)</w:t>
            </w:r>
          </w:p>
        </w:tc>
        <w:tc>
          <w:tcPr>
            <w:tcW w:w="12763" w:type="dxa"/>
            <w:gridSpan w:val="8"/>
            <w:tcBorders>
              <w:right w:val="single" w:sz="4" w:space="0" w:color="auto"/>
            </w:tcBorders>
            <w:vAlign w:val="center"/>
          </w:tcPr>
          <w:p w14:paraId="09D0938C" w14:textId="77777777" w:rsidR="00F05F4E" w:rsidRPr="00A50810" w:rsidRDefault="00F05F4E" w:rsidP="00A50810">
            <w:pPr>
              <w:widowControl w:val="0"/>
              <w:autoSpaceDE w:val="0"/>
              <w:autoSpaceDN w:val="0"/>
              <w:adjustRightInd w:val="0"/>
              <w:jc w:val="center"/>
              <w:rPr>
                <w:b/>
              </w:rPr>
            </w:pPr>
            <w:r w:rsidRPr="00A50810">
              <w:rPr>
                <w:b/>
              </w:rPr>
              <w:br/>
              <w:t>Сполука</w:t>
            </w:r>
          </w:p>
        </w:tc>
      </w:tr>
      <w:tr w:rsidR="00F05F4E" w:rsidRPr="00A50810" w14:paraId="2EDC5A58" w14:textId="77777777" w:rsidTr="00A50810">
        <w:trPr>
          <w:trHeight w:val="402"/>
        </w:trPr>
        <w:tc>
          <w:tcPr>
            <w:tcW w:w="2056" w:type="dxa"/>
            <w:tcBorders>
              <w:bottom w:val="single" w:sz="4" w:space="0" w:color="auto"/>
            </w:tcBorders>
            <w:vAlign w:val="bottom"/>
          </w:tcPr>
          <w:p w14:paraId="53DBFCC4" w14:textId="77777777" w:rsidR="00F05F4E" w:rsidRPr="00A50810" w:rsidRDefault="00F05F4E" w:rsidP="00A50810">
            <w:pPr>
              <w:widowControl w:val="0"/>
              <w:autoSpaceDE w:val="0"/>
              <w:autoSpaceDN w:val="0"/>
              <w:adjustRightInd w:val="0"/>
              <w:jc w:val="center"/>
            </w:pPr>
          </w:p>
        </w:tc>
        <w:tc>
          <w:tcPr>
            <w:tcW w:w="1302" w:type="dxa"/>
            <w:tcBorders>
              <w:bottom w:val="single" w:sz="4" w:space="0" w:color="auto"/>
            </w:tcBorders>
            <w:vAlign w:val="bottom"/>
          </w:tcPr>
          <w:p w14:paraId="397CDF31" w14:textId="77777777" w:rsidR="00F05F4E" w:rsidRPr="00A50810" w:rsidRDefault="00F05F4E" w:rsidP="00A50810">
            <w:pPr>
              <w:widowControl w:val="0"/>
              <w:autoSpaceDE w:val="0"/>
              <w:autoSpaceDN w:val="0"/>
              <w:adjustRightInd w:val="0"/>
              <w:rPr>
                <w:lang w:val="uk-UA"/>
              </w:rPr>
            </w:pPr>
            <w:r w:rsidRPr="00A50810">
              <w:rPr>
                <w:lang w:val="uk-UA"/>
              </w:rPr>
              <w:t>Контроль</w:t>
            </w:r>
          </w:p>
        </w:tc>
        <w:tc>
          <w:tcPr>
            <w:tcW w:w="1774" w:type="dxa"/>
            <w:tcBorders>
              <w:bottom w:val="single" w:sz="4" w:space="0" w:color="auto"/>
            </w:tcBorders>
            <w:vAlign w:val="bottom"/>
          </w:tcPr>
          <w:p w14:paraId="068B3B89" w14:textId="77777777" w:rsidR="00F05F4E" w:rsidRPr="00A50810" w:rsidRDefault="00F05F4E" w:rsidP="00A50810">
            <w:pPr>
              <w:widowControl w:val="0"/>
              <w:autoSpaceDE w:val="0"/>
              <w:autoSpaceDN w:val="0"/>
              <w:adjustRightInd w:val="0"/>
              <w:rPr>
                <w:lang w:val="uk-UA"/>
              </w:rPr>
            </w:pPr>
            <w:r w:rsidRPr="00A50810">
              <w:rPr>
                <w:lang w:val="uk-UA"/>
              </w:rPr>
              <w:t>Ібупрофен</w:t>
            </w:r>
          </w:p>
        </w:tc>
        <w:tc>
          <w:tcPr>
            <w:tcW w:w="2361" w:type="dxa"/>
            <w:tcBorders>
              <w:bottom w:val="single" w:sz="4" w:space="0" w:color="auto"/>
            </w:tcBorders>
            <w:vAlign w:val="bottom"/>
          </w:tcPr>
          <w:p w14:paraId="2677BD5B" w14:textId="77777777" w:rsidR="00F05F4E" w:rsidRPr="00A50810" w:rsidRDefault="00F05F4E" w:rsidP="00A50810">
            <w:pPr>
              <w:widowControl w:val="0"/>
              <w:autoSpaceDE w:val="0"/>
              <w:autoSpaceDN w:val="0"/>
              <w:adjustRightInd w:val="0"/>
              <w:rPr>
                <w:lang w:val="uk-UA"/>
              </w:rPr>
            </w:pPr>
            <w:r w:rsidRPr="00A50810">
              <w:rPr>
                <w:lang w:val="uk-UA"/>
              </w:rPr>
              <w:t>К І</w:t>
            </w:r>
          </w:p>
        </w:tc>
        <w:tc>
          <w:tcPr>
            <w:tcW w:w="1872" w:type="dxa"/>
            <w:tcBorders>
              <w:bottom w:val="single" w:sz="4" w:space="0" w:color="auto"/>
            </w:tcBorders>
            <w:vAlign w:val="bottom"/>
          </w:tcPr>
          <w:p w14:paraId="5AA80394" w14:textId="77777777" w:rsidR="00F05F4E" w:rsidRPr="00A50810" w:rsidRDefault="00F05F4E" w:rsidP="00A50810">
            <w:pPr>
              <w:widowControl w:val="0"/>
              <w:autoSpaceDE w:val="0"/>
              <w:autoSpaceDN w:val="0"/>
              <w:adjustRightInd w:val="0"/>
              <w:rPr>
                <w:lang w:val="uk-UA"/>
              </w:rPr>
            </w:pPr>
            <w:r w:rsidRPr="00A50810">
              <w:rPr>
                <w:lang w:val="uk-UA"/>
              </w:rPr>
              <w:t>К ІІ</w:t>
            </w:r>
          </w:p>
        </w:tc>
        <w:tc>
          <w:tcPr>
            <w:tcW w:w="1882" w:type="dxa"/>
            <w:tcBorders>
              <w:bottom w:val="single" w:sz="4" w:space="0" w:color="auto"/>
            </w:tcBorders>
            <w:vAlign w:val="bottom"/>
          </w:tcPr>
          <w:p w14:paraId="7A9E3574" w14:textId="77777777" w:rsidR="00F05F4E" w:rsidRPr="00A50810" w:rsidRDefault="00F05F4E" w:rsidP="00A50810">
            <w:pPr>
              <w:widowControl w:val="0"/>
              <w:autoSpaceDE w:val="0"/>
              <w:autoSpaceDN w:val="0"/>
              <w:adjustRightInd w:val="0"/>
              <w:rPr>
                <w:lang w:val="uk-UA"/>
              </w:rPr>
            </w:pPr>
            <w:r w:rsidRPr="00A50810">
              <w:rPr>
                <w:lang w:val="uk-UA"/>
              </w:rPr>
              <w:t>БА</w:t>
            </w:r>
          </w:p>
        </w:tc>
        <w:tc>
          <w:tcPr>
            <w:tcW w:w="1686" w:type="dxa"/>
            <w:tcBorders>
              <w:bottom w:val="single" w:sz="4" w:space="0" w:color="auto"/>
            </w:tcBorders>
            <w:vAlign w:val="bottom"/>
          </w:tcPr>
          <w:p w14:paraId="2275AA8A" w14:textId="77777777" w:rsidR="00F05F4E" w:rsidRPr="00A50810" w:rsidRDefault="00F05F4E" w:rsidP="00A50810">
            <w:pPr>
              <w:widowControl w:val="0"/>
              <w:autoSpaceDE w:val="0"/>
              <w:autoSpaceDN w:val="0"/>
              <w:adjustRightInd w:val="0"/>
              <w:rPr>
                <w:lang w:val="uk-UA"/>
              </w:rPr>
            </w:pPr>
            <w:r w:rsidRPr="00A50810">
              <w:rPr>
                <w:lang w:val="uk-UA"/>
              </w:rPr>
              <w:t>брБА</w:t>
            </w:r>
          </w:p>
        </w:tc>
        <w:tc>
          <w:tcPr>
            <w:tcW w:w="1883" w:type="dxa"/>
            <w:gridSpan w:val="2"/>
            <w:tcBorders>
              <w:bottom w:val="single" w:sz="4" w:space="0" w:color="auto"/>
            </w:tcBorders>
            <w:vAlign w:val="bottom"/>
          </w:tcPr>
          <w:p w14:paraId="171C2C4E" w14:textId="77777777" w:rsidR="00F05F4E" w:rsidRPr="00A50810" w:rsidRDefault="00F05F4E" w:rsidP="00A50810">
            <w:pPr>
              <w:widowControl w:val="0"/>
              <w:autoSpaceDE w:val="0"/>
              <w:autoSpaceDN w:val="0"/>
              <w:adjustRightInd w:val="0"/>
              <w:rPr>
                <w:lang w:val="uk-UA"/>
              </w:rPr>
            </w:pPr>
            <w:r w:rsidRPr="00A50810">
              <w:rPr>
                <w:lang w:val="uk-UA"/>
              </w:rPr>
              <w:t>СК</w:t>
            </w:r>
          </w:p>
        </w:tc>
      </w:tr>
      <w:tr w:rsidR="00F05F4E" w:rsidRPr="00A50810" w14:paraId="3302BBDD" w14:textId="77777777" w:rsidTr="00A50810">
        <w:trPr>
          <w:trHeight w:val="402"/>
        </w:trPr>
        <w:tc>
          <w:tcPr>
            <w:tcW w:w="13508" w:type="dxa"/>
            <w:gridSpan w:val="8"/>
            <w:tcBorders>
              <w:right w:val="nil"/>
            </w:tcBorders>
            <w:vAlign w:val="bottom"/>
          </w:tcPr>
          <w:p w14:paraId="5682A9AD" w14:textId="77777777" w:rsidR="00F05F4E" w:rsidRPr="00A50810" w:rsidRDefault="00F05F4E" w:rsidP="00A50810">
            <w:pPr>
              <w:widowControl w:val="0"/>
              <w:autoSpaceDE w:val="0"/>
              <w:autoSpaceDN w:val="0"/>
              <w:adjustRightInd w:val="0"/>
              <w:jc w:val="center"/>
              <w:rPr>
                <w:lang w:val="uk-UA"/>
              </w:rPr>
            </w:pPr>
            <w:r w:rsidRPr="00A50810">
              <w:rPr>
                <w:lang w:val="uk-UA"/>
              </w:rPr>
              <w:t>Приріст товщини, у % до вихідних значень</w:t>
            </w:r>
          </w:p>
        </w:tc>
        <w:tc>
          <w:tcPr>
            <w:tcW w:w="1312" w:type="dxa"/>
            <w:tcBorders>
              <w:left w:val="nil"/>
              <w:right w:val="single" w:sz="4" w:space="0" w:color="auto"/>
            </w:tcBorders>
            <w:vAlign w:val="bottom"/>
          </w:tcPr>
          <w:p w14:paraId="6DB4252A" w14:textId="77777777" w:rsidR="00F05F4E" w:rsidRPr="00A50810" w:rsidRDefault="00F05F4E" w:rsidP="00A50810">
            <w:pPr>
              <w:widowControl w:val="0"/>
              <w:autoSpaceDE w:val="0"/>
              <w:autoSpaceDN w:val="0"/>
              <w:adjustRightInd w:val="0"/>
              <w:rPr>
                <w:lang w:val="uk-UA"/>
              </w:rPr>
            </w:pPr>
          </w:p>
        </w:tc>
      </w:tr>
      <w:tr w:rsidR="00F05F4E" w:rsidRPr="00A50810" w14:paraId="43F7C012" w14:textId="77777777" w:rsidTr="00A50810">
        <w:trPr>
          <w:trHeight w:val="402"/>
        </w:trPr>
        <w:tc>
          <w:tcPr>
            <w:tcW w:w="2056" w:type="dxa"/>
            <w:vAlign w:val="bottom"/>
          </w:tcPr>
          <w:p w14:paraId="0AEDCDA7" w14:textId="77777777" w:rsidR="00F05F4E" w:rsidRPr="00A50810" w:rsidRDefault="00F05F4E" w:rsidP="00A50810">
            <w:pPr>
              <w:widowControl w:val="0"/>
              <w:autoSpaceDE w:val="0"/>
              <w:autoSpaceDN w:val="0"/>
              <w:adjustRightInd w:val="0"/>
              <w:rPr>
                <w:lang w:val="uk-UA"/>
              </w:rPr>
            </w:pPr>
            <w:r w:rsidRPr="00A50810">
              <w:rPr>
                <w:lang w:val="uk-UA"/>
              </w:rPr>
              <w:t>3</w:t>
            </w:r>
          </w:p>
        </w:tc>
        <w:tc>
          <w:tcPr>
            <w:tcW w:w="1302" w:type="dxa"/>
            <w:vAlign w:val="bottom"/>
          </w:tcPr>
          <w:p w14:paraId="5FF73444" w14:textId="77777777" w:rsidR="00F05F4E" w:rsidRPr="00A50810" w:rsidRDefault="00F05F4E" w:rsidP="00A50810">
            <w:pPr>
              <w:rPr>
                <w:color w:val="000000"/>
              </w:rPr>
            </w:pPr>
            <w:r w:rsidRPr="00A50810">
              <w:rPr>
                <w:color w:val="000000"/>
              </w:rPr>
              <w:t>50,5 ± 0,2</w:t>
            </w:r>
          </w:p>
        </w:tc>
        <w:tc>
          <w:tcPr>
            <w:tcW w:w="1774" w:type="dxa"/>
            <w:vAlign w:val="bottom"/>
          </w:tcPr>
          <w:p w14:paraId="299D022D" w14:textId="77777777" w:rsidR="00F05F4E" w:rsidRPr="00A50810" w:rsidRDefault="00F05F4E" w:rsidP="00A50810">
            <w:pPr>
              <w:rPr>
                <w:color w:val="000000"/>
              </w:rPr>
            </w:pPr>
            <w:r w:rsidRPr="00A50810">
              <w:rPr>
                <w:color w:val="000000"/>
              </w:rPr>
              <w:t>50,5 ± 0,2</w:t>
            </w:r>
          </w:p>
        </w:tc>
        <w:tc>
          <w:tcPr>
            <w:tcW w:w="2361" w:type="dxa"/>
            <w:vAlign w:val="bottom"/>
          </w:tcPr>
          <w:p w14:paraId="07693A4A" w14:textId="77777777" w:rsidR="00F05F4E" w:rsidRPr="00A50810" w:rsidRDefault="00F05F4E" w:rsidP="00A50810">
            <w:pPr>
              <w:rPr>
                <w:color w:val="000000"/>
                <w:lang w:val="en-US"/>
              </w:rPr>
            </w:pPr>
            <w:r w:rsidRPr="00A50810">
              <w:rPr>
                <w:color w:val="000000"/>
              </w:rPr>
              <w:t>50,5 ± 0,2</w:t>
            </w:r>
            <w:r w:rsidRPr="00A50810">
              <w:rPr>
                <w:color w:val="000000"/>
                <w:lang w:val="uk-UA"/>
              </w:rPr>
              <w:t xml:space="preserve"> </w:t>
            </w:r>
          </w:p>
        </w:tc>
        <w:tc>
          <w:tcPr>
            <w:tcW w:w="1872" w:type="dxa"/>
            <w:vAlign w:val="bottom"/>
          </w:tcPr>
          <w:p w14:paraId="6AEDD65D" w14:textId="77777777" w:rsidR="00F05F4E" w:rsidRPr="00A50810" w:rsidRDefault="00F05F4E" w:rsidP="00A50810">
            <w:pPr>
              <w:rPr>
                <w:color w:val="000000"/>
                <w:lang w:val="en-US"/>
              </w:rPr>
            </w:pPr>
            <w:r w:rsidRPr="00A50810">
              <w:rPr>
                <w:color w:val="000000"/>
              </w:rPr>
              <w:t>50,5 ± 0,2</w:t>
            </w:r>
          </w:p>
        </w:tc>
        <w:tc>
          <w:tcPr>
            <w:tcW w:w="1882" w:type="dxa"/>
            <w:vAlign w:val="bottom"/>
          </w:tcPr>
          <w:p w14:paraId="41459171" w14:textId="77777777" w:rsidR="00F05F4E" w:rsidRPr="00A50810" w:rsidRDefault="00F05F4E" w:rsidP="00A50810">
            <w:pPr>
              <w:rPr>
                <w:color w:val="000000"/>
                <w:lang w:val="en-US"/>
              </w:rPr>
            </w:pPr>
            <w:r w:rsidRPr="00A50810">
              <w:rPr>
                <w:color w:val="000000"/>
              </w:rPr>
              <w:t>50,5 ± 0,1</w:t>
            </w:r>
          </w:p>
        </w:tc>
        <w:tc>
          <w:tcPr>
            <w:tcW w:w="1686" w:type="dxa"/>
            <w:vAlign w:val="bottom"/>
          </w:tcPr>
          <w:p w14:paraId="24E96602" w14:textId="77777777" w:rsidR="00F05F4E" w:rsidRPr="00A50810" w:rsidRDefault="00F05F4E" w:rsidP="00A50810">
            <w:pPr>
              <w:rPr>
                <w:color w:val="000000"/>
              </w:rPr>
            </w:pPr>
            <w:r w:rsidRPr="00A50810">
              <w:rPr>
                <w:color w:val="000000"/>
              </w:rPr>
              <w:t>50,5 ± 0,1</w:t>
            </w:r>
          </w:p>
        </w:tc>
        <w:tc>
          <w:tcPr>
            <w:tcW w:w="1883" w:type="dxa"/>
            <w:gridSpan w:val="2"/>
            <w:vAlign w:val="bottom"/>
          </w:tcPr>
          <w:p w14:paraId="28FB18EB" w14:textId="77777777" w:rsidR="00F05F4E" w:rsidRPr="00A50810" w:rsidRDefault="00F05F4E" w:rsidP="00A50810">
            <w:pPr>
              <w:rPr>
                <w:color w:val="000000"/>
                <w:lang w:val="en-US"/>
              </w:rPr>
            </w:pPr>
            <w:r w:rsidRPr="00A50810">
              <w:rPr>
                <w:color w:val="000000"/>
              </w:rPr>
              <w:t>50,5 ± 0,2</w:t>
            </w:r>
          </w:p>
        </w:tc>
      </w:tr>
      <w:tr w:rsidR="00F05F4E" w:rsidRPr="00A50810" w14:paraId="7AA6320A" w14:textId="77777777" w:rsidTr="00A50810">
        <w:trPr>
          <w:trHeight w:val="422"/>
        </w:trPr>
        <w:tc>
          <w:tcPr>
            <w:tcW w:w="2056" w:type="dxa"/>
            <w:vAlign w:val="bottom"/>
          </w:tcPr>
          <w:p w14:paraId="12903E12" w14:textId="77777777" w:rsidR="00F05F4E" w:rsidRPr="00A50810" w:rsidRDefault="00F05F4E" w:rsidP="00A50810">
            <w:pPr>
              <w:widowControl w:val="0"/>
              <w:autoSpaceDE w:val="0"/>
              <w:autoSpaceDN w:val="0"/>
              <w:adjustRightInd w:val="0"/>
              <w:rPr>
                <w:lang w:val="uk-UA"/>
              </w:rPr>
            </w:pPr>
            <w:r w:rsidRPr="00A50810">
              <w:rPr>
                <w:lang w:val="uk-UA"/>
              </w:rPr>
              <w:t>4</w:t>
            </w:r>
          </w:p>
        </w:tc>
        <w:tc>
          <w:tcPr>
            <w:tcW w:w="1302" w:type="dxa"/>
            <w:vAlign w:val="bottom"/>
          </w:tcPr>
          <w:p w14:paraId="42A9EF9D" w14:textId="77777777" w:rsidR="00F05F4E" w:rsidRPr="00A50810" w:rsidRDefault="00F05F4E" w:rsidP="00A50810">
            <w:r w:rsidRPr="00A50810">
              <w:t>65,1 ± 0,2</w:t>
            </w:r>
          </w:p>
        </w:tc>
        <w:tc>
          <w:tcPr>
            <w:tcW w:w="1774" w:type="dxa"/>
            <w:vAlign w:val="bottom"/>
          </w:tcPr>
          <w:p w14:paraId="0C5A20EC" w14:textId="77777777" w:rsidR="00F05F4E" w:rsidRPr="00A50810" w:rsidRDefault="00F05F4E" w:rsidP="00A50810">
            <w:pPr>
              <w:rPr>
                <w:highlight w:val="lightGray"/>
                <w:lang w:val="uk-UA"/>
              </w:rPr>
            </w:pPr>
            <w:r w:rsidRPr="00A50810">
              <w:rPr>
                <w:lang w:val="uk-UA"/>
              </w:rPr>
              <w:t xml:space="preserve">30,8 </w:t>
            </w:r>
            <w:r w:rsidRPr="00A50810">
              <w:t>± 0,</w:t>
            </w:r>
            <w:r w:rsidRPr="00A50810">
              <w:rPr>
                <w:lang w:val="uk-UA"/>
              </w:rPr>
              <w:t>3</w:t>
            </w:r>
          </w:p>
        </w:tc>
        <w:tc>
          <w:tcPr>
            <w:tcW w:w="2361" w:type="dxa"/>
            <w:vAlign w:val="bottom"/>
          </w:tcPr>
          <w:p w14:paraId="78ADAAC3" w14:textId="77777777" w:rsidR="00F05F4E" w:rsidRPr="00A50810" w:rsidRDefault="00F05F4E" w:rsidP="00A50810">
            <w:pPr>
              <w:rPr>
                <w:lang w:val="en-US"/>
              </w:rPr>
            </w:pPr>
            <w:r w:rsidRPr="00A50810">
              <w:t>36 ± 0,2</w:t>
            </w:r>
            <w:r w:rsidRPr="00A50810">
              <w:rPr>
                <w:lang w:val="en-US"/>
              </w:rPr>
              <w:t>**</w:t>
            </w:r>
          </w:p>
        </w:tc>
        <w:tc>
          <w:tcPr>
            <w:tcW w:w="1872" w:type="dxa"/>
            <w:vAlign w:val="bottom"/>
          </w:tcPr>
          <w:p w14:paraId="397D0169" w14:textId="77777777" w:rsidR="00F05F4E" w:rsidRPr="00A50810" w:rsidRDefault="00F05F4E" w:rsidP="00A50810">
            <w:pPr>
              <w:rPr>
                <w:lang w:val="en-US"/>
              </w:rPr>
            </w:pPr>
            <w:r w:rsidRPr="00A50810">
              <w:t>51,8 ± 0,2</w:t>
            </w:r>
            <w:r w:rsidRPr="00A50810">
              <w:rPr>
                <w:lang w:val="en-US"/>
              </w:rPr>
              <w:t>**</w:t>
            </w:r>
          </w:p>
        </w:tc>
        <w:tc>
          <w:tcPr>
            <w:tcW w:w="1882" w:type="dxa"/>
            <w:vAlign w:val="bottom"/>
          </w:tcPr>
          <w:p w14:paraId="0BABFBAE" w14:textId="77777777" w:rsidR="00F05F4E" w:rsidRPr="00A50810" w:rsidRDefault="00F05F4E" w:rsidP="00A50810">
            <w:pPr>
              <w:rPr>
                <w:color w:val="000000"/>
                <w:lang w:val="en-US"/>
              </w:rPr>
            </w:pPr>
            <w:r w:rsidRPr="00A50810">
              <w:rPr>
                <w:color w:val="000000"/>
              </w:rPr>
              <w:t>58,2 ± 0,4</w:t>
            </w:r>
          </w:p>
        </w:tc>
        <w:tc>
          <w:tcPr>
            <w:tcW w:w="1686" w:type="dxa"/>
            <w:vAlign w:val="bottom"/>
          </w:tcPr>
          <w:p w14:paraId="5FE2F037" w14:textId="77777777" w:rsidR="00F05F4E" w:rsidRPr="00A50810" w:rsidRDefault="00F05F4E" w:rsidP="00A50810">
            <w:pPr>
              <w:rPr>
                <w:color w:val="000000"/>
              </w:rPr>
            </w:pPr>
            <w:r w:rsidRPr="00A50810">
              <w:rPr>
                <w:color w:val="000000"/>
              </w:rPr>
              <w:t>54,8 ± 0,1</w:t>
            </w:r>
          </w:p>
        </w:tc>
        <w:tc>
          <w:tcPr>
            <w:tcW w:w="1883" w:type="dxa"/>
            <w:gridSpan w:val="2"/>
            <w:vAlign w:val="bottom"/>
          </w:tcPr>
          <w:p w14:paraId="20265C0D" w14:textId="77777777" w:rsidR="00F05F4E" w:rsidRPr="00A50810" w:rsidRDefault="00F05F4E" w:rsidP="00A50810">
            <w:r w:rsidRPr="00A50810">
              <w:t>53,4 ± 0,2</w:t>
            </w:r>
          </w:p>
        </w:tc>
      </w:tr>
      <w:tr w:rsidR="00F05F4E" w:rsidRPr="00A50810" w14:paraId="486AA28D" w14:textId="77777777" w:rsidTr="00A50810">
        <w:trPr>
          <w:trHeight w:val="402"/>
        </w:trPr>
        <w:tc>
          <w:tcPr>
            <w:tcW w:w="2056" w:type="dxa"/>
            <w:vAlign w:val="bottom"/>
          </w:tcPr>
          <w:p w14:paraId="54DAA93C" w14:textId="77777777" w:rsidR="00F05F4E" w:rsidRPr="00A50810" w:rsidRDefault="00F05F4E" w:rsidP="00A50810">
            <w:pPr>
              <w:widowControl w:val="0"/>
              <w:autoSpaceDE w:val="0"/>
              <w:autoSpaceDN w:val="0"/>
              <w:adjustRightInd w:val="0"/>
              <w:rPr>
                <w:lang w:val="uk-UA"/>
              </w:rPr>
            </w:pPr>
            <w:r w:rsidRPr="00A50810">
              <w:rPr>
                <w:lang w:val="uk-UA"/>
              </w:rPr>
              <w:t>5</w:t>
            </w:r>
          </w:p>
        </w:tc>
        <w:tc>
          <w:tcPr>
            <w:tcW w:w="1302" w:type="dxa"/>
            <w:vAlign w:val="bottom"/>
          </w:tcPr>
          <w:p w14:paraId="639B4986" w14:textId="77777777" w:rsidR="00F05F4E" w:rsidRPr="00A50810" w:rsidRDefault="00F05F4E" w:rsidP="00A50810">
            <w:r w:rsidRPr="00A50810">
              <w:t>62,3 ± 0,2</w:t>
            </w:r>
          </w:p>
        </w:tc>
        <w:tc>
          <w:tcPr>
            <w:tcW w:w="1774" w:type="dxa"/>
            <w:vAlign w:val="bottom"/>
          </w:tcPr>
          <w:p w14:paraId="576074A4" w14:textId="77777777" w:rsidR="00F05F4E" w:rsidRPr="00A50810" w:rsidRDefault="00F05F4E" w:rsidP="00A50810">
            <w:pPr>
              <w:rPr>
                <w:highlight w:val="lightGray"/>
                <w:lang w:val="uk-UA"/>
              </w:rPr>
            </w:pPr>
            <w:r w:rsidRPr="00A50810">
              <w:rPr>
                <w:lang w:val="uk-UA"/>
              </w:rPr>
              <w:t xml:space="preserve">30,6 </w:t>
            </w:r>
            <w:r w:rsidRPr="00A50810">
              <w:t>± 0,1</w:t>
            </w:r>
          </w:p>
        </w:tc>
        <w:tc>
          <w:tcPr>
            <w:tcW w:w="2361" w:type="dxa"/>
            <w:vAlign w:val="bottom"/>
          </w:tcPr>
          <w:p w14:paraId="2A67A50D" w14:textId="77777777" w:rsidR="00F05F4E" w:rsidRPr="00A50810" w:rsidRDefault="00F05F4E" w:rsidP="00A50810">
            <w:pPr>
              <w:rPr>
                <w:lang w:val="en-US"/>
              </w:rPr>
            </w:pPr>
            <w:r w:rsidRPr="00A50810">
              <w:t>35,7 ± 0,1</w:t>
            </w:r>
            <w:r w:rsidRPr="00A50810">
              <w:rPr>
                <w:lang w:val="en-US"/>
              </w:rPr>
              <w:t>**</w:t>
            </w:r>
          </w:p>
        </w:tc>
        <w:tc>
          <w:tcPr>
            <w:tcW w:w="1872" w:type="dxa"/>
            <w:vAlign w:val="bottom"/>
          </w:tcPr>
          <w:p w14:paraId="6533A5A8" w14:textId="77777777" w:rsidR="00F05F4E" w:rsidRPr="00A50810" w:rsidRDefault="00F05F4E" w:rsidP="00A50810">
            <w:pPr>
              <w:rPr>
                <w:lang w:val="en-US"/>
              </w:rPr>
            </w:pPr>
            <w:r w:rsidRPr="00A50810">
              <w:t>43,4 ± 0,2</w:t>
            </w:r>
            <w:r w:rsidRPr="00A50810">
              <w:rPr>
                <w:lang w:val="en-US"/>
              </w:rPr>
              <w:t>**</w:t>
            </w:r>
          </w:p>
        </w:tc>
        <w:tc>
          <w:tcPr>
            <w:tcW w:w="1882" w:type="dxa"/>
            <w:vAlign w:val="bottom"/>
          </w:tcPr>
          <w:p w14:paraId="0967183E" w14:textId="77777777" w:rsidR="00F05F4E" w:rsidRPr="00A50810" w:rsidRDefault="00F05F4E" w:rsidP="00A50810">
            <w:pPr>
              <w:rPr>
                <w:color w:val="000000"/>
                <w:lang w:val="en-US"/>
              </w:rPr>
            </w:pPr>
            <w:r w:rsidRPr="00A50810">
              <w:rPr>
                <w:color w:val="000000"/>
              </w:rPr>
              <w:t>45,9 ± 0,4</w:t>
            </w:r>
            <w:r w:rsidRPr="00A50810">
              <w:rPr>
                <w:color w:val="000000"/>
                <w:lang w:val="en-US"/>
              </w:rPr>
              <w:t>*</w:t>
            </w:r>
          </w:p>
        </w:tc>
        <w:tc>
          <w:tcPr>
            <w:tcW w:w="1686" w:type="dxa"/>
            <w:vAlign w:val="bottom"/>
          </w:tcPr>
          <w:p w14:paraId="5319BFD0" w14:textId="77777777" w:rsidR="00F05F4E" w:rsidRPr="00A50810" w:rsidRDefault="00F05F4E" w:rsidP="00A50810">
            <w:pPr>
              <w:rPr>
                <w:color w:val="000000"/>
                <w:lang w:val="en-US"/>
              </w:rPr>
            </w:pPr>
            <w:r w:rsidRPr="00A50810">
              <w:rPr>
                <w:color w:val="000000"/>
              </w:rPr>
              <w:t>52 ± 0,1</w:t>
            </w:r>
          </w:p>
        </w:tc>
        <w:tc>
          <w:tcPr>
            <w:tcW w:w="1883" w:type="dxa"/>
            <w:gridSpan w:val="2"/>
            <w:vAlign w:val="bottom"/>
          </w:tcPr>
          <w:p w14:paraId="1DE07EBC" w14:textId="77777777" w:rsidR="00F05F4E" w:rsidRPr="00A50810" w:rsidRDefault="00F05F4E" w:rsidP="00A50810">
            <w:pPr>
              <w:rPr>
                <w:lang w:val="en-US"/>
              </w:rPr>
            </w:pPr>
            <w:r w:rsidRPr="00A50810">
              <w:t>50,3 ± 0,1</w:t>
            </w:r>
            <w:r w:rsidRPr="00A50810">
              <w:rPr>
                <w:lang w:val="en-US"/>
              </w:rPr>
              <w:t>*</w:t>
            </w:r>
          </w:p>
        </w:tc>
      </w:tr>
      <w:tr w:rsidR="00F05F4E" w:rsidRPr="00A50810" w14:paraId="332F107D" w14:textId="77777777" w:rsidTr="00A50810">
        <w:trPr>
          <w:trHeight w:val="383"/>
        </w:trPr>
        <w:tc>
          <w:tcPr>
            <w:tcW w:w="2056" w:type="dxa"/>
            <w:vAlign w:val="bottom"/>
          </w:tcPr>
          <w:p w14:paraId="3DEAD42A" w14:textId="77777777" w:rsidR="00F05F4E" w:rsidRPr="00A50810" w:rsidRDefault="00F05F4E" w:rsidP="00A50810">
            <w:pPr>
              <w:widowControl w:val="0"/>
              <w:autoSpaceDE w:val="0"/>
              <w:autoSpaceDN w:val="0"/>
              <w:adjustRightInd w:val="0"/>
              <w:rPr>
                <w:lang w:val="uk-UA"/>
              </w:rPr>
            </w:pPr>
            <w:r w:rsidRPr="00A50810">
              <w:rPr>
                <w:lang w:val="uk-UA"/>
              </w:rPr>
              <w:t>6</w:t>
            </w:r>
          </w:p>
        </w:tc>
        <w:tc>
          <w:tcPr>
            <w:tcW w:w="1302" w:type="dxa"/>
            <w:vAlign w:val="bottom"/>
          </w:tcPr>
          <w:p w14:paraId="74DA1A09" w14:textId="77777777" w:rsidR="00F05F4E" w:rsidRPr="00A50810" w:rsidRDefault="00F05F4E" w:rsidP="00A50810">
            <w:r w:rsidRPr="00A50810">
              <w:t>60,3 ± 0,2</w:t>
            </w:r>
          </w:p>
        </w:tc>
        <w:tc>
          <w:tcPr>
            <w:tcW w:w="1774" w:type="dxa"/>
            <w:vAlign w:val="bottom"/>
          </w:tcPr>
          <w:p w14:paraId="6E25AFBF" w14:textId="77777777" w:rsidR="00F05F4E" w:rsidRPr="00A50810" w:rsidRDefault="00F05F4E" w:rsidP="00A50810">
            <w:pPr>
              <w:rPr>
                <w:lang w:val="uk-UA"/>
              </w:rPr>
            </w:pPr>
            <w:r w:rsidRPr="00A50810">
              <w:rPr>
                <w:lang w:val="uk-UA"/>
              </w:rPr>
              <w:t xml:space="preserve">29,9 </w:t>
            </w:r>
            <w:r w:rsidRPr="00A50810">
              <w:t>± 0,</w:t>
            </w:r>
            <w:r w:rsidRPr="00A50810">
              <w:rPr>
                <w:lang w:val="uk-UA"/>
              </w:rPr>
              <w:t>4</w:t>
            </w:r>
          </w:p>
        </w:tc>
        <w:tc>
          <w:tcPr>
            <w:tcW w:w="2361" w:type="dxa"/>
            <w:vAlign w:val="bottom"/>
          </w:tcPr>
          <w:p w14:paraId="36D4228E" w14:textId="77777777" w:rsidR="00F05F4E" w:rsidRPr="00A50810" w:rsidRDefault="00F05F4E" w:rsidP="00A50810">
            <w:pPr>
              <w:rPr>
                <w:lang w:val="en-US"/>
              </w:rPr>
            </w:pPr>
            <w:r w:rsidRPr="00A50810">
              <w:t>34 ± 0,2</w:t>
            </w:r>
            <w:r w:rsidRPr="00A50810">
              <w:rPr>
                <w:lang w:val="en-US"/>
              </w:rPr>
              <w:t>**</w:t>
            </w:r>
          </w:p>
        </w:tc>
        <w:tc>
          <w:tcPr>
            <w:tcW w:w="1872" w:type="dxa"/>
            <w:vAlign w:val="bottom"/>
          </w:tcPr>
          <w:p w14:paraId="033E7848" w14:textId="77777777" w:rsidR="00F05F4E" w:rsidRPr="00A50810" w:rsidRDefault="00F05F4E" w:rsidP="00A50810">
            <w:pPr>
              <w:rPr>
                <w:lang w:val="en-US"/>
              </w:rPr>
            </w:pPr>
            <w:r w:rsidRPr="00A50810">
              <w:t>41,7 ± 0,1</w:t>
            </w:r>
            <w:r w:rsidRPr="00A50810">
              <w:rPr>
                <w:lang w:val="en-US"/>
              </w:rPr>
              <w:t>**</w:t>
            </w:r>
          </w:p>
        </w:tc>
        <w:tc>
          <w:tcPr>
            <w:tcW w:w="1882" w:type="dxa"/>
            <w:vAlign w:val="bottom"/>
          </w:tcPr>
          <w:p w14:paraId="0E991BB4" w14:textId="77777777" w:rsidR="00F05F4E" w:rsidRPr="00A50810" w:rsidRDefault="00F05F4E" w:rsidP="00A50810">
            <w:pPr>
              <w:rPr>
                <w:color w:val="000000"/>
                <w:lang w:val="en-US"/>
              </w:rPr>
            </w:pPr>
            <w:r w:rsidRPr="00A50810">
              <w:rPr>
                <w:color w:val="000000"/>
              </w:rPr>
              <w:t>35 ± 0,6</w:t>
            </w:r>
            <w:r w:rsidRPr="00A50810">
              <w:rPr>
                <w:color w:val="000000"/>
                <w:lang w:val="en-US"/>
              </w:rPr>
              <w:t>**</w:t>
            </w:r>
          </w:p>
        </w:tc>
        <w:tc>
          <w:tcPr>
            <w:tcW w:w="1686" w:type="dxa"/>
            <w:vAlign w:val="bottom"/>
          </w:tcPr>
          <w:p w14:paraId="22C88F0D" w14:textId="77777777" w:rsidR="00F05F4E" w:rsidRPr="00A50810" w:rsidRDefault="00F05F4E" w:rsidP="00A50810">
            <w:pPr>
              <w:rPr>
                <w:color w:val="000000"/>
                <w:lang w:val="en-US"/>
              </w:rPr>
            </w:pPr>
            <w:r w:rsidRPr="00A50810">
              <w:rPr>
                <w:color w:val="000000"/>
              </w:rPr>
              <w:t>40,3 ± 0,1</w:t>
            </w:r>
            <w:r w:rsidRPr="00A50810">
              <w:rPr>
                <w:color w:val="000000"/>
                <w:lang w:val="en-US"/>
              </w:rPr>
              <w:t>**</w:t>
            </w:r>
          </w:p>
        </w:tc>
        <w:tc>
          <w:tcPr>
            <w:tcW w:w="1883" w:type="dxa"/>
            <w:gridSpan w:val="2"/>
            <w:vAlign w:val="bottom"/>
          </w:tcPr>
          <w:p w14:paraId="0324BB38" w14:textId="77777777" w:rsidR="00F05F4E" w:rsidRPr="00A50810" w:rsidRDefault="00F05F4E" w:rsidP="00A50810">
            <w:pPr>
              <w:rPr>
                <w:lang w:val="en-US"/>
              </w:rPr>
            </w:pPr>
            <w:r w:rsidRPr="00A50810">
              <w:t>48,3 ± 0,2</w:t>
            </w:r>
            <w:r w:rsidRPr="00A50810">
              <w:rPr>
                <w:lang w:val="en-US"/>
              </w:rPr>
              <w:t>*</w:t>
            </w:r>
          </w:p>
        </w:tc>
      </w:tr>
      <w:tr w:rsidR="00F05F4E" w:rsidRPr="00A50810" w14:paraId="5835C1EF" w14:textId="77777777" w:rsidTr="00A50810">
        <w:trPr>
          <w:trHeight w:val="402"/>
        </w:trPr>
        <w:tc>
          <w:tcPr>
            <w:tcW w:w="2056" w:type="dxa"/>
            <w:vAlign w:val="bottom"/>
          </w:tcPr>
          <w:p w14:paraId="2F984748" w14:textId="77777777" w:rsidR="00F05F4E" w:rsidRPr="00A50810" w:rsidRDefault="00F05F4E" w:rsidP="00A50810">
            <w:pPr>
              <w:widowControl w:val="0"/>
              <w:autoSpaceDE w:val="0"/>
              <w:autoSpaceDN w:val="0"/>
              <w:adjustRightInd w:val="0"/>
              <w:rPr>
                <w:lang w:val="uk-UA"/>
              </w:rPr>
            </w:pPr>
            <w:r w:rsidRPr="00A50810">
              <w:rPr>
                <w:lang w:val="uk-UA"/>
              </w:rPr>
              <w:t>7</w:t>
            </w:r>
          </w:p>
        </w:tc>
        <w:tc>
          <w:tcPr>
            <w:tcW w:w="1302" w:type="dxa"/>
            <w:vAlign w:val="bottom"/>
          </w:tcPr>
          <w:p w14:paraId="7FF364A7" w14:textId="77777777" w:rsidR="00F05F4E" w:rsidRPr="00A50810" w:rsidRDefault="00F05F4E" w:rsidP="00A50810">
            <w:r w:rsidRPr="00A50810">
              <w:t>59,7 ± 0,2</w:t>
            </w:r>
          </w:p>
        </w:tc>
        <w:tc>
          <w:tcPr>
            <w:tcW w:w="1774" w:type="dxa"/>
            <w:vAlign w:val="bottom"/>
          </w:tcPr>
          <w:p w14:paraId="37695028" w14:textId="77777777" w:rsidR="00F05F4E" w:rsidRPr="00A50810" w:rsidRDefault="00F05F4E" w:rsidP="00A50810">
            <w:pPr>
              <w:rPr>
                <w:lang w:val="uk-UA"/>
              </w:rPr>
            </w:pPr>
            <w:r w:rsidRPr="00A50810">
              <w:rPr>
                <w:lang w:val="uk-UA"/>
              </w:rPr>
              <w:t xml:space="preserve">28,7 </w:t>
            </w:r>
            <w:r w:rsidRPr="00A50810">
              <w:t>± 0,</w:t>
            </w:r>
            <w:r w:rsidRPr="00A50810">
              <w:rPr>
                <w:lang w:val="uk-UA"/>
              </w:rPr>
              <w:t>2</w:t>
            </w:r>
          </w:p>
        </w:tc>
        <w:tc>
          <w:tcPr>
            <w:tcW w:w="2361" w:type="dxa"/>
            <w:vAlign w:val="bottom"/>
          </w:tcPr>
          <w:p w14:paraId="5E34E12D" w14:textId="77777777" w:rsidR="00F05F4E" w:rsidRPr="00A50810" w:rsidRDefault="00F05F4E" w:rsidP="00A50810">
            <w:pPr>
              <w:rPr>
                <w:lang w:val="en-US"/>
              </w:rPr>
            </w:pPr>
            <w:r w:rsidRPr="00A50810">
              <w:t>33,3 ± 0,2</w:t>
            </w:r>
            <w:r w:rsidRPr="00A50810">
              <w:rPr>
                <w:lang w:val="en-US"/>
              </w:rPr>
              <w:t>**</w:t>
            </w:r>
          </w:p>
        </w:tc>
        <w:tc>
          <w:tcPr>
            <w:tcW w:w="1872" w:type="dxa"/>
            <w:vAlign w:val="bottom"/>
          </w:tcPr>
          <w:p w14:paraId="2DAF629A" w14:textId="77777777" w:rsidR="00F05F4E" w:rsidRPr="00A50810" w:rsidRDefault="00F05F4E" w:rsidP="00A50810">
            <w:pPr>
              <w:rPr>
                <w:lang w:val="en-US"/>
              </w:rPr>
            </w:pPr>
            <w:r w:rsidRPr="00A50810">
              <w:t>34,7 ± 0,1</w:t>
            </w:r>
            <w:r w:rsidRPr="00A50810">
              <w:rPr>
                <w:lang w:val="en-US"/>
              </w:rPr>
              <w:t>**</w:t>
            </w:r>
          </w:p>
        </w:tc>
        <w:tc>
          <w:tcPr>
            <w:tcW w:w="1882" w:type="dxa"/>
            <w:vAlign w:val="bottom"/>
          </w:tcPr>
          <w:p w14:paraId="3C666CF6" w14:textId="77777777" w:rsidR="00F05F4E" w:rsidRPr="00A50810" w:rsidRDefault="00F05F4E" w:rsidP="00A50810">
            <w:pPr>
              <w:rPr>
                <w:color w:val="000000"/>
                <w:lang w:val="en-US"/>
              </w:rPr>
            </w:pPr>
            <w:r w:rsidRPr="00A50810">
              <w:rPr>
                <w:color w:val="000000"/>
              </w:rPr>
              <w:t>32 ± 0,1</w:t>
            </w:r>
            <w:r w:rsidRPr="00A50810">
              <w:rPr>
                <w:color w:val="000000"/>
                <w:lang w:val="en-US"/>
              </w:rPr>
              <w:t>**</w:t>
            </w:r>
          </w:p>
        </w:tc>
        <w:tc>
          <w:tcPr>
            <w:tcW w:w="1686" w:type="dxa"/>
            <w:vAlign w:val="bottom"/>
          </w:tcPr>
          <w:p w14:paraId="406EE9FE" w14:textId="77777777" w:rsidR="00F05F4E" w:rsidRPr="00A50810" w:rsidRDefault="00F05F4E" w:rsidP="00A50810">
            <w:pPr>
              <w:rPr>
                <w:color w:val="000000"/>
                <w:lang w:val="en-US"/>
              </w:rPr>
            </w:pPr>
            <w:r w:rsidRPr="00A50810">
              <w:rPr>
                <w:color w:val="000000"/>
              </w:rPr>
              <w:t>37 ± 0,1</w:t>
            </w:r>
            <w:r w:rsidRPr="00A50810">
              <w:rPr>
                <w:color w:val="000000"/>
                <w:lang w:val="en-US"/>
              </w:rPr>
              <w:t>**</w:t>
            </w:r>
          </w:p>
        </w:tc>
        <w:tc>
          <w:tcPr>
            <w:tcW w:w="1883" w:type="dxa"/>
            <w:gridSpan w:val="2"/>
            <w:vAlign w:val="bottom"/>
          </w:tcPr>
          <w:p w14:paraId="7A1379D4" w14:textId="77777777" w:rsidR="00F05F4E" w:rsidRPr="00A50810" w:rsidRDefault="00F05F4E" w:rsidP="00A50810">
            <w:pPr>
              <w:rPr>
                <w:lang w:val="en-US"/>
              </w:rPr>
            </w:pPr>
            <w:r w:rsidRPr="00A50810">
              <w:t>45,4 ± 0,2</w:t>
            </w:r>
            <w:r w:rsidRPr="00A50810">
              <w:rPr>
                <w:lang w:val="en-US"/>
              </w:rPr>
              <w:t>**</w:t>
            </w:r>
          </w:p>
        </w:tc>
      </w:tr>
      <w:tr w:rsidR="00F05F4E" w:rsidRPr="00A50810" w14:paraId="4409665D" w14:textId="77777777" w:rsidTr="00A50810">
        <w:trPr>
          <w:trHeight w:val="402"/>
        </w:trPr>
        <w:tc>
          <w:tcPr>
            <w:tcW w:w="2056" w:type="dxa"/>
            <w:vAlign w:val="bottom"/>
          </w:tcPr>
          <w:p w14:paraId="215DDAD9" w14:textId="77777777" w:rsidR="00F05F4E" w:rsidRPr="00A50810" w:rsidRDefault="00F05F4E" w:rsidP="00A50810">
            <w:pPr>
              <w:widowControl w:val="0"/>
              <w:autoSpaceDE w:val="0"/>
              <w:autoSpaceDN w:val="0"/>
              <w:adjustRightInd w:val="0"/>
              <w:rPr>
                <w:lang w:val="uk-UA"/>
              </w:rPr>
            </w:pPr>
            <w:r w:rsidRPr="00A50810">
              <w:rPr>
                <w:lang w:val="uk-UA"/>
              </w:rPr>
              <w:t>8</w:t>
            </w:r>
          </w:p>
        </w:tc>
        <w:tc>
          <w:tcPr>
            <w:tcW w:w="1302" w:type="dxa"/>
            <w:vAlign w:val="bottom"/>
          </w:tcPr>
          <w:p w14:paraId="28A17553" w14:textId="77777777" w:rsidR="00F05F4E" w:rsidRPr="00A50810" w:rsidRDefault="00F05F4E" w:rsidP="00A50810">
            <w:r w:rsidRPr="00A50810">
              <w:t>58 ± 0,1</w:t>
            </w:r>
          </w:p>
        </w:tc>
        <w:tc>
          <w:tcPr>
            <w:tcW w:w="1774" w:type="dxa"/>
            <w:vAlign w:val="bottom"/>
          </w:tcPr>
          <w:p w14:paraId="551EB75C" w14:textId="77777777" w:rsidR="00F05F4E" w:rsidRPr="00A50810" w:rsidRDefault="00F05F4E" w:rsidP="00A50810">
            <w:pPr>
              <w:rPr>
                <w:lang w:val="uk-UA"/>
              </w:rPr>
            </w:pPr>
            <w:r w:rsidRPr="00A50810">
              <w:rPr>
                <w:lang w:val="uk-UA"/>
              </w:rPr>
              <w:t xml:space="preserve">28,5 </w:t>
            </w:r>
            <w:r w:rsidRPr="00A50810">
              <w:t>± 0,1</w:t>
            </w:r>
          </w:p>
        </w:tc>
        <w:tc>
          <w:tcPr>
            <w:tcW w:w="2361" w:type="dxa"/>
            <w:vAlign w:val="bottom"/>
          </w:tcPr>
          <w:p w14:paraId="166D25D5" w14:textId="77777777" w:rsidR="00F05F4E" w:rsidRPr="00A50810" w:rsidRDefault="00F05F4E" w:rsidP="00A50810">
            <w:pPr>
              <w:rPr>
                <w:lang w:val="en-US"/>
              </w:rPr>
            </w:pPr>
            <w:r w:rsidRPr="00A50810">
              <w:t>33,6 ± 0,2</w:t>
            </w:r>
            <w:r w:rsidRPr="00A50810">
              <w:rPr>
                <w:lang w:val="en-US"/>
              </w:rPr>
              <w:t>**</w:t>
            </w:r>
          </w:p>
        </w:tc>
        <w:tc>
          <w:tcPr>
            <w:tcW w:w="1872" w:type="dxa"/>
            <w:vAlign w:val="bottom"/>
          </w:tcPr>
          <w:p w14:paraId="745114F2" w14:textId="77777777" w:rsidR="00F05F4E" w:rsidRPr="00A50810" w:rsidRDefault="00F05F4E" w:rsidP="00A50810">
            <w:pPr>
              <w:rPr>
                <w:lang w:val="en-US"/>
              </w:rPr>
            </w:pPr>
            <w:r w:rsidRPr="00A50810">
              <w:t>34,8 ± 0,1</w:t>
            </w:r>
            <w:r w:rsidRPr="00A50810">
              <w:rPr>
                <w:lang w:val="en-US"/>
              </w:rPr>
              <w:t>**</w:t>
            </w:r>
          </w:p>
        </w:tc>
        <w:tc>
          <w:tcPr>
            <w:tcW w:w="1882" w:type="dxa"/>
            <w:vAlign w:val="bottom"/>
          </w:tcPr>
          <w:p w14:paraId="659D8D6F" w14:textId="77777777" w:rsidR="00F05F4E" w:rsidRPr="00A50810" w:rsidRDefault="00F05F4E" w:rsidP="00A50810">
            <w:pPr>
              <w:rPr>
                <w:color w:val="000000"/>
                <w:lang w:val="en-US"/>
              </w:rPr>
            </w:pPr>
            <w:r w:rsidRPr="00A50810">
              <w:rPr>
                <w:color w:val="000000"/>
              </w:rPr>
              <w:t>35 ± 0,1</w:t>
            </w:r>
            <w:r w:rsidRPr="00A50810">
              <w:rPr>
                <w:color w:val="000000"/>
                <w:lang w:val="en-US"/>
              </w:rPr>
              <w:t>**</w:t>
            </w:r>
          </w:p>
        </w:tc>
        <w:tc>
          <w:tcPr>
            <w:tcW w:w="1686" w:type="dxa"/>
            <w:vAlign w:val="bottom"/>
          </w:tcPr>
          <w:p w14:paraId="6847CF89" w14:textId="77777777" w:rsidR="00F05F4E" w:rsidRPr="00A50810" w:rsidRDefault="00F05F4E" w:rsidP="00A50810">
            <w:pPr>
              <w:rPr>
                <w:color w:val="000000"/>
                <w:lang w:val="en-US"/>
              </w:rPr>
            </w:pPr>
            <w:r w:rsidRPr="00A50810">
              <w:rPr>
                <w:color w:val="000000"/>
              </w:rPr>
              <w:t>37 ± 0,1</w:t>
            </w:r>
            <w:r w:rsidRPr="00A50810">
              <w:rPr>
                <w:color w:val="000000"/>
                <w:lang w:val="en-US"/>
              </w:rPr>
              <w:t>**</w:t>
            </w:r>
          </w:p>
        </w:tc>
        <w:tc>
          <w:tcPr>
            <w:tcW w:w="1883" w:type="dxa"/>
            <w:gridSpan w:val="2"/>
            <w:vAlign w:val="bottom"/>
          </w:tcPr>
          <w:p w14:paraId="25F1B069" w14:textId="77777777" w:rsidR="00F05F4E" w:rsidRPr="00A50810" w:rsidRDefault="00F05F4E" w:rsidP="00A50810">
            <w:pPr>
              <w:rPr>
                <w:lang w:val="en-US"/>
              </w:rPr>
            </w:pPr>
            <w:r w:rsidRPr="00A50810">
              <w:t>43,4 ± 0,2</w:t>
            </w:r>
            <w:r w:rsidRPr="00A50810">
              <w:rPr>
                <w:lang w:val="en-US"/>
              </w:rPr>
              <w:t>**</w:t>
            </w:r>
          </w:p>
        </w:tc>
      </w:tr>
      <w:tr w:rsidR="00F05F4E" w:rsidRPr="00A50810" w14:paraId="4CD3502D" w14:textId="77777777" w:rsidTr="00A50810">
        <w:trPr>
          <w:trHeight w:val="402"/>
        </w:trPr>
        <w:tc>
          <w:tcPr>
            <w:tcW w:w="2056" w:type="dxa"/>
            <w:vAlign w:val="bottom"/>
          </w:tcPr>
          <w:p w14:paraId="37A8DCCC" w14:textId="77777777" w:rsidR="00F05F4E" w:rsidRPr="00A50810" w:rsidRDefault="00F05F4E" w:rsidP="00A50810">
            <w:pPr>
              <w:widowControl w:val="0"/>
              <w:autoSpaceDE w:val="0"/>
              <w:autoSpaceDN w:val="0"/>
              <w:adjustRightInd w:val="0"/>
              <w:rPr>
                <w:lang w:val="uk-UA"/>
              </w:rPr>
            </w:pPr>
            <w:r w:rsidRPr="00A50810">
              <w:rPr>
                <w:lang w:val="uk-UA"/>
              </w:rPr>
              <w:t>9</w:t>
            </w:r>
          </w:p>
        </w:tc>
        <w:tc>
          <w:tcPr>
            <w:tcW w:w="1302" w:type="dxa"/>
            <w:vAlign w:val="bottom"/>
          </w:tcPr>
          <w:p w14:paraId="642B3DDF" w14:textId="77777777" w:rsidR="00F05F4E" w:rsidRPr="00A50810" w:rsidRDefault="00F05F4E" w:rsidP="00A50810">
            <w:r w:rsidRPr="00A50810">
              <w:t>62 ± 0,2</w:t>
            </w:r>
          </w:p>
        </w:tc>
        <w:tc>
          <w:tcPr>
            <w:tcW w:w="1774" w:type="dxa"/>
            <w:vAlign w:val="bottom"/>
          </w:tcPr>
          <w:p w14:paraId="69F183F4" w14:textId="77777777" w:rsidR="00F05F4E" w:rsidRPr="00A50810" w:rsidRDefault="00F05F4E" w:rsidP="00A50810">
            <w:pPr>
              <w:rPr>
                <w:lang w:val="uk-UA"/>
              </w:rPr>
            </w:pPr>
            <w:r w:rsidRPr="00A50810">
              <w:rPr>
                <w:lang w:val="uk-UA"/>
              </w:rPr>
              <w:t xml:space="preserve">27,3 </w:t>
            </w:r>
            <w:r w:rsidRPr="00A50810">
              <w:t>± 0,</w:t>
            </w:r>
            <w:r w:rsidRPr="00A50810">
              <w:rPr>
                <w:lang w:val="uk-UA"/>
              </w:rPr>
              <w:t>2</w:t>
            </w:r>
          </w:p>
        </w:tc>
        <w:tc>
          <w:tcPr>
            <w:tcW w:w="2361" w:type="dxa"/>
            <w:vAlign w:val="bottom"/>
          </w:tcPr>
          <w:p w14:paraId="71600FB7" w14:textId="77777777" w:rsidR="00F05F4E" w:rsidRPr="00A50810" w:rsidRDefault="00F05F4E" w:rsidP="00A50810">
            <w:pPr>
              <w:rPr>
                <w:lang w:val="en-US"/>
              </w:rPr>
            </w:pPr>
            <w:r w:rsidRPr="00A50810">
              <w:t>33,7 ± 0,1</w:t>
            </w:r>
            <w:r w:rsidRPr="00A50810">
              <w:rPr>
                <w:lang w:val="en-US"/>
              </w:rPr>
              <w:t>**</w:t>
            </w:r>
          </w:p>
        </w:tc>
        <w:tc>
          <w:tcPr>
            <w:tcW w:w="1872" w:type="dxa"/>
            <w:vAlign w:val="bottom"/>
          </w:tcPr>
          <w:p w14:paraId="0D47C4C9" w14:textId="77777777" w:rsidR="00F05F4E" w:rsidRPr="00A50810" w:rsidRDefault="00F05F4E" w:rsidP="00A50810">
            <w:pPr>
              <w:rPr>
                <w:lang w:val="en-US"/>
              </w:rPr>
            </w:pPr>
            <w:r w:rsidRPr="00A50810">
              <w:t>34,7 ± 0,1</w:t>
            </w:r>
            <w:r w:rsidRPr="00A50810">
              <w:rPr>
                <w:lang w:val="en-US"/>
              </w:rPr>
              <w:t>**</w:t>
            </w:r>
          </w:p>
        </w:tc>
        <w:tc>
          <w:tcPr>
            <w:tcW w:w="1882" w:type="dxa"/>
            <w:vAlign w:val="bottom"/>
          </w:tcPr>
          <w:p w14:paraId="15551CAD" w14:textId="77777777" w:rsidR="00F05F4E" w:rsidRPr="00A50810" w:rsidRDefault="00F05F4E" w:rsidP="00A50810">
            <w:pPr>
              <w:rPr>
                <w:color w:val="000000"/>
                <w:lang w:val="en-US"/>
              </w:rPr>
            </w:pPr>
            <w:r w:rsidRPr="00A50810">
              <w:rPr>
                <w:color w:val="000000"/>
              </w:rPr>
              <w:t>35 ± 0,1</w:t>
            </w:r>
            <w:r w:rsidRPr="00A50810">
              <w:rPr>
                <w:color w:val="000000"/>
                <w:lang w:val="en-US"/>
              </w:rPr>
              <w:t>**</w:t>
            </w:r>
          </w:p>
        </w:tc>
        <w:tc>
          <w:tcPr>
            <w:tcW w:w="1686" w:type="dxa"/>
            <w:vAlign w:val="bottom"/>
          </w:tcPr>
          <w:p w14:paraId="7D39E186" w14:textId="77777777" w:rsidR="00F05F4E" w:rsidRPr="00A50810" w:rsidRDefault="00F05F4E" w:rsidP="00A50810">
            <w:pPr>
              <w:rPr>
                <w:color w:val="000000"/>
                <w:lang w:val="en-US"/>
              </w:rPr>
            </w:pPr>
            <w:r w:rsidRPr="00A50810">
              <w:rPr>
                <w:color w:val="000000"/>
              </w:rPr>
              <w:t>35 ± 0,1</w:t>
            </w:r>
            <w:r w:rsidRPr="00A50810">
              <w:rPr>
                <w:color w:val="000000"/>
                <w:lang w:val="en-US"/>
              </w:rPr>
              <w:t>**</w:t>
            </w:r>
          </w:p>
        </w:tc>
        <w:tc>
          <w:tcPr>
            <w:tcW w:w="1883" w:type="dxa"/>
            <w:gridSpan w:val="2"/>
            <w:vAlign w:val="bottom"/>
          </w:tcPr>
          <w:p w14:paraId="308DD93A" w14:textId="77777777" w:rsidR="00F05F4E" w:rsidRPr="00A50810" w:rsidRDefault="00F05F4E" w:rsidP="00A50810">
            <w:pPr>
              <w:rPr>
                <w:lang w:val="en-US"/>
              </w:rPr>
            </w:pPr>
            <w:r w:rsidRPr="00A50810">
              <w:t>40,8 ± 0,2</w:t>
            </w:r>
            <w:r w:rsidRPr="00A50810">
              <w:rPr>
                <w:lang w:val="en-US"/>
              </w:rPr>
              <w:t>*</w:t>
            </w:r>
          </w:p>
        </w:tc>
      </w:tr>
      <w:tr w:rsidR="00F05F4E" w:rsidRPr="00A50810" w14:paraId="36C1855A" w14:textId="77777777" w:rsidTr="00A50810">
        <w:trPr>
          <w:trHeight w:val="422"/>
        </w:trPr>
        <w:tc>
          <w:tcPr>
            <w:tcW w:w="2056" w:type="dxa"/>
            <w:tcBorders>
              <w:bottom w:val="single" w:sz="4" w:space="0" w:color="auto"/>
            </w:tcBorders>
            <w:vAlign w:val="bottom"/>
          </w:tcPr>
          <w:p w14:paraId="61B79A79" w14:textId="77777777" w:rsidR="00F05F4E" w:rsidRPr="00A50810" w:rsidRDefault="00F05F4E" w:rsidP="00A50810">
            <w:pPr>
              <w:widowControl w:val="0"/>
              <w:autoSpaceDE w:val="0"/>
              <w:autoSpaceDN w:val="0"/>
              <w:adjustRightInd w:val="0"/>
              <w:rPr>
                <w:lang w:val="uk-UA"/>
              </w:rPr>
            </w:pPr>
            <w:r w:rsidRPr="00A50810">
              <w:rPr>
                <w:lang w:val="uk-UA"/>
              </w:rPr>
              <w:t>10</w:t>
            </w:r>
          </w:p>
        </w:tc>
        <w:tc>
          <w:tcPr>
            <w:tcW w:w="1302" w:type="dxa"/>
            <w:tcBorders>
              <w:bottom w:val="single" w:sz="4" w:space="0" w:color="auto"/>
            </w:tcBorders>
            <w:vAlign w:val="bottom"/>
          </w:tcPr>
          <w:p w14:paraId="5BAE02C6" w14:textId="77777777" w:rsidR="00F05F4E" w:rsidRPr="00A50810" w:rsidRDefault="00F05F4E" w:rsidP="00A50810">
            <w:r w:rsidRPr="00A50810">
              <w:t>60,3 ± 0,2</w:t>
            </w:r>
          </w:p>
        </w:tc>
        <w:tc>
          <w:tcPr>
            <w:tcW w:w="1774" w:type="dxa"/>
            <w:tcBorders>
              <w:bottom w:val="single" w:sz="4" w:space="0" w:color="auto"/>
            </w:tcBorders>
            <w:vAlign w:val="bottom"/>
          </w:tcPr>
          <w:p w14:paraId="3DAD5892" w14:textId="77777777" w:rsidR="00F05F4E" w:rsidRPr="00A50810" w:rsidRDefault="00F05F4E" w:rsidP="00A50810">
            <w:pPr>
              <w:rPr>
                <w:lang w:val="uk-UA"/>
              </w:rPr>
            </w:pPr>
            <w:r w:rsidRPr="00A50810">
              <w:rPr>
                <w:lang w:val="uk-UA"/>
              </w:rPr>
              <w:t xml:space="preserve">24,1 </w:t>
            </w:r>
            <w:r w:rsidRPr="00A50810">
              <w:t>± 0,</w:t>
            </w:r>
            <w:r w:rsidRPr="00A50810">
              <w:rPr>
                <w:lang w:val="uk-UA"/>
              </w:rPr>
              <w:t>2</w:t>
            </w:r>
          </w:p>
        </w:tc>
        <w:tc>
          <w:tcPr>
            <w:tcW w:w="2361" w:type="dxa"/>
            <w:tcBorders>
              <w:bottom w:val="single" w:sz="4" w:space="0" w:color="auto"/>
            </w:tcBorders>
            <w:vAlign w:val="bottom"/>
          </w:tcPr>
          <w:p w14:paraId="3E2BAF6F" w14:textId="77777777" w:rsidR="00F05F4E" w:rsidRPr="00A50810" w:rsidRDefault="00F05F4E" w:rsidP="00A50810">
            <w:pPr>
              <w:rPr>
                <w:lang w:val="en-US"/>
              </w:rPr>
            </w:pPr>
            <w:r w:rsidRPr="00A50810">
              <w:t>32,7 ± 0,2</w:t>
            </w:r>
            <w:r w:rsidRPr="00A50810">
              <w:rPr>
                <w:lang w:val="en-US"/>
              </w:rPr>
              <w:t>**</w:t>
            </w:r>
          </w:p>
        </w:tc>
        <w:tc>
          <w:tcPr>
            <w:tcW w:w="1872" w:type="dxa"/>
            <w:tcBorders>
              <w:bottom w:val="single" w:sz="4" w:space="0" w:color="auto"/>
            </w:tcBorders>
            <w:vAlign w:val="bottom"/>
          </w:tcPr>
          <w:p w14:paraId="2CF5F95C" w14:textId="77777777" w:rsidR="00F05F4E" w:rsidRPr="00A50810" w:rsidRDefault="00F05F4E" w:rsidP="00A50810">
            <w:pPr>
              <w:rPr>
                <w:lang w:val="en-US"/>
              </w:rPr>
            </w:pPr>
            <w:r w:rsidRPr="00A50810">
              <w:t>34,1 ± 0,2</w:t>
            </w:r>
            <w:r w:rsidRPr="00A50810">
              <w:rPr>
                <w:lang w:val="en-US"/>
              </w:rPr>
              <w:t>**</w:t>
            </w:r>
          </w:p>
        </w:tc>
        <w:tc>
          <w:tcPr>
            <w:tcW w:w="1882" w:type="dxa"/>
            <w:tcBorders>
              <w:bottom w:val="single" w:sz="4" w:space="0" w:color="auto"/>
            </w:tcBorders>
            <w:vAlign w:val="bottom"/>
          </w:tcPr>
          <w:p w14:paraId="736C1590" w14:textId="77777777" w:rsidR="00F05F4E" w:rsidRPr="00A50810" w:rsidRDefault="00F05F4E" w:rsidP="00A50810">
            <w:pPr>
              <w:rPr>
                <w:color w:val="000000"/>
                <w:lang w:val="en-US"/>
              </w:rPr>
            </w:pPr>
            <w:r w:rsidRPr="00A50810">
              <w:rPr>
                <w:color w:val="000000"/>
              </w:rPr>
              <w:t>28 ± 0,1</w:t>
            </w:r>
            <w:r w:rsidRPr="00A50810">
              <w:rPr>
                <w:color w:val="000000"/>
                <w:lang w:val="en-US"/>
              </w:rPr>
              <w:t>**</w:t>
            </w:r>
          </w:p>
        </w:tc>
        <w:tc>
          <w:tcPr>
            <w:tcW w:w="1686" w:type="dxa"/>
            <w:tcBorders>
              <w:bottom w:val="single" w:sz="4" w:space="0" w:color="auto"/>
            </w:tcBorders>
            <w:vAlign w:val="bottom"/>
          </w:tcPr>
          <w:p w14:paraId="148418AC" w14:textId="77777777" w:rsidR="00F05F4E" w:rsidRPr="00A50810" w:rsidRDefault="00F05F4E" w:rsidP="00A50810">
            <w:pPr>
              <w:rPr>
                <w:color w:val="000000"/>
                <w:lang w:val="en-US"/>
              </w:rPr>
            </w:pPr>
            <w:r w:rsidRPr="00A50810">
              <w:rPr>
                <w:color w:val="000000"/>
              </w:rPr>
              <w:t>29 ± 0,2</w:t>
            </w:r>
            <w:r w:rsidRPr="00A50810">
              <w:rPr>
                <w:color w:val="000000"/>
                <w:lang w:val="en-US"/>
              </w:rPr>
              <w:t>**</w:t>
            </w:r>
          </w:p>
        </w:tc>
        <w:tc>
          <w:tcPr>
            <w:tcW w:w="1883" w:type="dxa"/>
            <w:gridSpan w:val="2"/>
            <w:tcBorders>
              <w:bottom w:val="single" w:sz="4" w:space="0" w:color="auto"/>
            </w:tcBorders>
            <w:vAlign w:val="bottom"/>
          </w:tcPr>
          <w:p w14:paraId="2AB32C91" w14:textId="77777777" w:rsidR="00F05F4E" w:rsidRPr="00A50810" w:rsidRDefault="00F05F4E" w:rsidP="00A50810">
            <w:pPr>
              <w:rPr>
                <w:lang w:val="en-US"/>
              </w:rPr>
            </w:pPr>
            <w:r w:rsidRPr="00A50810">
              <w:t>39,3 ± 0,1</w:t>
            </w:r>
            <w:r w:rsidRPr="00A50810">
              <w:rPr>
                <w:lang w:val="en-US"/>
              </w:rPr>
              <w:t>*</w:t>
            </w:r>
          </w:p>
        </w:tc>
      </w:tr>
      <w:tr w:rsidR="00F05F4E" w:rsidRPr="00A50810" w14:paraId="3954C1B7" w14:textId="77777777" w:rsidTr="00A50810">
        <w:trPr>
          <w:trHeight w:val="483"/>
        </w:trPr>
        <w:tc>
          <w:tcPr>
            <w:tcW w:w="2056" w:type="dxa"/>
            <w:tcBorders>
              <w:bottom w:val="single" w:sz="4" w:space="0" w:color="auto"/>
            </w:tcBorders>
            <w:vAlign w:val="bottom"/>
          </w:tcPr>
          <w:p w14:paraId="39259CE5" w14:textId="77777777" w:rsidR="00F05F4E" w:rsidRPr="00A50810" w:rsidRDefault="00F05F4E" w:rsidP="00A50810">
            <w:pPr>
              <w:widowControl w:val="0"/>
              <w:autoSpaceDE w:val="0"/>
              <w:autoSpaceDN w:val="0"/>
              <w:adjustRightInd w:val="0"/>
              <w:rPr>
                <w:lang w:val="uk-UA"/>
              </w:rPr>
            </w:pPr>
            <w:r w:rsidRPr="00A50810">
              <w:rPr>
                <w:lang w:val="uk-UA"/>
              </w:rPr>
              <w:t>11</w:t>
            </w:r>
          </w:p>
        </w:tc>
        <w:tc>
          <w:tcPr>
            <w:tcW w:w="1302" w:type="dxa"/>
            <w:tcBorders>
              <w:bottom w:val="single" w:sz="4" w:space="0" w:color="auto"/>
            </w:tcBorders>
            <w:vAlign w:val="bottom"/>
          </w:tcPr>
          <w:p w14:paraId="7300D6CE" w14:textId="77777777" w:rsidR="00F05F4E" w:rsidRPr="00A50810" w:rsidRDefault="00F05F4E" w:rsidP="00A50810">
            <w:r w:rsidRPr="00A50810">
              <w:t>49,9 ± 0,2</w:t>
            </w:r>
          </w:p>
        </w:tc>
        <w:tc>
          <w:tcPr>
            <w:tcW w:w="1774" w:type="dxa"/>
            <w:tcBorders>
              <w:bottom w:val="single" w:sz="4" w:space="0" w:color="auto"/>
            </w:tcBorders>
            <w:vAlign w:val="bottom"/>
          </w:tcPr>
          <w:p w14:paraId="023D7FF8" w14:textId="77777777" w:rsidR="00F05F4E" w:rsidRPr="00A50810" w:rsidRDefault="00F05F4E" w:rsidP="00A50810">
            <w:pPr>
              <w:rPr>
                <w:lang w:val="uk-UA"/>
              </w:rPr>
            </w:pPr>
            <w:r w:rsidRPr="00A50810">
              <w:rPr>
                <w:lang w:val="uk-UA"/>
              </w:rPr>
              <w:t xml:space="preserve">15,3 </w:t>
            </w:r>
            <w:r w:rsidRPr="00A50810">
              <w:t>± 0,</w:t>
            </w:r>
            <w:r w:rsidRPr="00A50810">
              <w:rPr>
                <w:lang w:val="uk-UA"/>
              </w:rPr>
              <w:t>3</w:t>
            </w:r>
          </w:p>
        </w:tc>
        <w:tc>
          <w:tcPr>
            <w:tcW w:w="2361" w:type="dxa"/>
            <w:tcBorders>
              <w:bottom w:val="single" w:sz="4" w:space="0" w:color="auto"/>
            </w:tcBorders>
            <w:vAlign w:val="bottom"/>
          </w:tcPr>
          <w:p w14:paraId="0C630C90" w14:textId="77777777" w:rsidR="00F05F4E" w:rsidRPr="00A50810" w:rsidRDefault="00F05F4E" w:rsidP="00A50810">
            <w:pPr>
              <w:rPr>
                <w:lang w:val="en-US"/>
              </w:rPr>
            </w:pPr>
            <w:r w:rsidRPr="00A50810">
              <w:t>22 ± 0,2</w:t>
            </w:r>
            <w:r w:rsidRPr="00A50810">
              <w:rPr>
                <w:lang w:val="en-US"/>
              </w:rPr>
              <w:t>**</w:t>
            </w:r>
          </w:p>
        </w:tc>
        <w:tc>
          <w:tcPr>
            <w:tcW w:w="1872" w:type="dxa"/>
            <w:tcBorders>
              <w:bottom w:val="single" w:sz="4" w:space="0" w:color="auto"/>
            </w:tcBorders>
            <w:vAlign w:val="bottom"/>
          </w:tcPr>
          <w:p w14:paraId="4EE59E05" w14:textId="77777777" w:rsidR="00F05F4E" w:rsidRPr="00A50810" w:rsidRDefault="00F05F4E" w:rsidP="00A50810">
            <w:pPr>
              <w:rPr>
                <w:lang w:val="en-US"/>
              </w:rPr>
            </w:pPr>
            <w:r w:rsidRPr="00A50810">
              <w:t>22,9 ± 0,2</w:t>
            </w:r>
            <w:r w:rsidRPr="00A50810">
              <w:rPr>
                <w:lang w:val="en-US"/>
              </w:rPr>
              <w:t>**</w:t>
            </w:r>
          </w:p>
        </w:tc>
        <w:tc>
          <w:tcPr>
            <w:tcW w:w="1882" w:type="dxa"/>
            <w:tcBorders>
              <w:bottom w:val="single" w:sz="4" w:space="0" w:color="auto"/>
            </w:tcBorders>
            <w:vAlign w:val="bottom"/>
          </w:tcPr>
          <w:p w14:paraId="59EC0F01" w14:textId="77777777" w:rsidR="00F05F4E" w:rsidRPr="00A50810" w:rsidRDefault="00F05F4E" w:rsidP="00A50810">
            <w:pPr>
              <w:rPr>
                <w:color w:val="000000"/>
                <w:lang w:val="en-US"/>
              </w:rPr>
            </w:pPr>
            <w:r w:rsidRPr="00A50810">
              <w:rPr>
                <w:color w:val="000000"/>
              </w:rPr>
              <w:t>23 ± 0,1</w:t>
            </w:r>
            <w:r w:rsidRPr="00A50810">
              <w:rPr>
                <w:color w:val="000000"/>
                <w:lang w:val="en-US"/>
              </w:rPr>
              <w:t>**</w:t>
            </w:r>
          </w:p>
        </w:tc>
        <w:tc>
          <w:tcPr>
            <w:tcW w:w="1686" w:type="dxa"/>
            <w:tcBorders>
              <w:bottom w:val="single" w:sz="4" w:space="0" w:color="auto"/>
            </w:tcBorders>
            <w:vAlign w:val="bottom"/>
          </w:tcPr>
          <w:p w14:paraId="50088B2E" w14:textId="77777777" w:rsidR="00F05F4E" w:rsidRPr="00A50810" w:rsidRDefault="00F05F4E" w:rsidP="00A50810">
            <w:pPr>
              <w:rPr>
                <w:color w:val="000000"/>
                <w:lang w:val="en-US"/>
              </w:rPr>
            </w:pPr>
            <w:r w:rsidRPr="00A50810">
              <w:rPr>
                <w:color w:val="000000"/>
              </w:rPr>
              <w:t>28,3 ± 0,2</w:t>
            </w:r>
            <w:r w:rsidRPr="00A50810">
              <w:rPr>
                <w:color w:val="000000"/>
                <w:lang w:val="en-US"/>
              </w:rPr>
              <w:t>**</w:t>
            </w:r>
          </w:p>
        </w:tc>
        <w:tc>
          <w:tcPr>
            <w:tcW w:w="1883" w:type="dxa"/>
            <w:gridSpan w:val="2"/>
            <w:tcBorders>
              <w:bottom w:val="single" w:sz="4" w:space="0" w:color="auto"/>
            </w:tcBorders>
            <w:vAlign w:val="bottom"/>
          </w:tcPr>
          <w:p w14:paraId="72D03A2D" w14:textId="77777777" w:rsidR="00F05F4E" w:rsidRPr="00A50810" w:rsidRDefault="00F05F4E" w:rsidP="00A50810">
            <w:pPr>
              <w:rPr>
                <w:lang w:val="en-US"/>
              </w:rPr>
            </w:pPr>
            <w:r w:rsidRPr="00A50810">
              <w:t>30,3 ± 0,1</w:t>
            </w:r>
            <w:r w:rsidRPr="00A50810">
              <w:rPr>
                <w:lang w:val="en-US"/>
              </w:rPr>
              <w:t>**</w:t>
            </w:r>
          </w:p>
        </w:tc>
      </w:tr>
      <w:tr w:rsidR="00F05F4E" w:rsidRPr="00A50810" w14:paraId="119CEA78" w14:textId="77777777" w:rsidTr="00A50810">
        <w:trPr>
          <w:trHeight w:val="422"/>
        </w:trPr>
        <w:tc>
          <w:tcPr>
            <w:tcW w:w="2056" w:type="dxa"/>
            <w:tcBorders>
              <w:bottom w:val="single" w:sz="4" w:space="0" w:color="auto"/>
            </w:tcBorders>
            <w:vAlign w:val="bottom"/>
          </w:tcPr>
          <w:p w14:paraId="03985C94" w14:textId="77777777" w:rsidR="00F05F4E" w:rsidRPr="00A50810" w:rsidRDefault="00F05F4E" w:rsidP="00A50810">
            <w:pPr>
              <w:widowControl w:val="0"/>
              <w:autoSpaceDE w:val="0"/>
              <w:autoSpaceDN w:val="0"/>
              <w:adjustRightInd w:val="0"/>
              <w:rPr>
                <w:lang w:val="uk-UA"/>
              </w:rPr>
            </w:pPr>
            <w:r w:rsidRPr="00A50810">
              <w:rPr>
                <w:lang w:val="uk-UA"/>
              </w:rPr>
              <w:t>12</w:t>
            </w:r>
          </w:p>
        </w:tc>
        <w:tc>
          <w:tcPr>
            <w:tcW w:w="1302" w:type="dxa"/>
            <w:tcBorders>
              <w:bottom w:val="single" w:sz="4" w:space="0" w:color="auto"/>
            </w:tcBorders>
            <w:vAlign w:val="bottom"/>
          </w:tcPr>
          <w:p w14:paraId="07245E1B" w14:textId="77777777" w:rsidR="00F05F4E" w:rsidRPr="00A50810" w:rsidRDefault="00F05F4E" w:rsidP="00A50810">
            <w:r w:rsidRPr="00A50810">
              <w:t>47,9 ± 0,1</w:t>
            </w:r>
          </w:p>
        </w:tc>
        <w:tc>
          <w:tcPr>
            <w:tcW w:w="1774" w:type="dxa"/>
            <w:tcBorders>
              <w:bottom w:val="single" w:sz="4" w:space="0" w:color="auto"/>
            </w:tcBorders>
            <w:vAlign w:val="bottom"/>
          </w:tcPr>
          <w:p w14:paraId="193AD81A" w14:textId="77777777" w:rsidR="00F05F4E" w:rsidRPr="00A50810" w:rsidRDefault="00F05F4E" w:rsidP="00A50810">
            <w:pPr>
              <w:rPr>
                <w:lang w:val="uk-UA"/>
              </w:rPr>
            </w:pPr>
            <w:r w:rsidRPr="00A50810">
              <w:rPr>
                <w:lang w:val="uk-UA"/>
              </w:rPr>
              <w:t xml:space="preserve">12,3 </w:t>
            </w:r>
            <w:r w:rsidRPr="00A50810">
              <w:t>± 0,1</w:t>
            </w:r>
          </w:p>
        </w:tc>
        <w:tc>
          <w:tcPr>
            <w:tcW w:w="2361" w:type="dxa"/>
            <w:tcBorders>
              <w:bottom w:val="single" w:sz="4" w:space="0" w:color="auto"/>
            </w:tcBorders>
            <w:vAlign w:val="bottom"/>
          </w:tcPr>
          <w:p w14:paraId="018109F5" w14:textId="77777777" w:rsidR="00F05F4E" w:rsidRPr="00A50810" w:rsidRDefault="00F05F4E" w:rsidP="00A50810">
            <w:pPr>
              <w:rPr>
                <w:lang w:val="en-US"/>
              </w:rPr>
            </w:pPr>
            <w:r w:rsidRPr="00A50810">
              <w:t>21,5 ± 0,1</w:t>
            </w:r>
            <w:r w:rsidRPr="00A50810">
              <w:rPr>
                <w:lang w:val="en-US"/>
              </w:rPr>
              <w:t>**</w:t>
            </w:r>
          </w:p>
        </w:tc>
        <w:tc>
          <w:tcPr>
            <w:tcW w:w="1872" w:type="dxa"/>
            <w:tcBorders>
              <w:bottom w:val="single" w:sz="4" w:space="0" w:color="auto"/>
            </w:tcBorders>
            <w:vAlign w:val="bottom"/>
          </w:tcPr>
          <w:p w14:paraId="4E67AB6F" w14:textId="77777777" w:rsidR="00F05F4E" w:rsidRPr="00A50810" w:rsidRDefault="00F05F4E" w:rsidP="00A50810">
            <w:pPr>
              <w:rPr>
                <w:lang w:val="en-US"/>
              </w:rPr>
            </w:pPr>
            <w:r w:rsidRPr="00A50810">
              <w:t>20,5 ± 0,1</w:t>
            </w:r>
            <w:r w:rsidRPr="00A50810">
              <w:rPr>
                <w:lang w:val="en-US"/>
              </w:rPr>
              <w:t>**</w:t>
            </w:r>
          </w:p>
        </w:tc>
        <w:tc>
          <w:tcPr>
            <w:tcW w:w="1882" w:type="dxa"/>
            <w:tcBorders>
              <w:bottom w:val="single" w:sz="4" w:space="0" w:color="auto"/>
            </w:tcBorders>
            <w:vAlign w:val="bottom"/>
          </w:tcPr>
          <w:p w14:paraId="7A289A56" w14:textId="77777777" w:rsidR="00F05F4E" w:rsidRPr="00A50810" w:rsidRDefault="00F05F4E" w:rsidP="00A50810">
            <w:pPr>
              <w:rPr>
                <w:color w:val="000000"/>
                <w:lang w:val="en-US"/>
              </w:rPr>
            </w:pPr>
            <w:r w:rsidRPr="00A50810">
              <w:rPr>
                <w:color w:val="000000"/>
              </w:rPr>
              <w:t>21 ± 0,1</w:t>
            </w:r>
            <w:r w:rsidRPr="00A50810">
              <w:rPr>
                <w:color w:val="000000"/>
                <w:lang w:val="en-US"/>
              </w:rPr>
              <w:t>**</w:t>
            </w:r>
          </w:p>
        </w:tc>
        <w:tc>
          <w:tcPr>
            <w:tcW w:w="1686" w:type="dxa"/>
            <w:tcBorders>
              <w:bottom w:val="single" w:sz="4" w:space="0" w:color="auto"/>
            </w:tcBorders>
            <w:vAlign w:val="bottom"/>
          </w:tcPr>
          <w:p w14:paraId="02B5D8D2" w14:textId="77777777" w:rsidR="00F05F4E" w:rsidRPr="00A50810" w:rsidRDefault="00F05F4E" w:rsidP="00A50810">
            <w:pPr>
              <w:rPr>
                <w:color w:val="000000"/>
                <w:lang w:val="en-US"/>
              </w:rPr>
            </w:pPr>
            <w:r w:rsidRPr="00A50810">
              <w:rPr>
                <w:color w:val="000000"/>
              </w:rPr>
              <w:t>25 ± 0,2</w:t>
            </w:r>
            <w:r w:rsidRPr="00A50810">
              <w:rPr>
                <w:color w:val="000000"/>
                <w:lang w:val="en-US"/>
              </w:rPr>
              <w:t>**</w:t>
            </w:r>
          </w:p>
        </w:tc>
        <w:tc>
          <w:tcPr>
            <w:tcW w:w="1883" w:type="dxa"/>
            <w:gridSpan w:val="2"/>
            <w:tcBorders>
              <w:bottom w:val="single" w:sz="4" w:space="0" w:color="auto"/>
            </w:tcBorders>
            <w:vAlign w:val="bottom"/>
          </w:tcPr>
          <w:p w14:paraId="154BA245" w14:textId="77777777" w:rsidR="00F05F4E" w:rsidRPr="00A50810" w:rsidRDefault="00F05F4E" w:rsidP="00A50810">
            <w:pPr>
              <w:rPr>
                <w:lang w:val="en-US"/>
              </w:rPr>
            </w:pPr>
            <w:r w:rsidRPr="00A50810">
              <w:t>25 ± 0,2</w:t>
            </w:r>
            <w:r w:rsidRPr="00A50810">
              <w:rPr>
                <w:lang w:val="en-US"/>
              </w:rPr>
              <w:t>**</w:t>
            </w:r>
          </w:p>
        </w:tc>
      </w:tr>
      <w:tr w:rsidR="00F05F4E" w:rsidRPr="00A50810" w14:paraId="19B08D0D" w14:textId="77777777" w:rsidTr="00A50810">
        <w:trPr>
          <w:trHeight w:val="402"/>
        </w:trPr>
        <w:tc>
          <w:tcPr>
            <w:tcW w:w="2056" w:type="dxa"/>
            <w:tcBorders>
              <w:bottom w:val="single" w:sz="4" w:space="0" w:color="auto"/>
            </w:tcBorders>
            <w:vAlign w:val="bottom"/>
          </w:tcPr>
          <w:p w14:paraId="4BDBA6F4" w14:textId="77777777" w:rsidR="00F05F4E" w:rsidRPr="00A50810" w:rsidRDefault="00F05F4E" w:rsidP="00A50810">
            <w:pPr>
              <w:widowControl w:val="0"/>
              <w:autoSpaceDE w:val="0"/>
              <w:autoSpaceDN w:val="0"/>
              <w:adjustRightInd w:val="0"/>
              <w:rPr>
                <w:lang w:val="uk-UA"/>
              </w:rPr>
            </w:pPr>
            <w:r w:rsidRPr="00A50810">
              <w:rPr>
                <w:lang w:val="uk-UA"/>
              </w:rPr>
              <w:t>13</w:t>
            </w:r>
          </w:p>
        </w:tc>
        <w:tc>
          <w:tcPr>
            <w:tcW w:w="1302" w:type="dxa"/>
            <w:tcBorders>
              <w:bottom w:val="single" w:sz="4" w:space="0" w:color="auto"/>
            </w:tcBorders>
            <w:vAlign w:val="bottom"/>
          </w:tcPr>
          <w:p w14:paraId="44A0C2AC" w14:textId="77777777" w:rsidR="00F05F4E" w:rsidRPr="00A50810" w:rsidRDefault="00F05F4E" w:rsidP="00A50810">
            <w:r w:rsidRPr="00A50810">
              <w:t>45,0 ± 0,2</w:t>
            </w:r>
          </w:p>
        </w:tc>
        <w:tc>
          <w:tcPr>
            <w:tcW w:w="1774" w:type="dxa"/>
            <w:tcBorders>
              <w:bottom w:val="single" w:sz="4" w:space="0" w:color="auto"/>
            </w:tcBorders>
            <w:vAlign w:val="bottom"/>
          </w:tcPr>
          <w:p w14:paraId="665906C4" w14:textId="77777777" w:rsidR="00F05F4E" w:rsidRPr="00A50810" w:rsidRDefault="00F05F4E" w:rsidP="00A50810">
            <w:pPr>
              <w:rPr>
                <w:lang w:val="uk-UA"/>
              </w:rPr>
            </w:pPr>
            <w:r w:rsidRPr="00A50810">
              <w:rPr>
                <w:lang w:val="uk-UA"/>
              </w:rPr>
              <w:t xml:space="preserve">6,2 </w:t>
            </w:r>
            <w:r w:rsidRPr="00A50810">
              <w:t>± 0,</w:t>
            </w:r>
            <w:r w:rsidRPr="00A50810">
              <w:rPr>
                <w:lang w:val="uk-UA"/>
              </w:rPr>
              <w:t>4</w:t>
            </w:r>
          </w:p>
        </w:tc>
        <w:tc>
          <w:tcPr>
            <w:tcW w:w="2361" w:type="dxa"/>
            <w:tcBorders>
              <w:bottom w:val="single" w:sz="4" w:space="0" w:color="auto"/>
            </w:tcBorders>
            <w:vAlign w:val="bottom"/>
          </w:tcPr>
          <w:p w14:paraId="00657595" w14:textId="77777777" w:rsidR="00F05F4E" w:rsidRPr="00A50810" w:rsidRDefault="00F05F4E" w:rsidP="00A50810">
            <w:pPr>
              <w:rPr>
                <w:lang w:val="en-US"/>
              </w:rPr>
            </w:pPr>
            <w:r w:rsidRPr="00A50810">
              <w:t>11,1 ± 0,2</w:t>
            </w:r>
            <w:r w:rsidRPr="00A50810">
              <w:rPr>
                <w:lang w:val="en-US"/>
              </w:rPr>
              <w:t>**</w:t>
            </w:r>
          </w:p>
        </w:tc>
        <w:tc>
          <w:tcPr>
            <w:tcW w:w="1872" w:type="dxa"/>
            <w:tcBorders>
              <w:bottom w:val="single" w:sz="4" w:space="0" w:color="auto"/>
            </w:tcBorders>
            <w:vAlign w:val="bottom"/>
          </w:tcPr>
          <w:p w14:paraId="4F5C8994" w14:textId="77777777" w:rsidR="00F05F4E" w:rsidRPr="00A50810" w:rsidRDefault="00F05F4E" w:rsidP="00A50810">
            <w:pPr>
              <w:rPr>
                <w:lang w:val="en-US"/>
              </w:rPr>
            </w:pPr>
            <w:r w:rsidRPr="00A50810">
              <w:t>14,4 ± 0,1</w:t>
            </w:r>
            <w:r w:rsidRPr="00A50810">
              <w:rPr>
                <w:lang w:val="en-US"/>
              </w:rPr>
              <w:t>**</w:t>
            </w:r>
          </w:p>
        </w:tc>
        <w:tc>
          <w:tcPr>
            <w:tcW w:w="1882" w:type="dxa"/>
            <w:tcBorders>
              <w:bottom w:val="single" w:sz="4" w:space="0" w:color="auto"/>
            </w:tcBorders>
            <w:vAlign w:val="bottom"/>
          </w:tcPr>
          <w:p w14:paraId="2C16D24D" w14:textId="77777777" w:rsidR="00F05F4E" w:rsidRPr="00A50810" w:rsidRDefault="00F05F4E" w:rsidP="00A50810">
            <w:pPr>
              <w:rPr>
                <w:color w:val="000000"/>
                <w:lang w:val="en-US"/>
              </w:rPr>
            </w:pPr>
            <w:r w:rsidRPr="00A50810">
              <w:rPr>
                <w:color w:val="000000"/>
              </w:rPr>
              <w:t>17 ± 0,2</w:t>
            </w:r>
            <w:r w:rsidRPr="00A50810">
              <w:rPr>
                <w:color w:val="000000"/>
                <w:lang w:val="en-US"/>
              </w:rPr>
              <w:t>**</w:t>
            </w:r>
          </w:p>
        </w:tc>
        <w:tc>
          <w:tcPr>
            <w:tcW w:w="1686" w:type="dxa"/>
            <w:tcBorders>
              <w:bottom w:val="single" w:sz="4" w:space="0" w:color="auto"/>
            </w:tcBorders>
            <w:vAlign w:val="bottom"/>
          </w:tcPr>
          <w:p w14:paraId="028EAC8B" w14:textId="77777777" w:rsidR="00F05F4E" w:rsidRPr="00A50810" w:rsidRDefault="00F05F4E" w:rsidP="00A50810">
            <w:pPr>
              <w:rPr>
                <w:color w:val="000000"/>
                <w:lang w:val="en-US"/>
              </w:rPr>
            </w:pPr>
            <w:r w:rsidRPr="00A50810">
              <w:rPr>
                <w:color w:val="000000"/>
              </w:rPr>
              <w:t>18 ± 0,1</w:t>
            </w:r>
            <w:r w:rsidRPr="00A50810">
              <w:rPr>
                <w:color w:val="000000"/>
                <w:lang w:val="en-US"/>
              </w:rPr>
              <w:t>**</w:t>
            </w:r>
          </w:p>
        </w:tc>
        <w:tc>
          <w:tcPr>
            <w:tcW w:w="1883" w:type="dxa"/>
            <w:gridSpan w:val="2"/>
            <w:tcBorders>
              <w:bottom w:val="single" w:sz="4" w:space="0" w:color="auto"/>
            </w:tcBorders>
            <w:vAlign w:val="bottom"/>
          </w:tcPr>
          <w:p w14:paraId="367DF86F" w14:textId="77777777" w:rsidR="00F05F4E" w:rsidRPr="00A50810" w:rsidRDefault="00F05F4E" w:rsidP="00A50810">
            <w:pPr>
              <w:rPr>
                <w:lang w:val="en-US"/>
              </w:rPr>
            </w:pPr>
            <w:r w:rsidRPr="00A50810">
              <w:t>17,1 ± 0,2</w:t>
            </w:r>
            <w:r w:rsidRPr="00A50810">
              <w:rPr>
                <w:lang w:val="en-US"/>
              </w:rPr>
              <w:t>**</w:t>
            </w:r>
          </w:p>
        </w:tc>
      </w:tr>
      <w:tr w:rsidR="00F05F4E" w:rsidRPr="00A50810" w14:paraId="51744FF4" w14:textId="77777777" w:rsidTr="00A50810">
        <w:trPr>
          <w:trHeight w:val="402"/>
        </w:trPr>
        <w:tc>
          <w:tcPr>
            <w:tcW w:w="2056" w:type="dxa"/>
            <w:tcBorders>
              <w:bottom w:val="single" w:sz="4" w:space="0" w:color="auto"/>
            </w:tcBorders>
            <w:vAlign w:val="bottom"/>
          </w:tcPr>
          <w:p w14:paraId="251FE438" w14:textId="77777777" w:rsidR="00F05F4E" w:rsidRPr="00A50810" w:rsidRDefault="00F05F4E" w:rsidP="00A50810">
            <w:pPr>
              <w:widowControl w:val="0"/>
              <w:autoSpaceDE w:val="0"/>
              <w:autoSpaceDN w:val="0"/>
              <w:adjustRightInd w:val="0"/>
              <w:rPr>
                <w:lang w:val="uk-UA"/>
              </w:rPr>
            </w:pPr>
            <w:r w:rsidRPr="00A50810">
              <w:rPr>
                <w:lang w:val="uk-UA"/>
              </w:rPr>
              <w:t>14</w:t>
            </w:r>
          </w:p>
        </w:tc>
        <w:tc>
          <w:tcPr>
            <w:tcW w:w="1302" w:type="dxa"/>
            <w:tcBorders>
              <w:bottom w:val="single" w:sz="4" w:space="0" w:color="auto"/>
            </w:tcBorders>
            <w:vAlign w:val="bottom"/>
          </w:tcPr>
          <w:p w14:paraId="53831089" w14:textId="77777777" w:rsidR="00F05F4E" w:rsidRPr="00A50810" w:rsidRDefault="00F05F4E" w:rsidP="00A50810">
            <w:r w:rsidRPr="00A50810">
              <w:t>38 ± 0,1</w:t>
            </w:r>
          </w:p>
        </w:tc>
        <w:tc>
          <w:tcPr>
            <w:tcW w:w="1774" w:type="dxa"/>
            <w:tcBorders>
              <w:bottom w:val="single" w:sz="4" w:space="0" w:color="auto"/>
            </w:tcBorders>
            <w:vAlign w:val="bottom"/>
          </w:tcPr>
          <w:p w14:paraId="661E2997" w14:textId="77777777" w:rsidR="00F05F4E" w:rsidRPr="00A50810" w:rsidRDefault="00F05F4E" w:rsidP="00A50810"/>
        </w:tc>
        <w:tc>
          <w:tcPr>
            <w:tcW w:w="2361" w:type="dxa"/>
            <w:tcBorders>
              <w:bottom w:val="single" w:sz="4" w:space="0" w:color="auto"/>
            </w:tcBorders>
            <w:vAlign w:val="bottom"/>
          </w:tcPr>
          <w:p w14:paraId="2E2E6D2F" w14:textId="77777777" w:rsidR="00F05F4E" w:rsidRPr="00A50810" w:rsidRDefault="00F05F4E" w:rsidP="00A50810">
            <w:pPr>
              <w:rPr>
                <w:lang w:val="en-US"/>
              </w:rPr>
            </w:pPr>
            <w:r w:rsidRPr="00A50810">
              <w:t>11,5 ± 0,1</w:t>
            </w:r>
            <w:r w:rsidRPr="00A50810">
              <w:rPr>
                <w:lang w:val="en-US"/>
              </w:rPr>
              <w:t>**</w:t>
            </w:r>
          </w:p>
        </w:tc>
        <w:tc>
          <w:tcPr>
            <w:tcW w:w="1872" w:type="dxa"/>
            <w:tcBorders>
              <w:bottom w:val="single" w:sz="4" w:space="0" w:color="auto"/>
            </w:tcBorders>
            <w:vAlign w:val="bottom"/>
          </w:tcPr>
          <w:p w14:paraId="461F6A0F" w14:textId="77777777" w:rsidR="00F05F4E" w:rsidRPr="00A50810" w:rsidRDefault="00F05F4E" w:rsidP="00A50810">
            <w:pPr>
              <w:rPr>
                <w:lang w:val="en-US"/>
              </w:rPr>
            </w:pPr>
            <w:r w:rsidRPr="00A50810">
              <w:t>15,7 ± 0,2</w:t>
            </w:r>
            <w:r w:rsidRPr="00A50810">
              <w:rPr>
                <w:lang w:val="en-US"/>
              </w:rPr>
              <w:t>**</w:t>
            </w:r>
          </w:p>
        </w:tc>
        <w:tc>
          <w:tcPr>
            <w:tcW w:w="1882" w:type="dxa"/>
            <w:tcBorders>
              <w:bottom w:val="single" w:sz="4" w:space="0" w:color="auto"/>
            </w:tcBorders>
            <w:vAlign w:val="bottom"/>
          </w:tcPr>
          <w:p w14:paraId="3E348DF4" w14:textId="77777777" w:rsidR="00F05F4E" w:rsidRPr="00A50810" w:rsidRDefault="00F05F4E" w:rsidP="00A50810">
            <w:pPr>
              <w:rPr>
                <w:color w:val="000000"/>
                <w:lang w:val="en-US"/>
              </w:rPr>
            </w:pPr>
            <w:r w:rsidRPr="00A50810">
              <w:rPr>
                <w:color w:val="000000"/>
              </w:rPr>
              <w:t>15 ± 0,1</w:t>
            </w:r>
            <w:r w:rsidRPr="00A50810">
              <w:rPr>
                <w:color w:val="000000"/>
                <w:lang w:val="en-US"/>
              </w:rPr>
              <w:t>**</w:t>
            </w:r>
          </w:p>
        </w:tc>
        <w:tc>
          <w:tcPr>
            <w:tcW w:w="1686" w:type="dxa"/>
            <w:tcBorders>
              <w:bottom w:val="single" w:sz="4" w:space="0" w:color="auto"/>
            </w:tcBorders>
            <w:vAlign w:val="bottom"/>
          </w:tcPr>
          <w:p w14:paraId="01368E94" w14:textId="77777777" w:rsidR="00F05F4E" w:rsidRPr="00A50810" w:rsidRDefault="00F05F4E" w:rsidP="00A50810">
            <w:pPr>
              <w:rPr>
                <w:color w:val="000000"/>
                <w:lang w:val="en-US"/>
              </w:rPr>
            </w:pPr>
            <w:r w:rsidRPr="00A50810">
              <w:rPr>
                <w:color w:val="000000"/>
              </w:rPr>
              <w:t>15 ± 0,1</w:t>
            </w:r>
            <w:r w:rsidRPr="00A50810">
              <w:rPr>
                <w:color w:val="000000"/>
                <w:lang w:val="en-US"/>
              </w:rPr>
              <w:t>**</w:t>
            </w:r>
          </w:p>
        </w:tc>
        <w:tc>
          <w:tcPr>
            <w:tcW w:w="1883" w:type="dxa"/>
            <w:gridSpan w:val="2"/>
            <w:tcBorders>
              <w:bottom w:val="single" w:sz="4" w:space="0" w:color="auto"/>
            </w:tcBorders>
            <w:vAlign w:val="bottom"/>
          </w:tcPr>
          <w:p w14:paraId="25087B70" w14:textId="77777777" w:rsidR="00F05F4E" w:rsidRPr="00A50810" w:rsidRDefault="00F05F4E" w:rsidP="00A50810">
            <w:pPr>
              <w:rPr>
                <w:lang w:val="en-US"/>
              </w:rPr>
            </w:pPr>
            <w:r w:rsidRPr="00A50810">
              <w:t>9,5 ± 0,2</w:t>
            </w:r>
            <w:r w:rsidRPr="00A50810">
              <w:rPr>
                <w:lang w:val="en-US"/>
              </w:rPr>
              <w:t>**</w:t>
            </w:r>
          </w:p>
        </w:tc>
      </w:tr>
      <w:tr w:rsidR="00F05F4E" w:rsidRPr="00A50810" w14:paraId="4CDF763E" w14:textId="77777777" w:rsidTr="00A50810">
        <w:trPr>
          <w:trHeight w:val="402"/>
        </w:trPr>
        <w:tc>
          <w:tcPr>
            <w:tcW w:w="2056" w:type="dxa"/>
            <w:tcBorders>
              <w:bottom w:val="single" w:sz="4" w:space="0" w:color="auto"/>
            </w:tcBorders>
            <w:vAlign w:val="bottom"/>
          </w:tcPr>
          <w:p w14:paraId="762C27EE" w14:textId="77777777" w:rsidR="00F05F4E" w:rsidRPr="00A50810" w:rsidRDefault="00F05F4E" w:rsidP="00A50810">
            <w:pPr>
              <w:widowControl w:val="0"/>
              <w:autoSpaceDE w:val="0"/>
              <w:autoSpaceDN w:val="0"/>
              <w:adjustRightInd w:val="0"/>
              <w:rPr>
                <w:lang w:val="uk-UA"/>
              </w:rPr>
            </w:pPr>
            <w:r w:rsidRPr="00A50810">
              <w:rPr>
                <w:lang w:val="uk-UA"/>
              </w:rPr>
              <w:t>15</w:t>
            </w:r>
          </w:p>
        </w:tc>
        <w:tc>
          <w:tcPr>
            <w:tcW w:w="1302" w:type="dxa"/>
            <w:tcBorders>
              <w:bottom w:val="single" w:sz="4" w:space="0" w:color="auto"/>
            </w:tcBorders>
            <w:vAlign w:val="bottom"/>
          </w:tcPr>
          <w:p w14:paraId="1704C75B" w14:textId="77777777" w:rsidR="00F05F4E" w:rsidRPr="00A50810" w:rsidRDefault="00F05F4E" w:rsidP="00A50810">
            <w:r w:rsidRPr="00A50810">
              <w:t>27 ± 0,1</w:t>
            </w:r>
          </w:p>
        </w:tc>
        <w:tc>
          <w:tcPr>
            <w:tcW w:w="1774" w:type="dxa"/>
            <w:tcBorders>
              <w:bottom w:val="single" w:sz="4" w:space="0" w:color="auto"/>
            </w:tcBorders>
            <w:vAlign w:val="bottom"/>
          </w:tcPr>
          <w:p w14:paraId="2D60A522" w14:textId="77777777" w:rsidR="00F05F4E" w:rsidRPr="00A50810" w:rsidRDefault="00F05F4E" w:rsidP="00A50810"/>
        </w:tc>
        <w:tc>
          <w:tcPr>
            <w:tcW w:w="2361" w:type="dxa"/>
            <w:tcBorders>
              <w:bottom w:val="single" w:sz="4" w:space="0" w:color="auto"/>
            </w:tcBorders>
            <w:vAlign w:val="bottom"/>
          </w:tcPr>
          <w:p w14:paraId="6FABD03B" w14:textId="77777777" w:rsidR="00F05F4E" w:rsidRPr="00A50810" w:rsidRDefault="00F05F4E" w:rsidP="00A50810">
            <w:pPr>
              <w:rPr>
                <w:lang w:val="en-US"/>
              </w:rPr>
            </w:pPr>
            <w:r w:rsidRPr="00A50810">
              <w:t>9 ± 0,1</w:t>
            </w:r>
            <w:r w:rsidRPr="00A50810">
              <w:rPr>
                <w:lang w:val="en-US"/>
              </w:rPr>
              <w:t>**</w:t>
            </w:r>
          </w:p>
        </w:tc>
        <w:tc>
          <w:tcPr>
            <w:tcW w:w="1872" w:type="dxa"/>
            <w:tcBorders>
              <w:bottom w:val="single" w:sz="4" w:space="0" w:color="auto"/>
            </w:tcBorders>
            <w:vAlign w:val="bottom"/>
          </w:tcPr>
          <w:p w14:paraId="2D606132" w14:textId="77777777" w:rsidR="00F05F4E" w:rsidRPr="00A50810" w:rsidRDefault="00F05F4E" w:rsidP="00A50810">
            <w:pPr>
              <w:rPr>
                <w:lang w:val="en-US"/>
              </w:rPr>
            </w:pPr>
            <w:r w:rsidRPr="00A50810">
              <w:t>7 ± 0,2</w:t>
            </w:r>
            <w:r w:rsidRPr="00A50810">
              <w:rPr>
                <w:lang w:val="en-US"/>
              </w:rPr>
              <w:t>**</w:t>
            </w:r>
          </w:p>
        </w:tc>
        <w:tc>
          <w:tcPr>
            <w:tcW w:w="1882" w:type="dxa"/>
            <w:tcBorders>
              <w:bottom w:val="single" w:sz="4" w:space="0" w:color="auto"/>
            </w:tcBorders>
            <w:vAlign w:val="bottom"/>
          </w:tcPr>
          <w:p w14:paraId="657D7515" w14:textId="77777777" w:rsidR="00F05F4E" w:rsidRPr="00A50810" w:rsidRDefault="00F05F4E" w:rsidP="00A50810">
            <w:pPr>
              <w:rPr>
                <w:color w:val="000000"/>
                <w:lang w:val="en-US"/>
              </w:rPr>
            </w:pPr>
            <w:r w:rsidRPr="00A50810">
              <w:rPr>
                <w:color w:val="000000"/>
              </w:rPr>
              <w:t>10 ± 0,1</w:t>
            </w:r>
            <w:r w:rsidRPr="00A50810">
              <w:rPr>
                <w:color w:val="000000"/>
                <w:lang w:val="en-US"/>
              </w:rPr>
              <w:t>**</w:t>
            </w:r>
          </w:p>
        </w:tc>
        <w:tc>
          <w:tcPr>
            <w:tcW w:w="1686" w:type="dxa"/>
            <w:tcBorders>
              <w:bottom w:val="single" w:sz="4" w:space="0" w:color="auto"/>
            </w:tcBorders>
            <w:vAlign w:val="bottom"/>
          </w:tcPr>
          <w:p w14:paraId="19019021" w14:textId="77777777" w:rsidR="00F05F4E" w:rsidRPr="00A50810" w:rsidRDefault="00F05F4E" w:rsidP="00A50810">
            <w:pPr>
              <w:rPr>
                <w:color w:val="000000"/>
                <w:lang w:val="en-US"/>
              </w:rPr>
            </w:pPr>
            <w:r w:rsidRPr="00A50810">
              <w:rPr>
                <w:color w:val="000000"/>
              </w:rPr>
              <w:t>15 ± 0,1</w:t>
            </w:r>
            <w:r w:rsidRPr="00A50810">
              <w:rPr>
                <w:color w:val="000000"/>
                <w:lang w:val="en-US"/>
              </w:rPr>
              <w:t>**</w:t>
            </w:r>
          </w:p>
        </w:tc>
        <w:tc>
          <w:tcPr>
            <w:tcW w:w="1883" w:type="dxa"/>
            <w:gridSpan w:val="2"/>
            <w:tcBorders>
              <w:bottom w:val="single" w:sz="4" w:space="0" w:color="auto"/>
            </w:tcBorders>
            <w:vAlign w:val="bottom"/>
          </w:tcPr>
          <w:p w14:paraId="6C03123C" w14:textId="77777777" w:rsidR="00F05F4E" w:rsidRPr="00A50810" w:rsidRDefault="00F05F4E" w:rsidP="00A50810">
            <w:pPr>
              <w:rPr>
                <w:lang w:val="en-US"/>
              </w:rPr>
            </w:pPr>
            <w:r w:rsidRPr="00A50810">
              <w:t>9 ± 0,2</w:t>
            </w:r>
            <w:r w:rsidRPr="00A50810">
              <w:rPr>
                <w:lang w:val="en-US"/>
              </w:rPr>
              <w:t>**</w:t>
            </w:r>
          </w:p>
        </w:tc>
      </w:tr>
      <w:tr w:rsidR="00F05F4E" w:rsidRPr="00A50810" w14:paraId="46413B99" w14:textId="77777777" w:rsidTr="00A50810">
        <w:trPr>
          <w:trHeight w:val="98"/>
        </w:trPr>
        <w:tc>
          <w:tcPr>
            <w:tcW w:w="2056" w:type="dxa"/>
            <w:tcBorders>
              <w:bottom w:val="single" w:sz="4" w:space="0" w:color="auto"/>
            </w:tcBorders>
            <w:vAlign w:val="bottom"/>
          </w:tcPr>
          <w:p w14:paraId="33C7F879" w14:textId="77777777" w:rsidR="00F05F4E" w:rsidRPr="00A50810" w:rsidRDefault="00F05F4E" w:rsidP="00A50810">
            <w:pPr>
              <w:widowControl w:val="0"/>
              <w:autoSpaceDE w:val="0"/>
              <w:autoSpaceDN w:val="0"/>
              <w:adjustRightInd w:val="0"/>
              <w:rPr>
                <w:lang w:val="uk-UA"/>
              </w:rPr>
            </w:pPr>
            <w:r w:rsidRPr="00A50810">
              <w:rPr>
                <w:lang w:val="uk-UA"/>
              </w:rPr>
              <w:t>16</w:t>
            </w:r>
          </w:p>
        </w:tc>
        <w:tc>
          <w:tcPr>
            <w:tcW w:w="1302" w:type="dxa"/>
            <w:tcBorders>
              <w:bottom w:val="single" w:sz="4" w:space="0" w:color="auto"/>
            </w:tcBorders>
            <w:vAlign w:val="bottom"/>
          </w:tcPr>
          <w:p w14:paraId="19940C88" w14:textId="77777777" w:rsidR="00F05F4E" w:rsidRPr="00A50810" w:rsidRDefault="00F05F4E" w:rsidP="00A50810">
            <w:r w:rsidRPr="00A50810">
              <w:t>24 ± 0,1</w:t>
            </w:r>
          </w:p>
        </w:tc>
        <w:tc>
          <w:tcPr>
            <w:tcW w:w="1774" w:type="dxa"/>
            <w:tcBorders>
              <w:bottom w:val="single" w:sz="4" w:space="0" w:color="auto"/>
            </w:tcBorders>
            <w:vAlign w:val="bottom"/>
          </w:tcPr>
          <w:p w14:paraId="5FB17753" w14:textId="77777777" w:rsidR="00F05F4E" w:rsidRPr="00A50810" w:rsidRDefault="00F05F4E" w:rsidP="00A50810"/>
        </w:tc>
        <w:tc>
          <w:tcPr>
            <w:tcW w:w="2361" w:type="dxa"/>
            <w:tcBorders>
              <w:bottom w:val="single" w:sz="4" w:space="0" w:color="auto"/>
            </w:tcBorders>
            <w:vAlign w:val="bottom"/>
          </w:tcPr>
          <w:p w14:paraId="363B94A7" w14:textId="77777777" w:rsidR="00F05F4E" w:rsidRPr="00A50810" w:rsidRDefault="00F05F4E" w:rsidP="00A50810">
            <w:pPr>
              <w:rPr>
                <w:lang w:val="en-US"/>
              </w:rPr>
            </w:pPr>
            <w:r w:rsidRPr="00A50810">
              <w:t>6 ± 0,2</w:t>
            </w:r>
            <w:r w:rsidRPr="00A50810">
              <w:rPr>
                <w:lang w:val="en-US"/>
              </w:rPr>
              <w:t>**</w:t>
            </w:r>
          </w:p>
        </w:tc>
        <w:tc>
          <w:tcPr>
            <w:tcW w:w="1872" w:type="dxa"/>
            <w:tcBorders>
              <w:bottom w:val="single" w:sz="4" w:space="0" w:color="auto"/>
            </w:tcBorders>
            <w:vAlign w:val="bottom"/>
          </w:tcPr>
          <w:p w14:paraId="26C29AEB" w14:textId="77777777" w:rsidR="00F05F4E" w:rsidRPr="00A50810" w:rsidRDefault="00F05F4E" w:rsidP="00A50810">
            <w:pPr>
              <w:rPr>
                <w:lang w:val="en-US"/>
              </w:rPr>
            </w:pPr>
            <w:r w:rsidRPr="00A50810">
              <w:t>4 ± 0,2</w:t>
            </w:r>
            <w:r w:rsidRPr="00A50810">
              <w:rPr>
                <w:lang w:val="en-US"/>
              </w:rPr>
              <w:t>*</w:t>
            </w:r>
          </w:p>
        </w:tc>
        <w:tc>
          <w:tcPr>
            <w:tcW w:w="1882" w:type="dxa"/>
            <w:tcBorders>
              <w:bottom w:val="single" w:sz="4" w:space="0" w:color="auto"/>
            </w:tcBorders>
            <w:vAlign w:val="bottom"/>
          </w:tcPr>
          <w:p w14:paraId="12BDF175" w14:textId="77777777" w:rsidR="00F05F4E" w:rsidRPr="00A50810" w:rsidRDefault="00F05F4E" w:rsidP="00A50810">
            <w:pPr>
              <w:rPr>
                <w:color w:val="000000"/>
                <w:lang w:val="en-US"/>
              </w:rPr>
            </w:pPr>
            <w:r w:rsidRPr="00A50810">
              <w:rPr>
                <w:color w:val="000000"/>
              </w:rPr>
              <w:t>5 ± 0,1</w:t>
            </w:r>
            <w:r w:rsidRPr="00A50810">
              <w:rPr>
                <w:color w:val="000000"/>
                <w:lang w:val="en-US"/>
              </w:rPr>
              <w:t>**</w:t>
            </w:r>
          </w:p>
        </w:tc>
        <w:tc>
          <w:tcPr>
            <w:tcW w:w="1686" w:type="dxa"/>
            <w:tcBorders>
              <w:bottom w:val="single" w:sz="4" w:space="0" w:color="auto"/>
            </w:tcBorders>
            <w:vAlign w:val="bottom"/>
          </w:tcPr>
          <w:p w14:paraId="1BE4BEF1" w14:textId="77777777" w:rsidR="00F05F4E" w:rsidRPr="00A50810" w:rsidRDefault="00F05F4E" w:rsidP="00A50810">
            <w:pPr>
              <w:rPr>
                <w:color w:val="000000"/>
                <w:lang w:val="en-US"/>
              </w:rPr>
            </w:pPr>
            <w:r w:rsidRPr="00A50810">
              <w:rPr>
                <w:color w:val="000000"/>
              </w:rPr>
              <w:t>6 ± 0,2</w:t>
            </w:r>
            <w:r w:rsidRPr="00A50810">
              <w:rPr>
                <w:color w:val="000000"/>
                <w:lang w:val="en-US"/>
              </w:rPr>
              <w:t>8*</w:t>
            </w:r>
          </w:p>
        </w:tc>
        <w:tc>
          <w:tcPr>
            <w:tcW w:w="1883" w:type="dxa"/>
            <w:gridSpan w:val="2"/>
            <w:tcBorders>
              <w:bottom w:val="single" w:sz="4" w:space="0" w:color="auto"/>
            </w:tcBorders>
            <w:vAlign w:val="bottom"/>
          </w:tcPr>
          <w:p w14:paraId="317DE830" w14:textId="77777777" w:rsidR="00F05F4E" w:rsidRPr="00A50810" w:rsidRDefault="00F05F4E" w:rsidP="00A50810">
            <w:pPr>
              <w:rPr>
                <w:lang w:val="en-US"/>
              </w:rPr>
            </w:pPr>
            <w:r w:rsidRPr="00A50810">
              <w:t>9 ± 0,2</w:t>
            </w:r>
            <w:r w:rsidRPr="00A50810">
              <w:rPr>
                <w:lang w:val="en-US"/>
              </w:rPr>
              <w:t>**</w:t>
            </w:r>
          </w:p>
        </w:tc>
      </w:tr>
    </w:tbl>
    <w:p w14:paraId="4F984555" w14:textId="4A86B497" w:rsidR="00F05F4E" w:rsidRPr="00352B8A" w:rsidRDefault="00F05F4E" w:rsidP="00352B8A">
      <w:pPr>
        <w:spacing w:line="360" w:lineRule="auto"/>
        <w:rPr>
          <w:sz w:val="22"/>
          <w:szCs w:val="22"/>
          <w:lang w:val="uk-UA"/>
        </w:rPr>
        <w:sectPr w:rsidR="00F05F4E" w:rsidRPr="00352B8A" w:rsidSect="00AF759D">
          <w:pgSz w:w="16840" w:h="11900" w:orient="landscape"/>
          <w:pgMar w:top="850" w:right="1134" w:bottom="1701" w:left="1134" w:header="708" w:footer="708" w:gutter="0"/>
          <w:cols w:space="708"/>
          <w:docGrid w:linePitch="360"/>
        </w:sectPr>
      </w:pPr>
      <w:r>
        <w:rPr>
          <w:sz w:val="22"/>
          <w:szCs w:val="22"/>
          <w:lang w:val="uk-UA"/>
        </w:rPr>
        <w:t>Примітк</w:t>
      </w:r>
      <w:r w:rsidR="00352B8A">
        <w:rPr>
          <w:sz w:val="22"/>
          <w:szCs w:val="22"/>
          <w:lang w:val="uk-UA"/>
        </w:rPr>
        <w:t>и</w:t>
      </w:r>
      <w:r>
        <w:rPr>
          <w:sz w:val="22"/>
          <w:szCs w:val="22"/>
          <w:lang w:val="uk-UA"/>
        </w:rPr>
        <w:t xml:space="preserve">: </w:t>
      </w:r>
      <w:r w:rsidR="00352B8A">
        <w:rPr>
          <w:sz w:val="22"/>
          <w:szCs w:val="22"/>
          <w:lang w:val="uk-UA"/>
        </w:rPr>
        <w:t>1.</w:t>
      </w:r>
      <w:r w:rsidR="00352B8A">
        <w:rPr>
          <w:sz w:val="22"/>
          <w:szCs w:val="22"/>
          <w:lang w:val="uk-UA"/>
        </w:rPr>
        <w:tab/>
        <w:t xml:space="preserve"> </w:t>
      </w:r>
      <w:r>
        <w:rPr>
          <w:sz w:val="22"/>
          <w:szCs w:val="22"/>
        </w:rPr>
        <w:t>*</w:t>
      </w:r>
      <w:r>
        <w:rPr>
          <w:sz w:val="22"/>
          <w:szCs w:val="22"/>
          <w:lang w:val="uk-UA"/>
        </w:rPr>
        <w:t xml:space="preserve"> - статистично значуща різниця у порівнянні з контрольною групою (р</w:t>
      </w:r>
      <w:r>
        <w:rPr>
          <w:sz w:val="22"/>
          <w:szCs w:val="22"/>
          <w:lang w:val="uk-UA"/>
        </w:rPr>
        <w:sym w:font="Symbol" w:char="F03C"/>
      </w:r>
      <w:r>
        <w:rPr>
          <w:sz w:val="22"/>
          <w:szCs w:val="22"/>
          <w:lang w:val="uk-UA"/>
        </w:rPr>
        <w:t>0,05)</w:t>
      </w:r>
      <w:r>
        <w:rPr>
          <w:sz w:val="22"/>
          <w:szCs w:val="22"/>
        </w:rPr>
        <w:t>.</w:t>
      </w:r>
      <w:r w:rsidR="00352B8A">
        <w:rPr>
          <w:sz w:val="22"/>
          <w:szCs w:val="22"/>
        </w:rPr>
        <w:t xml:space="preserve"> </w:t>
      </w:r>
      <w:r w:rsidR="00352B8A">
        <w:rPr>
          <w:sz w:val="22"/>
          <w:szCs w:val="22"/>
        </w:rPr>
        <w:br/>
      </w:r>
      <w:r w:rsidR="00352B8A">
        <w:rPr>
          <w:sz w:val="22"/>
          <w:szCs w:val="22"/>
        </w:rPr>
        <w:tab/>
        <w:t xml:space="preserve">     2.</w:t>
      </w:r>
      <w:r w:rsidR="00352B8A">
        <w:rPr>
          <w:sz w:val="22"/>
          <w:szCs w:val="22"/>
        </w:rPr>
        <w:tab/>
      </w:r>
      <w:r>
        <w:rPr>
          <w:sz w:val="22"/>
          <w:szCs w:val="22"/>
        </w:rPr>
        <w:t xml:space="preserve"> **</w:t>
      </w:r>
      <w:r>
        <w:rPr>
          <w:sz w:val="22"/>
          <w:szCs w:val="22"/>
          <w:lang w:val="uk-UA"/>
        </w:rPr>
        <w:t xml:space="preserve"> - статистично значуща різниця у порівнянні з контрольною групою (р</w:t>
      </w:r>
      <w:r>
        <w:rPr>
          <w:sz w:val="22"/>
          <w:szCs w:val="22"/>
          <w:lang w:val="uk-UA"/>
        </w:rPr>
        <w:sym w:font="Symbol" w:char="F03C"/>
      </w:r>
      <w:r>
        <w:rPr>
          <w:sz w:val="22"/>
          <w:szCs w:val="22"/>
          <w:lang w:val="uk-UA"/>
        </w:rPr>
        <w:t>0,0</w:t>
      </w:r>
      <w:r>
        <w:rPr>
          <w:sz w:val="22"/>
          <w:szCs w:val="22"/>
        </w:rPr>
        <w:t>1</w:t>
      </w:r>
      <w:r>
        <w:rPr>
          <w:sz w:val="22"/>
          <w:szCs w:val="22"/>
          <w:lang w:val="uk-UA"/>
        </w:rPr>
        <w:t>)</w:t>
      </w:r>
    </w:p>
    <w:p w14:paraId="1FA8A52C" w14:textId="70E1EDE4" w:rsidR="00F05F4E" w:rsidRDefault="00F05F4E" w:rsidP="00F05F4E">
      <w:pPr>
        <w:pStyle w:val="a6"/>
        <w:spacing w:before="0" w:beforeAutospacing="0" w:after="0" w:afterAutospacing="0" w:line="360" w:lineRule="auto"/>
        <w:ind w:firstLine="708"/>
        <w:jc w:val="both"/>
        <w:outlineLvl w:val="1"/>
        <w:rPr>
          <w:b/>
          <w:bCs/>
          <w:sz w:val="28"/>
          <w:szCs w:val="28"/>
          <w:lang w:val="uk-UA"/>
        </w:rPr>
      </w:pPr>
      <w:bookmarkStart w:id="10" w:name="_Toc63336100"/>
      <w:r>
        <w:rPr>
          <w:b/>
          <w:bCs/>
          <w:sz w:val="28"/>
          <w:szCs w:val="28"/>
          <w:lang w:val="uk-UA"/>
        </w:rPr>
        <w:lastRenderedPageBreak/>
        <w:t>4</w:t>
      </w:r>
      <w:r w:rsidRPr="00F24BC1">
        <w:rPr>
          <w:b/>
          <w:bCs/>
          <w:sz w:val="28"/>
          <w:szCs w:val="28"/>
          <w:lang w:val="uk-UA"/>
        </w:rPr>
        <w:t>.</w:t>
      </w:r>
      <w:r>
        <w:rPr>
          <w:b/>
          <w:bCs/>
          <w:sz w:val="28"/>
          <w:szCs w:val="28"/>
          <w:lang w:val="uk-UA"/>
        </w:rPr>
        <w:t>4</w:t>
      </w:r>
      <w:r w:rsidRPr="00F24BC1">
        <w:rPr>
          <w:b/>
          <w:bCs/>
          <w:sz w:val="28"/>
          <w:szCs w:val="28"/>
          <w:lang w:val="uk-UA"/>
        </w:rPr>
        <w:t xml:space="preserve">. </w:t>
      </w:r>
      <w:r>
        <w:rPr>
          <w:b/>
          <w:bCs/>
          <w:sz w:val="28"/>
          <w:szCs w:val="28"/>
          <w:lang w:val="uk-UA"/>
        </w:rPr>
        <w:t>Дослідження п</w:t>
      </w:r>
      <w:r w:rsidRPr="00F24BC1">
        <w:rPr>
          <w:b/>
          <w:bCs/>
          <w:sz w:val="28"/>
          <w:szCs w:val="28"/>
          <w:lang w:val="uk-UA"/>
        </w:rPr>
        <w:t>ротизапальн</w:t>
      </w:r>
      <w:r>
        <w:rPr>
          <w:b/>
          <w:bCs/>
          <w:sz w:val="28"/>
          <w:szCs w:val="28"/>
          <w:lang w:val="uk-UA"/>
        </w:rPr>
        <w:t>ої</w:t>
      </w:r>
      <w:r w:rsidRPr="00F24BC1">
        <w:rPr>
          <w:b/>
          <w:bCs/>
          <w:sz w:val="28"/>
          <w:szCs w:val="28"/>
          <w:lang w:val="uk-UA"/>
        </w:rPr>
        <w:t xml:space="preserve"> ді</w:t>
      </w:r>
      <w:r>
        <w:rPr>
          <w:b/>
          <w:bCs/>
          <w:sz w:val="28"/>
          <w:szCs w:val="28"/>
          <w:lang w:val="uk-UA"/>
        </w:rPr>
        <w:t>ї</w:t>
      </w:r>
      <w:r w:rsidRPr="00F24BC1">
        <w:rPr>
          <w:b/>
          <w:bCs/>
          <w:sz w:val="28"/>
          <w:szCs w:val="28"/>
          <w:lang w:val="uk-UA"/>
        </w:rPr>
        <w:t xml:space="preserve"> комплексних сполук </w:t>
      </w:r>
      <w:r w:rsidRPr="00F24BC1">
        <w:rPr>
          <w:b/>
          <w:bCs/>
          <w:sz w:val="28"/>
          <w:szCs w:val="28"/>
        </w:rPr>
        <w:t>Sn</w:t>
      </w:r>
      <w:r w:rsidR="00C57D1F">
        <w:rPr>
          <w:b/>
          <w:bCs/>
          <w:sz w:val="28"/>
          <w:szCs w:val="28"/>
          <w:lang w:val="uk-UA"/>
        </w:rPr>
        <w:t xml:space="preserve"> (</w:t>
      </w:r>
      <w:r w:rsidR="00C57D1F">
        <w:rPr>
          <w:b/>
          <w:bCs/>
          <w:sz w:val="28"/>
          <w:szCs w:val="28"/>
          <w:lang w:val="en-US"/>
        </w:rPr>
        <w:t>IV</w:t>
      </w:r>
      <w:r w:rsidR="00C57D1F">
        <w:rPr>
          <w:b/>
          <w:bCs/>
          <w:sz w:val="28"/>
          <w:szCs w:val="28"/>
          <w:lang w:val="uk-UA"/>
        </w:rPr>
        <w:t>)</w:t>
      </w:r>
      <w:r w:rsidR="00C57D1F" w:rsidRPr="003D4179">
        <w:rPr>
          <w:b/>
          <w:bCs/>
          <w:sz w:val="28"/>
          <w:szCs w:val="28"/>
          <w:lang w:val="uk-UA"/>
        </w:rPr>
        <w:t xml:space="preserve"> </w:t>
      </w:r>
      <w:r w:rsidRPr="00F24BC1">
        <w:rPr>
          <w:b/>
          <w:bCs/>
          <w:sz w:val="28"/>
          <w:szCs w:val="28"/>
          <w:lang w:val="uk-UA"/>
        </w:rPr>
        <w:t>з саліцилоїлгідразонами бензальдегі</w:t>
      </w:r>
      <w:r w:rsidR="00C57D1F">
        <w:rPr>
          <w:b/>
          <w:bCs/>
          <w:sz w:val="28"/>
          <w:szCs w:val="28"/>
          <w:lang w:val="uk-UA"/>
        </w:rPr>
        <w:t>дів</w:t>
      </w:r>
      <w:r w:rsidRPr="00F24BC1">
        <w:rPr>
          <w:b/>
          <w:bCs/>
          <w:sz w:val="28"/>
          <w:szCs w:val="28"/>
          <w:lang w:val="uk-UA"/>
        </w:rPr>
        <w:t xml:space="preserve"> на моделі трипсинового запалення.</w:t>
      </w:r>
      <w:bookmarkEnd w:id="10"/>
    </w:p>
    <w:p w14:paraId="23D553EA" w14:textId="55C33C6D" w:rsidR="00F05F4E" w:rsidRDefault="00F05F4E" w:rsidP="00F05F4E">
      <w:pPr>
        <w:pStyle w:val="a6"/>
        <w:tabs>
          <w:tab w:val="left" w:pos="630"/>
        </w:tabs>
        <w:spacing w:before="0" w:beforeAutospacing="0" w:after="0" w:afterAutospacing="0" w:line="360" w:lineRule="auto"/>
        <w:ind w:firstLine="720"/>
        <w:jc w:val="both"/>
        <w:rPr>
          <w:sz w:val="28"/>
          <w:szCs w:val="28"/>
          <w:lang w:val="uk-UA"/>
        </w:rPr>
      </w:pPr>
      <w:r w:rsidRPr="00F24BC1">
        <w:rPr>
          <w:sz w:val="28"/>
          <w:szCs w:val="28"/>
          <w:lang w:val="uk-UA"/>
        </w:rPr>
        <w:t>Трипсин являє собою протеолітичний фермент, здатний розщеплювати білки та пептиди. Дослідження показали, що трипсин може викликати класичні сигнали запалення, головним чином за рахунок активації рецептора протеїнази (PAR-2). Введення трипсину в кінцівку щура викликає дозозалежну і спонтанну больову реакцію, а також термічні та механічні прояви запалення. Набряк та ноцицепція пов`язані з продукцією нейропептидів, що включають активацію С-волокон та ванілоїдного рецептору-1 (TRPV1), у свою чергу, не викликаючи стимуляцію рецептору кініну В(2). Виникнення набряку у місці введення флогогену пов'язане з продукцією метаболітів циклооксигенази (ЦОГ), тоді як спонтанна больова реакція значною мірою пов'язана з активацією тучних клітин. В цілому, індукований трипсином набряк та ноцицепція в кінцівці представляють багатопосередкові відповіді, які в значній мірі, але не виключно, пов'язані з активацією PAR-2 [</w:t>
      </w:r>
      <w:r w:rsidRPr="007F6945">
        <w:rPr>
          <w:sz w:val="28"/>
          <w:szCs w:val="28"/>
          <w:lang w:val="uk-UA"/>
        </w:rPr>
        <w:t>2</w:t>
      </w:r>
      <w:r w:rsidR="00FE60C3">
        <w:rPr>
          <w:sz w:val="28"/>
          <w:szCs w:val="28"/>
          <w:lang w:val="uk-UA"/>
        </w:rPr>
        <w:t>07</w:t>
      </w:r>
      <w:r w:rsidRPr="00F24BC1">
        <w:rPr>
          <w:sz w:val="28"/>
          <w:szCs w:val="28"/>
          <w:lang w:val="uk-UA"/>
        </w:rPr>
        <w:t xml:space="preserve">]. </w:t>
      </w:r>
    </w:p>
    <w:p w14:paraId="24059B4D" w14:textId="77777777" w:rsidR="00F05F4E" w:rsidRDefault="00F05F4E" w:rsidP="00F05F4E">
      <w:pPr>
        <w:pStyle w:val="a6"/>
        <w:tabs>
          <w:tab w:val="left" w:pos="630"/>
        </w:tabs>
        <w:spacing w:before="0" w:beforeAutospacing="0" w:after="0" w:afterAutospacing="0" w:line="360" w:lineRule="auto"/>
        <w:ind w:firstLine="720"/>
        <w:jc w:val="both"/>
        <w:rPr>
          <w:sz w:val="28"/>
          <w:szCs w:val="28"/>
          <w:lang w:val="uk-UA"/>
        </w:rPr>
      </w:pPr>
      <w:r w:rsidRPr="00F24BC1">
        <w:rPr>
          <w:sz w:val="28"/>
          <w:szCs w:val="28"/>
          <w:lang w:val="uk-UA"/>
        </w:rPr>
        <w:t xml:space="preserve">Комплексні сполуки І і ІІ, а також сполуки, </w:t>
      </w:r>
      <w:r>
        <w:rPr>
          <w:sz w:val="28"/>
          <w:szCs w:val="28"/>
          <w:lang w:val="uk-UA"/>
        </w:rPr>
        <w:t>ліганди</w:t>
      </w:r>
      <w:r w:rsidRPr="00F24BC1">
        <w:rPr>
          <w:sz w:val="28"/>
          <w:szCs w:val="28"/>
          <w:lang w:val="uk-UA"/>
        </w:rPr>
        <w:t xml:space="preserve"> яких входять до їх </w:t>
      </w:r>
      <w:r>
        <w:rPr>
          <w:sz w:val="28"/>
          <w:szCs w:val="28"/>
          <w:lang w:val="uk-UA"/>
        </w:rPr>
        <w:t>структури</w:t>
      </w:r>
      <w:r w:rsidRPr="00F24BC1">
        <w:rPr>
          <w:sz w:val="28"/>
          <w:szCs w:val="28"/>
          <w:lang w:val="uk-UA"/>
        </w:rPr>
        <w:t xml:space="preserve"> були перорально введені дослідним тваринам (щурам). Спостереження проводил</w:t>
      </w:r>
      <w:r>
        <w:rPr>
          <w:sz w:val="28"/>
          <w:szCs w:val="28"/>
          <w:lang w:val="uk-UA"/>
        </w:rPr>
        <w:t>и</w:t>
      </w:r>
      <w:r w:rsidRPr="00F24BC1">
        <w:rPr>
          <w:sz w:val="28"/>
          <w:szCs w:val="28"/>
          <w:lang w:val="uk-UA"/>
        </w:rPr>
        <w:t xml:space="preserve"> протягом 6 годин. </w:t>
      </w:r>
    </w:p>
    <w:p w14:paraId="3545352D" w14:textId="77777777" w:rsidR="00112A09" w:rsidRDefault="00F05F4E" w:rsidP="00112A09">
      <w:pPr>
        <w:pStyle w:val="a6"/>
        <w:tabs>
          <w:tab w:val="left" w:pos="720"/>
        </w:tabs>
        <w:spacing w:before="0" w:beforeAutospacing="0" w:after="0" w:afterAutospacing="0" w:line="360" w:lineRule="auto"/>
        <w:ind w:firstLine="720"/>
        <w:jc w:val="both"/>
        <w:rPr>
          <w:sz w:val="28"/>
          <w:szCs w:val="28"/>
          <w:lang w:val="uk-UA"/>
        </w:rPr>
      </w:pPr>
      <w:r w:rsidRPr="00F24BC1">
        <w:rPr>
          <w:sz w:val="28"/>
          <w:szCs w:val="28"/>
          <w:lang w:val="uk-UA"/>
        </w:rPr>
        <w:t xml:space="preserve">Згідно з отриманими даними, можна дійти висновку, що виразний протизапальний ефект комплексних сполук проявлявся вже через годину після початку експерименту. Важливо відзначити, що максимальну протизапальну дію має комплекс IІ (рис. </w:t>
      </w:r>
      <w:r>
        <w:rPr>
          <w:sz w:val="28"/>
          <w:szCs w:val="28"/>
          <w:lang w:val="uk-UA"/>
        </w:rPr>
        <w:t>4</w:t>
      </w:r>
      <w:r w:rsidRPr="00F24BC1">
        <w:rPr>
          <w:sz w:val="28"/>
          <w:szCs w:val="28"/>
          <w:lang w:val="uk-UA"/>
        </w:rPr>
        <w:t>.</w:t>
      </w:r>
      <w:r>
        <w:rPr>
          <w:sz w:val="28"/>
          <w:szCs w:val="28"/>
          <w:lang w:val="uk-UA"/>
        </w:rPr>
        <w:t>4</w:t>
      </w:r>
      <w:r w:rsidRPr="00F24BC1">
        <w:rPr>
          <w:sz w:val="28"/>
          <w:szCs w:val="28"/>
          <w:lang w:val="uk-UA"/>
        </w:rPr>
        <w:t xml:space="preserve">.1.). </w:t>
      </w:r>
    </w:p>
    <w:p w14:paraId="42B9A803" w14:textId="6A14A685" w:rsidR="00F05F4E" w:rsidRPr="00F24BC1" w:rsidRDefault="00F05F4E" w:rsidP="00112A09">
      <w:pPr>
        <w:pStyle w:val="a6"/>
        <w:tabs>
          <w:tab w:val="left" w:pos="720"/>
        </w:tabs>
        <w:spacing w:before="0" w:beforeAutospacing="0" w:after="0" w:afterAutospacing="0" w:line="360" w:lineRule="auto"/>
        <w:ind w:firstLine="720"/>
        <w:jc w:val="both"/>
        <w:rPr>
          <w:sz w:val="28"/>
          <w:szCs w:val="28"/>
          <w:lang w:val="uk-UA"/>
        </w:rPr>
      </w:pPr>
      <w:r w:rsidRPr="00F24BC1">
        <w:rPr>
          <w:sz w:val="28"/>
          <w:szCs w:val="28"/>
          <w:lang w:val="uk-UA"/>
        </w:rPr>
        <w:t xml:space="preserve">Так, через годину після початку тесту об’єм запаленої кінцівки зріс лише на 14% </w:t>
      </w:r>
      <w:r>
        <w:rPr>
          <w:sz w:val="28"/>
          <w:szCs w:val="28"/>
          <w:lang w:val="uk-UA"/>
        </w:rPr>
        <w:t>у порівнянні із</w:t>
      </w:r>
      <w:r w:rsidRPr="00F24BC1">
        <w:rPr>
          <w:sz w:val="28"/>
          <w:szCs w:val="28"/>
          <w:lang w:val="uk-UA"/>
        </w:rPr>
        <w:t xml:space="preserve"> контрольни</w:t>
      </w:r>
      <w:r>
        <w:rPr>
          <w:sz w:val="28"/>
          <w:szCs w:val="28"/>
          <w:lang w:val="uk-UA"/>
        </w:rPr>
        <w:t>ми</w:t>
      </w:r>
      <w:r w:rsidRPr="00F24BC1">
        <w:rPr>
          <w:sz w:val="28"/>
          <w:szCs w:val="28"/>
          <w:lang w:val="uk-UA"/>
        </w:rPr>
        <w:t xml:space="preserve"> показник</w:t>
      </w:r>
      <w:r>
        <w:rPr>
          <w:sz w:val="28"/>
          <w:szCs w:val="28"/>
          <w:lang w:val="uk-UA"/>
        </w:rPr>
        <w:t>ами</w:t>
      </w:r>
      <w:r w:rsidRPr="00F24BC1">
        <w:rPr>
          <w:sz w:val="28"/>
          <w:szCs w:val="28"/>
          <w:lang w:val="uk-UA"/>
        </w:rPr>
        <w:t>, а вже через три години після початку експерименту розміри і колір пошкодженої лапи повернулися до початкового стану. Схожу динаміку проявила у даному експерименті саліцилова кислота, але важливо відзначити, що на відміну від комплексної сполуки ІІ об’єм запалених кінцівок досягнув інтактних показників лише через 6 годин після початку експерименту.</w:t>
      </w:r>
    </w:p>
    <w:p w14:paraId="21257788" w14:textId="77777777" w:rsidR="00F05F4E" w:rsidRPr="00F24BC1" w:rsidRDefault="00F05F4E" w:rsidP="00F05F4E">
      <w:pPr>
        <w:pStyle w:val="a6"/>
        <w:spacing w:before="0" w:beforeAutospacing="0" w:after="0" w:afterAutospacing="0" w:line="360" w:lineRule="auto"/>
        <w:ind w:firstLine="567"/>
        <w:jc w:val="center"/>
        <w:rPr>
          <w:sz w:val="28"/>
          <w:szCs w:val="28"/>
          <w:lang w:val="uk-UA"/>
        </w:rPr>
      </w:pPr>
      <w:r w:rsidRPr="006D1679">
        <w:rPr>
          <w:noProof/>
          <w:sz w:val="28"/>
          <w:szCs w:val="28"/>
          <w:lang w:val="en-US" w:eastAsia="en-US"/>
        </w:rPr>
        <w:lastRenderedPageBreak/>
        <w:drawing>
          <wp:inline distT="0" distB="0" distL="0" distR="0" wp14:anchorId="092E3D21" wp14:editId="5BC43A21">
            <wp:extent cx="4006516" cy="2298031"/>
            <wp:effectExtent l="0" t="0" r="0" b="1270"/>
            <wp:docPr id="11" name="Рисунок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0362" cy="2311709"/>
                    </a:xfrm>
                    <a:prstGeom prst="rect">
                      <a:avLst/>
                    </a:prstGeom>
                    <a:noFill/>
                    <a:ln>
                      <a:noFill/>
                    </a:ln>
                  </pic:spPr>
                </pic:pic>
              </a:graphicData>
            </a:graphic>
          </wp:inline>
        </w:drawing>
      </w:r>
    </w:p>
    <w:p w14:paraId="356763F7" w14:textId="72460CE2" w:rsidR="00F05F4E" w:rsidRPr="00F24BC1" w:rsidRDefault="00F05F4E" w:rsidP="00F05F4E">
      <w:pPr>
        <w:tabs>
          <w:tab w:val="left" w:pos="720"/>
        </w:tabs>
        <w:spacing w:line="360" w:lineRule="auto"/>
        <w:ind w:firstLine="720"/>
        <w:jc w:val="both"/>
        <w:rPr>
          <w:sz w:val="28"/>
          <w:szCs w:val="28"/>
          <w:lang w:val="uk-UA"/>
        </w:rPr>
      </w:pPr>
      <w:r w:rsidRPr="00F24BC1">
        <w:rPr>
          <w:sz w:val="28"/>
          <w:szCs w:val="28"/>
          <w:lang w:val="uk-UA"/>
        </w:rPr>
        <w:t>Рис</w:t>
      </w:r>
      <w:r w:rsidRPr="00F24BC1">
        <w:rPr>
          <w:sz w:val="28"/>
          <w:szCs w:val="28"/>
        </w:rPr>
        <w:t xml:space="preserve">. </w:t>
      </w:r>
      <w:r>
        <w:rPr>
          <w:sz w:val="28"/>
          <w:szCs w:val="28"/>
          <w:lang w:val="uk-UA"/>
        </w:rPr>
        <w:t>4</w:t>
      </w:r>
      <w:r w:rsidRPr="00F24BC1">
        <w:rPr>
          <w:sz w:val="28"/>
          <w:szCs w:val="28"/>
        </w:rPr>
        <w:t>.</w:t>
      </w:r>
      <w:r>
        <w:rPr>
          <w:sz w:val="28"/>
          <w:szCs w:val="28"/>
          <w:lang w:val="uk-UA"/>
        </w:rPr>
        <w:t>4</w:t>
      </w:r>
      <w:r w:rsidRPr="00F24BC1">
        <w:rPr>
          <w:sz w:val="28"/>
          <w:szCs w:val="28"/>
        </w:rPr>
        <w:t>.</w:t>
      </w:r>
      <w:r w:rsidRPr="00F24BC1">
        <w:rPr>
          <w:sz w:val="28"/>
          <w:szCs w:val="28"/>
          <w:lang w:val="uk-UA"/>
        </w:rPr>
        <w:t>1</w:t>
      </w:r>
      <w:r w:rsidRPr="00F24BC1">
        <w:rPr>
          <w:sz w:val="28"/>
          <w:szCs w:val="28"/>
        </w:rPr>
        <w:t xml:space="preserve"> </w:t>
      </w:r>
      <w:r w:rsidRPr="00F24BC1">
        <w:rPr>
          <w:sz w:val="28"/>
          <w:szCs w:val="28"/>
          <w:lang w:val="uk-UA"/>
        </w:rPr>
        <w:t xml:space="preserve">Протизапальна дія комплексної сполуки ІІ та сполук, що входять до складу комплексу </w:t>
      </w:r>
      <w:r>
        <w:rPr>
          <w:sz w:val="28"/>
          <w:szCs w:val="28"/>
          <w:lang w:val="uk-UA"/>
        </w:rPr>
        <w:t>на моделі трипсин-індукованого запалення</w:t>
      </w:r>
      <w:r w:rsidRPr="00F24BC1">
        <w:rPr>
          <w:sz w:val="28"/>
          <w:szCs w:val="28"/>
          <w:lang w:val="uk-UA"/>
        </w:rPr>
        <w:t>(за показниками об’єму кінцівок (за 30 хв. до введення флогогену)), (М</w:t>
      </w:r>
      <w:r w:rsidRPr="00F24BC1">
        <w:rPr>
          <w:color w:val="4D5156"/>
          <w:sz w:val="28"/>
          <w:szCs w:val="28"/>
          <w:shd w:val="clear" w:color="auto" w:fill="FFFFFF"/>
          <w:lang w:val="uk-UA"/>
        </w:rPr>
        <w:t>±</w:t>
      </w:r>
      <w:r w:rsidRPr="00F24BC1">
        <w:rPr>
          <w:sz w:val="28"/>
          <w:szCs w:val="28"/>
          <w:lang w:val="en-US"/>
        </w:rPr>
        <w:t>m</w:t>
      </w:r>
      <w:r w:rsidRPr="00F24BC1">
        <w:rPr>
          <w:sz w:val="28"/>
          <w:szCs w:val="28"/>
          <w:lang w:val="uk-UA"/>
        </w:rPr>
        <w:t xml:space="preserve">, </w:t>
      </w:r>
      <w:r w:rsidRPr="00F24BC1">
        <w:rPr>
          <w:sz w:val="28"/>
          <w:szCs w:val="28"/>
          <w:lang w:val="en-US"/>
        </w:rPr>
        <w:t>n</w:t>
      </w:r>
      <w:r w:rsidRPr="00F24BC1">
        <w:rPr>
          <w:sz w:val="28"/>
          <w:szCs w:val="28"/>
          <w:lang w:val="uk-UA"/>
        </w:rPr>
        <w:t>=5)</w:t>
      </w:r>
    </w:p>
    <w:p w14:paraId="5A72C01D" w14:textId="77777777" w:rsidR="00F05F4E" w:rsidRPr="008A6B7D" w:rsidRDefault="00F05F4E" w:rsidP="00352B8A">
      <w:pPr>
        <w:ind w:left="450" w:hanging="450"/>
        <w:jc w:val="both"/>
        <w:rPr>
          <w:lang w:val="uk-UA"/>
        </w:rPr>
      </w:pPr>
      <w:r w:rsidRPr="008A6B7D">
        <w:rPr>
          <w:lang w:val="uk-UA"/>
        </w:rPr>
        <w:t xml:space="preserve">Примітки: </w:t>
      </w:r>
    </w:p>
    <w:p w14:paraId="7F40FA03" w14:textId="77777777" w:rsidR="00F05F4E" w:rsidRPr="008A6B7D" w:rsidRDefault="00F05F4E" w:rsidP="00352B8A">
      <w:pPr>
        <w:numPr>
          <w:ilvl w:val="3"/>
          <w:numId w:val="13"/>
        </w:numPr>
        <w:ind w:left="450" w:hanging="450"/>
        <w:jc w:val="both"/>
        <w:rPr>
          <w:lang w:val="uk-UA"/>
        </w:rPr>
      </w:pPr>
      <w:r w:rsidRPr="008A6B7D">
        <w:t>*</w:t>
      </w:r>
      <w:r w:rsidRPr="008A6B7D">
        <w:rPr>
          <w:lang w:val="uk-UA"/>
        </w:rPr>
        <w:t xml:space="preserve"> </w:t>
      </w:r>
      <w:r w:rsidRPr="008A6B7D">
        <w:t>-</w:t>
      </w:r>
      <w:r w:rsidRPr="008A6B7D">
        <w:rPr>
          <w:lang w:val="uk-UA"/>
        </w:rPr>
        <w:t xml:space="preserve"> </w:t>
      </w:r>
      <w:r w:rsidRPr="008A6B7D">
        <w:rPr>
          <w:lang w:val="en-US"/>
        </w:rPr>
        <w:t>p</w:t>
      </w:r>
      <w:r w:rsidRPr="008A6B7D">
        <w:rPr>
          <w:lang w:val="en-US"/>
        </w:rPr>
        <w:sym w:font="Symbol" w:char="F03C"/>
      </w:r>
      <w:r w:rsidRPr="008A6B7D">
        <w:t>0,05 (</w:t>
      </w:r>
      <w:r w:rsidRPr="008A6B7D">
        <w:rPr>
          <w:lang w:val="uk-UA"/>
        </w:rPr>
        <w:t>статистично значуща різниця у порівнян</w:t>
      </w:r>
      <w:r w:rsidRPr="008A6B7D">
        <w:t xml:space="preserve"> </w:t>
      </w:r>
      <w:r w:rsidRPr="008A6B7D">
        <w:rPr>
          <w:lang w:val="uk-UA"/>
        </w:rPr>
        <w:t>ні з контрольною групою).</w:t>
      </w:r>
      <w:r w:rsidRPr="008A6B7D">
        <w:t xml:space="preserve"> </w:t>
      </w:r>
    </w:p>
    <w:p w14:paraId="7AC4515A" w14:textId="77777777" w:rsidR="00F05F4E" w:rsidRPr="008A6B7D" w:rsidRDefault="00F05F4E" w:rsidP="00352B8A">
      <w:pPr>
        <w:numPr>
          <w:ilvl w:val="3"/>
          <w:numId w:val="13"/>
        </w:numPr>
        <w:ind w:left="450" w:hanging="450"/>
        <w:jc w:val="both"/>
        <w:rPr>
          <w:lang w:val="uk-UA"/>
        </w:rPr>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 групою).</w:t>
      </w:r>
    </w:p>
    <w:p w14:paraId="5871EB18" w14:textId="77777777" w:rsidR="00F05F4E" w:rsidRPr="008A6B7D" w:rsidRDefault="00F05F4E" w:rsidP="00352B8A">
      <w:pPr>
        <w:numPr>
          <w:ilvl w:val="3"/>
          <w:numId w:val="13"/>
        </w:numPr>
        <w:ind w:left="450" w:hanging="450"/>
        <w:jc w:val="both"/>
        <w:rPr>
          <w:lang w:val="uk-UA"/>
        </w:rPr>
      </w:pPr>
      <w:r w:rsidRPr="008A6B7D">
        <w:rPr>
          <w:rFonts w:eastAsia="Calibri"/>
        </w:rPr>
        <w:t xml:space="preserve">n </w:t>
      </w:r>
      <w:r w:rsidRPr="008A6B7D">
        <w:t>–</w:t>
      </w:r>
      <w:r w:rsidRPr="008A6B7D">
        <w:rPr>
          <w:rFonts w:eastAsia="Calibri"/>
        </w:rPr>
        <w:t xml:space="preserve"> кількість тварин у групі. </w:t>
      </w:r>
    </w:p>
    <w:p w14:paraId="2554EC3C" w14:textId="77777777" w:rsidR="00F05F4E" w:rsidRDefault="00F05F4E" w:rsidP="00F05F4E">
      <w:pPr>
        <w:pStyle w:val="sdendnote"/>
        <w:tabs>
          <w:tab w:val="left" w:pos="720"/>
        </w:tabs>
        <w:spacing w:before="0" w:beforeAutospacing="0" w:line="360" w:lineRule="auto"/>
        <w:ind w:left="0" w:firstLine="0"/>
        <w:jc w:val="both"/>
        <w:rPr>
          <w:sz w:val="28"/>
          <w:szCs w:val="28"/>
          <w:lang w:val="uk-UA"/>
        </w:rPr>
      </w:pPr>
    </w:p>
    <w:p w14:paraId="42BFEA3A" w14:textId="7FB86450" w:rsidR="00F05F4E" w:rsidRDefault="00F05F4E" w:rsidP="00F05F4E">
      <w:pPr>
        <w:pStyle w:val="a6"/>
        <w:spacing w:before="0" w:beforeAutospacing="0" w:after="0" w:afterAutospacing="0" w:line="360" w:lineRule="auto"/>
        <w:ind w:firstLine="720"/>
        <w:jc w:val="both"/>
        <w:rPr>
          <w:sz w:val="28"/>
          <w:szCs w:val="28"/>
          <w:lang w:val="uk-UA"/>
        </w:rPr>
      </w:pPr>
      <w:r w:rsidRPr="00F24BC1">
        <w:rPr>
          <w:sz w:val="28"/>
          <w:szCs w:val="28"/>
          <w:lang w:val="uk-UA"/>
        </w:rPr>
        <w:t xml:space="preserve">Для визначення </w:t>
      </w:r>
      <w:r>
        <w:rPr>
          <w:sz w:val="28"/>
          <w:szCs w:val="28"/>
          <w:lang w:val="uk-UA"/>
        </w:rPr>
        <w:t xml:space="preserve">ролі лігандів у протизапальній активності </w:t>
      </w:r>
      <w:r w:rsidRPr="00F24BC1">
        <w:rPr>
          <w:sz w:val="28"/>
          <w:szCs w:val="28"/>
          <w:lang w:val="uk-UA"/>
        </w:rPr>
        <w:t xml:space="preserve">комплексної сполуки ІІ було вивчено протизапальну дію 4-бромбензальдегіду, саліцилової кислоти та саліцилоїлгідразону 4-бромбензальдегіду. Як видно з приведених даних (рис. </w:t>
      </w:r>
      <w:r>
        <w:rPr>
          <w:sz w:val="28"/>
          <w:szCs w:val="28"/>
          <w:lang w:val="uk-UA"/>
        </w:rPr>
        <w:t>4</w:t>
      </w:r>
      <w:r w:rsidRPr="00F24BC1">
        <w:rPr>
          <w:sz w:val="28"/>
          <w:szCs w:val="28"/>
        </w:rPr>
        <w:t>.</w:t>
      </w:r>
      <w:r>
        <w:rPr>
          <w:sz w:val="28"/>
          <w:szCs w:val="28"/>
          <w:lang w:val="uk-UA"/>
        </w:rPr>
        <w:t>4</w:t>
      </w:r>
      <w:r w:rsidRPr="00F24BC1">
        <w:rPr>
          <w:sz w:val="28"/>
          <w:szCs w:val="28"/>
        </w:rPr>
        <w:t>.</w:t>
      </w:r>
      <w:r w:rsidRPr="00F24BC1">
        <w:rPr>
          <w:sz w:val="28"/>
          <w:szCs w:val="28"/>
          <w:lang w:val="uk-UA"/>
        </w:rPr>
        <w:t xml:space="preserve">1), саліцилоїлгідразон 4-бромбензальдегіду не </w:t>
      </w:r>
      <w:r>
        <w:rPr>
          <w:sz w:val="28"/>
          <w:szCs w:val="28"/>
          <w:lang w:val="uk-UA"/>
        </w:rPr>
        <w:t>виявляв</w:t>
      </w:r>
      <w:r w:rsidRPr="00F24BC1">
        <w:rPr>
          <w:sz w:val="28"/>
          <w:szCs w:val="28"/>
          <w:lang w:val="uk-UA"/>
        </w:rPr>
        <w:t xml:space="preserve"> протизапальної дії на моделі трипсинового запалення. У свою чергу, </w:t>
      </w:r>
      <w:r w:rsidR="00821BED">
        <w:rPr>
          <w:sz w:val="28"/>
          <w:szCs w:val="28"/>
          <w:lang w:val="uk-UA"/>
        </w:rPr>
        <w:br/>
      </w:r>
      <w:r w:rsidRPr="00F24BC1">
        <w:rPr>
          <w:sz w:val="28"/>
          <w:szCs w:val="28"/>
          <w:lang w:val="uk-UA"/>
        </w:rPr>
        <w:t xml:space="preserve">4-бромбензальдегід показав виразну протизапальну дію, </w:t>
      </w:r>
      <w:r>
        <w:rPr>
          <w:sz w:val="28"/>
          <w:szCs w:val="28"/>
          <w:lang w:val="uk-UA"/>
        </w:rPr>
        <w:t>так,</w:t>
      </w:r>
      <w:r w:rsidRPr="00F24BC1">
        <w:rPr>
          <w:sz w:val="28"/>
          <w:szCs w:val="28"/>
          <w:lang w:val="uk-UA"/>
        </w:rPr>
        <w:t xml:space="preserve"> через годину після початку експерименту приріст об’єму запаленої кінцівки був </w:t>
      </w:r>
      <w:r>
        <w:rPr>
          <w:sz w:val="28"/>
          <w:szCs w:val="28"/>
          <w:lang w:val="uk-UA"/>
        </w:rPr>
        <w:t xml:space="preserve">співставним із </w:t>
      </w:r>
      <w:r w:rsidRPr="00F24BC1">
        <w:rPr>
          <w:sz w:val="28"/>
          <w:szCs w:val="28"/>
          <w:lang w:val="uk-UA"/>
        </w:rPr>
        <w:t>ефект</w:t>
      </w:r>
      <w:r>
        <w:rPr>
          <w:sz w:val="28"/>
          <w:szCs w:val="28"/>
          <w:lang w:val="uk-UA"/>
        </w:rPr>
        <w:t>ом</w:t>
      </w:r>
      <w:r w:rsidRPr="00F24BC1">
        <w:rPr>
          <w:sz w:val="28"/>
          <w:szCs w:val="28"/>
          <w:lang w:val="uk-UA"/>
        </w:rPr>
        <w:t xml:space="preserve"> саліцилової кислоти та комплексної сполуки ІІ. </w:t>
      </w:r>
      <w:r w:rsidR="00821BED">
        <w:rPr>
          <w:sz w:val="28"/>
          <w:szCs w:val="28"/>
          <w:lang w:val="uk-UA"/>
        </w:rPr>
        <w:br/>
      </w:r>
      <w:r w:rsidRPr="00F24BC1">
        <w:rPr>
          <w:sz w:val="28"/>
          <w:szCs w:val="28"/>
          <w:lang w:val="uk-UA"/>
        </w:rPr>
        <w:t>В цілому,</w:t>
      </w:r>
      <w:r>
        <w:rPr>
          <w:sz w:val="28"/>
          <w:szCs w:val="28"/>
          <w:lang w:val="uk-UA"/>
        </w:rPr>
        <w:t xml:space="preserve"> ймовірно, що</w:t>
      </w:r>
      <w:r w:rsidRPr="00F24BC1">
        <w:rPr>
          <w:sz w:val="28"/>
          <w:szCs w:val="28"/>
          <w:lang w:val="uk-UA"/>
        </w:rPr>
        <w:t xml:space="preserve"> основний вклад прояв протизапальної активності комплексної сполуки ІІ вносить </w:t>
      </w:r>
      <w:r>
        <w:rPr>
          <w:sz w:val="28"/>
          <w:szCs w:val="28"/>
          <w:lang w:val="uk-UA"/>
        </w:rPr>
        <w:t>ліганди</w:t>
      </w:r>
      <w:r w:rsidRPr="00F24BC1">
        <w:rPr>
          <w:sz w:val="28"/>
          <w:szCs w:val="28"/>
          <w:lang w:val="uk-UA"/>
        </w:rPr>
        <w:t xml:space="preserve"> 4-бромбензальдегіду та саліцилової кислоти, що підтверджує дані, отримані </w:t>
      </w:r>
      <w:r>
        <w:rPr>
          <w:sz w:val="28"/>
          <w:szCs w:val="28"/>
          <w:lang w:val="uk-UA"/>
        </w:rPr>
        <w:t xml:space="preserve">в результаті </w:t>
      </w:r>
      <w:r>
        <w:rPr>
          <w:sz w:val="28"/>
          <w:szCs w:val="28"/>
          <w:lang w:val="en-US"/>
        </w:rPr>
        <w:t>Pass</w:t>
      </w:r>
      <w:r w:rsidRPr="003D4DAC">
        <w:rPr>
          <w:sz w:val="28"/>
          <w:szCs w:val="28"/>
          <w:lang w:val="uk-UA"/>
        </w:rPr>
        <w:t>-</w:t>
      </w:r>
      <w:r>
        <w:rPr>
          <w:sz w:val="28"/>
          <w:szCs w:val="28"/>
          <w:lang w:val="uk-UA"/>
        </w:rPr>
        <w:t>прогнозу</w:t>
      </w:r>
      <w:r w:rsidRPr="00F24BC1">
        <w:rPr>
          <w:sz w:val="28"/>
          <w:szCs w:val="28"/>
          <w:lang w:val="uk-UA"/>
        </w:rPr>
        <w:t>.</w:t>
      </w:r>
    </w:p>
    <w:p w14:paraId="57899394" w14:textId="1CF86145" w:rsidR="00F05F4E" w:rsidRDefault="00F05F4E" w:rsidP="00F05F4E">
      <w:pPr>
        <w:pStyle w:val="a6"/>
        <w:spacing w:before="0" w:beforeAutospacing="0" w:after="0" w:afterAutospacing="0" w:line="360" w:lineRule="auto"/>
        <w:ind w:firstLine="720"/>
        <w:jc w:val="both"/>
        <w:rPr>
          <w:sz w:val="28"/>
          <w:szCs w:val="28"/>
          <w:lang w:val="uk-UA"/>
        </w:rPr>
      </w:pPr>
      <w:r w:rsidRPr="00F24BC1">
        <w:rPr>
          <w:sz w:val="28"/>
          <w:szCs w:val="28"/>
          <w:lang w:val="uk-UA"/>
        </w:rPr>
        <w:t xml:space="preserve">Аналогічні дослідження були проведені для комплексної сполуки І. </w:t>
      </w:r>
      <w:r w:rsidR="00821BED">
        <w:rPr>
          <w:sz w:val="28"/>
          <w:szCs w:val="28"/>
          <w:lang w:val="uk-UA"/>
        </w:rPr>
        <w:br/>
      </w:r>
      <w:r w:rsidRPr="00F24BC1">
        <w:rPr>
          <w:sz w:val="28"/>
          <w:szCs w:val="28"/>
          <w:lang w:val="uk-UA"/>
        </w:rPr>
        <w:t xml:space="preserve">З даних, приведених на рис. </w:t>
      </w:r>
      <w:r>
        <w:rPr>
          <w:sz w:val="28"/>
          <w:szCs w:val="28"/>
          <w:lang w:val="uk-UA"/>
        </w:rPr>
        <w:t>4</w:t>
      </w:r>
      <w:r w:rsidRPr="00F24BC1">
        <w:rPr>
          <w:sz w:val="28"/>
          <w:szCs w:val="28"/>
          <w:lang w:val="uk-UA"/>
        </w:rPr>
        <w:t>.</w:t>
      </w:r>
      <w:r>
        <w:rPr>
          <w:sz w:val="28"/>
          <w:szCs w:val="28"/>
          <w:lang w:val="uk-UA"/>
        </w:rPr>
        <w:t>4</w:t>
      </w:r>
      <w:r w:rsidRPr="00F24BC1">
        <w:rPr>
          <w:sz w:val="28"/>
          <w:szCs w:val="28"/>
          <w:lang w:val="uk-UA"/>
        </w:rPr>
        <w:t xml:space="preserve">.2 видно, що комплексна сполука І також проявляє значну протизапальну активність, але дещо нижчу за комплексну сполуку ІІ. Так, через годину після введення флогогену, приріст запаленої </w:t>
      </w:r>
      <w:r w:rsidRPr="00F24BC1">
        <w:rPr>
          <w:sz w:val="28"/>
          <w:szCs w:val="28"/>
          <w:lang w:val="uk-UA"/>
        </w:rPr>
        <w:lastRenderedPageBreak/>
        <w:t xml:space="preserve">кінцівки складав 43%, а через 2 години знизився до 14% (аналогічно до комплексної сполуки ІІ). Через 3 години показники досягнули інтактних. </w:t>
      </w:r>
    </w:p>
    <w:p w14:paraId="45D7DBAD" w14:textId="77777777" w:rsidR="008A6B7D" w:rsidRDefault="008A6B7D" w:rsidP="008A6B7D">
      <w:pPr>
        <w:tabs>
          <w:tab w:val="left" w:pos="720"/>
        </w:tabs>
        <w:spacing w:line="360" w:lineRule="auto"/>
        <w:ind w:left="567"/>
        <w:jc w:val="both"/>
        <w:rPr>
          <w:sz w:val="28"/>
          <w:szCs w:val="28"/>
          <w:lang w:val="uk-UA"/>
        </w:rPr>
      </w:pPr>
      <w:r>
        <w:rPr>
          <w:sz w:val="28"/>
          <w:szCs w:val="28"/>
          <w:lang w:val="uk-UA"/>
        </w:rPr>
        <w:tab/>
      </w:r>
      <w:r>
        <w:rPr>
          <w:sz w:val="28"/>
          <w:szCs w:val="28"/>
          <w:lang w:val="uk-UA"/>
        </w:rPr>
        <w:tab/>
      </w:r>
      <w:r w:rsidR="00F05F4E" w:rsidRPr="006D1679">
        <w:rPr>
          <w:noProof/>
          <w:sz w:val="28"/>
          <w:szCs w:val="28"/>
          <w:lang w:val="en-US" w:eastAsia="en-US"/>
        </w:rPr>
        <w:drawing>
          <wp:inline distT="0" distB="0" distL="0" distR="0" wp14:anchorId="6C8FE38D" wp14:editId="2B7AA882">
            <wp:extent cx="4247147" cy="2454442"/>
            <wp:effectExtent l="0" t="0" r="0" b="0"/>
            <wp:docPr id="12"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6210" cy="2459679"/>
                    </a:xfrm>
                    <a:prstGeom prst="rect">
                      <a:avLst/>
                    </a:prstGeom>
                    <a:noFill/>
                    <a:ln>
                      <a:noFill/>
                    </a:ln>
                  </pic:spPr>
                </pic:pic>
              </a:graphicData>
            </a:graphic>
          </wp:inline>
        </w:drawing>
      </w:r>
    </w:p>
    <w:p w14:paraId="232E0516" w14:textId="5DE56EC8" w:rsidR="00F05F4E" w:rsidRPr="00F24BC1" w:rsidRDefault="00F05F4E" w:rsidP="008A6B7D">
      <w:pPr>
        <w:tabs>
          <w:tab w:val="left" w:pos="720"/>
        </w:tabs>
        <w:spacing w:line="360" w:lineRule="auto"/>
        <w:ind w:firstLine="567"/>
        <w:jc w:val="both"/>
        <w:rPr>
          <w:sz w:val="28"/>
          <w:szCs w:val="28"/>
          <w:lang w:val="uk-UA"/>
        </w:rPr>
      </w:pPr>
      <w:r w:rsidRPr="00F24BC1">
        <w:rPr>
          <w:sz w:val="28"/>
          <w:szCs w:val="28"/>
          <w:lang w:val="uk-UA"/>
        </w:rPr>
        <w:t xml:space="preserve">Рис. </w:t>
      </w:r>
      <w:r>
        <w:rPr>
          <w:sz w:val="28"/>
          <w:szCs w:val="28"/>
          <w:lang w:val="uk-UA"/>
        </w:rPr>
        <w:t>4</w:t>
      </w:r>
      <w:r w:rsidRPr="00F24BC1">
        <w:rPr>
          <w:sz w:val="28"/>
          <w:szCs w:val="28"/>
          <w:lang w:val="uk-UA"/>
        </w:rPr>
        <w:t>.</w:t>
      </w:r>
      <w:r>
        <w:rPr>
          <w:sz w:val="28"/>
          <w:szCs w:val="28"/>
          <w:lang w:val="uk-UA"/>
        </w:rPr>
        <w:t>4</w:t>
      </w:r>
      <w:r w:rsidRPr="00F24BC1">
        <w:rPr>
          <w:sz w:val="28"/>
          <w:szCs w:val="28"/>
          <w:lang w:val="uk-UA"/>
        </w:rPr>
        <w:t>.2. Протизапальна дія комплексної сполуки І та сполук, що входять до її складу (за показниками об’єму кінцівок, (за 30 хв. до введення флогогену),  (М</w:t>
      </w:r>
      <w:r w:rsidRPr="00F24BC1">
        <w:rPr>
          <w:color w:val="4D5156"/>
          <w:sz w:val="28"/>
          <w:szCs w:val="28"/>
          <w:shd w:val="clear" w:color="auto" w:fill="FFFFFF"/>
          <w:lang w:val="uk-UA"/>
        </w:rPr>
        <w:t>±</w:t>
      </w:r>
      <w:r w:rsidRPr="00F24BC1">
        <w:rPr>
          <w:sz w:val="28"/>
          <w:szCs w:val="28"/>
          <w:lang w:val="en-US"/>
        </w:rPr>
        <w:t>m</w:t>
      </w:r>
      <w:r w:rsidRPr="00F24BC1">
        <w:rPr>
          <w:sz w:val="28"/>
          <w:szCs w:val="28"/>
          <w:lang w:val="uk-UA"/>
        </w:rPr>
        <w:t xml:space="preserve">, </w:t>
      </w:r>
      <w:r w:rsidRPr="00F24BC1">
        <w:rPr>
          <w:sz w:val="28"/>
          <w:szCs w:val="28"/>
          <w:lang w:val="en-US"/>
        </w:rPr>
        <w:t>n</w:t>
      </w:r>
      <w:r w:rsidRPr="00F24BC1">
        <w:rPr>
          <w:sz w:val="28"/>
          <w:szCs w:val="28"/>
          <w:lang w:val="uk-UA"/>
        </w:rPr>
        <w:t xml:space="preserve">=5) </w:t>
      </w:r>
    </w:p>
    <w:p w14:paraId="3785E633" w14:textId="77777777" w:rsidR="00F05F4E" w:rsidRPr="008A6B7D" w:rsidRDefault="00F05F4E" w:rsidP="00352B8A">
      <w:pPr>
        <w:ind w:left="450" w:hanging="450"/>
        <w:jc w:val="both"/>
        <w:rPr>
          <w:lang w:val="uk-UA"/>
        </w:rPr>
      </w:pPr>
      <w:r w:rsidRPr="008A6B7D">
        <w:rPr>
          <w:lang w:val="uk-UA"/>
        </w:rPr>
        <w:t xml:space="preserve">Примітки: </w:t>
      </w:r>
    </w:p>
    <w:p w14:paraId="26DCF7C3" w14:textId="77777777" w:rsidR="00F05F4E" w:rsidRPr="008A6B7D" w:rsidRDefault="00F05F4E" w:rsidP="00352B8A">
      <w:pPr>
        <w:numPr>
          <w:ilvl w:val="3"/>
          <w:numId w:val="22"/>
        </w:numPr>
        <w:ind w:left="450" w:hanging="450"/>
        <w:jc w:val="both"/>
        <w:rPr>
          <w:lang w:val="uk-UA"/>
        </w:rPr>
      </w:pPr>
      <w:r w:rsidRPr="008A6B7D">
        <w:t>*</w:t>
      </w:r>
      <w:r w:rsidRPr="008A6B7D">
        <w:rPr>
          <w:lang w:val="uk-UA"/>
        </w:rPr>
        <w:t xml:space="preserve"> </w:t>
      </w:r>
      <w:r w:rsidRPr="008A6B7D">
        <w:t>-</w:t>
      </w:r>
      <w:r w:rsidRPr="008A6B7D">
        <w:rPr>
          <w:lang w:val="uk-UA"/>
        </w:rPr>
        <w:t xml:space="preserve"> </w:t>
      </w:r>
      <w:r w:rsidRPr="008A6B7D">
        <w:rPr>
          <w:lang w:val="en-US"/>
        </w:rPr>
        <w:t>p</w:t>
      </w:r>
      <w:r w:rsidRPr="008A6B7D">
        <w:t xml:space="preserve"> </w:t>
      </w:r>
      <w:r w:rsidRPr="008A6B7D">
        <w:rPr>
          <w:lang w:val="en-US"/>
        </w:rPr>
        <w:sym w:font="Symbol" w:char="F03C"/>
      </w:r>
      <w:r w:rsidRPr="008A6B7D">
        <w:t xml:space="preserve"> 0,05 (</w:t>
      </w:r>
      <w:r w:rsidRPr="008A6B7D">
        <w:rPr>
          <w:lang w:val="uk-UA"/>
        </w:rPr>
        <w:t>статистично значуща різниця у порівнянні з контрольною групою).</w:t>
      </w:r>
      <w:r w:rsidRPr="008A6B7D">
        <w:t xml:space="preserve"> </w:t>
      </w:r>
    </w:p>
    <w:p w14:paraId="0619C764" w14:textId="77777777" w:rsidR="00F05F4E" w:rsidRPr="008A6B7D" w:rsidRDefault="00F05F4E" w:rsidP="00352B8A">
      <w:pPr>
        <w:numPr>
          <w:ilvl w:val="3"/>
          <w:numId w:val="22"/>
        </w:numPr>
        <w:ind w:left="450" w:hanging="450"/>
        <w:jc w:val="both"/>
        <w:rPr>
          <w:lang w:val="uk-UA"/>
        </w:rPr>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 групою).</w:t>
      </w:r>
    </w:p>
    <w:p w14:paraId="2602E8C0" w14:textId="77777777" w:rsidR="00F05F4E" w:rsidRPr="008A6B7D" w:rsidRDefault="00F05F4E" w:rsidP="00352B8A">
      <w:pPr>
        <w:numPr>
          <w:ilvl w:val="3"/>
          <w:numId w:val="22"/>
        </w:numPr>
        <w:ind w:left="450" w:hanging="450"/>
        <w:jc w:val="both"/>
        <w:rPr>
          <w:lang w:val="uk-UA"/>
        </w:rPr>
      </w:pPr>
      <w:r w:rsidRPr="008A6B7D">
        <w:rPr>
          <w:rFonts w:eastAsia="Calibri"/>
          <w:lang w:val="en-US"/>
        </w:rPr>
        <w:t>n</w:t>
      </w:r>
      <w:r w:rsidRPr="008A6B7D">
        <w:rPr>
          <w:rFonts w:eastAsia="Calibri"/>
        </w:rPr>
        <w:t xml:space="preserve"> </w:t>
      </w:r>
      <w:r w:rsidRPr="008A6B7D">
        <w:t>–</w:t>
      </w:r>
      <w:r w:rsidRPr="008A6B7D">
        <w:rPr>
          <w:rFonts w:eastAsia="Calibri"/>
        </w:rPr>
        <w:t xml:space="preserve"> кількість тварин у групі. </w:t>
      </w:r>
    </w:p>
    <w:p w14:paraId="58A7C1AD" w14:textId="77777777" w:rsidR="00F05F4E" w:rsidRDefault="00F05F4E" w:rsidP="00F05F4E">
      <w:pPr>
        <w:pStyle w:val="a6"/>
        <w:spacing w:before="0" w:beforeAutospacing="0" w:after="0" w:afterAutospacing="0" w:line="360" w:lineRule="auto"/>
        <w:ind w:firstLine="720"/>
        <w:jc w:val="both"/>
        <w:rPr>
          <w:sz w:val="28"/>
          <w:szCs w:val="28"/>
          <w:lang w:val="uk-UA"/>
        </w:rPr>
      </w:pPr>
    </w:p>
    <w:p w14:paraId="36BDDEF8" w14:textId="77777777" w:rsidR="00F05F4E" w:rsidRPr="008A6B7D" w:rsidRDefault="00F05F4E" w:rsidP="00F05F4E">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Можливо припустити, що висока ефективність комплексної сполуки ІІ обумовлена синергізмом дії лігандів 4-бромбензальдегіду і саліцилової кислоти, які входять до її структури.</w:t>
      </w:r>
    </w:p>
    <w:p w14:paraId="2D1F90C2" w14:textId="6A249B09" w:rsidR="00F05F4E" w:rsidRPr="008A6B7D" w:rsidRDefault="00F05F4E" w:rsidP="00F05F4E">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 xml:space="preserve">Відомо, що іони </w:t>
      </w:r>
      <w:r w:rsidRPr="008A6B7D">
        <w:rPr>
          <w:color w:val="000000" w:themeColor="text1"/>
          <w:sz w:val="28"/>
          <w:szCs w:val="28"/>
          <w:lang w:val="en-US"/>
        </w:rPr>
        <w:t>Sn</w:t>
      </w:r>
      <w:r w:rsidRPr="008A6B7D">
        <w:rPr>
          <w:color w:val="000000" w:themeColor="text1"/>
          <w:sz w:val="28"/>
          <w:szCs w:val="28"/>
          <w:lang w:val="uk-UA"/>
        </w:rPr>
        <w:t xml:space="preserve"> здатні індукувати цитопротекцію і проявляти деякі протизапальні властивості [</w:t>
      </w:r>
      <w:r w:rsidR="00B85935" w:rsidRPr="008A6B7D">
        <w:rPr>
          <w:color w:val="000000" w:themeColor="text1"/>
          <w:sz w:val="28"/>
          <w:szCs w:val="28"/>
          <w:lang w:val="uk-UA"/>
        </w:rPr>
        <w:t>141</w:t>
      </w:r>
      <w:r w:rsidRPr="008A6B7D">
        <w:rPr>
          <w:color w:val="000000" w:themeColor="text1"/>
          <w:sz w:val="28"/>
          <w:szCs w:val="28"/>
          <w:lang w:val="uk-UA"/>
        </w:rPr>
        <w:t>], саме це підтверджують результати наших досліджень на моделі трипсинового запалення.</w:t>
      </w:r>
    </w:p>
    <w:p w14:paraId="2F0132F3" w14:textId="77777777" w:rsidR="00F05F4E" w:rsidRPr="008A6B7D" w:rsidRDefault="00F05F4E" w:rsidP="00F05F4E">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 xml:space="preserve">Згідно з отриманими даними, в першу годину після введення трипсину, дія іонів Sn (у вигляді </w:t>
      </w:r>
      <w:r w:rsidRPr="008A6B7D">
        <w:rPr>
          <w:color w:val="000000" w:themeColor="text1"/>
          <w:sz w:val="28"/>
          <w:szCs w:val="28"/>
          <w:lang w:val="en-US"/>
        </w:rPr>
        <w:t>SnCl</w:t>
      </w:r>
      <w:r w:rsidRPr="008A6B7D">
        <w:rPr>
          <w:color w:val="000000" w:themeColor="text1"/>
          <w:sz w:val="28"/>
          <w:szCs w:val="28"/>
          <w:vertAlign w:val="subscript"/>
          <w:lang w:val="uk-UA"/>
        </w:rPr>
        <w:t>2</w:t>
      </w:r>
      <w:r w:rsidRPr="008A6B7D">
        <w:rPr>
          <w:color w:val="000000" w:themeColor="text1"/>
          <w:sz w:val="28"/>
          <w:szCs w:val="28"/>
          <w:lang w:val="uk-UA"/>
        </w:rPr>
        <w:t>) обумовлює зниження об’єму запаленої кінцівки на 28% відносно контрольної групи. Через три години після початку експерименту різниця об’ємів контрольної і дослідної груп становила 17%, а через 6 годин експерименту показники, що досліджувалися, сягнули інтактних.</w:t>
      </w:r>
      <w:r w:rsidRPr="008A6B7D">
        <w:rPr>
          <w:color w:val="000000" w:themeColor="text1"/>
          <w:sz w:val="28"/>
          <w:szCs w:val="28"/>
          <w:shd w:val="clear" w:color="auto" w:fill="C0C0C0"/>
          <w:lang w:val="uk-UA"/>
        </w:rPr>
        <w:t xml:space="preserve"> </w:t>
      </w:r>
    </w:p>
    <w:p w14:paraId="1E949D7E" w14:textId="5FED3F81" w:rsidR="00F05F4E" w:rsidRPr="008A6B7D" w:rsidRDefault="00F05F4E" w:rsidP="007C0C3C">
      <w:pPr>
        <w:pStyle w:val="a6"/>
        <w:spacing w:before="0" w:beforeAutospacing="0" w:after="0" w:afterAutospacing="0" w:line="360" w:lineRule="auto"/>
        <w:ind w:firstLine="567"/>
        <w:jc w:val="both"/>
        <w:rPr>
          <w:color w:val="000000" w:themeColor="text1"/>
          <w:sz w:val="28"/>
          <w:szCs w:val="28"/>
          <w:lang w:val="uk-UA"/>
        </w:rPr>
      </w:pPr>
      <w:r w:rsidRPr="008A6B7D">
        <w:rPr>
          <w:color w:val="000000" w:themeColor="text1"/>
          <w:sz w:val="28"/>
          <w:szCs w:val="28"/>
          <w:lang w:val="uk-UA"/>
        </w:rPr>
        <w:lastRenderedPageBreak/>
        <w:t xml:space="preserve">Для оцінки протизапальної дії біологічно-активних речовин, крім визначення зміни об'єму запаленої кінцівки, спостерігали також за динамікою зміни її товщини в місці запалення. </w:t>
      </w:r>
      <w:r w:rsidR="00650AF5" w:rsidRPr="008A6B7D">
        <w:rPr>
          <w:color w:val="000000" w:themeColor="text1"/>
          <w:sz w:val="28"/>
          <w:szCs w:val="28"/>
          <w:lang w:val="uk-UA"/>
        </w:rPr>
        <w:t>Д</w:t>
      </w:r>
      <w:r w:rsidRPr="008A6B7D">
        <w:rPr>
          <w:color w:val="000000" w:themeColor="text1"/>
          <w:sz w:val="28"/>
          <w:szCs w:val="28"/>
          <w:lang w:val="uk-UA"/>
        </w:rPr>
        <w:t xml:space="preserve">инаміка зміни товщини запаленої кінцівки за своїм профілем схожа на зміну її об'єму, але контрольні показники, при використанні всіх досліджуваних сполук, досягаються тільки через </w:t>
      </w:r>
      <w:r w:rsidR="00821BED">
        <w:rPr>
          <w:color w:val="000000" w:themeColor="text1"/>
          <w:sz w:val="28"/>
          <w:szCs w:val="28"/>
          <w:lang w:val="uk-UA"/>
        </w:rPr>
        <w:br/>
      </w:r>
      <w:r w:rsidRPr="008A6B7D">
        <w:rPr>
          <w:color w:val="000000" w:themeColor="text1"/>
          <w:sz w:val="28"/>
          <w:szCs w:val="28"/>
          <w:lang w:val="uk-UA"/>
        </w:rPr>
        <w:t>24 години після введення флогогену, що, мабуть, пов'язано з фізіологією його розсмоктування</w:t>
      </w:r>
      <w:r w:rsidR="00650AF5" w:rsidRPr="008A6B7D">
        <w:rPr>
          <w:color w:val="000000" w:themeColor="text1"/>
          <w:sz w:val="28"/>
          <w:szCs w:val="28"/>
          <w:lang w:val="uk-UA"/>
        </w:rPr>
        <w:t xml:space="preserve"> (табл 4.4.1)</w:t>
      </w:r>
      <w:r w:rsidRPr="008A6B7D">
        <w:rPr>
          <w:color w:val="000000" w:themeColor="text1"/>
          <w:sz w:val="28"/>
          <w:szCs w:val="28"/>
          <w:lang w:val="uk-UA"/>
        </w:rPr>
        <w:t>.</w:t>
      </w:r>
    </w:p>
    <w:p w14:paraId="6A82D6A3" w14:textId="1692F383" w:rsidR="00F05F4E" w:rsidRPr="007C0C3C" w:rsidRDefault="00F05F4E" w:rsidP="00F05F4E">
      <w:pPr>
        <w:spacing w:line="360" w:lineRule="auto"/>
        <w:ind w:firstLine="708"/>
        <w:jc w:val="right"/>
        <w:rPr>
          <w:i/>
          <w:iCs/>
          <w:sz w:val="28"/>
          <w:szCs w:val="28"/>
          <w:lang w:val="uk-UA"/>
        </w:rPr>
      </w:pPr>
      <w:r w:rsidRPr="007C0C3C">
        <w:rPr>
          <w:i/>
          <w:iCs/>
          <w:sz w:val="28"/>
          <w:szCs w:val="28"/>
          <w:lang w:val="uk-UA"/>
        </w:rPr>
        <w:t>Таблиця 4.4.1</w:t>
      </w:r>
    </w:p>
    <w:p w14:paraId="387108CD" w14:textId="77777777" w:rsidR="00F05F4E" w:rsidRPr="00627928" w:rsidRDefault="00F05F4E" w:rsidP="007C0C3C">
      <w:pPr>
        <w:spacing w:line="360" w:lineRule="auto"/>
        <w:jc w:val="right"/>
        <w:rPr>
          <w:b/>
          <w:sz w:val="28"/>
          <w:szCs w:val="28"/>
          <w:lang w:val="uk-UA"/>
        </w:rPr>
      </w:pPr>
      <w:r w:rsidRPr="00F24BC1">
        <w:rPr>
          <w:b/>
          <w:bCs/>
          <w:sz w:val="28"/>
          <w:szCs w:val="28"/>
          <w:lang w:val="uk-UA"/>
        </w:rPr>
        <w:t xml:space="preserve">Протизапальна активність досліджуваних сполук при пероральному введенні (за показниками товщини кінцівки, за 30 хв. до введення флогогену), </w:t>
      </w:r>
      <w:r w:rsidRPr="00F24BC1">
        <w:rPr>
          <w:b/>
          <w:sz w:val="28"/>
          <w:szCs w:val="28"/>
          <w:lang w:val="uk-UA"/>
        </w:rPr>
        <w:t>(М</w:t>
      </w:r>
      <w:r w:rsidRPr="00F24BC1">
        <w:rPr>
          <w:b/>
          <w:color w:val="4D5156"/>
          <w:sz w:val="28"/>
          <w:szCs w:val="28"/>
          <w:shd w:val="clear" w:color="auto" w:fill="FFFFFF"/>
          <w:lang w:val="uk-UA"/>
        </w:rPr>
        <w:t>±</w:t>
      </w:r>
      <w:r w:rsidRPr="00F24BC1">
        <w:rPr>
          <w:b/>
          <w:sz w:val="28"/>
          <w:szCs w:val="28"/>
          <w:lang w:val="en-US"/>
        </w:rPr>
        <w:t>m</w:t>
      </w:r>
      <w:r w:rsidRPr="00F24BC1">
        <w:rPr>
          <w:b/>
          <w:sz w:val="28"/>
          <w:szCs w:val="28"/>
          <w:lang w:val="uk-UA"/>
        </w:rPr>
        <w:t xml:space="preserve">, </w:t>
      </w:r>
      <w:r w:rsidRPr="00F24BC1">
        <w:rPr>
          <w:b/>
          <w:sz w:val="28"/>
          <w:szCs w:val="28"/>
          <w:lang w:val="en-US"/>
        </w:rPr>
        <w:t>n</w:t>
      </w:r>
      <w:r w:rsidRPr="00F24BC1">
        <w:rPr>
          <w:b/>
          <w:sz w:val="28"/>
          <w:szCs w:val="28"/>
          <w:lang w:val="uk-UA"/>
        </w:rPr>
        <w:t>=5)</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1740"/>
        <w:gridCol w:w="609"/>
        <w:gridCol w:w="1566"/>
        <w:gridCol w:w="1479"/>
        <w:gridCol w:w="1566"/>
        <w:gridCol w:w="1392"/>
        <w:gridCol w:w="455"/>
      </w:tblGrid>
      <w:tr w:rsidR="00F05F4E" w:rsidRPr="00A50810" w14:paraId="71CC2193" w14:textId="77777777" w:rsidTr="00A50810">
        <w:trPr>
          <w:trHeight w:val="545"/>
        </w:trPr>
        <w:tc>
          <w:tcPr>
            <w:tcW w:w="604" w:type="dxa"/>
            <w:shd w:val="clear" w:color="auto" w:fill="auto"/>
            <w:vAlign w:val="bottom"/>
          </w:tcPr>
          <w:p w14:paraId="636B754A" w14:textId="77777777" w:rsidR="00F05F4E" w:rsidRPr="00A50810" w:rsidRDefault="00F05F4E" w:rsidP="00A50810">
            <w:pPr>
              <w:widowControl w:val="0"/>
              <w:autoSpaceDE w:val="0"/>
              <w:autoSpaceDN w:val="0"/>
              <w:adjustRightInd w:val="0"/>
              <w:spacing w:line="360" w:lineRule="auto"/>
              <w:jc w:val="center"/>
              <w:rPr>
                <w:lang w:val="uk-UA"/>
              </w:rPr>
            </w:pPr>
            <w:r w:rsidRPr="00A50810">
              <w:t>№</w:t>
            </w:r>
          </w:p>
        </w:tc>
        <w:tc>
          <w:tcPr>
            <w:tcW w:w="1740" w:type="dxa"/>
            <w:shd w:val="clear" w:color="auto" w:fill="auto"/>
            <w:vAlign w:val="bottom"/>
          </w:tcPr>
          <w:p w14:paraId="2C7F8967" w14:textId="77777777" w:rsidR="00F05F4E" w:rsidRPr="00A50810" w:rsidRDefault="00F05F4E" w:rsidP="00A50810">
            <w:pPr>
              <w:widowControl w:val="0"/>
              <w:autoSpaceDE w:val="0"/>
              <w:autoSpaceDN w:val="0"/>
              <w:adjustRightInd w:val="0"/>
              <w:spacing w:line="360" w:lineRule="auto"/>
              <w:jc w:val="center"/>
            </w:pPr>
            <w:r w:rsidRPr="00A50810">
              <w:t>Сполука</w:t>
            </w:r>
          </w:p>
        </w:tc>
        <w:tc>
          <w:tcPr>
            <w:tcW w:w="7066" w:type="dxa"/>
            <w:gridSpan w:val="6"/>
            <w:shd w:val="clear" w:color="auto" w:fill="auto"/>
            <w:vAlign w:val="bottom"/>
          </w:tcPr>
          <w:p w14:paraId="33C6EF03" w14:textId="77777777" w:rsidR="00F05F4E" w:rsidRPr="00A50810" w:rsidRDefault="00F05F4E" w:rsidP="00A50810">
            <w:pPr>
              <w:widowControl w:val="0"/>
              <w:autoSpaceDE w:val="0"/>
              <w:autoSpaceDN w:val="0"/>
              <w:adjustRightInd w:val="0"/>
              <w:spacing w:line="360" w:lineRule="auto"/>
              <w:jc w:val="center"/>
              <w:rPr>
                <w:b/>
              </w:rPr>
            </w:pPr>
            <w:r w:rsidRPr="00A50810">
              <w:rPr>
                <w:b/>
              </w:rPr>
              <w:t xml:space="preserve">Час </w:t>
            </w:r>
            <w:r w:rsidRPr="00A50810">
              <w:rPr>
                <w:b/>
                <w:lang w:val="uk-UA"/>
              </w:rPr>
              <w:t>спостереження</w:t>
            </w:r>
            <w:r w:rsidRPr="00A50810">
              <w:rPr>
                <w:b/>
              </w:rPr>
              <w:t xml:space="preserve"> (год)</w:t>
            </w:r>
          </w:p>
        </w:tc>
      </w:tr>
      <w:tr w:rsidR="00F05F4E" w:rsidRPr="00A50810" w14:paraId="44A6181B" w14:textId="77777777" w:rsidTr="00A50810">
        <w:trPr>
          <w:trHeight w:val="355"/>
        </w:trPr>
        <w:tc>
          <w:tcPr>
            <w:tcW w:w="604" w:type="dxa"/>
            <w:shd w:val="clear" w:color="auto" w:fill="auto"/>
            <w:vAlign w:val="bottom"/>
          </w:tcPr>
          <w:p w14:paraId="3F30FC4A" w14:textId="77777777" w:rsidR="00F05F4E" w:rsidRPr="00A50810" w:rsidRDefault="00F05F4E" w:rsidP="00A50810">
            <w:pPr>
              <w:widowControl w:val="0"/>
              <w:autoSpaceDE w:val="0"/>
              <w:autoSpaceDN w:val="0"/>
              <w:adjustRightInd w:val="0"/>
              <w:spacing w:line="360" w:lineRule="auto"/>
              <w:jc w:val="center"/>
            </w:pPr>
          </w:p>
        </w:tc>
        <w:tc>
          <w:tcPr>
            <w:tcW w:w="1740" w:type="dxa"/>
            <w:shd w:val="clear" w:color="auto" w:fill="auto"/>
            <w:vAlign w:val="bottom"/>
          </w:tcPr>
          <w:p w14:paraId="554B6E56" w14:textId="77777777" w:rsidR="00F05F4E" w:rsidRPr="00A50810" w:rsidRDefault="00F05F4E" w:rsidP="00A50810">
            <w:pPr>
              <w:widowControl w:val="0"/>
              <w:autoSpaceDE w:val="0"/>
              <w:autoSpaceDN w:val="0"/>
              <w:adjustRightInd w:val="0"/>
              <w:spacing w:line="360" w:lineRule="auto"/>
              <w:jc w:val="center"/>
            </w:pPr>
          </w:p>
        </w:tc>
        <w:tc>
          <w:tcPr>
            <w:tcW w:w="609" w:type="dxa"/>
            <w:shd w:val="clear" w:color="auto" w:fill="auto"/>
            <w:vAlign w:val="bottom"/>
          </w:tcPr>
          <w:p w14:paraId="49D4AFB6" w14:textId="77777777" w:rsidR="00F05F4E" w:rsidRPr="00A50810" w:rsidRDefault="00F05F4E" w:rsidP="00A50810">
            <w:pPr>
              <w:widowControl w:val="0"/>
              <w:autoSpaceDE w:val="0"/>
              <w:autoSpaceDN w:val="0"/>
              <w:adjustRightInd w:val="0"/>
              <w:spacing w:line="360" w:lineRule="auto"/>
              <w:jc w:val="center"/>
            </w:pPr>
            <w:r w:rsidRPr="00A50810">
              <w:t>0</w:t>
            </w:r>
          </w:p>
        </w:tc>
        <w:tc>
          <w:tcPr>
            <w:tcW w:w="1566" w:type="dxa"/>
            <w:shd w:val="clear" w:color="auto" w:fill="auto"/>
            <w:vAlign w:val="bottom"/>
          </w:tcPr>
          <w:p w14:paraId="7F65A41E" w14:textId="77777777" w:rsidR="00F05F4E" w:rsidRPr="00A50810" w:rsidRDefault="00F05F4E" w:rsidP="00A50810">
            <w:pPr>
              <w:widowControl w:val="0"/>
              <w:autoSpaceDE w:val="0"/>
              <w:autoSpaceDN w:val="0"/>
              <w:adjustRightInd w:val="0"/>
              <w:spacing w:line="360" w:lineRule="auto"/>
              <w:jc w:val="center"/>
            </w:pPr>
            <w:r w:rsidRPr="00A50810">
              <w:t>1</w:t>
            </w:r>
          </w:p>
        </w:tc>
        <w:tc>
          <w:tcPr>
            <w:tcW w:w="1479" w:type="dxa"/>
            <w:shd w:val="clear" w:color="auto" w:fill="auto"/>
            <w:vAlign w:val="bottom"/>
          </w:tcPr>
          <w:p w14:paraId="79560C47" w14:textId="77777777" w:rsidR="00F05F4E" w:rsidRPr="00A50810" w:rsidRDefault="00F05F4E" w:rsidP="00A50810">
            <w:pPr>
              <w:widowControl w:val="0"/>
              <w:autoSpaceDE w:val="0"/>
              <w:autoSpaceDN w:val="0"/>
              <w:adjustRightInd w:val="0"/>
              <w:spacing w:line="360" w:lineRule="auto"/>
              <w:jc w:val="center"/>
            </w:pPr>
            <w:r w:rsidRPr="00A50810">
              <w:t>2</w:t>
            </w:r>
          </w:p>
        </w:tc>
        <w:tc>
          <w:tcPr>
            <w:tcW w:w="1566" w:type="dxa"/>
            <w:shd w:val="clear" w:color="auto" w:fill="auto"/>
            <w:vAlign w:val="bottom"/>
          </w:tcPr>
          <w:p w14:paraId="752209E2" w14:textId="77777777" w:rsidR="00F05F4E" w:rsidRPr="00A50810" w:rsidRDefault="00F05F4E" w:rsidP="00A50810">
            <w:pPr>
              <w:widowControl w:val="0"/>
              <w:autoSpaceDE w:val="0"/>
              <w:autoSpaceDN w:val="0"/>
              <w:adjustRightInd w:val="0"/>
              <w:spacing w:line="360" w:lineRule="auto"/>
              <w:jc w:val="center"/>
            </w:pPr>
            <w:r w:rsidRPr="00A50810">
              <w:t>3</w:t>
            </w:r>
          </w:p>
        </w:tc>
        <w:tc>
          <w:tcPr>
            <w:tcW w:w="1392" w:type="dxa"/>
            <w:shd w:val="clear" w:color="auto" w:fill="auto"/>
            <w:vAlign w:val="bottom"/>
          </w:tcPr>
          <w:p w14:paraId="35E21A50" w14:textId="77777777" w:rsidR="00F05F4E" w:rsidRPr="00A50810" w:rsidRDefault="00F05F4E" w:rsidP="00A50810">
            <w:pPr>
              <w:widowControl w:val="0"/>
              <w:autoSpaceDE w:val="0"/>
              <w:autoSpaceDN w:val="0"/>
              <w:adjustRightInd w:val="0"/>
              <w:spacing w:line="360" w:lineRule="auto"/>
              <w:jc w:val="center"/>
            </w:pPr>
            <w:r w:rsidRPr="00A50810">
              <w:t>6</w:t>
            </w:r>
          </w:p>
        </w:tc>
        <w:tc>
          <w:tcPr>
            <w:tcW w:w="452" w:type="dxa"/>
            <w:shd w:val="clear" w:color="auto" w:fill="auto"/>
            <w:vAlign w:val="bottom"/>
          </w:tcPr>
          <w:p w14:paraId="3E18489A" w14:textId="77777777" w:rsidR="00F05F4E" w:rsidRPr="00A50810" w:rsidRDefault="00F05F4E" w:rsidP="00A50810">
            <w:pPr>
              <w:widowControl w:val="0"/>
              <w:autoSpaceDE w:val="0"/>
              <w:autoSpaceDN w:val="0"/>
              <w:adjustRightInd w:val="0"/>
              <w:spacing w:line="360" w:lineRule="auto"/>
              <w:rPr>
                <w:sz w:val="22"/>
                <w:szCs w:val="22"/>
              </w:rPr>
            </w:pPr>
            <w:r w:rsidRPr="00A50810">
              <w:rPr>
                <w:sz w:val="22"/>
                <w:szCs w:val="22"/>
              </w:rPr>
              <w:t>24</w:t>
            </w:r>
          </w:p>
        </w:tc>
      </w:tr>
      <w:tr w:rsidR="00F05F4E" w:rsidRPr="00A50810" w14:paraId="62CEDF4D" w14:textId="77777777" w:rsidTr="00A50810">
        <w:trPr>
          <w:trHeight w:val="355"/>
        </w:trPr>
        <w:tc>
          <w:tcPr>
            <w:tcW w:w="9411" w:type="dxa"/>
            <w:gridSpan w:val="8"/>
            <w:shd w:val="clear" w:color="auto" w:fill="auto"/>
            <w:vAlign w:val="bottom"/>
          </w:tcPr>
          <w:p w14:paraId="32F7ADAF" w14:textId="77777777" w:rsidR="00F05F4E" w:rsidRPr="00A50810" w:rsidRDefault="00F05F4E" w:rsidP="00A50810">
            <w:pPr>
              <w:widowControl w:val="0"/>
              <w:autoSpaceDE w:val="0"/>
              <w:autoSpaceDN w:val="0"/>
              <w:adjustRightInd w:val="0"/>
              <w:spacing w:line="360" w:lineRule="auto"/>
              <w:jc w:val="center"/>
              <w:rPr>
                <w:lang w:val="uk-UA"/>
              </w:rPr>
            </w:pPr>
            <w:r w:rsidRPr="00A50810">
              <w:rPr>
                <w:lang w:val="uk-UA"/>
              </w:rPr>
              <w:t>Приріст товщини, у % до вихідних значень</w:t>
            </w:r>
          </w:p>
        </w:tc>
      </w:tr>
      <w:tr w:rsidR="00F05F4E" w:rsidRPr="00A50810" w14:paraId="5853ED3C" w14:textId="77777777" w:rsidTr="00A50810">
        <w:trPr>
          <w:trHeight w:val="450"/>
        </w:trPr>
        <w:tc>
          <w:tcPr>
            <w:tcW w:w="604" w:type="dxa"/>
            <w:shd w:val="clear" w:color="auto" w:fill="auto"/>
            <w:vAlign w:val="bottom"/>
          </w:tcPr>
          <w:p w14:paraId="355966D0"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1</w:t>
            </w:r>
          </w:p>
        </w:tc>
        <w:tc>
          <w:tcPr>
            <w:tcW w:w="1740" w:type="dxa"/>
            <w:shd w:val="clear" w:color="auto" w:fill="auto"/>
            <w:vAlign w:val="bottom"/>
          </w:tcPr>
          <w:p w14:paraId="41CA0B3C"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Контроль</w:t>
            </w:r>
          </w:p>
        </w:tc>
        <w:tc>
          <w:tcPr>
            <w:tcW w:w="609" w:type="dxa"/>
            <w:shd w:val="clear" w:color="auto" w:fill="auto"/>
            <w:vAlign w:val="bottom"/>
          </w:tcPr>
          <w:p w14:paraId="7F1DD62F" w14:textId="77777777" w:rsidR="00F05F4E" w:rsidRPr="00A50810" w:rsidRDefault="00F05F4E" w:rsidP="00A50810">
            <w:pPr>
              <w:spacing w:line="360" w:lineRule="auto"/>
              <w:rPr>
                <w:color w:val="000000"/>
              </w:rPr>
            </w:pPr>
            <w:r w:rsidRPr="00A50810">
              <w:rPr>
                <w:color w:val="000000"/>
              </w:rPr>
              <w:t>0</w:t>
            </w:r>
          </w:p>
        </w:tc>
        <w:tc>
          <w:tcPr>
            <w:tcW w:w="1566" w:type="dxa"/>
            <w:shd w:val="clear" w:color="auto" w:fill="auto"/>
            <w:vAlign w:val="bottom"/>
          </w:tcPr>
          <w:p w14:paraId="36AEBDAA" w14:textId="77777777" w:rsidR="00F05F4E" w:rsidRPr="00A50810" w:rsidRDefault="00F05F4E" w:rsidP="00A50810">
            <w:pPr>
              <w:spacing w:line="360" w:lineRule="auto"/>
              <w:rPr>
                <w:color w:val="000000"/>
              </w:rPr>
            </w:pPr>
            <w:r w:rsidRPr="00A50810">
              <w:rPr>
                <w:color w:val="000000"/>
              </w:rPr>
              <w:t>71,7</w:t>
            </w:r>
            <w:r w:rsidRPr="00A50810">
              <w:rPr>
                <w:color w:val="000000"/>
                <w:lang w:val="uk-UA"/>
              </w:rPr>
              <w:t xml:space="preserve"> </w:t>
            </w:r>
            <w:r w:rsidRPr="00A50810">
              <w:rPr>
                <w:color w:val="1C1C1C"/>
              </w:rPr>
              <w:t>± 0,1</w:t>
            </w:r>
          </w:p>
        </w:tc>
        <w:tc>
          <w:tcPr>
            <w:tcW w:w="1479" w:type="dxa"/>
            <w:shd w:val="clear" w:color="auto" w:fill="auto"/>
            <w:vAlign w:val="bottom"/>
          </w:tcPr>
          <w:p w14:paraId="68AEEE82" w14:textId="77777777" w:rsidR="00F05F4E" w:rsidRPr="00A50810" w:rsidRDefault="00F05F4E" w:rsidP="00A50810">
            <w:pPr>
              <w:spacing w:line="360" w:lineRule="auto"/>
              <w:rPr>
                <w:color w:val="000000"/>
              </w:rPr>
            </w:pPr>
            <w:r w:rsidRPr="00A50810">
              <w:rPr>
                <w:color w:val="000000"/>
              </w:rPr>
              <w:t>69,6</w:t>
            </w:r>
            <w:r w:rsidRPr="00A50810">
              <w:rPr>
                <w:color w:val="000000"/>
                <w:lang w:val="uk-UA"/>
              </w:rPr>
              <w:t xml:space="preserve"> </w:t>
            </w:r>
            <w:r w:rsidRPr="00A50810">
              <w:rPr>
                <w:color w:val="1C1C1C"/>
              </w:rPr>
              <w:t>±</w:t>
            </w:r>
            <w:r w:rsidRPr="00A50810">
              <w:rPr>
                <w:color w:val="1C1C1C"/>
                <w:lang w:val="uk-UA"/>
              </w:rPr>
              <w:t xml:space="preserve"> </w:t>
            </w:r>
            <w:r w:rsidRPr="00A50810">
              <w:rPr>
                <w:color w:val="1C1C1C"/>
              </w:rPr>
              <w:t>0,2</w:t>
            </w:r>
          </w:p>
        </w:tc>
        <w:tc>
          <w:tcPr>
            <w:tcW w:w="1566" w:type="dxa"/>
            <w:shd w:val="clear" w:color="auto" w:fill="auto"/>
            <w:vAlign w:val="bottom"/>
          </w:tcPr>
          <w:p w14:paraId="1A00E392" w14:textId="77777777" w:rsidR="00F05F4E" w:rsidRPr="00A50810" w:rsidRDefault="00F05F4E" w:rsidP="00A50810">
            <w:pPr>
              <w:spacing w:line="360" w:lineRule="auto"/>
              <w:rPr>
                <w:color w:val="000000"/>
              </w:rPr>
            </w:pPr>
            <w:r w:rsidRPr="00A50810">
              <w:rPr>
                <w:color w:val="000000"/>
              </w:rPr>
              <w:t xml:space="preserve">52,2 </w:t>
            </w:r>
            <w:r w:rsidRPr="00A50810">
              <w:rPr>
                <w:color w:val="1C1C1C"/>
              </w:rPr>
              <w:t>± 0,1</w:t>
            </w:r>
          </w:p>
        </w:tc>
        <w:tc>
          <w:tcPr>
            <w:tcW w:w="1392" w:type="dxa"/>
            <w:shd w:val="clear" w:color="auto" w:fill="auto"/>
            <w:vAlign w:val="bottom"/>
          </w:tcPr>
          <w:p w14:paraId="2F27128F" w14:textId="77777777" w:rsidR="00F05F4E" w:rsidRPr="00A50810" w:rsidRDefault="00F05F4E" w:rsidP="00A50810">
            <w:pPr>
              <w:spacing w:line="360" w:lineRule="auto"/>
              <w:rPr>
                <w:color w:val="000000"/>
              </w:rPr>
            </w:pPr>
            <w:r w:rsidRPr="00A50810">
              <w:rPr>
                <w:color w:val="000000"/>
              </w:rPr>
              <w:t>43,5</w:t>
            </w:r>
            <w:r w:rsidRPr="00A50810">
              <w:rPr>
                <w:color w:val="000000"/>
                <w:lang w:val="uk-UA"/>
              </w:rPr>
              <w:t xml:space="preserve"> </w:t>
            </w:r>
            <w:r w:rsidRPr="00A50810">
              <w:rPr>
                <w:color w:val="1C1C1C"/>
              </w:rPr>
              <w:t>±</w:t>
            </w:r>
            <w:r w:rsidRPr="00A50810">
              <w:rPr>
                <w:color w:val="1C1C1C"/>
                <w:lang w:val="uk-UA"/>
              </w:rPr>
              <w:t xml:space="preserve"> </w:t>
            </w:r>
            <w:r w:rsidRPr="00A50810">
              <w:rPr>
                <w:color w:val="1C1C1C"/>
              </w:rPr>
              <w:t>0,2</w:t>
            </w:r>
          </w:p>
        </w:tc>
        <w:tc>
          <w:tcPr>
            <w:tcW w:w="452" w:type="dxa"/>
            <w:shd w:val="clear" w:color="auto" w:fill="auto"/>
            <w:vAlign w:val="bottom"/>
          </w:tcPr>
          <w:p w14:paraId="08FFCC79" w14:textId="77777777" w:rsidR="00F05F4E" w:rsidRPr="00A50810" w:rsidRDefault="00F05F4E" w:rsidP="00A50810">
            <w:pPr>
              <w:widowControl w:val="0"/>
              <w:autoSpaceDE w:val="0"/>
              <w:autoSpaceDN w:val="0"/>
              <w:adjustRightInd w:val="0"/>
              <w:spacing w:line="360" w:lineRule="auto"/>
              <w:rPr>
                <w:lang w:val="en-US"/>
              </w:rPr>
            </w:pPr>
            <w:r w:rsidRPr="00A50810">
              <w:rPr>
                <w:lang w:val="en-US"/>
              </w:rPr>
              <w:t>-</w:t>
            </w:r>
          </w:p>
        </w:tc>
      </w:tr>
      <w:tr w:rsidR="00F05F4E" w:rsidRPr="00A50810" w14:paraId="78656540" w14:textId="77777777" w:rsidTr="00A50810">
        <w:trPr>
          <w:trHeight w:val="486"/>
        </w:trPr>
        <w:tc>
          <w:tcPr>
            <w:tcW w:w="604" w:type="dxa"/>
            <w:shd w:val="clear" w:color="auto" w:fill="auto"/>
            <w:vAlign w:val="bottom"/>
          </w:tcPr>
          <w:p w14:paraId="26C1083D"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2</w:t>
            </w:r>
          </w:p>
        </w:tc>
        <w:tc>
          <w:tcPr>
            <w:tcW w:w="1740" w:type="dxa"/>
            <w:shd w:val="clear" w:color="auto" w:fill="auto"/>
            <w:vAlign w:val="bottom"/>
          </w:tcPr>
          <w:p w14:paraId="5665E626"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Ібупрофен</w:t>
            </w:r>
          </w:p>
        </w:tc>
        <w:tc>
          <w:tcPr>
            <w:tcW w:w="609" w:type="dxa"/>
            <w:shd w:val="clear" w:color="auto" w:fill="auto"/>
            <w:vAlign w:val="bottom"/>
          </w:tcPr>
          <w:p w14:paraId="1E3B1F6A" w14:textId="77777777" w:rsidR="00F05F4E" w:rsidRPr="00A50810" w:rsidRDefault="00F05F4E" w:rsidP="00A50810">
            <w:pPr>
              <w:spacing w:line="360" w:lineRule="auto"/>
              <w:rPr>
                <w:color w:val="000000"/>
                <w:lang w:val="uk-UA"/>
              </w:rPr>
            </w:pPr>
            <w:r w:rsidRPr="00A50810">
              <w:rPr>
                <w:color w:val="000000"/>
                <w:lang w:val="uk-UA"/>
              </w:rPr>
              <w:t>0</w:t>
            </w:r>
          </w:p>
        </w:tc>
        <w:tc>
          <w:tcPr>
            <w:tcW w:w="1566" w:type="dxa"/>
            <w:shd w:val="clear" w:color="auto" w:fill="auto"/>
            <w:vAlign w:val="bottom"/>
          </w:tcPr>
          <w:p w14:paraId="5D30F6A7" w14:textId="77777777" w:rsidR="00F05F4E" w:rsidRPr="00A50810" w:rsidRDefault="00F05F4E" w:rsidP="00A50810">
            <w:pPr>
              <w:spacing w:line="360" w:lineRule="auto"/>
              <w:rPr>
                <w:color w:val="000000"/>
                <w:lang w:val="uk-UA"/>
              </w:rPr>
            </w:pPr>
            <w:r w:rsidRPr="00A50810">
              <w:rPr>
                <w:color w:val="000000"/>
                <w:lang w:val="uk-UA"/>
              </w:rPr>
              <w:t xml:space="preserve">66,19 </w:t>
            </w:r>
            <w:r w:rsidRPr="00A50810">
              <w:rPr>
                <w:color w:val="1C1C1C"/>
              </w:rPr>
              <w:t>± 0,1</w:t>
            </w:r>
          </w:p>
        </w:tc>
        <w:tc>
          <w:tcPr>
            <w:tcW w:w="1479" w:type="dxa"/>
            <w:shd w:val="clear" w:color="auto" w:fill="auto"/>
            <w:vAlign w:val="bottom"/>
          </w:tcPr>
          <w:p w14:paraId="3A735A02" w14:textId="77777777" w:rsidR="00F05F4E" w:rsidRPr="00A50810" w:rsidRDefault="00F05F4E" w:rsidP="00A50810">
            <w:pPr>
              <w:spacing w:line="360" w:lineRule="auto"/>
              <w:rPr>
                <w:color w:val="000000"/>
                <w:lang w:val="uk-UA"/>
              </w:rPr>
            </w:pPr>
            <w:r w:rsidRPr="00A50810">
              <w:rPr>
                <w:color w:val="000000"/>
                <w:lang w:val="uk-UA"/>
              </w:rPr>
              <w:t xml:space="preserve">62,25 </w:t>
            </w:r>
            <w:r w:rsidRPr="00A50810">
              <w:rPr>
                <w:color w:val="1C1C1C"/>
              </w:rPr>
              <w:t>± 0,2</w:t>
            </w:r>
          </w:p>
        </w:tc>
        <w:tc>
          <w:tcPr>
            <w:tcW w:w="1566" w:type="dxa"/>
            <w:shd w:val="clear" w:color="auto" w:fill="auto"/>
            <w:vAlign w:val="bottom"/>
          </w:tcPr>
          <w:p w14:paraId="7650C36F" w14:textId="77777777" w:rsidR="00F05F4E" w:rsidRPr="00A50810" w:rsidRDefault="00F05F4E" w:rsidP="00A50810">
            <w:pPr>
              <w:spacing w:line="360" w:lineRule="auto"/>
              <w:rPr>
                <w:color w:val="000000"/>
                <w:lang w:val="uk-UA"/>
              </w:rPr>
            </w:pPr>
            <w:r w:rsidRPr="00A50810">
              <w:rPr>
                <w:color w:val="000000"/>
                <w:lang w:val="uk-UA"/>
              </w:rPr>
              <w:t xml:space="preserve">37,17 </w:t>
            </w:r>
            <w:r w:rsidRPr="00A50810">
              <w:rPr>
                <w:color w:val="1C1C1C"/>
              </w:rPr>
              <w:t>±</w:t>
            </w:r>
            <w:r w:rsidRPr="00A50810">
              <w:rPr>
                <w:color w:val="1C1C1C"/>
                <w:lang w:val="uk-UA"/>
              </w:rPr>
              <w:t xml:space="preserve"> </w:t>
            </w:r>
            <w:r w:rsidRPr="00A50810">
              <w:rPr>
                <w:color w:val="1C1C1C"/>
              </w:rPr>
              <w:t>0,3</w:t>
            </w:r>
          </w:p>
        </w:tc>
        <w:tc>
          <w:tcPr>
            <w:tcW w:w="1392" w:type="dxa"/>
            <w:shd w:val="clear" w:color="auto" w:fill="auto"/>
            <w:vAlign w:val="bottom"/>
          </w:tcPr>
          <w:p w14:paraId="136668D2" w14:textId="77777777" w:rsidR="00F05F4E" w:rsidRPr="00A50810" w:rsidRDefault="00F05F4E" w:rsidP="00A50810">
            <w:pPr>
              <w:spacing w:line="360" w:lineRule="auto"/>
              <w:rPr>
                <w:color w:val="000000"/>
                <w:lang w:val="uk-UA"/>
              </w:rPr>
            </w:pPr>
            <w:r w:rsidRPr="00A50810">
              <w:rPr>
                <w:color w:val="000000"/>
                <w:lang w:val="uk-UA"/>
              </w:rPr>
              <w:t xml:space="preserve">35,47 </w:t>
            </w:r>
            <w:r w:rsidRPr="00A50810">
              <w:rPr>
                <w:color w:val="1C1C1C"/>
              </w:rPr>
              <w:t>± 0,3</w:t>
            </w:r>
          </w:p>
        </w:tc>
        <w:tc>
          <w:tcPr>
            <w:tcW w:w="452" w:type="dxa"/>
            <w:shd w:val="clear" w:color="auto" w:fill="auto"/>
            <w:vAlign w:val="bottom"/>
          </w:tcPr>
          <w:p w14:paraId="5ACFFE8E" w14:textId="77777777" w:rsidR="00F05F4E" w:rsidRPr="00A50810" w:rsidRDefault="00F05F4E" w:rsidP="00A50810">
            <w:pPr>
              <w:widowControl w:val="0"/>
              <w:autoSpaceDE w:val="0"/>
              <w:autoSpaceDN w:val="0"/>
              <w:adjustRightInd w:val="0"/>
              <w:spacing w:line="360" w:lineRule="auto"/>
              <w:rPr>
                <w:lang w:val="en-US"/>
              </w:rPr>
            </w:pPr>
          </w:p>
        </w:tc>
      </w:tr>
      <w:tr w:rsidR="00F05F4E" w:rsidRPr="00A50810" w14:paraId="30A3101C" w14:textId="77777777" w:rsidTr="00A50810">
        <w:trPr>
          <w:trHeight w:val="486"/>
        </w:trPr>
        <w:tc>
          <w:tcPr>
            <w:tcW w:w="604" w:type="dxa"/>
            <w:shd w:val="clear" w:color="auto" w:fill="auto"/>
            <w:vAlign w:val="bottom"/>
          </w:tcPr>
          <w:p w14:paraId="64EA3605"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3</w:t>
            </w:r>
          </w:p>
        </w:tc>
        <w:tc>
          <w:tcPr>
            <w:tcW w:w="1740" w:type="dxa"/>
            <w:shd w:val="clear" w:color="auto" w:fill="auto"/>
            <w:vAlign w:val="bottom"/>
          </w:tcPr>
          <w:p w14:paraId="08273BB5"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Комплекс І</w:t>
            </w:r>
          </w:p>
        </w:tc>
        <w:tc>
          <w:tcPr>
            <w:tcW w:w="609" w:type="dxa"/>
            <w:shd w:val="clear" w:color="auto" w:fill="auto"/>
            <w:vAlign w:val="bottom"/>
          </w:tcPr>
          <w:p w14:paraId="642A32B8" w14:textId="77777777" w:rsidR="00F05F4E" w:rsidRPr="00A50810" w:rsidRDefault="00F05F4E" w:rsidP="00A50810">
            <w:pPr>
              <w:spacing w:line="360" w:lineRule="auto"/>
              <w:rPr>
                <w:color w:val="000000"/>
              </w:rPr>
            </w:pPr>
            <w:r w:rsidRPr="00A50810">
              <w:rPr>
                <w:color w:val="000000"/>
              </w:rPr>
              <w:t>0</w:t>
            </w:r>
          </w:p>
        </w:tc>
        <w:tc>
          <w:tcPr>
            <w:tcW w:w="1566" w:type="dxa"/>
            <w:shd w:val="clear" w:color="auto" w:fill="auto"/>
            <w:vAlign w:val="bottom"/>
          </w:tcPr>
          <w:p w14:paraId="41E89DE0" w14:textId="77777777" w:rsidR="00F05F4E" w:rsidRPr="00A50810" w:rsidRDefault="00F05F4E" w:rsidP="00A50810">
            <w:pPr>
              <w:spacing w:line="360" w:lineRule="auto"/>
              <w:rPr>
                <w:color w:val="000000"/>
                <w:lang w:val="en-US"/>
              </w:rPr>
            </w:pPr>
            <w:r w:rsidRPr="00A50810">
              <w:rPr>
                <w:color w:val="000000"/>
              </w:rPr>
              <w:t>54,3</w:t>
            </w:r>
            <w:r w:rsidRPr="00A50810">
              <w:rPr>
                <w:color w:val="000000"/>
                <w:lang w:val="uk-UA"/>
              </w:rPr>
              <w:t xml:space="preserve"> </w:t>
            </w:r>
            <w:r w:rsidRPr="00A50810">
              <w:rPr>
                <w:color w:val="1C1C1C"/>
              </w:rPr>
              <w:t>±</w:t>
            </w:r>
            <w:r w:rsidRPr="00A50810">
              <w:rPr>
                <w:color w:val="1C1C1C"/>
                <w:lang w:val="uk-UA"/>
              </w:rPr>
              <w:t xml:space="preserve"> </w:t>
            </w:r>
            <w:r w:rsidRPr="00A50810">
              <w:rPr>
                <w:color w:val="1C1C1C"/>
              </w:rPr>
              <w:t>0,1</w:t>
            </w:r>
            <w:r w:rsidRPr="00A50810">
              <w:rPr>
                <w:color w:val="1C1C1C"/>
                <w:vertAlign w:val="superscript"/>
                <w:lang w:val="en-US"/>
              </w:rPr>
              <w:t>*</w:t>
            </w:r>
          </w:p>
        </w:tc>
        <w:tc>
          <w:tcPr>
            <w:tcW w:w="1479" w:type="dxa"/>
            <w:shd w:val="clear" w:color="auto" w:fill="auto"/>
            <w:vAlign w:val="bottom"/>
          </w:tcPr>
          <w:p w14:paraId="13FD7CD5" w14:textId="77777777" w:rsidR="00F05F4E" w:rsidRPr="00A50810" w:rsidRDefault="00F05F4E" w:rsidP="00A50810">
            <w:pPr>
              <w:spacing w:line="360" w:lineRule="auto"/>
              <w:rPr>
                <w:color w:val="000000"/>
                <w:lang w:val="en-US"/>
              </w:rPr>
            </w:pPr>
            <w:r w:rsidRPr="00A50810">
              <w:rPr>
                <w:color w:val="000000"/>
              </w:rPr>
              <w:t xml:space="preserve">47,8 </w:t>
            </w:r>
            <w:r w:rsidRPr="00A50810">
              <w:rPr>
                <w:color w:val="1C1C1C"/>
              </w:rPr>
              <w:t>± 0,2</w:t>
            </w:r>
          </w:p>
        </w:tc>
        <w:tc>
          <w:tcPr>
            <w:tcW w:w="1566" w:type="dxa"/>
            <w:shd w:val="clear" w:color="auto" w:fill="auto"/>
            <w:vAlign w:val="bottom"/>
          </w:tcPr>
          <w:p w14:paraId="7EAAC4C7" w14:textId="77777777" w:rsidR="00F05F4E" w:rsidRPr="00A50810" w:rsidRDefault="00F05F4E" w:rsidP="00A50810">
            <w:pPr>
              <w:widowControl w:val="0"/>
              <w:autoSpaceDE w:val="0"/>
              <w:autoSpaceDN w:val="0"/>
              <w:adjustRightInd w:val="0"/>
              <w:spacing w:line="360" w:lineRule="auto"/>
              <w:rPr>
                <w:lang w:val="en-US"/>
              </w:rPr>
            </w:pPr>
            <w:r w:rsidRPr="00A50810">
              <w:rPr>
                <w:color w:val="000000"/>
              </w:rPr>
              <w:t xml:space="preserve">39,1 </w:t>
            </w:r>
            <w:r w:rsidRPr="00A50810">
              <w:rPr>
                <w:color w:val="1C1C1C"/>
              </w:rPr>
              <w:t>± 0,1</w:t>
            </w:r>
          </w:p>
        </w:tc>
        <w:tc>
          <w:tcPr>
            <w:tcW w:w="1392" w:type="dxa"/>
            <w:shd w:val="clear" w:color="auto" w:fill="auto"/>
            <w:vAlign w:val="bottom"/>
          </w:tcPr>
          <w:p w14:paraId="784BF87B" w14:textId="77777777" w:rsidR="00F05F4E" w:rsidRPr="00A50810" w:rsidRDefault="00F05F4E" w:rsidP="00A50810">
            <w:pPr>
              <w:widowControl w:val="0"/>
              <w:autoSpaceDE w:val="0"/>
              <w:autoSpaceDN w:val="0"/>
              <w:adjustRightInd w:val="0"/>
              <w:spacing w:line="360" w:lineRule="auto"/>
              <w:rPr>
                <w:lang w:val="en-US"/>
              </w:rPr>
            </w:pPr>
            <w:r w:rsidRPr="00A50810">
              <w:rPr>
                <w:color w:val="000000"/>
              </w:rPr>
              <w:t>23,9</w:t>
            </w:r>
            <w:r w:rsidRPr="00A50810">
              <w:rPr>
                <w:color w:val="000000"/>
                <w:lang w:val="uk-UA"/>
              </w:rPr>
              <w:t xml:space="preserve"> </w:t>
            </w:r>
            <w:r w:rsidRPr="00A50810">
              <w:rPr>
                <w:color w:val="1C1C1C"/>
              </w:rPr>
              <w:t>±</w:t>
            </w:r>
            <w:r w:rsidRPr="00A50810">
              <w:rPr>
                <w:color w:val="1C1C1C"/>
                <w:lang w:val="uk-UA"/>
              </w:rPr>
              <w:t xml:space="preserve"> </w:t>
            </w:r>
            <w:r w:rsidRPr="00A50810">
              <w:rPr>
                <w:color w:val="1C1C1C"/>
              </w:rPr>
              <w:t>0,1</w:t>
            </w:r>
          </w:p>
        </w:tc>
        <w:tc>
          <w:tcPr>
            <w:tcW w:w="452" w:type="dxa"/>
            <w:shd w:val="clear" w:color="auto" w:fill="auto"/>
            <w:vAlign w:val="bottom"/>
          </w:tcPr>
          <w:p w14:paraId="15887FFF"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w:t>
            </w:r>
          </w:p>
        </w:tc>
      </w:tr>
      <w:tr w:rsidR="00F05F4E" w:rsidRPr="00A50810" w14:paraId="765CA9A7" w14:textId="77777777" w:rsidTr="00A50810">
        <w:trPr>
          <w:trHeight w:val="321"/>
        </w:trPr>
        <w:tc>
          <w:tcPr>
            <w:tcW w:w="604" w:type="dxa"/>
            <w:shd w:val="clear" w:color="auto" w:fill="auto"/>
            <w:vAlign w:val="bottom"/>
          </w:tcPr>
          <w:p w14:paraId="7AADDE08"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4</w:t>
            </w:r>
          </w:p>
        </w:tc>
        <w:tc>
          <w:tcPr>
            <w:tcW w:w="1740" w:type="dxa"/>
            <w:shd w:val="clear" w:color="auto" w:fill="auto"/>
            <w:vAlign w:val="bottom"/>
          </w:tcPr>
          <w:p w14:paraId="7B2BCD44"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Комплекс ІІ</w:t>
            </w:r>
          </w:p>
        </w:tc>
        <w:tc>
          <w:tcPr>
            <w:tcW w:w="609" w:type="dxa"/>
            <w:shd w:val="clear" w:color="auto" w:fill="auto"/>
            <w:vAlign w:val="bottom"/>
          </w:tcPr>
          <w:p w14:paraId="5A6EAD5A" w14:textId="77777777" w:rsidR="00F05F4E" w:rsidRPr="00A50810" w:rsidRDefault="00F05F4E" w:rsidP="00A50810">
            <w:pPr>
              <w:spacing w:line="360" w:lineRule="auto"/>
              <w:rPr>
                <w:color w:val="000000"/>
              </w:rPr>
            </w:pPr>
            <w:r w:rsidRPr="00A50810">
              <w:rPr>
                <w:color w:val="000000"/>
              </w:rPr>
              <w:t>0</w:t>
            </w:r>
          </w:p>
        </w:tc>
        <w:tc>
          <w:tcPr>
            <w:tcW w:w="1566" w:type="dxa"/>
            <w:shd w:val="clear" w:color="auto" w:fill="auto"/>
            <w:vAlign w:val="bottom"/>
          </w:tcPr>
          <w:p w14:paraId="62FD3514" w14:textId="77777777" w:rsidR="00F05F4E" w:rsidRPr="00A50810" w:rsidRDefault="00F05F4E" w:rsidP="00A50810">
            <w:pPr>
              <w:spacing w:line="360" w:lineRule="auto"/>
              <w:rPr>
                <w:color w:val="000000"/>
                <w:lang w:val="en-US"/>
              </w:rPr>
            </w:pPr>
            <w:r w:rsidRPr="00A50810">
              <w:rPr>
                <w:color w:val="000000"/>
              </w:rPr>
              <w:t>47,8</w:t>
            </w:r>
            <w:r w:rsidRPr="00A50810">
              <w:rPr>
                <w:color w:val="000000"/>
                <w:lang w:val="uk-UA"/>
              </w:rPr>
              <w:t xml:space="preserve"> </w:t>
            </w:r>
            <w:r w:rsidRPr="00A50810">
              <w:rPr>
                <w:color w:val="1C1C1C"/>
              </w:rPr>
              <w:t>±0,2</w:t>
            </w:r>
            <w:r w:rsidRPr="00A50810">
              <w:rPr>
                <w:color w:val="1C1C1C"/>
                <w:vertAlign w:val="superscript"/>
                <w:lang w:val="en-US"/>
              </w:rPr>
              <w:t>**</w:t>
            </w:r>
          </w:p>
        </w:tc>
        <w:tc>
          <w:tcPr>
            <w:tcW w:w="1479" w:type="dxa"/>
            <w:shd w:val="clear" w:color="auto" w:fill="auto"/>
            <w:vAlign w:val="bottom"/>
          </w:tcPr>
          <w:p w14:paraId="26EA22E0" w14:textId="77777777" w:rsidR="00F05F4E" w:rsidRPr="00A50810" w:rsidRDefault="00F05F4E" w:rsidP="00A50810">
            <w:pPr>
              <w:spacing w:line="360" w:lineRule="auto"/>
              <w:rPr>
                <w:color w:val="000000"/>
                <w:lang w:val="uk-UA"/>
              </w:rPr>
            </w:pPr>
            <w:r w:rsidRPr="00A50810">
              <w:rPr>
                <w:color w:val="000000"/>
              </w:rPr>
              <w:t xml:space="preserve">43,5 </w:t>
            </w:r>
            <w:r w:rsidRPr="00A50810">
              <w:rPr>
                <w:color w:val="1C1C1C"/>
              </w:rPr>
              <w:t>± 0,1</w:t>
            </w:r>
          </w:p>
        </w:tc>
        <w:tc>
          <w:tcPr>
            <w:tcW w:w="1566" w:type="dxa"/>
            <w:shd w:val="clear" w:color="auto" w:fill="auto"/>
            <w:vAlign w:val="bottom"/>
          </w:tcPr>
          <w:p w14:paraId="7F48A059" w14:textId="77777777" w:rsidR="00F05F4E" w:rsidRPr="00A50810" w:rsidRDefault="00F05F4E" w:rsidP="00A50810">
            <w:pPr>
              <w:spacing w:line="360" w:lineRule="auto"/>
              <w:rPr>
                <w:color w:val="000000"/>
                <w:lang w:val="en-US"/>
              </w:rPr>
            </w:pPr>
            <w:r w:rsidRPr="00A50810">
              <w:rPr>
                <w:color w:val="000000"/>
              </w:rPr>
              <w:t xml:space="preserve">39,1 </w:t>
            </w:r>
            <w:r w:rsidRPr="00A50810">
              <w:rPr>
                <w:color w:val="1C1C1C"/>
              </w:rPr>
              <w:t>± 0,1</w:t>
            </w:r>
          </w:p>
        </w:tc>
        <w:tc>
          <w:tcPr>
            <w:tcW w:w="1392" w:type="dxa"/>
            <w:shd w:val="clear" w:color="auto" w:fill="auto"/>
            <w:vAlign w:val="bottom"/>
          </w:tcPr>
          <w:p w14:paraId="203C6048" w14:textId="77777777" w:rsidR="00F05F4E" w:rsidRPr="00A50810" w:rsidRDefault="00F05F4E" w:rsidP="00A50810">
            <w:pPr>
              <w:widowControl w:val="0"/>
              <w:autoSpaceDE w:val="0"/>
              <w:autoSpaceDN w:val="0"/>
              <w:adjustRightInd w:val="0"/>
              <w:spacing w:line="360" w:lineRule="auto"/>
            </w:pPr>
            <w:r w:rsidRPr="00A50810">
              <w:rPr>
                <w:color w:val="000000"/>
                <w:lang w:val="uk-UA"/>
              </w:rPr>
              <w:t>21</w:t>
            </w:r>
            <w:r w:rsidRPr="00A50810">
              <w:rPr>
                <w:color w:val="000000"/>
              </w:rPr>
              <w:t>,7</w:t>
            </w:r>
            <w:r w:rsidRPr="00A50810">
              <w:rPr>
                <w:color w:val="000000"/>
                <w:lang w:val="uk-UA"/>
              </w:rPr>
              <w:t xml:space="preserve"> </w:t>
            </w:r>
            <w:r w:rsidRPr="00A50810">
              <w:rPr>
                <w:color w:val="1C1C1C"/>
              </w:rPr>
              <w:t>±</w:t>
            </w:r>
            <w:r w:rsidRPr="00A50810">
              <w:rPr>
                <w:color w:val="1C1C1C"/>
                <w:lang w:val="uk-UA"/>
              </w:rPr>
              <w:t xml:space="preserve"> </w:t>
            </w:r>
            <w:r w:rsidRPr="00A50810">
              <w:rPr>
                <w:color w:val="1C1C1C"/>
              </w:rPr>
              <w:t>0,1</w:t>
            </w:r>
          </w:p>
        </w:tc>
        <w:tc>
          <w:tcPr>
            <w:tcW w:w="452" w:type="dxa"/>
            <w:shd w:val="clear" w:color="auto" w:fill="auto"/>
            <w:vAlign w:val="bottom"/>
          </w:tcPr>
          <w:p w14:paraId="47467E00"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w:t>
            </w:r>
          </w:p>
        </w:tc>
      </w:tr>
      <w:tr w:rsidR="00F05F4E" w:rsidRPr="00A50810" w14:paraId="3B4657DC" w14:textId="77777777" w:rsidTr="00A50810">
        <w:trPr>
          <w:trHeight w:val="284"/>
        </w:trPr>
        <w:tc>
          <w:tcPr>
            <w:tcW w:w="604" w:type="dxa"/>
            <w:shd w:val="clear" w:color="auto" w:fill="auto"/>
            <w:vAlign w:val="bottom"/>
          </w:tcPr>
          <w:p w14:paraId="5BE55BD6"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5</w:t>
            </w:r>
          </w:p>
        </w:tc>
        <w:tc>
          <w:tcPr>
            <w:tcW w:w="1740" w:type="dxa"/>
            <w:shd w:val="clear" w:color="auto" w:fill="auto"/>
            <w:vAlign w:val="bottom"/>
          </w:tcPr>
          <w:p w14:paraId="0900F770"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Бензальдегід</w:t>
            </w:r>
          </w:p>
        </w:tc>
        <w:tc>
          <w:tcPr>
            <w:tcW w:w="609" w:type="dxa"/>
            <w:shd w:val="clear" w:color="auto" w:fill="auto"/>
            <w:vAlign w:val="bottom"/>
          </w:tcPr>
          <w:p w14:paraId="05213D3D" w14:textId="77777777" w:rsidR="00F05F4E" w:rsidRPr="00A50810" w:rsidRDefault="00F05F4E" w:rsidP="00A50810">
            <w:pPr>
              <w:spacing w:line="360" w:lineRule="auto"/>
              <w:rPr>
                <w:color w:val="000000"/>
              </w:rPr>
            </w:pPr>
            <w:r w:rsidRPr="00A50810">
              <w:rPr>
                <w:color w:val="000000"/>
              </w:rPr>
              <w:t>0</w:t>
            </w:r>
          </w:p>
        </w:tc>
        <w:tc>
          <w:tcPr>
            <w:tcW w:w="1566" w:type="dxa"/>
            <w:shd w:val="clear" w:color="auto" w:fill="auto"/>
            <w:vAlign w:val="bottom"/>
          </w:tcPr>
          <w:p w14:paraId="6736ED74" w14:textId="77777777" w:rsidR="00F05F4E" w:rsidRPr="00A50810" w:rsidRDefault="00F05F4E" w:rsidP="00A50810">
            <w:pPr>
              <w:spacing w:line="360" w:lineRule="auto"/>
              <w:rPr>
                <w:color w:val="000000"/>
                <w:lang w:val="en-US"/>
              </w:rPr>
            </w:pPr>
            <w:r w:rsidRPr="00A50810">
              <w:rPr>
                <w:color w:val="000000"/>
              </w:rPr>
              <w:t>31,3</w:t>
            </w:r>
            <w:r w:rsidRPr="00A50810">
              <w:rPr>
                <w:color w:val="1C1C1C"/>
              </w:rPr>
              <w:t>±0,2</w:t>
            </w:r>
            <w:r w:rsidRPr="00A50810">
              <w:rPr>
                <w:color w:val="1C1C1C"/>
                <w:vertAlign w:val="superscript"/>
                <w:lang w:val="en-US"/>
              </w:rPr>
              <w:t>**</w:t>
            </w:r>
          </w:p>
        </w:tc>
        <w:tc>
          <w:tcPr>
            <w:tcW w:w="1479" w:type="dxa"/>
            <w:shd w:val="clear" w:color="auto" w:fill="auto"/>
            <w:vAlign w:val="bottom"/>
          </w:tcPr>
          <w:p w14:paraId="41405FFF" w14:textId="77777777" w:rsidR="00F05F4E" w:rsidRPr="00A50810" w:rsidRDefault="00F05F4E" w:rsidP="00A50810">
            <w:pPr>
              <w:spacing w:line="360" w:lineRule="auto"/>
              <w:rPr>
                <w:color w:val="000000"/>
              </w:rPr>
            </w:pPr>
            <w:r w:rsidRPr="00A50810">
              <w:rPr>
                <w:color w:val="000000"/>
              </w:rPr>
              <w:t xml:space="preserve">25,0 </w:t>
            </w:r>
            <w:r w:rsidRPr="00A50810">
              <w:rPr>
                <w:color w:val="1C1C1C"/>
              </w:rPr>
              <w:t>± 0,2</w:t>
            </w:r>
          </w:p>
        </w:tc>
        <w:tc>
          <w:tcPr>
            <w:tcW w:w="1566" w:type="dxa"/>
            <w:shd w:val="clear" w:color="auto" w:fill="auto"/>
            <w:vAlign w:val="bottom"/>
          </w:tcPr>
          <w:p w14:paraId="5DAF7FD8" w14:textId="77777777" w:rsidR="00F05F4E" w:rsidRPr="00A50810" w:rsidRDefault="00F05F4E" w:rsidP="00A50810">
            <w:pPr>
              <w:spacing w:line="360" w:lineRule="auto"/>
              <w:rPr>
                <w:color w:val="000000"/>
                <w:lang w:val="en-US"/>
              </w:rPr>
            </w:pPr>
            <w:r w:rsidRPr="00A50810">
              <w:rPr>
                <w:color w:val="000000"/>
                <w:lang w:val="uk-UA"/>
              </w:rPr>
              <w:t>2</w:t>
            </w:r>
            <w:r w:rsidRPr="00A50810">
              <w:rPr>
                <w:color w:val="000000"/>
              </w:rPr>
              <w:t>1,7</w:t>
            </w:r>
            <w:r w:rsidRPr="00A50810">
              <w:rPr>
                <w:color w:val="000000"/>
                <w:lang w:val="uk-UA"/>
              </w:rPr>
              <w:t xml:space="preserve"> </w:t>
            </w:r>
            <w:r w:rsidRPr="00A50810">
              <w:rPr>
                <w:color w:val="1C1C1C"/>
              </w:rPr>
              <w:t>±0,1</w:t>
            </w:r>
            <w:r w:rsidRPr="00A50810">
              <w:rPr>
                <w:color w:val="1C1C1C"/>
                <w:vertAlign w:val="superscript"/>
                <w:lang w:val="en-US"/>
              </w:rPr>
              <w:t>**</w:t>
            </w:r>
          </w:p>
        </w:tc>
        <w:tc>
          <w:tcPr>
            <w:tcW w:w="1392" w:type="dxa"/>
            <w:shd w:val="clear" w:color="auto" w:fill="auto"/>
            <w:vAlign w:val="bottom"/>
          </w:tcPr>
          <w:p w14:paraId="30C862E0" w14:textId="77777777" w:rsidR="00F05F4E" w:rsidRPr="00A50810" w:rsidRDefault="00F05F4E" w:rsidP="00A50810">
            <w:pPr>
              <w:spacing w:line="360" w:lineRule="auto"/>
              <w:rPr>
                <w:color w:val="000000"/>
              </w:rPr>
            </w:pPr>
            <w:r w:rsidRPr="00A50810">
              <w:rPr>
                <w:color w:val="000000"/>
              </w:rPr>
              <w:t>17,4</w:t>
            </w:r>
            <w:r w:rsidRPr="00A50810">
              <w:rPr>
                <w:color w:val="000000"/>
                <w:lang w:val="uk-UA"/>
              </w:rPr>
              <w:t xml:space="preserve"> </w:t>
            </w:r>
            <w:r w:rsidRPr="00A50810">
              <w:rPr>
                <w:color w:val="1C1C1C"/>
              </w:rPr>
              <w:t>±</w:t>
            </w:r>
            <w:r w:rsidRPr="00A50810">
              <w:rPr>
                <w:color w:val="1C1C1C"/>
                <w:lang w:val="uk-UA"/>
              </w:rPr>
              <w:t xml:space="preserve"> </w:t>
            </w:r>
            <w:r w:rsidRPr="00A50810">
              <w:rPr>
                <w:color w:val="1C1C1C"/>
              </w:rPr>
              <w:t>0,1</w:t>
            </w:r>
          </w:p>
        </w:tc>
        <w:tc>
          <w:tcPr>
            <w:tcW w:w="452" w:type="dxa"/>
            <w:shd w:val="clear" w:color="auto" w:fill="auto"/>
            <w:vAlign w:val="bottom"/>
          </w:tcPr>
          <w:p w14:paraId="12860A50" w14:textId="77777777" w:rsidR="00F05F4E" w:rsidRPr="00A50810" w:rsidRDefault="00F05F4E" w:rsidP="00A50810">
            <w:pPr>
              <w:spacing w:line="360" w:lineRule="auto"/>
              <w:rPr>
                <w:color w:val="000000"/>
                <w:lang w:val="uk-UA"/>
              </w:rPr>
            </w:pPr>
            <w:r w:rsidRPr="00A50810">
              <w:rPr>
                <w:color w:val="000000"/>
                <w:lang w:val="uk-UA"/>
              </w:rPr>
              <w:t>-</w:t>
            </w:r>
          </w:p>
        </w:tc>
      </w:tr>
      <w:tr w:rsidR="00F05F4E" w:rsidRPr="00A50810" w14:paraId="7FDA47CF" w14:textId="77777777" w:rsidTr="00A50810">
        <w:trPr>
          <w:trHeight w:val="256"/>
        </w:trPr>
        <w:tc>
          <w:tcPr>
            <w:tcW w:w="604" w:type="dxa"/>
            <w:shd w:val="clear" w:color="auto" w:fill="auto"/>
            <w:vAlign w:val="bottom"/>
          </w:tcPr>
          <w:p w14:paraId="14A560A0"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6</w:t>
            </w:r>
          </w:p>
        </w:tc>
        <w:tc>
          <w:tcPr>
            <w:tcW w:w="1740" w:type="dxa"/>
            <w:shd w:val="clear" w:color="auto" w:fill="auto"/>
            <w:vAlign w:val="bottom"/>
          </w:tcPr>
          <w:p w14:paraId="27789B77"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СГБА</w:t>
            </w:r>
          </w:p>
        </w:tc>
        <w:tc>
          <w:tcPr>
            <w:tcW w:w="609" w:type="dxa"/>
            <w:shd w:val="clear" w:color="auto" w:fill="auto"/>
            <w:vAlign w:val="bottom"/>
          </w:tcPr>
          <w:p w14:paraId="58F0E6B1" w14:textId="77777777" w:rsidR="00F05F4E" w:rsidRPr="00A50810" w:rsidRDefault="00F05F4E" w:rsidP="00A50810">
            <w:pPr>
              <w:spacing w:line="360" w:lineRule="auto"/>
              <w:rPr>
                <w:color w:val="000000"/>
              </w:rPr>
            </w:pPr>
            <w:r w:rsidRPr="00A50810">
              <w:rPr>
                <w:color w:val="000000"/>
              </w:rPr>
              <w:t>0</w:t>
            </w:r>
          </w:p>
        </w:tc>
        <w:tc>
          <w:tcPr>
            <w:tcW w:w="1566" w:type="dxa"/>
            <w:shd w:val="clear" w:color="auto" w:fill="auto"/>
            <w:vAlign w:val="bottom"/>
          </w:tcPr>
          <w:p w14:paraId="2CCEF290" w14:textId="77777777" w:rsidR="00F05F4E" w:rsidRPr="00A50810" w:rsidRDefault="00F05F4E" w:rsidP="00A50810">
            <w:pPr>
              <w:spacing w:line="360" w:lineRule="auto"/>
              <w:rPr>
                <w:color w:val="000000"/>
                <w:lang w:val="en-US"/>
              </w:rPr>
            </w:pPr>
            <w:r w:rsidRPr="00A50810">
              <w:rPr>
                <w:color w:val="000000"/>
                <w:lang w:val="en-US"/>
              </w:rPr>
              <w:t>58,7</w:t>
            </w:r>
            <w:r w:rsidRPr="00A50810">
              <w:rPr>
                <w:color w:val="000000"/>
                <w:lang w:val="uk-UA"/>
              </w:rPr>
              <w:t xml:space="preserve"> </w:t>
            </w:r>
            <w:r w:rsidRPr="00A50810">
              <w:rPr>
                <w:color w:val="1C1C1C"/>
              </w:rPr>
              <w:t>±0,2</w:t>
            </w:r>
            <w:r w:rsidRPr="00A50810">
              <w:rPr>
                <w:color w:val="1C1C1C"/>
                <w:vertAlign w:val="superscript"/>
                <w:lang w:val="en-US"/>
              </w:rPr>
              <w:t>**</w:t>
            </w:r>
          </w:p>
        </w:tc>
        <w:tc>
          <w:tcPr>
            <w:tcW w:w="1479" w:type="dxa"/>
            <w:shd w:val="clear" w:color="auto" w:fill="auto"/>
            <w:vAlign w:val="bottom"/>
          </w:tcPr>
          <w:p w14:paraId="1A3C451F" w14:textId="77777777" w:rsidR="00F05F4E" w:rsidRPr="00A50810" w:rsidRDefault="00F05F4E" w:rsidP="00A50810">
            <w:pPr>
              <w:spacing w:line="360" w:lineRule="auto"/>
              <w:rPr>
                <w:color w:val="000000"/>
              </w:rPr>
            </w:pPr>
            <w:r w:rsidRPr="00A50810">
              <w:rPr>
                <w:color w:val="000000"/>
                <w:lang w:val="uk-UA"/>
              </w:rPr>
              <w:t xml:space="preserve">57,9 </w:t>
            </w:r>
            <w:r w:rsidRPr="00A50810">
              <w:rPr>
                <w:color w:val="1C1C1C"/>
              </w:rPr>
              <w:t>±</w:t>
            </w:r>
            <w:r w:rsidRPr="00A50810">
              <w:rPr>
                <w:color w:val="1C1C1C"/>
                <w:lang w:val="uk-UA"/>
              </w:rPr>
              <w:t xml:space="preserve"> 0,2</w:t>
            </w:r>
            <w:r w:rsidRPr="00A50810">
              <w:rPr>
                <w:color w:val="1C1C1C"/>
                <w:vertAlign w:val="superscript"/>
                <w:lang w:val="en-US"/>
              </w:rPr>
              <w:t>**</w:t>
            </w:r>
          </w:p>
        </w:tc>
        <w:tc>
          <w:tcPr>
            <w:tcW w:w="1566" w:type="dxa"/>
            <w:shd w:val="clear" w:color="auto" w:fill="auto"/>
            <w:vAlign w:val="bottom"/>
          </w:tcPr>
          <w:p w14:paraId="153482B1" w14:textId="77777777" w:rsidR="00F05F4E" w:rsidRPr="00A50810" w:rsidRDefault="00F05F4E" w:rsidP="00A50810">
            <w:pPr>
              <w:spacing w:line="360" w:lineRule="auto"/>
              <w:rPr>
                <w:color w:val="000000"/>
                <w:lang w:val="en-US"/>
              </w:rPr>
            </w:pPr>
            <w:r w:rsidRPr="00A50810">
              <w:rPr>
                <w:color w:val="000000"/>
                <w:lang w:val="en-US"/>
              </w:rPr>
              <w:t>5</w:t>
            </w:r>
            <w:r w:rsidRPr="00A50810">
              <w:rPr>
                <w:color w:val="000000"/>
              </w:rPr>
              <w:t>6,7</w:t>
            </w:r>
            <w:r w:rsidRPr="00A50810">
              <w:rPr>
                <w:color w:val="000000"/>
                <w:lang w:val="en-US"/>
              </w:rPr>
              <w:t xml:space="preserve"> </w:t>
            </w:r>
            <w:r w:rsidRPr="00A50810">
              <w:rPr>
                <w:color w:val="1C1C1C"/>
              </w:rPr>
              <w:t>± 0,2</w:t>
            </w:r>
          </w:p>
        </w:tc>
        <w:tc>
          <w:tcPr>
            <w:tcW w:w="1392" w:type="dxa"/>
            <w:shd w:val="clear" w:color="auto" w:fill="auto"/>
            <w:vAlign w:val="bottom"/>
          </w:tcPr>
          <w:p w14:paraId="1A867E45" w14:textId="77777777" w:rsidR="00F05F4E" w:rsidRPr="00A50810" w:rsidRDefault="00F05F4E" w:rsidP="00A50810">
            <w:pPr>
              <w:spacing w:line="360" w:lineRule="auto"/>
              <w:rPr>
                <w:color w:val="000000"/>
                <w:lang w:val="en-US"/>
              </w:rPr>
            </w:pPr>
            <w:r w:rsidRPr="00A50810">
              <w:rPr>
                <w:color w:val="000000"/>
                <w:lang w:val="en-US"/>
              </w:rPr>
              <w:t>43,5</w:t>
            </w:r>
            <w:r w:rsidRPr="00A50810">
              <w:rPr>
                <w:color w:val="000000"/>
                <w:lang w:val="uk-UA"/>
              </w:rPr>
              <w:t xml:space="preserve"> </w:t>
            </w:r>
            <w:r w:rsidRPr="00A50810">
              <w:rPr>
                <w:color w:val="1C1C1C"/>
              </w:rPr>
              <w:t>±</w:t>
            </w:r>
            <w:r w:rsidRPr="00A50810">
              <w:rPr>
                <w:color w:val="1C1C1C"/>
                <w:lang w:val="uk-UA"/>
              </w:rPr>
              <w:t xml:space="preserve"> 0,2</w:t>
            </w:r>
          </w:p>
        </w:tc>
        <w:tc>
          <w:tcPr>
            <w:tcW w:w="452" w:type="dxa"/>
            <w:shd w:val="clear" w:color="auto" w:fill="auto"/>
            <w:vAlign w:val="bottom"/>
          </w:tcPr>
          <w:p w14:paraId="34A6D8DC"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w:t>
            </w:r>
          </w:p>
        </w:tc>
      </w:tr>
      <w:tr w:rsidR="00F05F4E" w:rsidRPr="00A50810" w14:paraId="0424CB6D" w14:textId="77777777" w:rsidTr="00A50810">
        <w:trPr>
          <w:trHeight w:val="277"/>
        </w:trPr>
        <w:tc>
          <w:tcPr>
            <w:tcW w:w="604" w:type="dxa"/>
            <w:shd w:val="clear" w:color="auto" w:fill="auto"/>
            <w:vAlign w:val="bottom"/>
          </w:tcPr>
          <w:p w14:paraId="7401D2DF"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7</w:t>
            </w:r>
          </w:p>
        </w:tc>
        <w:tc>
          <w:tcPr>
            <w:tcW w:w="1740" w:type="dxa"/>
            <w:shd w:val="clear" w:color="auto" w:fill="auto"/>
            <w:vAlign w:val="bottom"/>
          </w:tcPr>
          <w:p w14:paraId="0503ACD3"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4-бром</w:t>
            </w:r>
            <w:r w:rsidRPr="00A50810">
              <w:rPr>
                <w:lang w:val="uk-UA"/>
              </w:rPr>
              <w:br/>
              <w:t>бензальдегід</w:t>
            </w:r>
          </w:p>
        </w:tc>
        <w:tc>
          <w:tcPr>
            <w:tcW w:w="609" w:type="dxa"/>
            <w:shd w:val="clear" w:color="auto" w:fill="auto"/>
            <w:vAlign w:val="bottom"/>
          </w:tcPr>
          <w:p w14:paraId="7909DF35" w14:textId="77777777" w:rsidR="00F05F4E" w:rsidRPr="00A50810" w:rsidRDefault="00F05F4E" w:rsidP="00A50810">
            <w:pPr>
              <w:spacing w:line="360" w:lineRule="auto"/>
              <w:rPr>
                <w:color w:val="000000"/>
              </w:rPr>
            </w:pPr>
            <w:r w:rsidRPr="00A50810">
              <w:rPr>
                <w:color w:val="000000"/>
              </w:rPr>
              <w:t>0</w:t>
            </w:r>
          </w:p>
        </w:tc>
        <w:tc>
          <w:tcPr>
            <w:tcW w:w="1566" w:type="dxa"/>
            <w:shd w:val="clear" w:color="auto" w:fill="auto"/>
            <w:vAlign w:val="bottom"/>
          </w:tcPr>
          <w:p w14:paraId="0AC4FC2D" w14:textId="77777777" w:rsidR="00F05F4E" w:rsidRPr="00A50810" w:rsidRDefault="00F05F4E" w:rsidP="00A50810">
            <w:pPr>
              <w:spacing w:line="360" w:lineRule="auto"/>
              <w:rPr>
                <w:color w:val="000000"/>
                <w:lang w:val="en-US"/>
              </w:rPr>
            </w:pPr>
            <w:r w:rsidRPr="00A50810">
              <w:rPr>
                <w:color w:val="000000"/>
              </w:rPr>
              <w:t xml:space="preserve">39,1 </w:t>
            </w:r>
            <w:r w:rsidRPr="00A50810">
              <w:rPr>
                <w:color w:val="1C1C1C"/>
              </w:rPr>
              <w:t>± 0,4</w:t>
            </w:r>
          </w:p>
        </w:tc>
        <w:tc>
          <w:tcPr>
            <w:tcW w:w="1479" w:type="dxa"/>
            <w:shd w:val="clear" w:color="auto" w:fill="auto"/>
            <w:vAlign w:val="bottom"/>
          </w:tcPr>
          <w:p w14:paraId="420B1101" w14:textId="77777777" w:rsidR="00F05F4E" w:rsidRPr="00A50810" w:rsidRDefault="00F05F4E" w:rsidP="00A50810">
            <w:pPr>
              <w:spacing w:line="360" w:lineRule="auto"/>
              <w:rPr>
                <w:color w:val="000000"/>
                <w:lang w:val="en-US"/>
              </w:rPr>
            </w:pPr>
            <w:r w:rsidRPr="00A50810">
              <w:rPr>
                <w:color w:val="000000"/>
              </w:rPr>
              <w:t xml:space="preserve">32,6 </w:t>
            </w:r>
            <w:r w:rsidRPr="00A50810">
              <w:rPr>
                <w:color w:val="1C1C1C"/>
              </w:rPr>
              <w:t>± 0,2</w:t>
            </w:r>
          </w:p>
        </w:tc>
        <w:tc>
          <w:tcPr>
            <w:tcW w:w="1566" w:type="dxa"/>
            <w:shd w:val="clear" w:color="auto" w:fill="auto"/>
            <w:vAlign w:val="bottom"/>
          </w:tcPr>
          <w:p w14:paraId="3D983838" w14:textId="77777777" w:rsidR="00F05F4E" w:rsidRPr="00A50810" w:rsidRDefault="00F05F4E" w:rsidP="00A50810">
            <w:pPr>
              <w:spacing w:line="360" w:lineRule="auto"/>
              <w:rPr>
                <w:color w:val="000000"/>
                <w:lang w:val="en-US"/>
              </w:rPr>
            </w:pPr>
            <w:r w:rsidRPr="00A50810">
              <w:rPr>
                <w:color w:val="000000"/>
              </w:rPr>
              <w:t>23,9</w:t>
            </w:r>
            <w:r w:rsidRPr="00A50810">
              <w:rPr>
                <w:color w:val="000000"/>
                <w:lang w:val="uk-UA"/>
              </w:rPr>
              <w:t xml:space="preserve"> </w:t>
            </w:r>
            <w:r w:rsidRPr="00A50810">
              <w:rPr>
                <w:color w:val="1C1C1C"/>
              </w:rPr>
              <w:t>±0,5</w:t>
            </w:r>
            <w:r w:rsidRPr="00A50810">
              <w:rPr>
                <w:color w:val="1C1C1C"/>
                <w:vertAlign w:val="superscript"/>
                <w:lang w:val="en-US"/>
              </w:rPr>
              <w:t>**</w:t>
            </w:r>
          </w:p>
        </w:tc>
        <w:tc>
          <w:tcPr>
            <w:tcW w:w="1392" w:type="dxa"/>
            <w:shd w:val="clear" w:color="auto" w:fill="auto"/>
            <w:vAlign w:val="bottom"/>
          </w:tcPr>
          <w:p w14:paraId="13B1828E" w14:textId="77777777" w:rsidR="00F05F4E" w:rsidRPr="00A50810" w:rsidRDefault="00F05F4E" w:rsidP="00A50810">
            <w:pPr>
              <w:spacing w:line="360" w:lineRule="auto"/>
              <w:rPr>
                <w:color w:val="000000"/>
                <w:lang w:val="en-US"/>
              </w:rPr>
            </w:pPr>
            <w:r w:rsidRPr="00A50810">
              <w:rPr>
                <w:color w:val="000000"/>
              </w:rPr>
              <w:t>19,6</w:t>
            </w:r>
            <w:r w:rsidRPr="00A50810">
              <w:rPr>
                <w:color w:val="000000"/>
                <w:lang w:val="uk-UA"/>
              </w:rPr>
              <w:t xml:space="preserve"> </w:t>
            </w:r>
            <w:r w:rsidRPr="00A50810">
              <w:rPr>
                <w:color w:val="1C1C1C"/>
              </w:rPr>
              <w:t>±</w:t>
            </w:r>
            <w:r w:rsidRPr="00A50810">
              <w:rPr>
                <w:color w:val="1C1C1C"/>
                <w:lang w:val="uk-UA"/>
              </w:rPr>
              <w:t xml:space="preserve"> </w:t>
            </w:r>
            <w:r w:rsidRPr="00A50810">
              <w:rPr>
                <w:color w:val="1C1C1C"/>
              </w:rPr>
              <w:t>0,6</w:t>
            </w:r>
          </w:p>
        </w:tc>
        <w:tc>
          <w:tcPr>
            <w:tcW w:w="452" w:type="dxa"/>
            <w:shd w:val="clear" w:color="auto" w:fill="auto"/>
            <w:vAlign w:val="bottom"/>
          </w:tcPr>
          <w:p w14:paraId="1BEA3CA2" w14:textId="77777777" w:rsidR="00F05F4E" w:rsidRPr="00A50810" w:rsidRDefault="00F05F4E" w:rsidP="00A50810">
            <w:pPr>
              <w:widowControl w:val="0"/>
              <w:autoSpaceDE w:val="0"/>
              <w:autoSpaceDN w:val="0"/>
              <w:adjustRightInd w:val="0"/>
              <w:spacing w:line="360" w:lineRule="auto"/>
              <w:rPr>
                <w:lang w:val="en-US"/>
              </w:rPr>
            </w:pPr>
            <w:r w:rsidRPr="00A50810">
              <w:rPr>
                <w:lang w:val="en-US"/>
              </w:rPr>
              <w:t>-</w:t>
            </w:r>
          </w:p>
        </w:tc>
      </w:tr>
      <w:tr w:rsidR="00F05F4E" w:rsidRPr="00A50810" w14:paraId="0F743364" w14:textId="77777777" w:rsidTr="00A50810">
        <w:trPr>
          <w:trHeight w:val="221"/>
        </w:trPr>
        <w:tc>
          <w:tcPr>
            <w:tcW w:w="604" w:type="dxa"/>
            <w:shd w:val="clear" w:color="auto" w:fill="auto"/>
            <w:vAlign w:val="bottom"/>
          </w:tcPr>
          <w:p w14:paraId="129CCD65"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8</w:t>
            </w:r>
          </w:p>
        </w:tc>
        <w:tc>
          <w:tcPr>
            <w:tcW w:w="1740" w:type="dxa"/>
            <w:shd w:val="clear" w:color="auto" w:fill="auto"/>
            <w:vAlign w:val="bottom"/>
          </w:tcPr>
          <w:p w14:paraId="24806965"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СГБрБА</w:t>
            </w:r>
          </w:p>
        </w:tc>
        <w:tc>
          <w:tcPr>
            <w:tcW w:w="609" w:type="dxa"/>
            <w:shd w:val="clear" w:color="auto" w:fill="auto"/>
            <w:vAlign w:val="bottom"/>
          </w:tcPr>
          <w:p w14:paraId="6D580907" w14:textId="77777777" w:rsidR="00F05F4E" w:rsidRPr="00A50810" w:rsidRDefault="00F05F4E" w:rsidP="00A50810">
            <w:pPr>
              <w:spacing w:line="360" w:lineRule="auto"/>
              <w:rPr>
                <w:color w:val="000000"/>
              </w:rPr>
            </w:pPr>
            <w:r w:rsidRPr="00A50810">
              <w:rPr>
                <w:color w:val="000000"/>
              </w:rPr>
              <w:t>0</w:t>
            </w:r>
          </w:p>
        </w:tc>
        <w:tc>
          <w:tcPr>
            <w:tcW w:w="1566" w:type="dxa"/>
            <w:shd w:val="clear" w:color="auto" w:fill="auto"/>
            <w:vAlign w:val="bottom"/>
          </w:tcPr>
          <w:p w14:paraId="655F3A5E" w14:textId="77777777" w:rsidR="00F05F4E" w:rsidRPr="00A50810" w:rsidRDefault="00F05F4E" w:rsidP="00A50810">
            <w:pPr>
              <w:spacing w:line="360" w:lineRule="auto"/>
              <w:rPr>
                <w:color w:val="000000"/>
                <w:lang w:val="en-US"/>
              </w:rPr>
            </w:pPr>
            <w:r w:rsidRPr="00A50810">
              <w:rPr>
                <w:color w:val="000000"/>
                <w:lang w:val="en-US"/>
              </w:rPr>
              <w:t xml:space="preserve">64,4 </w:t>
            </w:r>
            <w:r w:rsidRPr="00A50810">
              <w:rPr>
                <w:color w:val="1C1C1C"/>
              </w:rPr>
              <w:t>± 0,1</w:t>
            </w:r>
          </w:p>
        </w:tc>
        <w:tc>
          <w:tcPr>
            <w:tcW w:w="1479" w:type="dxa"/>
            <w:shd w:val="clear" w:color="auto" w:fill="auto"/>
            <w:vAlign w:val="bottom"/>
          </w:tcPr>
          <w:p w14:paraId="114F067D" w14:textId="77777777" w:rsidR="00F05F4E" w:rsidRPr="00A50810" w:rsidRDefault="00F05F4E" w:rsidP="00A50810">
            <w:pPr>
              <w:spacing w:line="360" w:lineRule="auto"/>
              <w:rPr>
                <w:color w:val="000000"/>
                <w:lang w:val="en-US"/>
              </w:rPr>
            </w:pPr>
            <w:r w:rsidRPr="00A50810">
              <w:rPr>
                <w:color w:val="000000"/>
                <w:lang w:val="uk-UA"/>
              </w:rPr>
              <w:t xml:space="preserve">63,7 </w:t>
            </w:r>
            <w:r w:rsidRPr="00A50810">
              <w:rPr>
                <w:color w:val="1C1C1C"/>
              </w:rPr>
              <w:t>±</w:t>
            </w:r>
            <w:r w:rsidRPr="00A50810">
              <w:rPr>
                <w:color w:val="1C1C1C"/>
                <w:lang w:val="uk-UA"/>
              </w:rPr>
              <w:t xml:space="preserve"> 0,2</w:t>
            </w:r>
          </w:p>
        </w:tc>
        <w:tc>
          <w:tcPr>
            <w:tcW w:w="1566" w:type="dxa"/>
            <w:shd w:val="clear" w:color="auto" w:fill="auto"/>
            <w:vAlign w:val="bottom"/>
          </w:tcPr>
          <w:p w14:paraId="1FB890D3" w14:textId="77777777" w:rsidR="00F05F4E" w:rsidRPr="00A50810" w:rsidRDefault="00F05F4E" w:rsidP="00A50810">
            <w:pPr>
              <w:spacing w:line="360" w:lineRule="auto"/>
              <w:rPr>
                <w:color w:val="000000"/>
                <w:lang w:val="en-US"/>
              </w:rPr>
            </w:pPr>
            <w:r w:rsidRPr="00A50810">
              <w:rPr>
                <w:color w:val="000000"/>
              </w:rPr>
              <w:t>6</w:t>
            </w:r>
            <w:r w:rsidRPr="00A50810">
              <w:rPr>
                <w:color w:val="000000"/>
                <w:lang w:val="en-US"/>
              </w:rPr>
              <w:t xml:space="preserve">1,1 </w:t>
            </w:r>
            <w:r w:rsidRPr="00A50810">
              <w:rPr>
                <w:color w:val="1C1C1C"/>
              </w:rPr>
              <w:t>± 0,2</w:t>
            </w:r>
          </w:p>
        </w:tc>
        <w:tc>
          <w:tcPr>
            <w:tcW w:w="1392" w:type="dxa"/>
            <w:shd w:val="clear" w:color="auto" w:fill="auto"/>
            <w:vAlign w:val="bottom"/>
          </w:tcPr>
          <w:p w14:paraId="0698B6F6" w14:textId="77777777" w:rsidR="00F05F4E" w:rsidRPr="00A50810" w:rsidRDefault="00F05F4E" w:rsidP="00A50810">
            <w:pPr>
              <w:spacing w:line="360" w:lineRule="auto"/>
              <w:rPr>
                <w:color w:val="000000"/>
                <w:lang w:val="en-US"/>
              </w:rPr>
            </w:pPr>
            <w:r w:rsidRPr="00A50810">
              <w:rPr>
                <w:color w:val="000000"/>
                <w:lang w:val="en-US"/>
              </w:rPr>
              <w:t>46,7</w:t>
            </w:r>
            <w:r w:rsidRPr="00A50810">
              <w:rPr>
                <w:color w:val="000000"/>
                <w:lang w:val="uk-UA"/>
              </w:rPr>
              <w:t xml:space="preserve"> </w:t>
            </w:r>
            <w:r w:rsidRPr="00A50810">
              <w:rPr>
                <w:color w:val="1C1C1C"/>
              </w:rPr>
              <w:t>±</w:t>
            </w:r>
            <w:r w:rsidRPr="00A50810">
              <w:rPr>
                <w:color w:val="1C1C1C"/>
                <w:lang w:val="uk-UA"/>
              </w:rPr>
              <w:t xml:space="preserve"> </w:t>
            </w:r>
            <w:r w:rsidRPr="00A50810">
              <w:rPr>
                <w:color w:val="1C1C1C"/>
              </w:rPr>
              <w:t>0,3</w:t>
            </w:r>
          </w:p>
        </w:tc>
        <w:tc>
          <w:tcPr>
            <w:tcW w:w="452" w:type="dxa"/>
            <w:shd w:val="clear" w:color="auto" w:fill="auto"/>
            <w:vAlign w:val="bottom"/>
          </w:tcPr>
          <w:p w14:paraId="2BAFB9B6" w14:textId="77777777" w:rsidR="00F05F4E" w:rsidRPr="00A50810" w:rsidRDefault="00F05F4E" w:rsidP="00A50810">
            <w:pPr>
              <w:widowControl w:val="0"/>
              <w:autoSpaceDE w:val="0"/>
              <w:autoSpaceDN w:val="0"/>
              <w:adjustRightInd w:val="0"/>
              <w:spacing w:line="360" w:lineRule="auto"/>
              <w:rPr>
                <w:lang w:val="en-US"/>
              </w:rPr>
            </w:pPr>
          </w:p>
        </w:tc>
      </w:tr>
      <w:tr w:rsidR="00F05F4E" w:rsidRPr="00A50810" w14:paraId="72133379" w14:textId="77777777" w:rsidTr="00A50810">
        <w:trPr>
          <w:trHeight w:val="263"/>
        </w:trPr>
        <w:tc>
          <w:tcPr>
            <w:tcW w:w="604" w:type="dxa"/>
            <w:shd w:val="clear" w:color="auto" w:fill="auto"/>
            <w:vAlign w:val="bottom"/>
          </w:tcPr>
          <w:p w14:paraId="77E4469C"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9</w:t>
            </w:r>
          </w:p>
        </w:tc>
        <w:tc>
          <w:tcPr>
            <w:tcW w:w="1740" w:type="dxa"/>
            <w:shd w:val="clear" w:color="auto" w:fill="auto"/>
            <w:vAlign w:val="bottom"/>
          </w:tcPr>
          <w:p w14:paraId="0B75D339"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 xml:space="preserve">Саліцилова </w:t>
            </w:r>
            <w:r w:rsidRPr="00A50810">
              <w:rPr>
                <w:lang w:val="uk-UA"/>
              </w:rPr>
              <w:br/>
              <w:t>кислота</w:t>
            </w:r>
          </w:p>
        </w:tc>
        <w:tc>
          <w:tcPr>
            <w:tcW w:w="609" w:type="dxa"/>
            <w:shd w:val="clear" w:color="auto" w:fill="auto"/>
            <w:vAlign w:val="bottom"/>
          </w:tcPr>
          <w:p w14:paraId="4234F19F" w14:textId="77777777" w:rsidR="00F05F4E" w:rsidRPr="00A50810" w:rsidRDefault="00F05F4E" w:rsidP="00A50810">
            <w:pPr>
              <w:spacing w:line="360" w:lineRule="auto"/>
              <w:rPr>
                <w:color w:val="000000"/>
              </w:rPr>
            </w:pPr>
            <w:r w:rsidRPr="00A50810">
              <w:rPr>
                <w:color w:val="000000"/>
              </w:rPr>
              <w:t>0</w:t>
            </w:r>
          </w:p>
        </w:tc>
        <w:tc>
          <w:tcPr>
            <w:tcW w:w="1566" w:type="dxa"/>
            <w:shd w:val="clear" w:color="auto" w:fill="auto"/>
            <w:vAlign w:val="bottom"/>
          </w:tcPr>
          <w:p w14:paraId="04263848" w14:textId="77777777" w:rsidR="00F05F4E" w:rsidRPr="00A50810" w:rsidRDefault="00F05F4E" w:rsidP="00A50810">
            <w:pPr>
              <w:spacing w:line="360" w:lineRule="auto"/>
              <w:rPr>
                <w:color w:val="000000"/>
              </w:rPr>
            </w:pPr>
            <w:r w:rsidRPr="00A50810">
              <w:rPr>
                <w:color w:val="000000"/>
              </w:rPr>
              <w:t xml:space="preserve">45,7 </w:t>
            </w:r>
            <w:r w:rsidRPr="00A50810">
              <w:rPr>
                <w:color w:val="1C1C1C"/>
              </w:rPr>
              <w:t>± 0,3</w:t>
            </w:r>
          </w:p>
        </w:tc>
        <w:tc>
          <w:tcPr>
            <w:tcW w:w="1479" w:type="dxa"/>
            <w:shd w:val="clear" w:color="auto" w:fill="auto"/>
            <w:vAlign w:val="bottom"/>
          </w:tcPr>
          <w:p w14:paraId="4949DBA0" w14:textId="77777777" w:rsidR="00F05F4E" w:rsidRPr="00A50810" w:rsidRDefault="00F05F4E" w:rsidP="00A50810">
            <w:pPr>
              <w:spacing w:line="360" w:lineRule="auto"/>
              <w:rPr>
                <w:color w:val="000000"/>
                <w:lang w:val="en-US"/>
              </w:rPr>
            </w:pPr>
            <w:r w:rsidRPr="00A50810">
              <w:rPr>
                <w:color w:val="000000"/>
              </w:rPr>
              <w:t>39,1</w:t>
            </w:r>
            <w:r w:rsidRPr="00A50810">
              <w:rPr>
                <w:color w:val="000000"/>
                <w:lang w:val="uk-UA"/>
              </w:rPr>
              <w:t xml:space="preserve"> </w:t>
            </w:r>
            <w:r w:rsidRPr="00A50810">
              <w:rPr>
                <w:color w:val="1C1C1C"/>
              </w:rPr>
              <w:t>±</w:t>
            </w:r>
            <w:r w:rsidRPr="00A50810">
              <w:rPr>
                <w:color w:val="1C1C1C"/>
                <w:lang w:val="uk-UA"/>
              </w:rPr>
              <w:t xml:space="preserve"> </w:t>
            </w:r>
            <w:r w:rsidRPr="00A50810">
              <w:rPr>
                <w:color w:val="1C1C1C"/>
              </w:rPr>
              <w:t>0,3</w:t>
            </w:r>
            <w:r w:rsidRPr="00A50810">
              <w:rPr>
                <w:color w:val="1C1C1C"/>
                <w:vertAlign w:val="superscript"/>
                <w:lang w:val="en-US"/>
              </w:rPr>
              <w:t>**</w:t>
            </w:r>
          </w:p>
        </w:tc>
        <w:tc>
          <w:tcPr>
            <w:tcW w:w="1566" w:type="dxa"/>
            <w:shd w:val="clear" w:color="auto" w:fill="auto"/>
            <w:vAlign w:val="bottom"/>
          </w:tcPr>
          <w:p w14:paraId="317B6F2E" w14:textId="77777777" w:rsidR="00F05F4E" w:rsidRPr="00A50810" w:rsidRDefault="00F05F4E" w:rsidP="00A50810">
            <w:pPr>
              <w:spacing w:line="360" w:lineRule="auto"/>
              <w:rPr>
                <w:color w:val="000000"/>
                <w:lang w:val="en-US"/>
              </w:rPr>
            </w:pPr>
            <w:r w:rsidRPr="00A50810">
              <w:rPr>
                <w:color w:val="000000"/>
              </w:rPr>
              <w:t xml:space="preserve">30,4 </w:t>
            </w:r>
            <w:r w:rsidRPr="00A50810">
              <w:rPr>
                <w:color w:val="1C1C1C"/>
              </w:rPr>
              <w:t>± 0,3</w:t>
            </w:r>
          </w:p>
        </w:tc>
        <w:tc>
          <w:tcPr>
            <w:tcW w:w="1392" w:type="dxa"/>
            <w:shd w:val="clear" w:color="auto" w:fill="auto"/>
            <w:vAlign w:val="bottom"/>
          </w:tcPr>
          <w:p w14:paraId="6764FA52" w14:textId="77777777" w:rsidR="00F05F4E" w:rsidRPr="00A50810" w:rsidRDefault="00F05F4E" w:rsidP="00A50810">
            <w:pPr>
              <w:widowControl w:val="0"/>
              <w:autoSpaceDE w:val="0"/>
              <w:autoSpaceDN w:val="0"/>
              <w:adjustRightInd w:val="0"/>
              <w:spacing w:line="360" w:lineRule="auto"/>
            </w:pPr>
            <w:r w:rsidRPr="00A50810">
              <w:rPr>
                <w:color w:val="000000"/>
              </w:rPr>
              <w:t>21,7</w:t>
            </w:r>
            <w:r w:rsidRPr="00A50810">
              <w:rPr>
                <w:color w:val="000000"/>
                <w:lang w:val="uk-UA"/>
              </w:rPr>
              <w:t xml:space="preserve"> </w:t>
            </w:r>
            <w:r w:rsidRPr="00A50810">
              <w:rPr>
                <w:color w:val="1C1C1C"/>
              </w:rPr>
              <w:t>±</w:t>
            </w:r>
            <w:r w:rsidRPr="00A50810">
              <w:rPr>
                <w:color w:val="1C1C1C"/>
                <w:lang w:val="uk-UA"/>
              </w:rPr>
              <w:t xml:space="preserve"> </w:t>
            </w:r>
            <w:r w:rsidRPr="00A50810">
              <w:rPr>
                <w:color w:val="1C1C1C"/>
              </w:rPr>
              <w:t>0,2</w:t>
            </w:r>
          </w:p>
        </w:tc>
        <w:tc>
          <w:tcPr>
            <w:tcW w:w="452" w:type="dxa"/>
            <w:shd w:val="clear" w:color="auto" w:fill="auto"/>
            <w:vAlign w:val="bottom"/>
          </w:tcPr>
          <w:p w14:paraId="27E407FD"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w:t>
            </w:r>
          </w:p>
        </w:tc>
      </w:tr>
      <w:tr w:rsidR="00F05F4E" w:rsidRPr="00A50810" w14:paraId="279BBD64" w14:textId="77777777" w:rsidTr="00A50810">
        <w:trPr>
          <w:trHeight w:val="640"/>
        </w:trPr>
        <w:tc>
          <w:tcPr>
            <w:tcW w:w="604" w:type="dxa"/>
            <w:shd w:val="clear" w:color="auto" w:fill="auto"/>
            <w:vAlign w:val="bottom"/>
          </w:tcPr>
          <w:p w14:paraId="65AA9C7F"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10</w:t>
            </w:r>
          </w:p>
        </w:tc>
        <w:tc>
          <w:tcPr>
            <w:tcW w:w="1740" w:type="dxa"/>
            <w:shd w:val="clear" w:color="auto" w:fill="auto"/>
            <w:vAlign w:val="bottom"/>
          </w:tcPr>
          <w:p w14:paraId="5D429192"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Хлорид</w:t>
            </w:r>
            <w:r w:rsidRPr="00A50810">
              <w:rPr>
                <w:lang w:val="uk-UA"/>
              </w:rPr>
              <w:br/>
              <w:t xml:space="preserve"> стануму (ІІ)</w:t>
            </w:r>
          </w:p>
        </w:tc>
        <w:tc>
          <w:tcPr>
            <w:tcW w:w="609" w:type="dxa"/>
            <w:shd w:val="clear" w:color="auto" w:fill="auto"/>
            <w:vAlign w:val="bottom"/>
          </w:tcPr>
          <w:p w14:paraId="5DD77B48" w14:textId="77777777" w:rsidR="00F05F4E" w:rsidRPr="00A50810" w:rsidRDefault="00F05F4E" w:rsidP="00A50810">
            <w:pPr>
              <w:spacing w:line="360" w:lineRule="auto"/>
              <w:rPr>
                <w:color w:val="000000"/>
                <w:lang w:val="uk-UA"/>
              </w:rPr>
            </w:pPr>
            <w:r w:rsidRPr="00A50810">
              <w:rPr>
                <w:color w:val="000000"/>
                <w:lang w:val="uk-UA"/>
              </w:rPr>
              <w:t>0</w:t>
            </w:r>
          </w:p>
        </w:tc>
        <w:tc>
          <w:tcPr>
            <w:tcW w:w="1566" w:type="dxa"/>
            <w:shd w:val="clear" w:color="auto" w:fill="auto"/>
            <w:vAlign w:val="bottom"/>
          </w:tcPr>
          <w:p w14:paraId="2EA172EB" w14:textId="77777777" w:rsidR="00F05F4E" w:rsidRPr="00A50810" w:rsidRDefault="00F05F4E" w:rsidP="00A50810">
            <w:pPr>
              <w:spacing w:line="360" w:lineRule="auto"/>
              <w:rPr>
                <w:color w:val="000000"/>
                <w:lang w:val="en-US"/>
              </w:rPr>
            </w:pPr>
            <w:r w:rsidRPr="00A50810">
              <w:rPr>
                <w:color w:val="000000"/>
                <w:lang w:val="uk-UA"/>
              </w:rPr>
              <w:t xml:space="preserve">71,2 </w:t>
            </w:r>
            <w:r w:rsidRPr="00A50810">
              <w:rPr>
                <w:color w:val="1C1C1C"/>
              </w:rPr>
              <w:t>±</w:t>
            </w:r>
            <w:r w:rsidRPr="00A50810">
              <w:rPr>
                <w:color w:val="1C1C1C"/>
                <w:lang w:val="uk-UA"/>
              </w:rPr>
              <w:t>0,2</w:t>
            </w:r>
            <w:r w:rsidRPr="00A50810">
              <w:rPr>
                <w:color w:val="1C1C1C"/>
                <w:vertAlign w:val="superscript"/>
                <w:lang w:val="en-US"/>
              </w:rPr>
              <w:t>**</w:t>
            </w:r>
          </w:p>
        </w:tc>
        <w:tc>
          <w:tcPr>
            <w:tcW w:w="1479" w:type="dxa"/>
            <w:shd w:val="clear" w:color="auto" w:fill="auto"/>
            <w:vAlign w:val="bottom"/>
          </w:tcPr>
          <w:p w14:paraId="02C25B38" w14:textId="77777777" w:rsidR="00F05F4E" w:rsidRPr="00A50810" w:rsidRDefault="00F05F4E" w:rsidP="00A50810">
            <w:pPr>
              <w:spacing w:line="360" w:lineRule="auto"/>
              <w:rPr>
                <w:color w:val="000000"/>
                <w:lang w:val="uk-UA"/>
              </w:rPr>
            </w:pPr>
            <w:r w:rsidRPr="00A50810">
              <w:rPr>
                <w:color w:val="000000"/>
                <w:lang w:val="uk-UA"/>
              </w:rPr>
              <w:t xml:space="preserve">70,7 </w:t>
            </w:r>
            <w:r w:rsidRPr="00A50810">
              <w:rPr>
                <w:color w:val="1C1C1C"/>
              </w:rPr>
              <w:t>±</w:t>
            </w:r>
            <w:r w:rsidRPr="00A50810">
              <w:rPr>
                <w:color w:val="1C1C1C"/>
                <w:lang w:val="uk-UA"/>
              </w:rPr>
              <w:t xml:space="preserve"> 0,2</w:t>
            </w:r>
            <w:r w:rsidRPr="00A50810">
              <w:rPr>
                <w:color w:val="1C1C1C"/>
                <w:vertAlign w:val="superscript"/>
                <w:lang w:val="en-US"/>
              </w:rPr>
              <w:t>**</w:t>
            </w:r>
          </w:p>
        </w:tc>
        <w:tc>
          <w:tcPr>
            <w:tcW w:w="1566" w:type="dxa"/>
            <w:shd w:val="clear" w:color="auto" w:fill="auto"/>
            <w:vAlign w:val="bottom"/>
          </w:tcPr>
          <w:p w14:paraId="75322F82" w14:textId="77777777" w:rsidR="00F05F4E" w:rsidRPr="00A50810" w:rsidRDefault="00F05F4E" w:rsidP="00A50810">
            <w:pPr>
              <w:spacing w:line="360" w:lineRule="auto"/>
              <w:rPr>
                <w:color w:val="000000"/>
              </w:rPr>
            </w:pPr>
            <w:r w:rsidRPr="00A50810">
              <w:rPr>
                <w:color w:val="000000"/>
                <w:lang w:val="uk-UA"/>
              </w:rPr>
              <w:t xml:space="preserve">68,96 </w:t>
            </w:r>
            <w:r w:rsidRPr="00A50810">
              <w:rPr>
                <w:color w:val="1C1C1C"/>
              </w:rPr>
              <w:t>±</w:t>
            </w:r>
            <w:r w:rsidRPr="00A50810">
              <w:rPr>
                <w:color w:val="1C1C1C"/>
                <w:lang w:val="uk-UA"/>
              </w:rPr>
              <w:t xml:space="preserve"> 0,5</w:t>
            </w:r>
          </w:p>
        </w:tc>
        <w:tc>
          <w:tcPr>
            <w:tcW w:w="1392" w:type="dxa"/>
            <w:shd w:val="clear" w:color="auto" w:fill="auto"/>
            <w:vAlign w:val="bottom"/>
          </w:tcPr>
          <w:p w14:paraId="215588F7" w14:textId="77777777" w:rsidR="00F05F4E" w:rsidRPr="00A50810" w:rsidRDefault="00F05F4E" w:rsidP="00A50810">
            <w:pPr>
              <w:widowControl w:val="0"/>
              <w:autoSpaceDE w:val="0"/>
              <w:autoSpaceDN w:val="0"/>
              <w:adjustRightInd w:val="0"/>
              <w:spacing w:line="360" w:lineRule="auto"/>
              <w:rPr>
                <w:color w:val="000000"/>
                <w:lang w:val="uk-UA"/>
              </w:rPr>
            </w:pPr>
            <w:r w:rsidRPr="00A50810">
              <w:rPr>
                <w:color w:val="000000"/>
                <w:lang w:val="uk-UA"/>
              </w:rPr>
              <w:t xml:space="preserve">45,02 </w:t>
            </w:r>
            <w:r w:rsidRPr="00A50810">
              <w:rPr>
                <w:color w:val="1C1C1C"/>
              </w:rPr>
              <w:t>±</w:t>
            </w:r>
            <w:r w:rsidRPr="00A50810">
              <w:rPr>
                <w:color w:val="1C1C1C"/>
                <w:lang w:val="uk-UA"/>
              </w:rPr>
              <w:t xml:space="preserve"> </w:t>
            </w:r>
            <w:r w:rsidRPr="00A50810">
              <w:rPr>
                <w:color w:val="1C1C1C"/>
              </w:rPr>
              <w:t>0,</w:t>
            </w:r>
            <w:r w:rsidRPr="00A50810">
              <w:rPr>
                <w:color w:val="1C1C1C"/>
                <w:lang w:val="uk-UA"/>
              </w:rPr>
              <w:t>3</w:t>
            </w:r>
          </w:p>
        </w:tc>
        <w:tc>
          <w:tcPr>
            <w:tcW w:w="452" w:type="dxa"/>
            <w:shd w:val="clear" w:color="auto" w:fill="auto"/>
            <w:vAlign w:val="bottom"/>
          </w:tcPr>
          <w:p w14:paraId="69742426" w14:textId="77777777" w:rsidR="00F05F4E" w:rsidRPr="00A50810" w:rsidRDefault="00F05F4E" w:rsidP="00A50810">
            <w:pPr>
              <w:widowControl w:val="0"/>
              <w:autoSpaceDE w:val="0"/>
              <w:autoSpaceDN w:val="0"/>
              <w:adjustRightInd w:val="0"/>
              <w:spacing w:line="360" w:lineRule="auto"/>
              <w:rPr>
                <w:lang w:val="en-US"/>
              </w:rPr>
            </w:pPr>
            <w:r w:rsidRPr="00A50810">
              <w:rPr>
                <w:lang w:val="en-US"/>
              </w:rPr>
              <w:t>-</w:t>
            </w:r>
          </w:p>
        </w:tc>
      </w:tr>
    </w:tbl>
    <w:p w14:paraId="36C67AFC" w14:textId="77777777" w:rsidR="00352B8A" w:rsidRDefault="00F05F4E" w:rsidP="00352B8A">
      <w:pPr>
        <w:ind w:left="450" w:hanging="450"/>
        <w:jc w:val="both"/>
        <w:rPr>
          <w:lang w:val="uk-UA"/>
        </w:rPr>
      </w:pPr>
      <w:bookmarkStart w:id="11" w:name="OLE_LINK5"/>
      <w:bookmarkEnd w:id="11"/>
      <w:r w:rsidRPr="008A6B7D">
        <w:rPr>
          <w:lang w:val="uk-UA"/>
        </w:rPr>
        <w:t xml:space="preserve">Примітки: </w:t>
      </w:r>
      <w:r w:rsidR="007C0C3C" w:rsidRPr="008A6B7D">
        <w:rPr>
          <w:lang w:val="uk-UA"/>
        </w:rPr>
        <w:tab/>
        <w:t xml:space="preserve">   </w:t>
      </w:r>
    </w:p>
    <w:p w14:paraId="5E1DB07F" w14:textId="7768F168" w:rsidR="007C0C3C" w:rsidRPr="008A6B7D" w:rsidRDefault="007C0C3C" w:rsidP="00352B8A">
      <w:pPr>
        <w:ind w:left="450" w:hanging="450"/>
        <w:jc w:val="both"/>
        <w:rPr>
          <w:lang w:val="uk-UA"/>
        </w:rPr>
      </w:pPr>
      <w:r w:rsidRPr="008A6B7D">
        <w:rPr>
          <w:lang w:val="uk-UA"/>
        </w:rPr>
        <w:t xml:space="preserve">1. </w:t>
      </w:r>
      <w:r w:rsidRPr="008A6B7D">
        <w:rPr>
          <w:lang w:val="uk-UA"/>
        </w:rPr>
        <w:tab/>
      </w:r>
      <w:r w:rsidRPr="008A6B7D">
        <w:rPr>
          <w:rFonts w:eastAsia="Calibri"/>
          <w:lang w:val="en-US"/>
        </w:rPr>
        <w:t>n</w:t>
      </w:r>
      <w:r w:rsidRPr="008A6B7D">
        <w:rPr>
          <w:rFonts w:eastAsia="Calibri"/>
        </w:rPr>
        <w:t xml:space="preserve"> </w:t>
      </w:r>
      <w:r w:rsidRPr="008A6B7D">
        <w:t>–</w:t>
      </w:r>
      <w:r w:rsidRPr="008A6B7D">
        <w:rPr>
          <w:rFonts w:eastAsia="Calibri"/>
        </w:rPr>
        <w:t xml:space="preserve"> кількість тварин у групі. </w:t>
      </w:r>
    </w:p>
    <w:p w14:paraId="66EAB29E" w14:textId="77777777" w:rsidR="007C0C3C" w:rsidRPr="008A6B7D" w:rsidRDefault="007C0C3C" w:rsidP="00352B8A">
      <w:pPr>
        <w:ind w:left="450" w:hanging="450"/>
        <w:jc w:val="both"/>
      </w:pPr>
      <w:r w:rsidRPr="008A6B7D">
        <w:rPr>
          <w:lang w:val="uk-UA"/>
        </w:rPr>
        <w:t>2.</w:t>
      </w:r>
      <w:r w:rsidRPr="008A6B7D">
        <w:tab/>
      </w:r>
      <w:r w:rsidR="00F05F4E" w:rsidRPr="008A6B7D">
        <w:t>*</w:t>
      </w:r>
      <w:r w:rsidR="00F05F4E" w:rsidRPr="008A6B7D">
        <w:rPr>
          <w:lang w:val="uk-UA"/>
        </w:rPr>
        <w:t xml:space="preserve"> </w:t>
      </w:r>
      <w:r w:rsidR="00F05F4E" w:rsidRPr="008A6B7D">
        <w:t>-</w:t>
      </w:r>
      <w:r w:rsidR="00F05F4E" w:rsidRPr="008A6B7D">
        <w:rPr>
          <w:lang w:val="uk-UA"/>
        </w:rPr>
        <w:t xml:space="preserve"> </w:t>
      </w:r>
      <w:r w:rsidR="00F05F4E" w:rsidRPr="008A6B7D">
        <w:rPr>
          <w:lang w:val="en-US"/>
        </w:rPr>
        <w:t>p</w:t>
      </w:r>
      <w:r w:rsidR="00F05F4E" w:rsidRPr="008A6B7D">
        <w:rPr>
          <w:lang w:val="en-US"/>
        </w:rPr>
        <w:sym w:font="Symbol" w:char="F03C"/>
      </w:r>
      <w:r w:rsidR="00F05F4E" w:rsidRPr="008A6B7D">
        <w:t>0,05 (</w:t>
      </w:r>
      <w:r w:rsidR="00F05F4E" w:rsidRPr="008A6B7D">
        <w:rPr>
          <w:lang w:val="uk-UA"/>
        </w:rPr>
        <w:t>статистично значуща різниця у порівнянні з контрольною групою).</w:t>
      </w:r>
      <w:r w:rsidR="00F05F4E" w:rsidRPr="008A6B7D">
        <w:t xml:space="preserve"> </w:t>
      </w:r>
    </w:p>
    <w:p w14:paraId="7D7BD44A" w14:textId="2379ED4B" w:rsidR="008A6B7D" w:rsidRPr="008A6B7D" w:rsidRDefault="007C0C3C" w:rsidP="00352B8A">
      <w:pPr>
        <w:ind w:left="450" w:hanging="450"/>
        <w:jc w:val="both"/>
        <w:rPr>
          <w:lang w:val="uk-UA"/>
        </w:rPr>
      </w:pPr>
      <w:r w:rsidRPr="008A6B7D">
        <w:rPr>
          <w:lang w:val="uk-UA"/>
        </w:rPr>
        <w:t xml:space="preserve">3. </w:t>
      </w:r>
      <w:r w:rsidRPr="008A6B7D">
        <w:rPr>
          <w:lang w:val="uk-UA"/>
        </w:rPr>
        <w:tab/>
      </w:r>
      <w:r w:rsidR="00F05F4E" w:rsidRPr="008A6B7D">
        <w:t>**</w:t>
      </w:r>
      <w:r w:rsidR="00F05F4E" w:rsidRPr="008A6B7D">
        <w:rPr>
          <w:lang w:val="uk-UA"/>
        </w:rPr>
        <w:t xml:space="preserve"> - р</w:t>
      </w:r>
      <w:r w:rsidR="00F05F4E" w:rsidRPr="008A6B7D">
        <w:rPr>
          <w:lang w:val="uk-UA"/>
        </w:rPr>
        <w:sym w:font="Symbol" w:char="F03C"/>
      </w:r>
      <w:r w:rsidR="00F05F4E" w:rsidRPr="008A6B7D">
        <w:rPr>
          <w:lang w:val="uk-UA"/>
        </w:rPr>
        <w:t>0,01 (статистично значуща різниця у порівнянні з контрольною групою).</w:t>
      </w:r>
    </w:p>
    <w:p w14:paraId="3B3EC3BA" w14:textId="77777777" w:rsidR="00352B8A" w:rsidRDefault="00352B8A" w:rsidP="007C0C3C">
      <w:pPr>
        <w:pStyle w:val="a6"/>
        <w:spacing w:before="0" w:beforeAutospacing="0" w:after="0" w:afterAutospacing="0" w:line="360" w:lineRule="auto"/>
        <w:ind w:firstLine="567"/>
        <w:jc w:val="both"/>
        <w:rPr>
          <w:sz w:val="28"/>
          <w:szCs w:val="28"/>
          <w:lang w:val="uk-UA"/>
        </w:rPr>
      </w:pPr>
    </w:p>
    <w:p w14:paraId="3C6854CB" w14:textId="10021726" w:rsidR="007C0C3C" w:rsidRDefault="007C0C3C" w:rsidP="007C0C3C">
      <w:pPr>
        <w:pStyle w:val="a6"/>
        <w:spacing w:before="0" w:beforeAutospacing="0" w:after="0" w:afterAutospacing="0" w:line="360" w:lineRule="auto"/>
        <w:ind w:firstLine="567"/>
        <w:jc w:val="both"/>
        <w:rPr>
          <w:color w:val="211E1E"/>
          <w:sz w:val="28"/>
          <w:szCs w:val="28"/>
          <w:lang w:val="uk-UA"/>
        </w:rPr>
      </w:pPr>
      <w:r w:rsidRPr="00F24BC1">
        <w:rPr>
          <w:sz w:val="28"/>
          <w:szCs w:val="28"/>
          <w:lang w:val="uk-UA"/>
        </w:rPr>
        <w:lastRenderedPageBreak/>
        <w:t xml:space="preserve">Показники різниці товщини пошкодженої кінцівки дослідної та контрольної груп під час лікування іонами </w:t>
      </w:r>
      <w:r w:rsidRPr="00F24BC1">
        <w:rPr>
          <w:sz w:val="28"/>
          <w:szCs w:val="28"/>
          <w:lang w:val="en-US"/>
        </w:rPr>
        <w:t>Sn</w:t>
      </w:r>
      <w:r w:rsidRPr="00F24BC1">
        <w:rPr>
          <w:sz w:val="28"/>
          <w:szCs w:val="28"/>
          <w:lang w:val="uk-UA"/>
        </w:rPr>
        <w:t xml:space="preserve"> на моделі трипсинового запалення були незначні, але візуально стан кінцівок був значно кращим (відсутність гіперемії). Найнижчі показники приросту товщини кінцівки спостерігалися під час лікування бензальдегідом, що свідчить про його високу ефективніст</w:t>
      </w:r>
      <w:r>
        <w:rPr>
          <w:sz w:val="28"/>
          <w:szCs w:val="28"/>
          <w:lang w:val="uk-UA"/>
        </w:rPr>
        <w:t>ь.</w:t>
      </w:r>
      <w:r w:rsidRPr="00F05F4E">
        <w:rPr>
          <w:color w:val="211E1E"/>
          <w:sz w:val="28"/>
          <w:szCs w:val="28"/>
          <w:lang w:val="uk-UA"/>
        </w:rPr>
        <w:t xml:space="preserve"> </w:t>
      </w:r>
    </w:p>
    <w:p w14:paraId="1C171409" w14:textId="03B44BF0" w:rsidR="007C0C3C" w:rsidRPr="007C0C3C" w:rsidRDefault="007C0C3C" w:rsidP="007C0C3C">
      <w:pPr>
        <w:pStyle w:val="a6"/>
        <w:spacing w:before="0" w:beforeAutospacing="0" w:after="0" w:afterAutospacing="0" w:line="360" w:lineRule="auto"/>
        <w:ind w:firstLine="567"/>
        <w:jc w:val="both"/>
        <w:rPr>
          <w:sz w:val="28"/>
          <w:szCs w:val="28"/>
          <w:lang w:val="uk-UA"/>
        </w:rPr>
      </w:pPr>
      <w:r w:rsidRPr="00F24BC1">
        <w:rPr>
          <w:color w:val="211E1E"/>
          <w:sz w:val="28"/>
          <w:szCs w:val="28"/>
          <w:lang w:val="uk-UA"/>
        </w:rPr>
        <w:t>Таким чином, проведені дослідження дозволяють дійти висновку, що комплексні сполуки І та ІІ проявляють протизапальну активність на різних моделях гострого (трипсинового, гістамінового, каррагінанового) і тривалого (формалінового) запалення. Встановлено, що комплексна сполука ІІ є високо ефективною на моделях короткого запалення (трипсин, каррагінан), що імовірно пов’язано з інгібуванням ЦОГ-2 та 5-ліпооксигенази. У свою чергу, комплексна сполука І була більш ефективною за комплекс ІІ на моделі тривалого формалінового запалення, що свідчіть про її вплив на перебіг запального процесу, викликаного активацією ЦОГ-1, та в меншій мірі ЦОГ-2.</w:t>
      </w:r>
    </w:p>
    <w:p w14:paraId="47A2ACAE" w14:textId="69910882" w:rsidR="00F05F4E" w:rsidRPr="00F24BC1" w:rsidRDefault="00F05F4E" w:rsidP="00F05F4E">
      <w:pPr>
        <w:spacing w:line="360" w:lineRule="auto"/>
        <w:ind w:firstLine="720"/>
        <w:jc w:val="both"/>
        <w:rPr>
          <w:color w:val="211E1E"/>
          <w:sz w:val="28"/>
          <w:szCs w:val="28"/>
          <w:lang w:val="uk-UA"/>
        </w:rPr>
      </w:pPr>
      <w:r w:rsidRPr="00F24BC1">
        <w:rPr>
          <w:color w:val="211E1E"/>
          <w:sz w:val="28"/>
          <w:szCs w:val="28"/>
          <w:lang w:val="uk-UA"/>
        </w:rPr>
        <w:t xml:space="preserve">Що стосується вкладу </w:t>
      </w:r>
      <w:r w:rsidR="00650AF5">
        <w:rPr>
          <w:color w:val="211E1E"/>
          <w:sz w:val="28"/>
          <w:szCs w:val="28"/>
          <w:lang w:val="uk-UA"/>
        </w:rPr>
        <w:t>структурних фрагментів</w:t>
      </w:r>
      <w:r w:rsidRPr="00F24BC1">
        <w:rPr>
          <w:color w:val="211E1E"/>
          <w:sz w:val="28"/>
          <w:szCs w:val="28"/>
          <w:lang w:val="uk-UA"/>
        </w:rPr>
        <w:t xml:space="preserve">, які входять до складу комплексних сполук, то бензальдегід вносить більш виразний вклад у протизапальну активність, на відміну від 4-бромбензальдегіду. Найбільший вклад у </w:t>
      </w:r>
      <w:r w:rsidR="00650AF5">
        <w:rPr>
          <w:color w:val="211E1E"/>
          <w:sz w:val="28"/>
          <w:szCs w:val="28"/>
          <w:lang w:val="uk-UA"/>
        </w:rPr>
        <w:t>антиексудативну</w:t>
      </w:r>
      <w:r w:rsidRPr="00F24BC1">
        <w:rPr>
          <w:color w:val="211E1E"/>
          <w:sz w:val="28"/>
          <w:szCs w:val="28"/>
          <w:lang w:val="uk-UA"/>
        </w:rPr>
        <w:t xml:space="preserve"> активн</w:t>
      </w:r>
      <w:r w:rsidR="00650AF5">
        <w:rPr>
          <w:color w:val="211E1E"/>
          <w:sz w:val="28"/>
          <w:szCs w:val="28"/>
          <w:lang w:val="uk-UA"/>
        </w:rPr>
        <w:t>ість</w:t>
      </w:r>
      <w:r w:rsidRPr="00F24BC1">
        <w:rPr>
          <w:color w:val="211E1E"/>
          <w:sz w:val="28"/>
          <w:szCs w:val="28"/>
          <w:lang w:val="uk-UA"/>
        </w:rPr>
        <w:t xml:space="preserve"> комплексних сполук на всіх моделях запалення</w:t>
      </w:r>
      <w:r w:rsidR="00650AF5">
        <w:rPr>
          <w:color w:val="211E1E"/>
          <w:sz w:val="28"/>
          <w:szCs w:val="28"/>
          <w:lang w:val="uk-UA"/>
        </w:rPr>
        <w:t>,</w:t>
      </w:r>
      <w:r w:rsidRPr="00F24BC1">
        <w:rPr>
          <w:color w:val="211E1E"/>
          <w:sz w:val="28"/>
          <w:szCs w:val="28"/>
          <w:lang w:val="uk-UA"/>
        </w:rPr>
        <w:t xml:space="preserve"> вносив залишок саліцилової кислоти, що підтверджує дані про її виражений протизапальний ефект [</w:t>
      </w:r>
      <w:r w:rsidRPr="00650AF5">
        <w:rPr>
          <w:color w:val="211E1E"/>
          <w:sz w:val="28"/>
          <w:szCs w:val="28"/>
          <w:lang w:val="uk-UA"/>
        </w:rPr>
        <w:t>2</w:t>
      </w:r>
      <w:r w:rsidR="00FE60C3">
        <w:rPr>
          <w:color w:val="211E1E"/>
          <w:sz w:val="28"/>
          <w:szCs w:val="28"/>
          <w:lang w:val="uk-UA"/>
        </w:rPr>
        <w:t>0</w:t>
      </w:r>
      <w:r w:rsidR="00B85935" w:rsidRPr="00B85935">
        <w:rPr>
          <w:color w:val="211E1E"/>
          <w:sz w:val="28"/>
          <w:szCs w:val="28"/>
          <w:lang w:val="uk-UA"/>
        </w:rPr>
        <w:t>8</w:t>
      </w:r>
      <w:r w:rsidRPr="00F24BC1">
        <w:rPr>
          <w:color w:val="211E1E"/>
          <w:sz w:val="28"/>
          <w:szCs w:val="28"/>
          <w:lang w:val="uk-UA"/>
        </w:rPr>
        <w:t>].</w:t>
      </w:r>
    </w:p>
    <w:p w14:paraId="691080AC" w14:textId="77777777" w:rsidR="00F05F4E" w:rsidRPr="00650AF5" w:rsidRDefault="00F05F4E" w:rsidP="00F05F4E">
      <w:pPr>
        <w:pStyle w:val="a6"/>
        <w:spacing w:before="0" w:beforeAutospacing="0" w:after="0" w:afterAutospacing="0" w:line="360" w:lineRule="auto"/>
        <w:jc w:val="both"/>
        <w:rPr>
          <w:color w:val="211E1E"/>
          <w:sz w:val="28"/>
          <w:szCs w:val="28"/>
          <w:lang w:val="uk-UA"/>
        </w:rPr>
      </w:pPr>
      <w:bookmarkStart w:id="12" w:name="_Toc61808892"/>
    </w:p>
    <w:p w14:paraId="39252CC3" w14:textId="25A02393" w:rsidR="00F05F4E" w:rsidRPr="00F24BC1" w:rsidRDefault="00F05F4E" w:rsidP="00F05F4E">
      <w:pPr>
        <w:pStyle w:val="a6"/>
        <w:spacing w:before="0" w:beforeAutospacing="0" w:after="0" w:afterAutospacing="0" w:line="360" w:lineRule="auto"/>
        <w:ind w:firstLine="709"/>
        <w:jc w:val="both"/>
        <w:outlineLvl w:val="1"/>
        <w:rPr>
          <w:color w:val="211E1E"/>
          <w:sz w:val="28"/>
          <w:szCs w:val="28"/>
          <w:lang w:val="uk-UA"/>
        </w:rPr>
      </w:pPr>
      <w:bookmarkStart w:id="13" w:name="_Toc63336104"/>
      <w:r>
        <w:rPr>
          <w:b/>
          <w:sz w:val="28"/>
          <w:szCs w:val="28"/>
          <w:lang w:val="uk-UA"/>
        </w:rPr>
        <w:t>4</w:t>
      </w:r>
      <w:r w:rsidRPr="00F24BC1">
        <w:rPr>
          <w:b/>
          <w:sz w:val="28"/>
          <w:szCs w:val="28"/>
          <w:lang w:val="uk-UA"/>
        </w:rPr>
        <w:t>.5 Ви</w:t>
      </w:r>
      <w:r>
        <w:rPr>
          <w:b/>
          <w:sz w:val="28"/>
          <w:szCs w:val="28"/>
          <w:lang w:val="uk-UA"/>
        </w:rPr>
        <w:t>значення</w:t>
      </w:r>
      <w:r w:rsidRPr="00F24BC1">
        <w:rPr>
          <w:b/>
          <w:sz w:val="28"/>
          <w:szCs w:val="28"/>
          <w:lang w:val="uk-UA"/>
        </w:rPr>
        <w:t xml:space="preserve"> антипірогенної активності комплексних сполук </w:t>
      </w:r>
      <w:r w:rsidRPr="00F24BC1">
        <w:rPr>
          <w:b/>
          <w:sz w:val="28"/>
          <w:szCs w:val="28"/>
        </w:rPr>
        <w:t>Sn</w:t>
      </w:r>
      <w:r w:rsidR="00C57D1F">
        <w:rPr>
          <w:b/>
          <w:sz w:val="28"/>
          <w:szCs w:val="28"/>
          <w:vertAlign w:val="subscript"/>
          <w:lang w:val="uk-UA"/>
        </w:rPr>
        <w:t xml:space="preserve"> </w:t>
      </w:r>
      <w:r w:rsidR="00C57D1F">
        <w:rPr>
          <w:b/>
          <w:sz w:val="28"/>
          <w:szCs w:val="28"/>
          <w:lang w:val="uk-UA"/>
        </w:rPr>
        <w:t>(</w:t>
      </w:r>
      <w:r w:rsidR="00C57D1F">
        <w:rPr>
          <w:b/>
          <w:sz w:val="28"/>
          <w:szCs w:val="28"/>
          <w:lang w:val="en-US"/>
        </w:rPr>
        <w:t>IV</w:t>
      </w:r>
      <w:r w:rsidR="00C57D1F">
        <w:rPr>
          <w:b/>
          <w:sz w:val="28"/>
          <w:szCs w:val="28"/>
          <w:lang w:val="uk-UA"/>
        </w:rPr>
        <w:t>)</w:t>
      </w:r>
      <w:r w:rsidR="00C57D1F" w:rsidRPr="00461A45">
        <w:rPr>
          <w:b/>
          <w:sz w:val="28"/>
          <w:szCs w:val="28"/>
          <w:lang w:val="uk-UA"/>
        </w:rPr>
        <w:t xml:space="preserve"> </w:t>
      </w:r>
      <w:r w:rsidRPr="00F24BC1">
        <w:rPr>
          <w:b/>
          <w:sz w:val="28"/>
          <w:szCs w:val="28"/>
          <w:lang w:val="uk-UA"/>
        </w:rPr>
        <w:t>з саліцилоїлгідразонами бензальдегід</w:t>
      </w:r>
      <w:r w:rsidR="00C57D1F">
        <w:rPr>
          <w:b/>
          <w:sz w:val="28"/>
          <w:szCs w:val="28"/>
          <w:lang w:val="uk-UA"/>
        </w:rPr>
        <w:t>ів</w:t>
      </w:r>
      <w:r w:rsidRPr="00F24BC1">
        <w:rPr>
          <w:b/>
          <w:sz w:val="28"/>
          <w:szCs w:val="28"/>
          <w:lang w:val="uk-UA"/>
        </w:rPr>
        <w:t>.</w:t>
      </w:r>
      <w:bookmarkEnd w:id="12"/>
      <w:bookmarkEnd w:id="13"/>
    </w:p>
    <w:p w14:paraId="210CB6E2" w14:textId="35AB67DE" w:rsidR="00F05F4E" w:rsidRPr="00F05F4E" w:rsidRDefault="00F05F4E" w:rsidP="00F05F4E">
      <w:pPr>
        <w:pStyle w:val="a6"/>
        <w:spacing w:before="0" w:beforeAutospacing="0" w:after="0" w:afterAutospacing="0" w:line="360" w:lineRule="auto"/>
        <w:ind w:firstLine="709"/>
        <w:jc w:val="both"/>
        <w:rPr>
          <w:b/>
          <w:color w:val="FF0000"/>
          <w:sz w:val="28"/>
          <w:szCs w:val="28"/>
          <w:lang w:val="uk-UA"/>
        </w:rPr>
      </w:pPr>
      <w:r w:rsidRPr="00F24BC1">
        <w:rPr>
          <w:sz w:val="28"/>
          <w:szCs w:val="28"/>
          <w:lang w:val="uk-UA"/>
        </w:rPr>
        <w:t xml:space="preserve">Часто різні запальні процеси супроводжуються місцевим та/або загальним підвищенням температури. Підвищена температура з якої-небудь причини, інфекційної або неінфекційної, впливає на більшість систем органів тіла, іноді з незворотними ушкодженнями і може призвести до смерті </w:t>
      </w:r>
      <w:r w:rsidRPr="00787744">
        <w:rPr>
          <w:color w:val="000000"/>
          <w:sz w:val="28"/>
          <w:szCs w:val="28"/>
          <w:lang w:val="uk-UA"/>
        </w:rPr>
        <w:t>[2</w:t>
      </w:r>
      <w:r w:rsidR="00B85935" w:rsidRPr="00B85935">
        <w:rPr>
          <w:color w:val="000000"/>
          <w:sz w:val="28"/>
          <w:szCs w:val="28"/>
          <w:lang w:val="uk-UA"/>
        </w:rPr>
        <w:t>09</w:t>
      </w:r>
      <w:r w:rsidRPr="00787744">
        <w:rPr>
          <w:color w:val="000000"/>
          <w:sz w:val="28"/>
          <w:szCs w:val="28"/>
          <w:lang w:val="uk-UA"/>
        </w:rPr>
        <w:t>].</w:t>
      </w:r>
      <w:r>
        <w:rPr>
          <w:b/>
          <w:color w:val="FF0000"/>
          <w:sz w:val="28"/>
          <w:szCs w:val="28"/>
          <w:lang w:val="uk-UA"/>
        </w:rPr>
        <w:t xml:space="preserve"> </w:t>
      </w:r>
      <w:r w:rsidRPr="00F24BC1">
        <w:rPr>
          <w:sz w:val="28"/>
          <w:szCs w:val="28"/>
          <w:lang w:val="uk-UA"/>
        </w:rPr>
        <w:t xml:space="preserve">Індукція та підтримання лихоманки під час інфекції передбачає тісно скоординовану взаємодію між вродженою імунною системою та </w:t>
      </w:r>
      <w:r w:rsidRPr="00F24BC1">
        <w:rPr>
          <w:sz w:val="28"/>
          <w:szCs w:val="28"/>
          <w:lang w:val="uk-UA"/>
        </w:rPr>
        <w:lastRenderedPageBreak/>
        <w:t xml:space="preserve">нейрональними ланцюгами в межах центральної та периферичної нервової системи. Імунне зондування інфекції починається зі зв'язування патогенно-асоційованих молекулярних структур (наприклад, ліпополісахаридів, вірусної РНК) з рецепторами розпізнавання патогенів - вродженими популяціями імунних клітин, включаючи макрофаги, нейтрофіли та дендритні клітини </w:t>
      </w:r>
      <w:r w:rsidRPr="00787744">
        <w:rPr>
          <w:color w:val="000000"/>
          <w:sz w:val="28"/>
          <w:szCs w:val="28"/>
          <w:lang w:val="uk-UA"/>
        </w:rPr>
        <w:t>[2</w:t>
      </w:r>
      <w:r w:rsidR="00390008" w:rsidRPr="00390008">
        <w:rPr>
          <w:color w:val="000000"/>
          <w:sz w:val="28"/>
          <w:szCs w:val="28"/>
          <w:lang w:val="uk-UA"/>
        </w:rPr>
        <w:t>1</w:t>
      </w:r>
      <w:r w:rsidR="00B85935" w:rsidRPr="00B85935">
        <w:rPr>
          <w:color w:val="000000"/>
          <w:sz w:val="28"/>
          <w:szCs w:val="28"/>
          <w:lang w:val="uk-UA"/>
        </w:rPr>
        <w:t>0</w:t>
      </w:r>
      <w:r w:rsidRPr="00787744">
        <w:rPr>
          <w:color w:val="000000"/>
          <w:sz w:val="28"/>
          <w:szCs w:val="28"/>
          <w:lang w:val="uk-UA"/>
        </w:rPr>
        <w:t>].</w:t>
      </w:r>
    </w:p>
    <w:p w14:paraId="292D3A25" w14:textId="440A3AE0" w:rsidR="007C0C3C" w:rsidRDefault="00F05F4E" w:rsidP="007C0C3C">
      <w:pPr>
        <w:pStyle w:val="a6"/>
        <w:spacing w:before="0" w:beforeAutospacing="0" w:after="0" w:afterAutospacing="0" w:line="360" w:lineRule="auto"/>
        <w:ind w:firstLine="709"/>
        <w:jc w:val="both"/>
        <w:rPr>
          <w:sz w:val="28"/>
          <w:szCs w:val="28"/>
          <w:lang w:val="uk-UA"/>
        </w:rPr>
      </w:pPr>
      <w:r w:rsidRPr="003D4DAC">
        <w:rPr>
          <w:sz w:val="28"/>
          <w:szCs w:val="28"/>
          <w:lang w:val="uk-UA"/>
        </w:rPr>
        <w:t xml:space="preserve">Згідно з отриманими даними, зазначеними на рис. </w:t>
      </w:r>
      <w:r>
        <w:rPr>
          <w:sz w:val="28"/>
          <w:szCs w:val="28"/>
          <w:lang w:val="uk-UA"/>
        </w:rPr>
        <w:t>4</w:t>
      </w:r>
      <w:r w:rsidRPr="003D4DAC">
        <w:rPr>
          <w:sz w:val="28"/>
          <w:szCs w:val="28"/>
          <w:lang w:val="uk-UA"/>
        </w:rPr>
        <w:t>.5.1, видно, що вже через пів години після внутрішньом</w:t>
      </w:r>
      <w:r>
        <w:rPr>
          <w:sz w:val="28"/>
          <w:szCs w:val="28"/>
          <w:lang w:val="uk-UA"/>
        </w:rPr>
        <w:t>’</w:t>
      </w:r>
      <w:r w:rsidRPr="003D4DAC">
        <w:rPr>
          <w:sz w:val="28"/>
          <w:szCs w:val="28"/>
          <w:lang w:val="uk-UA"/>
        </w:rPr>
        <w:t>язового введення пірогеналу</w:t>
      </w:r>
      <w:r w:rsidR="00650AF5">
        <w:rPr>
          <w:sz w:val="28"/>
          <w:szCs w:val="28"/>
          <w:lang w:val="uk-UA"/>
        </w:rPr>
        <w:t>,</w:t>
      </w:r>
      <w:r w:rsidRPr="003D4DAC">
        <w:rPr>
          <w:sz w:val="28"/>
          <w:szCs w:val="28"/>
          <w:lang w:val="uk-UA"/>
        </w:rPr>
        <w:t xml:space="preserve"> температура тіла щурів підвищилась в середньому на 1,5 °С., а через 3 години температура тіла щурів експериментальної групи сягнула 38 °С. </w:t>
      </w:r>
    </w:p>
    <w:p w14:paraId="02D256AA" w14:textId="77777777" w:rsidR="007C0C3C" w:rsidRPr="00F24BC1" w:rsidRDefault="007C0C3C" w:rsidP="007C0C3C">
      <w:pPr>
        <w:pStyle w:val="a6"/>
        <w:spacing w:before="0" w:beforeAutospacing="0" w:after="0" w:afterAutospacing="0" w:line="360" w:lineRule="auto"/>
        <w:jc w:val="center"/>
        <w:rPr>
          <w:sz w:val="28"/>
          <w:szCs w:val="28"/>
          <w:lang w:val="uk-UA"/>
        </w:rPr>
      </w:pPr>
      <w:r w:rsidRPr="006D1679">
        <w:rPr>
          <w:noProof/>
          <w:sz w:val="28"/>
          <w:szCs w:val="28"/>
          <w:lang w:val="en-US" w:eastAsia="en-US"/>
        </w:rPr>
        <w:drawing>
          <wp:inline distT="0" distB="0" distL="0" distR="0" wp14:anchorId="07684045" wp14:editId="269BAA14">
            <wp:extent cx="4581330" cy="2780523"/>
            <wp:effectExtent l="0" t="0" r="3810" b="1270"/>
            <wp:docPr id="19"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pic:cNvPicPr>
                      <a:picLocks/>
                    </pic:cNvPicPr>
                  </pic:nvPicPr>
                  <pic:blipFill rotWithShape="1">
                    <a:blip r:embed="rId45">
                      <a:extLst>
                        <a:ext uri="{28A0092B-C50C-407E-A947-70E740481C1C}">
                          <a14:useLocalDpi xmlns:a14="http://schemas.microsoft.com/office/drawing/2010/main" val="0"/>
                        </a:ext>
                      </a:extLst>
                    </a:blip>
                    <a:srcRect l="1193" t="3885" r="4512" b="2199"/>
                    <a:stretch/>
                  </pic:blipFill>
                  <pic:spPr bwMode="auto">
                    <a:xfrm>
                      <a:off x="0" y="0"/>
                      <a:ext cx="4609675" cy="2797726"/>
                    </a:xfrm>
                    <a:prstGeom prst="rect">
                      <a:avLst/>
                    </a:prstGeom>
                    <a:noFill/>
                    <a:ln>
                      <a:noFill/>
                    </a:ln>
                    <a:extLst>
                      <a:ext uri="{53640926-AAD7-44D8-BBD7-CCE9431645EC}">
                        <a14:shadowObscured xmlns:a14="http://schemas.microsoft.com/office/drawing/2010/main"/>
                      </a:ext>
                    </a:extLst>
                  </pic:spPr>
                </pic:pic>
              </a:graphicData>
            </a:graphic>
          </wp:inline>
        </w:drawing>
      </w:r>
    </w:p>
    <w:p w14:paraId="5A536430" w14:textId="77777777" w:rsidR="007C0C3C" w:rsidRPr="00F24BC1" w:rsidRDefault="007C0C3C" w:rsidP="007C0C3C">
      <w:pPr>
        <w:pStyle w:val="a6"/>
        <w:spacing w:before="0" w:beforeAutospacing="0" w:after="0" w:afterAutospacing="0" w:line="360" w:lineRule="auto"/>
        <w:ind w:firstLine="719"/>
        <w:jc w:val="both"/>
        <w:rPr>
          <w:sz w:val="28"/>
          <w:szCs w:val="28"/>
          <w:lang w:val="uk-UA"/>
        </w:rPr>
      </w:pPr>
      <w:r w:rsidRPr="00F24BC1">
        <w:rPr>
          <w:sz w:val="28"/>
          <w:szCs w:val="28"/>
          <w:lang w:val="uk-UA"/>
        </w:rPr>
        <w:t xml:space="preserve">Рис. </w:t>
      </w:r>
      <w:r>
        <w:rPr>
          <w:sz w:val="28"/>
          <w:szCs w:val="28"/>
          <w:lang w:val="uk-UA"/>
        </w:rPr>
        <w:t>4</w:t>
      </w:r>
      <w:r w:rsidRPr="00F24BC1">
        <w:rPr>
          <w:sz w:val="28"/>
          <w:szCs w:val="28"/>
          <w:lang w:val="uk-UA"/>
        </w:rPr>
        <w:t>.5.1 Антипіретична дія комплексних сполук І і ІІ у порівнянні із саліциловою кислотою після внутрішньом’язового введення пірогеналу, (М</w:t>
      </w:r>
      <w:r w:rsidRPr="00F24BC1">
        <w:rPr>
          <w:color w:val="4D5156"/>
          <w:sz w:val="28"/>
          <w:szCs w:val="28"/>
          <w:shd w:val="clear" w:color="auto" w:fill="FFFFFF"/>
          <w:lang w:val="uk-UA"/>
        </w:rPr>
        <w:t>±</w:t>
      </w:r>
      <w:r w:rsidRPr="00F24BC1">
        <w:rPr>
          <w:sz w:val="28"/>
          <w:szCs w:val="28"/>
          <w:lang w:val="en-US"/>
        </w:rPr>
        <w:t>m</w:t>
      </w:r>
      <w:r w:rsidRPr="00F24BC1">
        <w:rPr>
          <w:sz w:val="28"/>
          <w:szCs w:val="28"/>
          <w:lang w:val="uk-UA"/>
        </w:rPr>
        <w:t xml:space="preserve">, </w:t>
      </w:r>
      <w:r w:rsidRPr="00F24BC1">
        <w:rPr>
          <w:sz w:val="28"/>
          <w:szCs w:val="28"/>
          <w:lang w:val="en-US"/>
        </w:rPr>
        <w:t>n</w:t>
      </w:r>
      <w:r w:rsidRPr="00F24BC1">
        <w:rPr>
          <w:sz w:val="28"/>
          <w:szCs w:val="28"/>
          <w:lang w:val="uk-UA"/>
        </w:rPr>
        <w:t>=5).</w:t>
      </w:r>
    </w:p>
    <w:p w14:paraId="7E4AC95D" w14:textId="77777777" w:rsidR="00352B8A" w:rsidRDefault="007C0C3C" w:rsidP="00352B8A">
      <w:pPr>
        <w:ind w:left="450" w:hanging="450"/>
        <w:jc w:val="both"/>
        <w:rPr>
          <w:lang w:val="uk-UA"/>
        </w:rPr>
      </w:pPr>
      <w:r w:rsidRPr="008A6B7D">
        <w:rPr>
          <w:lang w:val="uk-UA"/>
        </w:rPr>
        <w:t>Примітки:</w:t>
      </w:r>
    </w:p>
    <w:p w14:paraId="4C377AA1" w14:textId="627D5C4C" w:rsidR="007C0C3C" w:rsidRPr="008A6B7D" w:rsidRDefault="007C0C3C" w:rsidP="00352B8A">
      <w:pPr>
        <w:ind w:left="450" w:hanging="450"/>
        <w:jc w:val="both"/>
        <w:rPr>
          <w:lang w:val="uk-UA"/>
        </w:rPr>
      </w:pPr>
      <w:r w:rsidRPr="008A6B7D">
        <w:rPr>
          <w:lang w:val="uk-UA"/>
        </w:rPr>
        <w:t>1.</w:t>
      </w:r>
      <w:r w:rsidRPr="008A6B7D">
        <w:rPr>
          <w:lang w:val="uk-UA"/>
        </w:rPr>
        <w:tab/>
      </w:r>
      <w:r w:rsidRPr="008A6B7D">
        <w:rPr>
          <w:rFonts w:eastAsia="Calibri"/>
        </w:rPr>
        <w:t xml:space="preserve">n </w:t>
      </w:r>
      <w:r w:rsidRPr="008A6B7D">
        <w:t>–</w:t>
      </w:r>
      <w:r w:rsidRPr="008A6B7D">
        <w:rPr>
          <w:rFonts w:eastAsia="Calibri"/>
        </w:rPr>
        <w:t xml:space="preserve"> кількість тварин у групі.</w:t>
      </w:r>
    </w:p>
    <w:p w14:paraId="26C8DCFB" w14:textId="77777777" w:rsidR="007C0C3C" w:rsidRPr="008A6B7D" w:rsidRDefault="007C0C3C" w:rsidP="007C0C3C">
      <w:pPr>
        <w:pStyle w:val="a6"/>
        <w:spacing w:before="0" w:beforeAutospacing="0" w:after="0" w:afterAutospacing="0" w:line="360" w:lineRule="auto"/>
        <w:ind w:firstLine="709"/>
        <w:jc w:val="both"/>
        <w:rPr>
          <w:color w:val="000000" w:themeColor="text1"/>
          <w:sz w:val="28"/>
          <w:szCs w:val="28"/>
          <w:lang w:val="uk-UA"/>
        </w:rPr>
      </w:pPr>
    </w:p>
    <w:p w14:paraId="7DC7FC1E" w14:textId="327369BF" w:rsidR="00F05F4E" w:rsidRPr="008A6B7D" w:rsidRDefault="00F05F4E" w:rsidP="007C0C3C">
      <w:pPr>
        <w:pStyle w:val="a6"/>
        <w:spacing w:before="0" w:beforeAutospacing="0" w:after="0" w:afterAutospacing="0" w:line="360" w:lineRule="auto"/>
        <w:ind w:firstLine="709"/>
        <w:jc w:val="both"/>
        <w:rPr>
          <w:color w:val="000000" w:themeColor="text1"/>
          <w:sz w:val="28"/>
          <w:szCs w:val="28"/>
          <w:lang w:val="uk-UA"/>
        </w:rPr>
      </w:pPr>
      <w:r w:rsidRPr="008A6B7D">
        <w:rPr>
          <w:color w:val="000000" w:themeColor="text1"/>
          <w:sz w:val="28"/>
          <w:szCs w:val="28"/>
          <w:lang w:val="uk-UA"/>
        </w:rPr>
        <w:t>Підвищена температура спостерігалась протягом 6 годин експерименту після введення пірогеналу.</w:t>
      </w:r>
      <w:r w:rsidR="007C0C3C" w:rsidRPr="008A6B7D">
        <w:rPr>
          <w:color w:val="000000" w:themeColor="text1"/>
          <w:sz w:val="28"/>
          <w:szCs w:val="28"/>
          <w:lang w:val="uk-UA"/>
        </w:rPr>
        <w:t xml:space="preserve"> </w:t>
      </w:r>
      <w:r w:rsidRPr="008A6B7D">
        <w:rPr>
          <w:color w:val="000000" w:themeColor="text1"/>
          <w:sz w:val="28"/>
          <w:szCs w:val="28"/>
          <w:lang w:val="uk-UA"/>
        </w:rPr>
        <w:t xml:space="preserve">Після введення обох комплексних сполук підвищення температури було не значним і не перевищувало 36,4 °С. Так, вже через півгодини після введення, для комплексу І спостерігався виразний антипірогений ефект, який тримався до третьої години, надалі показники </w:t>
      </w:r>
      <w:r w:rsidRPr="008A6B7D">
        <w:rPr>
          <w:color w:val="000000" w:themeColor="text1"/>
          <w:sz w:val="28"/>
          <w:szCs w:val="28"/>
          <w:lang w:val="uk-UA"/>
        </w:rPr>
        <w:lastRenderedPageBreak/>
        <w:t xml:space="preserve">виросли до 36,1°С, що може бути пов’язано із недостатньою дозою діючої сполуки. Через 6 годин після початку експерименту показники температури тіла тварин, якій вводили комплекс І в середньому становили 35,4°С. Комплексна сполука ІІ також проявляє себе як достатньо ефективна антипірогенна сполука (на рівні із саліциловою кислотою). </w:t>
      </w:r>
    </w:p>
    <w:p w14:paraId="749BB316" w14:textId="0FA4C384" w:rsidR="00F05F4E" w:rsidRPr="008A6B7D" w:rsidRDefault="00F05F4E" w:rsidP="00F05F4E">
      <w:pPr>
        <w:pStyle w:val="a6"/>
        <w:tabs>
          <w:tab w:val="left" w:pos="720"/>
        </w:tabs>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 xml:space="preserve">Отримані дані дії комплексних сполук викликали інтерес, як антипірогенні засоби, тому їх було вирішено порівняти із референс-препаратом </w:t>
      </w:r>
      <w:r w:rsidR="00650AF5" w:rsidRPr="008A6B7D">
        <w:rPr>
          <w:color w:val="000000" w:themeColor="text1"/>
          <w:sz w:val="28"/>
          <w:szCs w:val="28"/>
          <w:lang w:val="uk-UA"/>
        </w:rPr>
        <w:t>і</w:t>
      </w:r>
      <w:r w:rsidRPr="008A6B7D">
        <w:rPr>
          <w:color w:val="000000" w:themeColor="text1"/>
          <w:sz w:val="28"/>
          <w:szCs w:val="28"/>
          <w:lang w:val="uk-UA"/>
        </w:rPr>
        <w:t xml:space="preserve">бупрофеном (рис. 4.5.2). </w:t>
      </w:r>
    </w:p>
    <w:p w14:paraId="1432439D" w14:textId="41E09C60" w:rsidR="00F05F4E" w:rsidRPr="008A6B7D" w:rsidRDefault="00F05F4E" w:rsidP="00F05F4E">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 xml:space="preserve">Згідно, з даними зображеними на рис. 3.5.2, видно, що і вже через пів години </w:t>
      </w:r>
      <w:r w:rsidR="00650AF5" w:rsidRPr="008A6B7D">
        <w:rPr>
          <w:color w:val="000000" w:themeColor="text1"/>
          <w:sz w:val="28"/>
          <w:szCs w:val="28"/>
          <w:lang w:val="uk-UA"/>
        </w:rPr>
        <w:t>і</w:t>
      </w:r>
      <w:r w:rsidRPr="008A6B7D">
        <w:rPr>
          <w:color w:val="000000" w:themeColor="text1"/>
          <w:sz w:val="28"/>
          <w:szCs w:val="28"/>
          <w:lang w:val="uk-UA"/>
        </w:rPr>
        <w:t xml:space="preserve">бупрофен проявив виразну антипіретичну активність, середня температура тіла щурів не перевищувала 34,4 °С. </w:t>
      </w:r>
    </w:p>
    <w:p w14:paraId="20BA42F0" w14:textId="691766E6" w:rsidR="00F05F4E" w:rsidRDefault="00F05F4E" w:rsidP="00F05F4E">
      <w:pPr>
        <w:pStyle w:val="a6"/>
        <w:tabs>
          <w:tab w:val="left" w:pos="720"/>
        </w:tabs>
        <w:spacing w:before="0" w:beforeAutospacing="0" w:after="0" w:afterAutospacing="0" w:line="360" w:lineRule="auto"/>
        <w:jc w:val="center"/>
        <w:rPr>
          <w:sz w:val="28"/>
          <w:szCs w:val="28"/>
          <w:lang w:val="uk-UA"/>
        </w:rPr>
      </w:pPr>
      <w:r w:rsidRPr="006D1679">
        <w:rPr>
          <w:noProof/>
          <w:sz w:val="28"/>
          <w:szCs w:val="28"/>
          <w:lang w:val="en-US" w:eastAsia="en-US"/>
        </w:rPr>
        <w:drawing>
          <wp:inline distT="0" distB="0" distL="0" distR="0" wp14:anchorId="14BD20BB" wp14:editId="11174C51">
            <wp:extent cx="4609322" cy="2864498"/>
            <wp:effectExtent l="0" t="0" r="1270" b="5715"/>
            <wp:docPr id="20"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pic:cNvPicPr>
                      <a:picLocks/>
                    </pic:cNvPicPr>
                  </pic:nvPicPr>
                  <pic:blipFill rotWithShape="1">
                    <a:blip r:embed="rId46" cstate="print">
                      <a:extLst>
                        <a:ext uri="{28A0092B-C50C-407E-A947-70E740481C1C}">
                          <a14:useLocalDpi xmlns:a14="http://schemas.microsoft.com/office/drawing/2010/main" val="0"/>
                        </a:ext>
                      </a:extLst>
                    </a:blip>
                    <a:srcRect l="974" t="2792" r="4880" b="5046"/>
                    <a:stretch/>
                  </pic:blipFill>
                  <pic:spPr bwMode="auto">
                    <a:xfrm>
                      <a:off x="0" y="0"/>
                      <a:ext cx="4644903" cy="2886610"/>
                    </a:xfrm>
                    <a:prstGeom prst="rect">
                      <a:avLst/>
                    </a:prstGeom>
                    <a:noFill/>
                    <a:ln>
                      <a:noFill/>
                    </a:ln>
                    <a:extLst>
                      <a:ext uri="{53640926-AAD7-44D8-BBD7-CCE9431645EC}">
                        <a14:shadowObscured xmlns:a14="http://schemas.microsoft.com/office/drawing/2010/main"/>
                      </a:ext>
                    </a:extLst>
                  </pic:spPr>
                </pic:pic>
              </a:graphicData>
            </a:graphic>
          </wp:inline>
        </w:drawing>
      </w:r>
    </w:p>
    <w:p w14:paraId="675891CF" w14:textId="210039E8" w:rsidR="00F05F4E" w:rsidRPr="00F24BC1" w:rsidRDefault="00F05F4E" w:rsidP="007C0C3C">
      <w:pPr>
        <w:pStyle w:val="a6"/>
        <w:tabs>
          <w:tab w:val="left" w:pos="720"/>
        </w:tabs>
        <w:spacing w:before="0" w:beforeAutospacing="0" w:after="0" w:afterAutospacing="0" w:line="360" w:lineRule="auto"/>
        <w:jc w:val="both"/>
        <w:rPr>
          <w:sz w:val="28"/>
          <w:szCs w:val="28"/>
          <w:lang w:val="uk-UA"/>
        </w:rPr>
      </w:pPr>
      <w:r w:rsidRPr="00F24BC1">
        <w:rPr>
          <w:sz w:val="28"/>
          <w:szCs w:val="28"/>
          <w:lang w:val="uk-UA"/>
        </w:rPr>
        <w:t xml:space="preserve">Рис. </w:t>
      </w:r>
      <w:r>
        <w:rPr>
          <w:sz w:val="28"/>
          <w:szCs w:val="28"/>
          <w:lang w:val="uk-UA"/>
        </w:rPr>
        <w:t>4</w:t>
      </w:r>
      <w:r w:rsidRPr="00F24BC1">
        <w:rPr>
          <w:sz w:val="28"/>
          <w:szCs w:val="28"/>
          <w:lang w:val="uk-UA"/>
        </w:rPr>
        <w:t>.5.2 Антипіретична дія комплексних сполук І і ІІ у порівнянні із ібупрофеном після внутрішньомязового введення пірогеналу. (М</w:t>
      </w:r>
      <w:r w:rsidRPr="00F24BC1">
        <w:rPr>
          <w:color w:val="4D5156"/>
          <w:sz w:val="28"/>
          <w:szCs w:val="28"/>
          <w:shd w:val="clear" w:color="auto" w:fill="FFFFFF"/>
          <w:lang w:val="uk-UA"/>
        </w:rPr>
        <w:t>±</w:t>
      </w:r>
      <w:r w:rsidRPr="00F24BC1">
        <w:rPr>
          <w:sz w:val="28"/>
          <w:szCs w:val="28"/>
          <w:lang w:val="en-US"/>
        </w:rPr>
        <w:t>m</w:t>
      </w:r>
      <w:r w:rsidRPr="00F24BC1">
        <w:rPr>
          <w:sz w:val="28"/>
          <w:szCs w:val="28"/>
          <w:lang w:val="uk-UA"/>
        </w:rPr>
        <w:t xml:space="preserve">, </w:t>
      </w:r>
      <w:r w:rsidRPr="00F24BC1">
        <w:rPr>
          <w:sz w:val="28"/>
          <w:szCs w:val="28"/>
          <w:lang w:val="en-US"/>
        </w:rPr>
        <w:t>n</w:t>
      </w:r>
      <w:r w:rsidRPr="00F24BC1">
        <w:rPr>
          <w:sz w:val="28"/>
          <w:szCs w:val="28"/>
          <w:lang w:val="uk-UA"/>
        </w:rPr>
        <w:t>=5)</w:t>
      </w:r>
    </w:p>
    <w:p w14:paraId="21AF9786" w14:textId="77777777" w:rsidR="00352B8A" w:rsidRDefault="00F05F4E" w:rsidP="00352B8A">
      <w:pPr>
        <w:ind w:left="450" w:hanging="450"/>
        <w:jc w:val="both"/>
        <w:rPr>
          <w:lang w:val="uk-UA"/>
        </w:rPr>
      </w:pPr>
      <w:r w:rsidRPr="008A6B7D">
        <w:rPr>
          <w:lang w:val="uk-UA"/>
        </w:rPr>
        <w:t>Примітки:</w:t>
      </w:r>
    </w:p>
    <w:p w14:paraId="36A32B4B" w14:textId="010115D7" w:rsidR="00F05F4E" w:rsidRPr="008A6B7D" w:rsidRDefault="00F05F4E" w:rsidP="00352B8A">
      <w:pPr>
        <w:ind w:left="450" w:hanging="450"/>
        <w:jc w:val="both"/>
        <w:rPr>
          <w:lang w:val="uk-UA"/>
        </w:rPr>
      </w:pPr>
      <w:r w:rsidRPr="008A6B7D">
        <w:rPr>
          <w:lang w:val="uk-UA"/>
        </w:rPr>
        <w:t>1.</w:t>
      </w:r>
      <w:r w:rsidR="00352B8A">
        <w:rPr>
          <w:lang w:val="uk-UA"/>
        </w:rPr>
        <w:tab/>
      </w:r>
      <w:r w:rsidRPr="008A6B7D">
        <w:rPr>
          <w:rFonts w:eastAsia="Calibri"/>
        </w:rPr>
        <w:t>n</w:t>
      </w:r>
      <w:r w:rsidRPr="008A6B7D">
        <w:rPr>
          <w:rFonts w:eastAsia="Calibri"/>
          <w:lang w:val="uk-UA"/>
        </w:rPr>
        <w:t xml:space="preserve"> </w:t>
      </w:r>
      <w:r w:rsidRPr="008A6B7D">
        <w:rPr>
          <w:lang w:val="uk-UA"/>
        </w:rPr>
        <w:t>–</w:t>
      </w:r>
      <w:r w:rsidRPr="008A6B7D">
        <w:rPr>
          <w:rFonts w:eastAsia="Calibri"/>
          <w:lang w:val="uk-UA"/>
        </w:rPr>
        <w:t xml:space="preserve"> кількість тварин у групі.</w:t>
      </w:r>
    </w:p>
    <w:p w14:paraId="2CC0ABF9" w14:textId="46258C70" w:rsidR="00F05F4E" w:rsidRPr="008A6B7D" w:rsidRDefault="00F05F4E" w:rsidP="00F05F4E">
      <w:pPr>
        <w:ind w:left="1440"/>
        <w:jc w:val="both"/>
        <w:rPr>
          <w:color w:val="000000" w:themeColor="text1"/>
          <w:sz w:val="28"/>
          <w:szCs w:val="28"/>
          <w:lang w:val="uk-UA"/>
        </w:rPr>
      </w:pPr>
    </w:p>
    <w:p w14:paraId="29897097" w14:textId="5FC2A034" w:rsidR="007C0C3C" w:rsidRPr="008A6B7D" w:rsidRDefault="007C0C3C" w:rsidP="007C0C3C">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Через дві години після введення пірогеналу для ібупрофену та комплексних сполук дані становили 36°С. Надалі, для ібупрофену та комплексної сполуки І спостерігалось поступове зниження температури впродовж наступних 4 годин. Впродовж усього експерименту комплекс ІІ поступався ібупрофену і комплексу І у антипіретичній дії, але статистичних відмінностей між досліджуваними сполуками не спостерігалось.</w:t>
      </w:r>
    </w:p>
    <w:p w14:paraId="76922D1F" w14:textId="74417EB6" w:rsidR="00F05F4E" w:rsidRPr="008A6B7D" w:rsidRDefault="00F05F4E" w:rsidP="00F05F4E">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lastRenderedPageBreak/>
        <w:t xml:space="preserve">Через 24 години експерименту (рис 4.5.3.) підвищена температура тіла спостерігалась у щурів інтактної групи, таким чином, показники перевищували контрольні на 1,1°С. Показники груп, які отримували лікування комплексними сполуками І і ІІ, саліциловою кислотою та </w:t>
      </w:r>
      <w:r w:rsidR="00650AF5" w:rsidRPr="008A6B7D">
        <w:rPr>
          <w:color w:val="000000" w:themeColor="text1"/>
          <w:sz w:val="28"/>
          <w:szCs w:val="28"/>
          <w:lang w:val="uk-UA"/>
        </w:rPr>
        <w:t>і</w:t>
      </w:r>
      <w:r w:rsidRPr="008A6B7D">
        <w:rPr>
          <w:color w:val="000000" w:themeColor="text1"/>
          <w:sz w:val="28"/>
          <w:szCs w:val="28"/>
          <w:lang w:val="uk-UA"/>
        </w:rPr>
        <w:t>бупрофеном, сягнули показників контролю та статистично не відрізнялись один від одного. Отже, однократне введення комплексних сполук І і ІІ викликає антипіретичний ефект протягом 24 годин експерименту.</w:t>
      </w:r>
    </w:p>
    <w:p w14:paraId="60D9EAE8" w14:textId="77777777" w:rsidR="00F05F4E" w:rsidRPr="00F24BC1" w:rsidRDefault="00F05F4E" w:rsidP="00F05F4E">
      <w:pPr>
        <w:pStyle w:val="a6"/>
        <w:spacing w:before="0" w:beforeAutospacing="0" w:after="0" w:afterAutospacing="0" w:line="360" w:lineRule="auto"/>
        <w:jc w:val="center"/>
        <w:rPr>
          <w:sz w:val="28"/>
          <w:szCs w:val="28"/>
          <w:lang w:val="uk-UA"/>
        </w:rPr>
      </w:pPr>
      <w:r w:rsidRPr="006D1679">
        <w:rPr>
          <w:noProof/>
          <w:sz w:val="28"/>
          <w:szCs w:val="28"/>
          <w:lang w:val="en-US" w:eastAsia="en-US"/>
        </w:rPr>
        <w:drawing>
          <wp:inline distT="0" distB="0" distL="0" distR="0" wp14:anchorId="4C201277" wp14:editId="36B25E1D">
            <wp:extent cx="3956180" cy="2062065"/>
            <wp:effectExtent l="0" t="0" r="0" b="0"/>
            <wp:docPr id="21"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pic:cNvPicPr>
                      <a:picLocks/>
                    </pic:cNvPicPr>
                  </pic:nvPicPr>
                  <pic:blipFill rotWithShape="1">
                    <a:blip r:embed="rId47">
                      <a:extLst>
                        <a:ext uri="{28A0092B-C50C-407E-A947-70E740481C1C}">
                          <a14:useLocalDpi xmlns:a14="http://schemas.microsoft.com/office/drawing/2010/main" val="0"/>
                        </a:ext>
                      </a:extLst>
                    </a:blip>
                    <a:srcRect l="1154" t="3194" r="2033" b="2794"/>
                    <a:stretch/>
                  </pic:blipFill>
                  <pic:spPr bwMode="auto">
                    <a:xfrm>
                      <a:off x="0" y="0"/>
                      <a:ext cx="3961073" cy="2064615"/>
                    </a:xfrm>
                    <a:prstGeom prst="rect">
                      <a:avLst/>
                    </a:prstGeom>
                    <a:noFill/>
                    <a:ln>
                      <a:noFill/>
                    </a:ln>
                    <a:extLst>
                      <a:ext uri="{53640926-AAD7-44D8-BBD7-CCE9431645EC}">
                        <a14:shadowObscured xmlns:a14="http://schemas.microsoft.com/office/drawing/2010/main"/>
                      </a:ext>
                    </a:extLst>
                  </pic:spPr>
                </pic:pic>
              </a:graphicData>
            </a:graphic>
          </wp:inline>
        </w:drawing>
      </w:r>
    </w:p>
    <w:p w14:paraId="2315AECF" w14:textId="057D6EB6" w:rsidR="00F05F4E" w:rsidRPr="00F24BC1" w:rsidRDefault="00F05F4E" w:rsidP="00F05F4E">
      <w:pPr>
        <w:pStyle w:val="sdendnote"/>
        <w:spacing w:before="0" w:beforeAutospacing="0" w:line="360" w:lineRule="auto"/>
        <w:ind w:left="0" w:firstLine="720"/>
        <w:jc w:val="both"/>
        <w:rPr>
          <w:sz w:val="28"/>
          <w:szCs w:val="28"/>
          <w:lang w:val="uk-UA"/>
        </w:rPr>
      </w:pPr>
      <w:r w:rsidRPr="00F24BC1">
        <w:rPr>
          <w:sz w:val="28"/>
          <w:szCs w:val="28"/>
          <w:lang w:val="uk-UA"/>
        </w:rPr>
        <w:t xml:space="preserve">Рис. </w:t>
      </w:r>
      <w:r>
        <w:rPr>
          <w:sz w:val="28"/>
          <w:szCs w:val="28"/>
          <w:lang w:val="uk-UA"/>
        </w:rPr>
        <w:t>4</w:t>
      </w:r>
      <w:r w:rsidRPr="00F24BC1">
        <w:rPr>
          <w:sz w:val="28"/>
          <w:szCs w:val="28"/>
          <w:lang w:val="uk-UA"/>
        </w:rPr>
        <w:t>.5.3 Антипіретична дія комплексних сполук І і ІІ після внутрішньом</w:t>
      </w:r>
      <w:r w:rsidR="007C0C3C">
        <w:rPr>
          <w:sz w:val="28"/>
          <w:szCs w:val="28"/>
          <w:lang w:val="uk-UA"/>
        </w:rPr>
        <w:t>’</w:t>
      </w:r>
      <w:r w:rsidRPr="00F24BC1">
        <w:rPr>
          <w:sz w:val="28"/>
          <w:szCs w:val="28"/>
          <w:lang w:val="uk-UA"/>
        </w:rPr>
        <w:t>язового введення пірогеналу через 24 години після початку експеременту. (М</w:t>
      </w:r>
      <w:r w:rsidRPr="00F24BC1">
        <w:rPr>
          <w:color w:val="4D5156"/>
          <w:sz w:val="28"/>
          <w:szCs w:val="28"/>
          <w:shd w:val="clear" w:color="auto" w:fill="FFFFFF"/>
          <w:lang w:val="uk-UA"/>
        </w:rPr>
        <w:t>±</w:t>
      </w:r>
      <w:r w:rsidRPr="00F24BC1">
        <w:rPr>
          <w:sz w:val="28"/>
          <w:szCs w:val="28"/>
          <w:lang w:val="en-US"/>
        </w:rPr>
        <w:t>m</w:t>
      </w:r>
      <w:r w:rsidRPr="00F24BC1">
        <w:rPr>
          <w:sz w:val="28"/>
          <w:szCs w:val="28"/>
          <w:lang w:val="uk-UA"/>
        </w:rPr>
        <w:t xml:space="preserve">, </w:t>
      </w:r>
      <w:r w:rsidRPr="00F24BC1">
        <w:rPr>
          <w:sz w:val="28"/>
          <w:szCs w:val="28"/>
          <w:lang w:val="en-US"/>
        </w:rPr>
        <w:t>n</w:t>
      </w:r>
      <w:r w:rsidRPr="00F24BC1">
        <w:rPr>
          <w:sz w:val="28"/>
          <w:szCs w:val="28"/>
          <w:lang w:val="uk-UA"/>
        </w:rPr>
        <w:t>=5)</w:t>
      </w:r>
    </w:p>
    <w:p w14:paraId="7D38CC05" w14:textId="77777777" w:rsidR="00352B8A" w:rsidRDefault="00F05F4E" w:rsidP="00352B8A">
      <w:pPr>
        <w:ind w:left="450" w:hanging="450"/>
        <w:jc w:val="both"/>
        <w:rPr>
          <w:lang w:val="uk-UA"/>
        </w:rPr>
      </w:pPr>
      <w:r w:rsidRPr="008A6B7D">
        <w:rPr>
          <w:lang w:val="uk-UA"/>
        </w:rPr>
        <w:t xml:space="preserve">Примітки: </w:t>
      </w:r>
    </w:p>
    <w:p w14:paraId="5EABFBF2" w14:textId="6DA3BEDB" w:rsidR="00F05F4E" w:rsidRPr="008A6B7D" w:rsidRDefault="00F05F4E" w:rsidP="00352B8A">
      <w:pPr>
        <w:ind w:left="450" w:hanging="450"/>
        <w:jc w:val="both"/>
        <w:rPr>
          <w:rFonts w:eastAsia="Calibri"/>
          <w:lang w:val="uk-UA"/>
        </w:rPr>
      </w:pPr>
      <w:r w:rsidRPr="008A6B7D">
        <w:rPr>
          <w:lang w:val="uk-UA"/>
        </w:rPr>
        <w:t>1.</w:t>
      </w:r>
      <w:r w:rsidR="00352B8A">
        <w:rPr>
          <w:lang w:val="uk-UA"/>
        </w:rPr>
        <w:tab/>
      </w:r>
      <w:r w:rsidRPr="008A6B7D">
        <w:rPr>
          <w:rFonts w:eastAsia="Calibri"/>
        </w:rPr>
        <w:t>n</w:t>
      </w:r>
      <w:r w:rsidRPr="008A6B7D">
        <w:rPr>
          <w:rFonts w:eastAsia="Calibri"/>
          <w:lang w:val="uk-UA"/>
        </w:rPr>
        <w:t xml:space="preserve"> </w:t>
      </w:r>
      <w:r w:rsidRPr="008A6B7D">
        <w:rPr>
          <w:lang w:val="uk-UA"/>
        </w:rPr>
        <w:t>–</w:t>
      </w:r>
      <w:r w:rsidRPr="008A6B7D">
        <w:rPr>
          <w:rFonts w:eastAsia="Calibri"/>
          <w:lang w:val="uk-UA"/>
        </w:rPr>
        <w:t xml:space="preserve"> кількість тварин у групі.</w:t>
      </w:r>
    </w:p>
    <w:p w14:paraId="2E595591" w14:textId="77777777" w:rsidR="007C0C3C" w:rsidRPr="00F24BC1" w:rsidRDefault="007C0C3C" w:rsidP="0071066B">
      <w:pPr>
        <w:ind w:firstLine="810"/>
        <w:jc w:val="both"/>
        <w:rPr>
          <w:sz w:val="28"/>
          <w:szCs w:val="28"/>
          <w:lang w:val="uk-UA"/>
        </w:rPr>
      </w:pPr>
    </w:p>
    <w:p w14:paraId="07002548" w14:textId="0BBC7D0E" w:rsidR="00F05F4E" w:rsidRDefault="00F05F4E" w:rsidP="00C57D1F">
      <w:pPr>
        <w:pStyle w:val="a6"/>
        <w:spacing w:before="0" w:beforeAutospacing="0" w:after="0" w:afterAutospacing="0" w:line="360" w:lineRule="auto"/>
        <w:ind w:firstLine="709"/>
        <w:jc w:val="both"/>
        <w:rPr>
          <w:sz w:val="28"/>
          <w:szCs w:val="28"/>
          <w:lang w:val="uk-UA"/>
        </w:rPr>
      </w:pPr>
      <w:r w:rsidRPr="00F24BC1">
        <w:rPr>
          <w:sz w:val="28"/>
          <w:szCs w:val="28"/>
          <w:lang w:val="uk-UA"/>
        </w:rPr>
        <w:t xml:space="preserve">Таким чином, можна зробити висновок, що комплексна сполука І інгібує синтез простагландинів, в особливості ПГЕ2, тим самим впливаючи на нервові клітини центру терморегуляції </w:t>
      </w:r>
      <w:r w:rsidRPr="007C56D6">
        <w:rPr>
          <w:sz w:val="28"/>
          <w:szCs w:val="28"/>
          <w:lang w:val="uk-UA"/>
        </w:rPr>
        <w:t>[</w:t>
      </w:r>
      <w:r w:rsidRPr="00F24BC1">
        <w:rPr>
          <w:sz w:val="28"/>
          <w:szCs w:val="28"/>
          <w:lang w:val="uk-UA"/>
        </w:rPr>
        <w:t>2</w:t>
      </w:r>
      <w:r w:rsidR="00FE60C3" w:rsidRPr="00B85935">
        <w:rPr>
          <w:sz w:val="28"/>
          <w:szCs w:val="28"/>
          <w:lang w:val="uk-UA"/>
        </w:rPr>
        <w:t>1</w:t>
      </w:r>
      <w:r w:rsidR="00B85935" w:rsidRPr="001759D5">
        <w:rPr>
          <w:sz w:val="28"/>
          <w:szCs w:val="28"/>
          <w:lang w:val="uk-UA"/>
        </w:rPr>
        <w:t>1</w:t>
      </w:r>
      <w:r w:rsidRPr="007C56D6">
        <w:rPr>
          <w:sz w:val="28"/>
          <w:szCs w:val="28"/>
          <w:lang w:val="uk-UA"/>
        </w:rPr>
        <w:t>]</w:t>
      </w:r>
      <w:r w:rsidRPr="00F24BC1">
        <w:rPr>
          <w:sz w:val="28"/>
          <w:szCs w:val="28"/>
          <w:lang w:val="uk-UA"/>
        </w:rPr>
        <w:t>. Найбільш виразну антипіретичну дію проявляла комплексна сполука І через 0,5, 3 та 6 годин після початку експерименту.</w:t>
      </w:r>
    </w:p>
    <w:p w14:paraId="763995CB" w14:textId="77777777" w:rsidR="00C57D1F" w:rsidRDefault="00C57D1F">
      <w:pPr>
        <w:rPr>
          <w:b/>
          <w:sz w:val="28"/>
          <w:szCs w:val="28"/>
          <w:lang w:val="uk-UA"/>
        </w:rPr>
      </w:pPr>
      <w:r>
        <w:rPr>
          <w:b/>
          <w:sz w:val="28"/>
          <w:szCs w:val="28"/>
          <w:lang w:val="uk-UA"/>
        </w:rPr>
        <w:br w:type="page"/>
      </w:r>
    </w:p>
    <w:p w14:paraId="61814D2E" w14:textId="5F929B46" w:rsidR="00F05F4E" w:rsidRPr="00B86263" w:rsidRDefault="00F05F4E" w:rsidP="00F05F4E">
      <w:pPr>
        <w:jc w:val="center"/>
        <w:rPr>
          <w:b/>
          <w:sz w:val="28"/>
          <w:szCs w:val="28"/>
          <w:lang w:val="uk-UA"/>
        </w:rPr>
      </w:pPr>
      <w:r w:rsidRPr="00B86263">
        <w:rPr>
          <w:b/>
          <w:sz w:val="28"/>
          <w:szCs w:val="28"/>
          <w:lang w:val="uk-UA"/>
        </w:rPr>
        <w:lastRenderedPageBreak/>
        <w:t xml:space="preserve">РОЗДІЛ </w:t>
      </w:r>
      <w:r>
        <w:rPr>
          <w:b/>
          <w:sz w:val="28"/>
          <w:szCs w:val="28"/>
          <w:lang w:val="uk-UA"/>
        </w:rPr>
        <w:t>5</w:t>
      </w:r>
    </w:p>
    <w:p w14:paraId="66201837" w14:textId="69128248" w:rsidR="00F05F4E" w:rsidRPr="001759D5" w:rsidRDefault="00F05F4E" w:rsidP="001759D5">
      <w:pPr>
        <w:pStyle w:val="af0"/>
        <w:spacing w:line="360" w:lineRule="auto"/>
        <w:jc w:val="center"/>
        <w:rPr>
          <w:b/>
          <w:sz w:val="28"/>
          <w:szCs w:val="28"/>
          <w:lang w:val="uk-UA"/>
        </w:rPr>
      </w:pPr>
      <w:r w:rsidRPr="0091507C">
        <w:rPr>
          <w:b/>
          <w:sz w:val="28"/>
          <w:szCs w:val="28"/>
          <w:lang w:val="uk-UA"/>
        </w:rPr>
        <w:t>ОЦІНКА АНАЛГЕТИЧНОЇ АКТИВНОСТІ НА РІЗНИХ МОДЕЛЯХ ІНДУКЦІЇ БОЛЮ</w:t>
      </w:r>
    </w:p>
    <w:p w14:paraId="784DDDE7" w14:textId="5916278D" w:rsidR="00F05F4E" w:rsidRDefault="00F05F4E" w:rsidP="001759D5">
      <w:pPr>
        <w:spacing w:line="360" w:lineRule="auto"/>
        <w:ind w:firstLine="540"/>
        <w:jc w:val="both"/>
        <w:rPr>
          <w:sz w:val="28"/>
          <w:szCs w:val="28"/>
          <w:lang w:val="uk-UA"/>
        </w:rPr>
      </w:pPr>
      <w:r w:rsidRPr="0091507C">
        <w:rPr>
          <w:sz w:val="28"/>
          <w:szCs w:val="28"/>
          <w:lang w:val="uk-UA"/>
        </w:rPr>
        <w:t>Біль є однією з основних і найважливіших функцій організму, яка мобілізує різні функціональні системи для його захисту від впливу пошкоджуючих факторів. Біль не обмежується тільки органічними або функціональними порушеннями у місці її локалізації, але і в цілому негативно позначається на загальному та емоційному стані людини</w:t>
      </w:r>
      <w:r w:rsidR="00B85935" w:rsidRPr="00B85935">
        <w:rPr>
          <w:sz w:val="28"/>
          <w:szCs w:val="28"/>
        </w:rPr>
        <w:t xml:space="preserve"> [212]</w:t>
      </w:r>
      <w:r w:rsidRPr="0091507C">
        <w:rPr>
          <w:sz w:val="28"/>
          <w:szCs w:val="28"/>
          <w:lang w:val="uk-UA"/>
        </w:rPr>
        <w:t xml:space="preserve">. </w:t>
      </w:r>
    </w:p>
    <w:p w14:paraId="5E46E4A5" w14:textId="66D09161" w:rsidR="00F05F4E" w:rsidRDefault="00F05F4E" w:rsidP="00F05F4E">
      <w:pPr>
        <w:spacing w:line="360" w:lineRule="auto"/>
        <w:ind w:firstLine="540"/>
        <w:jc w:val="both"/>
        <w:rPr>
          <w:sz w:val="28"/>
          <w:szCs w:val="28"/>
          <w:lang w:val="uk-UA"/>
        </w:rPr>
      </w:pPr>
      <w:r w:rsidRPr="0091507C">
        <w:rPr>
          <w:sz w:val="28"/>
          <w:szCs w:val="28"/>
          <w:lang w:val="uk-UA"/>
        </w:rPr>
        <w:t>Біль класифікують за двома параметрами: нейропатичний та ноцицептивний [</w:t>
      </w:r>
      <w:r w:rsidRPr="0091507C">
        <w:rPr>
          <w:sz w:val="28"/>
          <w:szCs w:val="28"/>
        </w:rPr>
        <w:t>2</w:t>
      </w:r>
      <w:r w:rsidR="00FE60C3">
        <w:rPr>
          <w:sz w:val="28"/>
          <w:szCs w:val="28"/>
        </w:rPr>
        <w:t>13</w:t>
      </w:r>
      <w:r w:rsidRPr="0091507C">
        <w:rPr>
          <w:sz w:val="28"/>
          <w:szCs w:val="28"/>
          <w:lang w:val="uk-UA"/>
        </w:rPr>
        <w:t>]. Нейропатичний біль виникає у наслідок ураження або захворювання, у якому приймає участь нервова система [2</w:t>
      </w:r>
      <w:r w:rsidR="00FE60C3">
        <w:rPr>
          <w:sz w:val="28"/>
          <w:szCs w:val="28"/>
          <w:lang w:val="uk-UA"/>
        </w:rPr>
        <w:t>14</w:t>
      </w:r>
      <w:r w:rsidRPr="0091507C">
        <w:rPr>
          <w:sz w:val="28"/>
          <w:szCs w:val="28"/>
          <w:lang w:val="uk-UA"/>
        </w:rPr>
        <w:t>], у той час, як ноцицептивний біль виникає як наслідок фактичного пошкодження тканин та участі переферійних нервових рецепторів [2</w:t>
      </w:r>
      <w:r w:rsidR="00FE60C3">
        <w:rPr>
          <w:sz w:val="28"/>
          <w:szCs w:val="28"/>
          <w:lang w:val="uk-UA"/>
        </w:rPr>
        <w:t>14</w:t>
      </w:r>
      <w:r w:rsidRPr="0091507C">
        <w:rPr>
          <w:sz w:val="28"/>
          <w:szCs w:val="28"/>
          <w:lang w:val="uk-UA"/>
        </w:rPr>
        <w:t xml:space="preserve">]. </w:t>
      </w:r>
    </w:p>
    <w:p w14:paraId="60BE8659" w14:textId="6D85A741" w:rsidR="00F05F4E" w:rsidRPr="0091507C" w:rsidRDefault="00F05F4E" w:rsidP="00F05F4E">
      <w:pPr>
        <w:spacing w:line="360" w:lineRule="auto"/>
        <w:ind w:firstLine="540"/>
        <w:jc w:val="both"/>
        <w:rPr>
          <w:sz w:val="28"/>
          <w:szCs w:val="28"/>
          <w:lang w:val="uk-UA"/>
        </w:rPr>
      </w:pPr>
      <w:r w:rsidRPr="0091507C">
        <w:rPr>
          <w:sz w:val="28"/>
          <w:szCs w:val="28"/>
        </w:rPr>
        <w:t>Т</w:t>
      </w:r>
      <w:r w:rsidRPr="0091507C">
        <w:rPr>
          <w:sz w:val="28"/>
          <w:szCs w:val="28"/>
          <w:lang w:val="uk-UA"/>
        </w:rPr>
        <w:t>ест «</w:t>
      </w:r>
      <w:r>
        <w:rPr>
          <w:sz w:val="28"/>
          <w:szCs w:val="28"/>
          <w:lang w:val="uk-UA"/>
        </w:rPr>
        <w:t>Імерсія</w:t>
      </w:r>
      <w:r w:rsidRPr="0091507C">
        <w:rPr>
          <w:sz w:val="28"/>
          <w:szCs w:val="28"/>
          <w:lang w:val="uk-UA"/>
        </w:rPr>
        <w:t xml:space="preserve"> хвоста» дає змогу встановити роль потенційних анальгетиків на опіоідергічну систему </w:t>
      </w:r>
      <w:r w:rsidRPr="0091507C">
        <w:rPr>
          <w:sz w:val="28"/>
          <w:szCs w:val="28"/>
        </w:rPr>
        <w:t>[2</w:t>
      </w:r>
      <w:r w:rsidR="00FE60C3">
        <w:rPr>
          <w:sz w:val="28"/>
          <w:szCs w:val="28"/>
        </w:rPr>
        <w:t>15</w:t>
      </w:r>
      <w:r w:rsidRPr="0091507C">
        <w:rPr>
          <w:sz w:val="28"/>
          <w:szCs w:val="28"/>
        </w:rPr>
        <w:t xml:space="preserve">]. У той час як </w:t>
      </w:r>
      <w:r w:rsidRPr="0091507C">
        <w:rPr>
          <w:sz w:val="28"/>
          <w:szCs w:val="28"/>
          <w:lang w:val="uk-UA"/>
        </w:rPr>
        <w:t>моделі хімічного і термічного больового подразнення відрізняються системою ноцицепції, проведенням нервового імпульсу, а також його сприйняттям [</w:t>
      </w:r>
      <w:r w:rsidRPr="0091507C">
        <w:rPr>
          <w:sz w:val="28"/>
          <w:szCs w:val="28"/>
        </w:rPr>
        <w:t>2</w:t>
      </w:r>
      <w:r w:rsidR="00FE60C3">
        <w:rPr>
          <w:sz w:val="28"/>
          <w:szCs w:val="28"/>
        </w:rPr>
        <w:t>16</w:t>
      </w:r>
      <w:r w:rsidRPr="0091507C">
        <w:rPr>
          <w:sz w:val="28"/>
          <w:szCs w:val="28"/>
          <w:lang w:val="uk-UA"/>
        </w:rPr>
        <w:t xml:space="preserve">]. </w:t>
      </w:r>
    </w:p>
    <w:p w14:paraId="08350091" w14:textId="77777777" w:rsidR="00F05F4E" w:rsidRDefault="00F05F4E" w:rsidP="00F05F4E">
      <w:pPr>
        <w:pStyle w:val="a6"/>
        <w:spacing w:before="0" w:beforeAutospacing="0" w:after="0" w:afterAutospacing="0" w:line="360" w:lineRule="auto"/>
        <w:ind w:left="540"/>
        <w:jc w:val="both"/>
        <w:rPr>
          <w:sz w:val="28"/>
          <w:szCs w:val="28"/>
          <w:lang w:val="uk-UA"/>
        </w:rPr>
      </w:pPr>
      <w:r w:rsidRPr="0091507C">
        <w:rPr>
          <w:sz w:val="28"/>
          <w:szCs w:val="28"/>
          <w:lang w:val="uk-UA"/>
        </w:rPr>
        <w:t>У якості референс-препарату було обрано Ібупрофен.</w:t>
      </w:r>
    </w:p>
    <w:p w14:paraId="7463744B" w14:textId="77777777" w:rsidR="00F05F4E" w:rsidRDefault="00F05F4E" w:rsidP="00F05F4E">
      <w:pPr>
        <w:pStyle w:val="a6"/>
        <w:spacing w:before="0" w:beforeAutospacing="0" w:after="0" w:afterAutospacing="0" w:line="360" w:lineRule="auto"/>
        <w:ind w:left="540"/>
        <w:jc w:val="both"/>
        <w:rPr>
          <w:sz w:val="28"/>
          <w:szCs w:val="28"/>
          <w:lang w:val="uk-UA"/>
        </w:rPr>
      </w:pPr>
    </w:p>
    <w:p w14:paraId="4CF6DB4F" w14:textId="77777777" w:rsidR="00C57D1F" w:rsidRDefault="00F05F4E" w:rsidP="00F05F4E">
      <w:pPr>
        <w:pStyle w:val="a6"/>
        <w:spacing w:before="0" w:beforeAutospacing="0" w:after="0" w:afterAutospacing="0" w:line="360" w:lineRule="auto"/>
        <w:ind w:firstLine="540"/>
        <w:jc w:val="both"/>
        <w:rPr>
          <w:b/>
          <w:sz w:val="28"/>
          <w:szCs w:val="28"/>
          <w:lang w:val="uk-UA"/>
        </w:rPr>
      </w:pPr>
      <w:r>
        <w:rPr>
          <w:b/>
          <w:sz w:val="28"/>
          <w:szCs w:val="28"/>
          <w:lang w:val="uk-UA"/>
        </w:rPr>
        <w:t xml:space="preserve">5.1 </w:t>
      </w:r>
      <w:r w:rsidRPr="00662C0F">
        <w:rPr>
          <w:b/>
          <w:sz w:val="28"/>
          <w:szCs w:val="28"/>
          <w:lang w:val="uk-UA"/>
        </w:rPr>
        <w:t>Дослідження анальгетичної активності у тесті «</w:t>
      </w:r>
      <w:r>
        <w:rPr>
          <w:b/>
          <w:sz w:val="28"/>
          <w:szCs w:val="28"/>
          <w:lang w:val="uk-UA"/>
        </w:rPr>
        <w:t>Імерсія</w:t>
      </w:r>
      <w:r w:rsidRPr="00662C0F">
        <w:rPr>
          <w:b/>
          <w:sz w:val="28"/>
          <w:szCs w:val="28"/>
          <w:lang w:val="uk-UA"/>
        </w:rPr>
        <w:t xml:space="preserve"> хвоста»</w:t>
      </w:r>
      <w:r w:rsidRPr="0025114D">
        <w:rPr>
          <w:b/>
          <w:sz w:val="28"/>
          <w:szCs w:val="28"/>
          <w:lang w:val="uk-UA"/>
        </w:rPr>
        <w:t xml:space="preserve"> </w:t>
      </w:r>
      <w:r>
        <w:rPr>
          <w:b/>
          <w:sz w:val="28"/>
          <w:szCs w:val="28"/>
          <w:lang w:val="uk-UA"/>
        </w:rPr>
        <w:t xml:space="preserve">комплексних сполук </w:t>
      </w:r>
      <w:r>
        <w:rPr>
          <w:b/>
          <w:sz w:val="28"/>
          <w:szCs w:val="28"/>
        </w:rPr>
        <w:t>Sn</w:t>
      </w:r>
      <w:r w:rsidR="00C57D1F">
        <w:rPr>
          <w:b/>
          <w:sz w:val="28"/>
          <w:szCs w:val="28"/>
          <w:lang w:val="uk-UA"/>
        </w:rPr>
        <w:t xml:space="preserve"> (</w:t>
      </w:r>
      <w:r w:rsidR="00C57D1F">
        <w:rPr>
          <w:b/>
          <w:sz w:val="28"/>
          <w:szCs w:val="28"/>
          <w:lang w:val="en-US"/>
        </w:rPr>
        <w:t>IV</w:t>
      </w:r>
      <w:r w:rsidR="00C57D1F">
        <w:rPr>
          <w:b/>
          <w:sz w:val="28"/>
          <w:szCs w:val="28"/>
          <w:lang w:val="uk-UA"/>
        </w:rPr>
        <w:t>)</w:t>
      </w:r>
      <w:r>
        <w:rPr>
          <w:b/>
          <w:sz w:val="28"/>
          <w:szCs w:val="28"/>
          <w:lang w:val="uk-UA"/>
        </w:rPr>
        <w:t xml:space="preserve"> з саліцилоїлгідразонами бензальдегід</w:t>
      </w:r>
      <w:r w:rsidR="00C57D1F">
        <w:rPr>
          <w:b/>
          <w:sz w:val="28"/>
          <w:szCs w:val="28"/>
          <w:lang w:val="uk-UA"/>
        </w:rPr>
        <w:t>ів</w:t>
      </w:r>
    </w:p>
    <w:p w14:paraId="76C38AFC" w14:textId="162AE681" w:rsidR="00F05F4E" w:rsidRPr="00F05F4E" w:rsidRDefault="00F05F4E" w:rsidP="00F05F4E">
      <w:pPr>
        <w:pStyle w:val="a6"/>
        <w:spacing w:before="0" w:beforeAutospacing="0" w:after="0" w:afterAutospacing="0" w:line="360" w:lineRule="auto"/>
        <w:ind w:firstLine="540"/>
        <w:jc w:val="both"/>
        <w:rPr>
          <w:rStyle w:val="jlqj4b"/>
          <w:b/>
          <w:sz w:val="28"/>
          <w:szCs w:val="28"/>
          <w:lang w:val="uk-UA"/>
        </w:rPr>
      </w:pPr>
      <w:r w:rsidRPr="00F05F4E">
        <w:rPr>
          <w:sz w:val="28"/>
          <w:szCs w:val="28"/>
          <w:lang w:val="uk-UA"/>
        </w:rPr>
        <w:t>Дана модель, як і тест «Гаряча пластина» дозволяє оцінити латентний період ноцицептивної реакції тварин на тепловий стимул, реакція хвоста є спінальною і бульбоспинальною реакцією, у той час, як «Гаряча пластина» дозволяє дослідити супраспінальну реакцію [2</w:t>
      </w:r>
      <w:r w:rsidR="00FE60C3" w:rsidRPr="00B85935">
        <w:rPr>
          <w:sz w:val="28"/>
          <w:szCs w:val="28"/>
          <w:lang w:val="uk-UA"/>
        </w:rPr>
        <w:t>1</w:t>
      </w:r>
      <w:r w:rsidR="00390008" w:rsidRPr="00B85935">
        <w:rPr>
          <w:sz w:val="28"/>
          <w:szCs w:val="28"/>
          <w:lang w:val="uk-UA"/>
        </w:rPr>
        <w:t>7</w:t>
      </w:r>
      <w:r w:rsidRPr="00F05F4E">
        <w:rPr>
          <w:sz w:val="28"/>
          <w:szCs w:val="28"/>
          <w:lang w:val="uk-UA"/>
        </w:rPr>
        <w:t xml:space="preserve">]. Вважається, що реакція «імерсія хвостом» є спінально-опосередкованим рефлексом, а ефективність знеболюючих засобів у моделі болю у тесті «Імерсія хвоста» сильно корелює з сприйняттям болю у людини. </w:t>
      </w:r>
      <w:r w:rsidRPr="00F05F4E">
        <w:rPr>
          <w:rStyle w:val="jlqj4b"/>
          <w:sz w:val="28"/>
          <w:szCs w:val="28"/>
          <w:lang w:val="uk-UA"/>
        </w:rPr>
        <w:t xml:space="preserve">Метод </w:t>
      </w:r>
      <w:r w:rsidRPr="00F05F4E">
        <w:rPr>
          <w:sz w:val="28"/>
          <w:szCs w:val="28"/>
          <w:lang w:val="uk-UA"/>
        </w:rPr>
        <w:t xml:space="preserve">«Імерсія хвоста» </w:t>
      </w:r>
      <w:r w:rsidRPr="00F05F4E">
        <w:rPr>
          <w:rStyle w:val="jlqj4b"/>
          <w:sz w:val="28"/>
          <w:szCs w:val="28"/>
          <w:lang w:val="uk-UA"/>
        </w:rPr>
        <w:t xml:space="preserve">заснований на спостереженні, що морфіноподібні сполуки можуть вибірково продовжувати час реакції типового ефекту відведення хвоста у мишей. Цей метод також </w:t>
      </w:r>
      <w:r w:rsidRPr="00F05F4E">
        <w:rPr>
          <w:rStyle w:val="jlqj4b"/>
          <w:sz w:val="28"/>
          <w:szCs w:val="28"/>
          <w:lang w:val="uk-UA"/>
        </w:rPr>
        <w:lastRenderedPageBreak/>
        <w:t>корисний при диференціації центральних опіоїдоподібних анальгетиків від периферичних анальгетиків [</w:t>
      </w:r>
      <w:r w:rsidRPr="00F05F4E">
        <w:rPr>
          <w:rStyle w:val="jlqj4b"/>
          <w:sz w:val="28"/>
          <w:szCs w:val="28"/>
        </w:rPr>
        <w:t>2</w:t>
      </w:r>
      <w:r w:rsidR="00FE60C3">
        <w:rPr>
          <w:rStyle w:val="jlqj4b"/>
          <w:sz w:val="28"/>
          <w:szCs w:val="28"/>
        </w:rPr>
        <w:t>1</w:t>
      </w:r>
      <w:r w:rsidR="00390008" w:rsidRPr="00390008">
        <w:rPr>
          <w:rStyle w:val="jlqj4b"/>
          <w:sz w:val="28"/>
          <w:szCs w:val="28"/>
        </w:rPr>
        <w:t>8</w:t>
      </w:r>
      <w:r w:rsidRPr="00F05F4E">
        <w:rPr>
          <w:rStyle w:val="jlqj4b"/>
          <w:sz w:val="28"/>
          <w:szCs w:val="28"/>
          <w:lang w:val="uk-UA"/>
        </w:rPr>
        <w:t xml:space="preserve">]. </w:t>
      </w:r>
    </w:p>
    <w:p w14:paraId="46B7E9CC" w14:textId="70676141" w:rsidR="00F05F4E" w:rsidRPr="0091507C" w:rsidRDefault="00F05F4E" w:rsidP="00F05F4E">
      <w:pPr>
        <w:pStyle w:val="a6"/>
        <w:spacing w:before="0" w:beforeAutospacing="0" w:after="0" w:afterAutospacing="0" w:line="360" w:lineRule="auto"/>
        <w:ind w:firstLine="709"/>
        <w:jc w:val="both"/>
        <w:rPr>
          <w:rStyle w:val="jlqj4b"/>
          <w:color w:val="211E1E"/>
          <w:sz w:val="28"/>
          <w:szCs w:val="28"/>
          <w:lang w:val="uk-UA"/>
        </w:rPr>
      </w:pPr>
      <w:r>
        <w:rPr>
          <w:color w:val="211E1E"/>
          <w:sz w:val="28"/>
          <w:szCs w:val="28"/>
          <w:lang w:val="uk-UA"/>
        </w:rPr>
        <w:t>Пероральне введення комплексних сполук (рис.5.1.1) достовірно збільшувало латентний період настання больової реакції.</w:t>
      </w:r>
    </w:p>
    <w:p w14:paraId="18910184" w14:textId="77777777" w:rsidR="00F05F4E" w:rsidRPr="00121C9D" w:rsidRDefault="00F05F4E" w:rsidP="00F05F4E">
      <w:pPr>
        <w:pStyle w:val="a6"/>
        <w:spacing w:before="0" w:beforeAutospacing="0" w:after="0" w:afterAutospacing="0" w:line="360" w:lineRule="auto"/>
        <w:jc w:val="center"/>
        <w:rPr>
          <w:rStyle w:val="jlqj4b"/>
          <w:sz w:val="28"/>
          <w:szCs w:val="28"/>
          <w:lang w:val="uk-UA"/>
        </w:rPr>
      </w:pPr>
      <w:r w:rsidRPr="006D1679">
        <w:rPr>
          <w:noProof/>
          <w:color w:val="211E1E"/>
          <w:sz w:val="28"/>
          <w:szCs w:val="28"/>
          <w:lang w:val="en-US" w:eastAsia="en-US"/>
        </w:rPr>
        <w:drawing>
          <wp:inline distT="0" distB="0" distL="0" distR="0" wp14:anchorId="6E2C8240" wp14:editId="3F83FB20">
            <wp:extent cx="3982453" cy="2189747"/>
            <wp:effectExtent l="0" t="0" r="5715" b="0"/>
            <wp:docPr id="34"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94663" cy="2196461"/>
                    </a:xfrm>
                    <a:prstGeom prst="rect">
                      <a:avLst/>
                    </a:prstGeom>
                    <a:noFill/>
                    <a:ln>
                      <a:noFill/>
                    </a:ln>
                  </pic:spPr>
                </pic:pic>
              </a:graphicData>
            </a:graphic>
          </wp:inline>
        </w:drawing>
      </w:r>
    </w:p>
    <w:p w14:paraId="0DF3E698" w14:textId="433F8CF4" w:rsidR="00F05F4E" w:rsidRDefault="00F05F4E" w:rsidP="00F05F4E">
      <w:pPr>
        <w:pStyle w:val="a6"/>
        <w:spacing w:before="0" w:beforeAutospacing="0" w:after="0" w:afterAutospacing="0" w:line="360" w:lineRule="auto"/>
        <w:ind w:firstLine="12"/>
        <w:jc w:val="both"/>
        <w:rPr>
          <w:sz w:val="28"/>
          <w:szCs w:val="28"/>
          <w:lang w:val="uk-UA"/>
        </w:rPr>
      </w:pPr>
      <w:r>
        <w:rPr>
          <w:sz w:val="28"/>
          <w:szCs w:val="28"/>
          <w:lang w:val="uk-UA"/>
        </w:rPr>
        <w:t>Рис. 5.1.1 Аналгетична активність комплексної сполуки ІІ при пероральному введенні у тесті «Імерсія хвоста» (латентний час розвитку больової реакції, у секундах</w:t>
      </w:r>
      <w:r w:rsidRPr="007D638E">
        <w:rPr>
          <w:sz w:val="28"/>
          <w:szCs w:val="28"/>
          <w:lang w:val="uk-UA"/>
        </w:rPr>
        <w:t xml:space="preserve"> </w:t>
      </w:r>
      <w:r>
        <w:rPr>
          <w:sz w:val="28"/>
          <w:szCs w:val="28"/>
          <w:lang w:val="uk-UA"/>
        </w:rPr>
        <w:t>(М</w:t>
      </w:r>
      <w:r>
        <w:rPr>
          <w:color w:val="4D5156"/>
          <w:sz w:val="28"/>
          <w:szCs w:val="28"/>
          <w:shd w:val="clear" w:color="auto" w:fill="FFFFFF"/>
          <w:lang w:val="uk-UA"/>
        </w:rPr>
        <w:t>±</w:t>
      </w:r>
      <w:r>
        <w:rPr>
          <w:sz w:val="28"/>
          <w:szCs w:val="28"/>
          <w:lang w:val="en-US"/>
        </w:rPr>
        <w:t>m</w:t>
      </w:r>
      <w:r>
        <w:rPr>
          <w:sz w:val="28"/>
          <w:szCs w:val="28"/>
          <w:lang w:val="uk-UA"/>
        </w:rPr>
        <w:t xml:space="preserve">, </w:t>
      </w:r>
      <w:r>
        <w:rPr>
          <w:sz w:val="28"/>
          <w:szCs w:val="28"/>
          <w:lang w:val="en-US"/>
        </w:rPr>
        <w:t>n</w:t>
      </w:r>
      <w:r>
        <w:rPr>
          <w:sz w:val="28"/>
          <w:szCs w:val="28"/>
          <w:lang w:val="uk-UA"/>
        </w:rPr>
        <w:t xml:space="preserve">=5). </w:t>
      </w:r>
    </w:p>
    <w:p w14:paraId="60E20D30" w14:textId="6E947C50" w:rsidR="00F05F4E" w:rsidRPr="008A6B7D" w:rsidRDefault="00F05F4E" w:rsidP="00352B8A">
      <w:pPr>
        <w:pStyle w:val="a6"/>
        <w:spacing w:before="0" w:beforeAutospacing="0" w:after="0" w:afterAutospacing="0"/>
        <w:ind w:left="450" w:hanging="450"/>
        <w:jc w:val="both"/>
        <w:rPr>
          <w:lang w:val="uk-UA"/>
        </w:rPr>
      </w:pPr>
      <w:r w:rsidRPr="008A6B7D">
        <w:rPr>
          <w:lang w:val="uk-UA"/>
        </w:rPr>
        <w:t xml:space="preserve">Примітки: </w:t>
      </w:r>
    </w:p>
    <w:p w14:paraId="5B20DE93" w14:textId="77777777" w:rsidR="00F05F4E" w:rsidRPr="008A6B7D" w:rsidRDefault="00F05F4E" w:rsidP="00352B8A">
      <w:pPr>
        <w:numPr>
          <w:ilvl w:val="6"/>
          <w:numId w:val="28"/>
        </w:numPr>
        <w:ind w:left="450" w:hanging="450"/>
        <w:jc w:val="both"/>
      </w:pPr>
      <w:r w:rsidRPr="008A6B7D">
        <w:t>*</w:t>
      </w:r>
      <w:r w:rsidRPr="008A6B7D">
        <w:rPr>
          <w:lang w:val="uk-UA"/>
        </w:rPr>
        <w:t xml:space="preserve"> </w:t>
      </w:r>
      <w:r w:rsidRPr="008A6B7D">
        <w:t>-</w:t>
      </w:r>
      <w:r w:rsidRPr="008A6B7D">
        <w:rPr>
          <w:lang w:val="uk-UA"/>
        </w:rPr>
        <w:t xml:space="preserve"> </w:t>
      </w:r>
      <w:r w:rsidRPr="008A6B7D">
        <w:rPr>
          <w:lang w:val="en-US"/>
        </w:rPr>
        <w:t>p</w:t>
      </w:r>
      <w:r w:rsidRPr="008A6B7D">
        <w:t xml:space="preserve"> </w:t>
      </w:r>
      <w:r w:rsidRPr="008A6B7D">
        <w:rPr>
          <w:lang w:val="en-US"/>
        </w:rPr>
        <w:sym w:font="Symbol" w:char="F03C"/>
      </w:r>
      <w:r w:rsidRPr="008A6B7D">
        <w:t xml:space="preserve"> 0,05 </w:t>
      </w:r>
      <w:r w:rsidRPr="008A6B7D">
        <w:rPr>
          <w:lang w:val="uk-UA"/>
        </w:rPr>
        <w:t>(статистично значуща різниця у порівнянні з контрольною групою).</w:t>
      </w:r>
      <w:r w:rsidRPr="008A6B7D">
        <w:t xml:space="preserve"> </w:t>
      </w:r>
    </w:p>
    <w:p w14:paraId="1D69ED61" w14:textId="77777777" w:rsidR="00F05F4E" w:rsidRPr="008A6B7D" w:rsidRDefault="00F05F4E" w:rsidP="00352B8A">
      <w:pPr>
        <w:numPr>
          <w:ilvl w:val="6"/>
          <w:numId w:val="28"/>
        </w:numPr>
        <w:ind w:left="450" w:hanging="450"/>
        <w:jc w:val="both"/>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 групою).</w:t>
      </w:r>
    </w:p>
    <w:p w14:paraId="19FB433F" w14:textId="51312093" w:rsidR="00F05F4E" w:rsidRPr="008A6B7D" w:rsidRDefault="00F05F4E" w:rsidP="00352B8A">
      <w:pPr>
        <w:numPr>
          <w:ilvl w:val="6"/>
          <w:numId w:val="28"/>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0,05 (статистично значуща різниця у порівнянні у порівнянні із референс-препаратом</w:t>
      </w:r>
      <w:r w:rsidR="00390008" w:rsidRPr="008A6B7D">
        <w:rPr>
          <w:lang w:val="uk-UA"/>
        </w:rPr>
        <w:t xml:space="preserve"> і</w:t>
      </w:r>
      <w:r w:rsidRPr="008A6B7D">
        <w:rPr>
          <w:lang w:val="uk-UA"/>
        </w:rPr>
        <w:t>бупрофеном).</w:t>
      </w:r>
    </w:p>
    <w:p w14:paraId="574F8028" w14:textId="34D1710A" w:rsidR="00F05F4E" w:rsidRPr="008A6B7D" w:rsidRDefault="00F05F4E" w:rsidP="00352B8A">
      <w:pPr>
        <w:numPr>
          <w:ilvl w:val="6"/>
          <w:numId w:val="28"/>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0,01 (статистично значуща різниця у порівнянні у порівнянні із референс-препаратом </w:t>
      </w:r>
      <w:r w:rsidR="00390008" w:rsidRPr="008A6B7D">
        <w:rPr>
          <w:lang w:val="uk-UA"/>
        </w:rPr>
        <w:t>і</w:t>
      </w:r>
      <w:r w:rsidRPr="008A6B7D">
        <w:rPr>
          <w:lang w:val="uk-UA"/>
        </w:rPr>
        <w:t>бупрофеном).</w:t>
      </w:r>
    </w:p>
    <w:p w14:paraId="7E4D8AE4" w14:textId="3B084634" w:rsidR="00F05F4E" w:rsidRPr="008A6B7D" w:rsidRDefault="00F05F4E" w:rsidP="00352B8A">
      <w:pPr>
        <w:numPr>
          <w:ilvl w:val="6"/>
          <w:numId w:val="28"/>
        </w:numPr>
        <w:ind w:left="450" w:hanging="450"/>
        <w:jc w:val="both"/>
        <w:rPr>
          <w:lang w:val="uk-UA"/>
        </w:rPr>
      </w:pPr>
      <w:r w:rsidRPr="008A6B7D">
        <w:t>n – кількість тварин у групі.</w:t>
      </w:r>
    </w:p>
    <w:p w14:paraId="477A11D5" w14:textId="77777777" w:rsidR="00F05F4E" w:rsidRPr="00F05F4E" w:rsidRDefault="00F05F4E" w:rsidP="00F05F4E">
      <w:pPr>
        <w:jc w:val="both"/>
        <w:rPr>
          <w:sz w:val="26"/>
          <w:szCs w:val="26"/>
          <w:lang w:val="uk-UA"/>
        </w:rPr>
      </w:pPr>
    </w:p>
    <w:p w14:paraId="7FD65964" w14:textId="758462FE" w:rsidR="00F05F4E" w:rsidRDefault="00F05F4E" w:rsidP="00F05F4E">
      <w:pPr>
        <w:pStyle w:val="a6"/>
        <w:spacing w:before="0" w:beforeAutospacing="0" w:after="0" w:afterAutospacing="0" w:line="360" w:lineRule="auto"/>
        <w:jc w:val="both"/>
        <w:rPr>
          <w:color w:val="000000"/>
          <w:sz w:val="28"/>
          <w:szCs w:val="28"/>
          <w:lang w:val="uk-UA"/>
        </w:rPr>
      </w:pPr>
      <w:r>
        <w:rPr>
          <w:color w:val="211E1E"/>
          <w:sz w:val="28"/>
          <w:szCs w:val="28"/>
          <w:lang w:val="uk-UA"/>
        </w:rPr>
        <w:t xml:space="preserve">Таким чином, впродовж трьох годин обидві комплексні сполуки не поступалися за своєю ефективністю референс-препарату </w:t>
      </w:r>
      <w:r w:rsidR="00390008">
        <w:rPr>
          <w:color w:val="211E1E"/>
          <w:sz w:val="28"/>
          <w:szCs w:val="28"/>
          <w:lang w:val="uk-UA"/>
        </w:rPr>
        <w:t>і</w:t>
      </w:r>
      <w:r>
        <w:rPr>
          <w:color w:val="211E1E"/>
          <w:sz w:val="28"/>
          <w:szCs w:val="28"/>
          <w:lang w:val="uk-UA"/>
        </w:rPr>
        <w:t xml:space="preserve">бупрофену. </w:t>
      </w:r>
      <w:r w:rsidRPr="00D76D69">
        <w:rPr>
          <w:color w:val="211E1E"/>
          <w:sz w:val="28"/>
          <w:szCs w:val="28"/>
          <w:lang w:val="uk-UA"/>
        </w:rPr>
        <w:t xml:space="preserve">У свою чергу, показники больової реакції у групі, якій вводили саліцилову кислоту впродовж першої години експерименту статистично не відрізнялись від </w:t>
      </w:r>
      <w:r>
        <w:rPr>
          <w:sz w:val="28"/>
          <w:szCs w:val="28"/>
          <w:lang w:val="uk-UA"/>
        </w:rPr>
        <w:t xml:space="preserve">контрольної групи </w:t>
      </w:r>
      <w:r w:rsidRPr="00D76D69">
        <w:rPr>
          <w:color w:val="211E1E"/>
          <w:sz w:val="28"/>
          <w:szCs w:val="28"/>
          <w:lang w:val="uk-UA"/>
        </w:rPr>
        <w:t xml:space="preserve">тварин, латентний час настання больової реакції складав </w:t>
      </w:r>
      <w:r>
        <w:rPr>
          <w:color w:val="000000"/>
          <w:sz w:val="28"/>
          <w:szCs w:val="28"/>
          <w:lang w:val="uk-UA"/>
        </w:rPr>
        <w:t>1</w:t>
      </w:r>
      <w:r w:rsidRPr="003E6F3D">
        <w:rPr>
          <w:color w:val="000000"/>
          <w:sz w:val="28"/>
          <w:szCs w:val="28"/>
          <w:lang w:val="uk-UA"/>
        </w:rPr>
        <w:t>±</w:t>
      </w:r>
      <w:r w:rsidRPr="00D76D69">
        <w:rPr>
          <w:color w:val="000000"/>
          <w:sz w:val="28"/>
          <w:szCs w:val="28"/>
          <w:lang w:val="uk-UA"/>
        </w:rPr>
        <w:t>0,1 с.</w:t>
      </w:r>
      <w:r>
        <w:rPr>
          <w:color w:val="000000"/>
          <w:sz w:val="28"/>
          <w:szCs w:val="28"/>
          <w:lang w:val="uk-UA"/>
        </w:rPr>
        <w:t xml:space="preserve"> </w:t>
      </w:r>
    </w:p>
    <w:p w14:paraId="5D30483D" w14:textId="2BAA2E2D" w:rsidR="00F05F4E" w:rsidRDefault="00F05F4E" w:rsidP="00F05F4E">
      <w:pPr>
        <w:pStyle w:val="a6"/>
        <w:spacing w:before="0" w:beforeAutospacing="0" w:after="0" w:afterAutospacing="0" w:line="360" w:lineRule="auto"/>
        <w:ind w:firstLine="706"/>
        <w:jc w:val="both"/>
        <w:rPr>
          <w:color w:val="000000"/>
          <w:sz w:val="28"/>
          <w:szCs w:val="28"/>
          <w:lang w:val="uk-UA"/>
        </w:rPr>
      </w:pPr>
      <w:r>
        <w:rPr>
          <w:sz w:val="28"/>
          <w:szCs w:val="28"/>
          <w:lang w:val="uk-UA"/>
        </w:rPr>
        <w:t xml:space="preserve">Через п’ять годин після перорального введення комплексних сполук аналгетична активність референс-препарату </w:t>
      </w:r>
      <w:r w:rsidR="00390008">
        <w:rPr>
          <w:sz w:val="28"/>
          <w:szCs w:val="28"/>
          <w:lang w:val="uk-UA"/>
        </w:rPr>
        <w:t>і</w:t>
      </w:r>
      <w:r>
        <w:rPr>
          <w:sz w:val="28"/>
          <w:szCs w:val="28"/>
          <w:lang w:val="uk-UA"/>
        </w:rPr>
        <w:t xml:space="preserve">бупрофену знизилась до </w:t>
      </w:r>
      <w:r w:rsidR="00821BED">
        <w:rPr>
          <w:sz w:val="28"/>
          <w:szCs w:val="28"/>
          <w:lang w:val="uk-UA"/>
        </w:rPr>
        <w:br/>
      </w:r>
      <w:r>
        <w:rPr>
          <w:sz w:val="28"/>
          <w:szCs w:val="28"/>
          <w:lang w:val="uk-UA"/>
        </w:rPr>
        <w:t>2</w:t>
      </w:r>
      <w:r w:rsidRPr="00D76D69">
        <w:rPr>
          <w:color w:val="000000"/>
          <w:sz w:val="28"/>
          <w:szCs w:val="28"/>
        </w:rPr>
        <w:t>±</w:t>
      </w:r>
      <w:r>
        <w:rPr>
          <w:color w:val="000000"/>
          <w:sz w:val="28"/>
          <w:szCs w:val="28"/>
          <w:lang w:val="uk-UA"/>
        </w:rPr>
        <w:t xml:space="preserve">0,1 сек., у той час як комплексні сполуки І і ІІ виявляли високий рівень аналгезуючої дії, що перевищував показники референс-групи в середньому на </w:t>
      </w:r>
      <w:r>
        <w:rPr>
          <w:color w:val="000000"/>
          <w:sz w:val="28"/>
          <w:szCs w:val="28"/>
          <w:lang w:val="uk-UA"/>
        </w:rPr>
        <w:lastRenderedPageBreak/>
        <w:t xml:space="preserve">1 - 1,1 </w:t>
      </w:r>
      <w:r w:rsidRPr="00D76D69">
        <w:rPr>
          <w:color w:val="000000"/>
          <w:sz w:val="28"/>
          <w:szCs w:val="28"/>
        </w:rPr>
        <w:t>±</w:t>
      </w:r>
      <w:r>
        <w:rPr>
          <w:color w:val="000000"/>
          <w:sz w:val="28"/>
          <w:szCs w:val="28"/>
          <w:lang w:val="uk-UA"/>
        </w:rPr>
        <w:t xml:space="preserve"> 0,1с, відповідно. Пероральне введення саліцилової кислоти призвело до зменшення латентного періоду настання больової реакції до 1,5 </w:t>
      </w:r>
      <w:r w:rsidRPr="00D76D69">
        <w:rPr>
          <w:color w:val="000000"/>
          <w:sz w:val="28"/>
          <w:szCs w:val="28"/>
        </w:rPr>
        <w:t>±</w:t>
      </w:r>
      <w:r>
        <w:rPr>
          <w:color w:val="000000"/>
          <w:sz w:val="28"/>
          <w:szCs w:val="28"/>
          <w:lang w:val="uk-UA"/>
        </w:rPr>
        <w:t xml:space="preserve"> 0,2с. через 5 годин експерименту.</w:t>
      </w:r>
    </w:p>
    <w:p w14:paraId="20503031" w14:textId="77777777" w:rsidR="00F05F4E" w:rsidRDefault="00F05F4E" w:rsidP="00F05F4E">
      <w:pPr>
        <w:pStyle w:val="a6"/>
        <w:spacing w:before="0" w:beforeAutospacing="0" w:after="0" w:afterAutospacing="0" w:line="360" w:lineRule="auto"/>
        <w:ind w:firstLine="706"/>
        <w:jc w:val="both"/>
        <w:rPr>
          <w:bCs/>
          <w:sz w:val="28"/>
          <w:szCs w:val="28"/>
          <w:lang w:val="uk-UA"/>
        </w:rPr>
      </w:pPr>
      <w:r>
        <w:rPr>
          <w:color w:val="000000"/>
          <w:sz w:val="28"/>
          <w:szCs w:val="28"/>
          <w:lang w:val="uk-UA"/>
        </w:rPr>
        <w:t xml:space="preserve">Результати дослідження показали, що обидві комплексні сполуки </w:t>
      </w:r>
      <w:r w:rsidRPr="006E7E4F">
        <w:rPr>
          <w:bCs/>
          <w:sz w:val="28"/>
          <w:szCs w:val="28"/>
        </w:rPr>
        <w:t>SnCl</w:t>
      </w:r>
      <w:r w:rsidRPr="006E7E4F">
        <w:rPr>
          <w:bCs/>
          <w:sz w:val="28"/>
          <w:szCs w:val="28"/>
          <w:vertAlign w:val="subscript"/>
          <w:lang w:val="uk-UA"/>
        </w:rPr>
        <w:t>4</w:t>
      </w:r>
      <w:r w:rsidRPr="006E7E4F">
        <w:rPr>
          <w:bCs/>
          <w:sz w:val="28"/>
          <w:szCs w:val="28"/>
          <w:lang w:val="uk-UA"/>
        </w:rPr>
        <w:t xml:space="preserve"> з саліцилоїлгідразонами бензальдегіду та 4-бромбензальдегіду</w:t>
      </w:r>
      <w:r>
        <w:rPr>
          <w:bCs/>
          <w:sz w:val="28"/>
          <w:szCs w:val="28"/>
          <w:lang w:val="uk-UA"/>
        </w:rPr>
        <w:t xml:space="preserve"> проявляють аналгетичний ефект, що перевищує дію ібупрофену та саліцилової кислоти через 5 годин експерименту</w:t>
      </w:r>
      <w:r w:rsidRPr="008D62D8">
        <w:rPr>
          <w:bCs/>
          <w:sz w:val="28"/>
          <w:szCs w:val="28"/>
          <w:lang w:val="uk-UA"/>
        </w:rPr>
        <w:t>.</w:t>
      </w:r>
      <w:r>
        <w:rPr>
          <w:bCs/>
          <w:sz w:val="28"/>
          <w:szCs w:val="28"/>
          <w:lang w:val="uk-UA"/>
        </w:rPr>
        <w:t xml:space="preserve"> </w:t>
      </w:r>
    </w:p>
    <w:p w14:paraId="3F558E15" w14:textId="77777777" w:rsidR="00F05F4E" w:rsidRDefault="00F05F4E" w:rsidP="00F05F4E">
      <w:pPr>
        <w:pStyle w:val="a6"/>
        <w:spacing w:before="0" w:beforeAutospacing="0" w:after="0" w:afterAutospacing="0" w:line="360" w:lineRule="auto"/>
        <w:ind w:firstLine="706"/>
        <w:jc w:val="both"/>
        <w:rPr>
          <w:bCs/>
          <w:sz w:val="28"/>
          <w:szCs w:val="28"/>
          <w:lang w:val="uk-UA"/>
        </w:rPr>
      </w:pPr>
    </w:p>
    <w:p w14:paraId="27F8952E" w14:textId="5A2BB462" w:rsidR="00F05F4E" w:rsidRPr="0091507C" w:rsidRDefault="00F05F4E" w:rsidP="007C0C3C">
      <w:pPr>
        <w:pStyle w:val="a6"/>
        <w:spacing w:before="0" w:beforeAutospacing="0" w:after="0" w:afterAutospacing="0" w:line="360" w:lineRule="auto"/>
        <w:ind w:firstLine="567"/>
        <w:jc w:val="both"/>
        <w:rPr>
          <w:rFonts w:eastAsia="MS Mincho"/>
          <w:b/>
          <w:sz w:val="28"/>
          <w:szCs w:val="28"/>
          <w:lang w:val="uk-UA"/>
        </w:rPr>
      </w:pPr>
      <w:r>
        <w:rPr>
          <w:b/>
          <w:sz w:val="28"/>
          <w:szCs w:val="28"/>
          <w:lang w:val="uk-UA"/>
        </w:rPr>
        <w:t xml:space="preserve">5.2 </w:t>
      </w:r>
      <w:r w:rsidRPr="0091507C">
        <w:rPr>
          <w:b/>
          <w:sz w:val="28"/>
          <w:szCs w:val="28"/>
          <w:lang w:val="uk-UA"/>
        </w:rPr>
        <w:t>Визначення</w:t>
      </w:r>
      <w:r>
        <w:rPr>
          <w:b/>
          <w:sz w:val="28"/>
          <w:szCs w:val="28"/>
          <w:lang w:val="uk-UA"/>
        </w:rPr>
        <w:t xml:space="preserve"> анальгетичної дії при пероральному та місцевому введенні комплексних сполук </w:t>
      </w:r>
      <w:r>
        <w:rPr>
          <w:b/>
          <w:sz w:val="28"/>
          <w:szCs w:val="28"/>
        </w:rPr>
        <w:t>Sn</w:t>
      </w:r>
      <w:r w:rsidR="00C57D1F">
        <w:rPr>
          <w:b/>
          <w:sz w:val="28"/>
          <w:szCs w:val="28"/>
          <w:lang w:val="uk-UA"/>
        </w:rPr>
        <w:t xml:space="preserve"> (</w:t>
      </w:r>
      <w:r w:rsidR="00C57D1F">
        <w:rPr>
          <w:b/>
          <w:sz w:val="28"/>
          <w:szCs w:val="28"/>
          <w:lang w:val="en-US"/>
        </w:rPr>
        <w:t>IV</w:t>
      </w:r>
      <w:r w:rsidR="00C57D1F">
        <w:rPr>
          <w:b/>
          <w:sz w:val="28"/>
          <w:szCs w:val="28"/>
          <w:lang w:val="uk-UA"/>
        </w:rPr>
        <w:t>)</w:t>
      </w:r>
      <w:r>
        <w:rPr>
          <w:b/>
          <w:sz w:val="28"/>
          <w:szCs w:val="28"/>
          <w:lang w:val="uk-UA"/>
        </w:rPr>
        <w:t xml:space="preserve"> з саліцилоїлгідразонами бензальдегі</w:t>
      </w:r>
      <w:r w:rsidR="00C57D1F">
        <w:rPr>
          <w:b/>
          <w:sz w:val="28"/>
          <w:szCs w:val="28"/>
          <w:lang w:val="uk-UA"/>
        </w:rPr>
        <w:t>дів</w:t>
      </w:r>
      <w:r>
        <w:rPr>
          <w:b/>
          <w:sz w:val="28"/>
          <w:szCs w:val="28"/>
          <w:lang w:val="uk-UA"/>
        </w:rPr>
        <w:t xml:space="preserve"> на моделі </w:t>
      </w:r>
      <w:r>
        <w:rPr>
          <w:rFonts w:eastAsia="MS Mincho"/>
          <w:b/>
          <w:sz w:val="28"/>
          <w:szCs w:val="28"/>
          <w:lang w:val="uk-UA"/>
        </w:rPr>
        <w:t>термічного подразнення</w:t>
      </w:r>
    </w:p>
    <w:p w14:paraId="067FBEE3" w14:textId="06D99179" w:rsidR="00F05F4E" w:rsidRPr="0091507C" w:rsidRDefault="00F05F4E" w:rsidP="00F05F4E">
      <w:pPr>
        <w:spacing w:line="360" w:lineRule="auto"/>
        <w:ind w:firstLine="567"/>
        <w:jc w:val="both"/>
        <w:rPr>
          <w:sz w:val="28"/>
          <w:szCs w:val="28"/>
        </w:rPr>
      </w:pPr>
      <w:r w:rsidRPr="0091507C">
        <w:rPr>
          <w:sz w:val="28"/>
          <w:szCs w:val="28"/>
        </w:rPr>
        <w:t>Реакція на лизання лапи</w:t>
      </w:r>
      <w:r w:rsidRPr="0091507C">
        <w:rPr>
          <w:sz w:val="28"/>
          <w:szCs w:val="28"/>
          <w:lang w:val="uk-UA"/>
        </w:rPr>
        <w:t xml:space="preserve"> у тесті «Гаряча Пластина»</w:t>
      </w:r>
      <w:r w:rsidRPr="0091507C">
        <w:rPr>
          <w:sz w:val="28"/>
          <w:szCs w:val="28"/>
        </w:rPr>
        <w:t xml:space="preserve"> - це складна </w:t>
      </w:r>
      <w:r w:rsidRPr="0091507C">
        <w:rPr>
          <w:sz w:val="28"/>
          <w:szCs w:val="28"/>
          <w:lang w:val="uk-UA"/>
        </w:rPr>
        <w:t>супра</w:t>
      </w:r>
      <w:r w:rsidRPr="0091507C">
        <w:rPr>
          <w:sz w:val="28"/>
          <w:szCs w:val="28"/>
        </w:rPr>
        <w:t>спінально</w:t>
      </w:r>
      <w:r w:rsidRPr="0091507C">
        <w:rPr>
          <w:sz w:val="28"/>
          <w:szCs w:val="28"/>
          <w:lang w:val="uk-UA"/>
        </w:rPr>
        <w:t>-</w:t>
      </w:r>
      <w:r w:rsidRPr="0091507C">
        <w:rPr>
          <w:sz w:val="28"/>
          <w:szCs w:val="28"/>
        </w:rPr>
        <w:t>організована поведінка. [2</w:t>
      </w:r>
      <w:r w:rsidR="00FE60C3">
        <w:rPr>
          <w:sz w:val="28"/>
          <w:szCs w:val="28"/>
        </w:rPr>
        <w:t>1</w:t>
      </w:r>
      <w:r w:rsidR="00390008" w:rsidRPr="00B85935">
        <w:rPr>
          <w:sz w:val="28"/>
          <w:szCs w:val="28"/>
        </w:rPr>
        <w:t>9</w:t>
      </w:r>
      <w:r w:rsidRPr="0091507C">
        <w:rPr>
          <w:sz w:val="28"/>
          <w:szCs w:val="28"/>
        </w:rPr>
        <w:t xml:space="preserve">] </w:t>
      </w:r>
    </w:p>
    <w:p w14:paraId="6DCAAE47" w14:textId="282CD8BA" w:rsidR="00F05F4E" w:rsidRDefault="00F05F4E" w:rsidP="00F05F4E">
      <w:pPr>
        <w:pStyle w:val="a6"/>
        <w:spacing w:before="0" w:beforeAutospacing="0" w:after="0" w:afterAutospacing="0" w:line="360" w:lineRule="auto"/>
        <w:ind w:firstLine="709"/>
        <w:jc w:val="both"/>
        <w:rPr>
          <w:sz w:val="28"/>
          <w:szCs w:val="28"/>
          <w:lang w:val="uk-UA"/>
        </w:rPr>
      </w:pPr>
      <w:r w:rsidRPr="0091507C">
        <w:rPr>
          <w:sz w:val="28"/>
          <w:szCs w:val="28"/>
          <w:lang w:val="uk-UA"/>
        </w:rPr>
        <w:t xml:space="preserve">Згідно з отриманими даними, в тесті «гаряча пластина» усі сполуки успішно знижували рівень больової чутливості (див. рис. </w:t>
      </w:r>
      <w:r>
        <w:rPr>
          <w:sz w:val="28"/>
          <w:szCs w:val="28"/>
          <w:lang w:val="uk-UA"/>
        </w:rPr>
        <w:t>5</w:t>
      </w:r>
      <w:r w:rsidRPr="0091507C">
        <w:rPr>
          <w:sz w:val="28"/>
          <w:szCs w:val="28"/>
          <w:lang w:val="uk-UA"/>
        </w:rPr>
        <w:t>.</w:t>
      </w:r>
      <w:r>
        <w:rPr>
          <w:sz w:val="28"/>
          <w:szCs w:val="28"/>
          <w:lang w:val="uk-UA"/>
        </w:rPr>
        <w:t>2</w:t>
      </w:r>
      <w:r w:rsidRPr="0091507C">
        <w:rPr>
          <w:sz w:val="28"/>
          <w:szCs w:val="28"/>
          <w:lang w:val="uk-UA"/>
        </w:rPr>
        <w:t>.</w:t>
      </w:r>
      <w:r>
        <w:rPr>
          <w:sz w:val="28"/>
          <w:szCs w:val="28"/>
          <w:lang w:val="uk-UA"/>
        </w:rPr>
        <w:t>1</w:t>
      </w:r>
      <w:r w:rsidRPr="0091507C">
        <w:rPr>
          <w:sz w:val="28"/>
          <w:szCs w:val="28"/>
          <w:lang w:val="uk-UA"/>
        </w:rPr>
        <w:t xml:space="preserve">). </w:t>
      </w:r>
    </w:p>
    <w:p w14:paraId="4F9EA243" w14:textId="3DA4428E" w:rsidR="00C57D1F" w:rsidRDefault="00C57D1F" w:rsidP="00C57D1F">
      <w:pPr>
        <w:pStyle w:val="a6"/>
        <w:spacing w:before="0" w:beforeAutospacing="0" w:after="0" w:afterAutospacing="0" w:line="360" w:lineRule="auto"/>
        <w:ind w:firstLine="709"/>
        <w:jc w:val="both"/>
        <w:rPr>
          <w:color w:val="000000"/>
          <w:sz w:val="28"/>
          <w:szCs w:val="28"/>
          <w:lang w:val="uk-UA"/>
        </w:rPr>
      </w:pPr>
      <w:r w:rsidRPr="0091507C">
        <w:rPr>
          <w:sz w:val="28"/>
          <w:szCs w:val="28"/>
          <w:lang w:val="uk-UA"/>
        </w:rPr>
        <w:t>Після перорального введення комплексної сполуки І спостерігалося достовірне збільшення латентного часу реакції тварини на поверхневий та гострий біль в середньому на 10,5</w:t>
      </w:r>
      <w:r w:rsidRPr="0091507C">
        <w:rPr>
          <w:color w:val="000000"/>
          <w:sz w:val="28"/>
          <w:szCs w:val="28"/>
        </w:rPr>
        <w:t>±</w:t>
      </w:r>
      <w:r w:rsidRPr="0091507C">
        <w:rPr>
          <w:color w:val="000000"/>
          <w:sz w:val="28"/>
          <w:szCs w:val="28"/>
          <w:lang w:val="uk-UA"/>
        </w:rPr>
        <w:t>0,9 с</w:t>
      </w:r>
      <w:r w:rsidRPr="0091507C">
        <w:rPr>
          <w:sz w:val="28"/>
          <w:szCs w:val="28"/>
          <w:lang w:val="uk-UA"/>
        </w:rPr>
        <w:t xml:space="preserve"> у порівнянні з показниками контрольної групи. Комплексна сполук</w:t>
      </w:r>
      <w:r>
        <w:rPr>
          <w:sz w:val="28"/>
          <w:szCs w:val="28"/>
          <w:lang w:val="uk-UA"/>
        </w:rPr>
        <w:t>а</w:t>
      </w:r>
      <w:r w:rsidRPr="0091507C">
        <w:rPr>
          <w:sz w:val="28"/>
          <w:szCs w:val="28"/>
          <w:lang w:val="uk-UA"/>
        </w:rPr>
        <w:t xml:space="preserve"> ІІ </w:t>
      </w:r>
      <w:r>
        <w:rPr>
          <w:sz w:val="28"/>
          <w:szCs w:val="28"/>
          <w:lang w:val="uk-UA"/>
        </w:rPr>
        <w:t>проявляла нижчий рівень аналгезії</w:t>
      </w:r>
      <w:r w:rsidRPr="0091507C">
        <w:rPr>
          <w:sz w:val="28"/>
          <w:szCs w:val="28"/>
          <w:lang w:val="uk-UA"/>
        </w:rPr>
        <w:t>, показники латентного часу больової реакції складали 9,5</w:t>
      </w:r>
      <w:r w:rsidRPr="007C0C3C">
        <w:rPr>
          <w:color w:val="000000"/>
          <w:sz w:val="28"/>
          <w:szCs w:val="28"/>
          <w:lang w:val="uk-UA"/>
        </w:rPr>
        <w:t>±</w:t>
      </w:r>
      <w:r w:rsidRPr="0091507C">
        <w:rPr>
          <w:color w:val="000000"/>
          <w:sz w:val="28"/>
          <w:szCs w:val="28"/>
          <w:lang w:val="uk-UA"/>
        </w:rPr>
        <w:t>0,3 с.</w:t>
      </w:r>
      <w:r>
        <w:rPr>
          <w:color w:val="000000"/>
          <w:sz w:val="28"/>
          <w:szCs w:val="28"/>
          <w:lang w:val="uk-UA"/>
        </w:rPr>
        <w:t xml:space="preserve"> </w:t>
      </w:r>
    </w:p>
    <w:p w14:paraId="5B831A8E" w14:textId="3ABA46EB" w:rsidR="00C57D1F" w:rsidRPr="00C57D1F" w:rsidRDefault="00C57D1F" w:rsidP="00C57D1F">
      <w:pPr>
        <w:pStyle w:val="a6"/>
        <w:spacing w:before="0" w:beforeAutospacing="0" w:after="0" w:afterAutospacing="0" w:line="360" w:lineRule="auto"/>
        <w:ind w:firstLine="709"/>
        <w:jc w:val="both"/>
        <w:rPr>
          <w:color w:val="000000"/>
          <w:sz w:val="28"/>
          <w:szCs w:val="28"/>
          <w:lang w:val="uk-UA"/>
        </w:rPr>
      </w:pPr>
      <w:r>
        <w:rPr>
          <w:sz w:val="28"/>
          <w:szCs w:val="28"/>
          <w:lang w:val="uk-UA"/>
        </w:rPr>
        <w:t>Найбільш виразний аналгетичний ефект спостерігався у групі тварин, що отримували перорально саліцилову кислоту. Так, через 1 і 3 години після введення латентний час больової реакції складав 22,5</w:t>
      </w:r>
      <w:r w:rsidRPr="00D76D69">
        <w:rPr>
          <w:color w:val="000000"/>
          <w:sz w:val="28"/>
          <w:szCs w:val="28"/>
        </w:rPr>
        <w:t>±</w:t>
      </w:r>
      <w:r>
        <w:rPr>
          <w:color w:val="000000"/>
          <w:sz w:val="28"/>
          <w:szCs w:val="28"/>
          <w:lang w:val="uk-UA"/>
        </w:rPr>
        <w:t>1,2 с і 24,7</w:t>
      </w:r>
      <w:r w:rsidRPr="00D76D69">
        <w:rPr>
          <w:color w:val="000000"/>
          <w:sz w:val="28"/>
          <w:szCs w:val="28"/>
        </w:rPr>
        <w:t>±</w:t>
      </w:r>
      <w:r>
        <w:rPr>
          <w:color w:val="000000"/>
          <w:sz w:val="28"/>
          <w:szCs w:val="28"/>
          <w:lang w:val="uk-UA"/>
        </w:rPr>
        <w:t xml:space="preserve">1,5 с, відповідно. </w:t>
      </w:r>
      <w:r>
        <w:rPr>
          <w:sz w:val="28"/>
          <w:szCs w:val="28"/>
          <w:lang w:val="uk-UA"/>
        </w:rPr>
        <w:t xml:space="preserve">Через 3 години після початку експерименту, для комплексної сполуки І спостерігалося зростання аналгетичного ефекту до 17,6 </w:t>
      </w:r>
      <w:r w:rsidRPr="0091507C">
        <w:rPr>
          <w:color w:val="000000"/>
          <w:sz w:val="28"/>
          <w:szCs w:val="28"/>
          <w:lang w:val="uk-UA"/>
        </w:rPr>
        <w:t>±</w:t>
      </w:r>
      <w:r>
        <w:rPr>
          <w:color w:val="000000"/>
          <w:sz w:val="28"/>
          <w:szCs w:val="28"/>
          <w:lang w:val="uk-UA"/>
        </w:rPr>
        <w:t xml:space="preserve"> 0,6 с, дані достовірно перевищували показники референс препарату </w:t>
      </w:r>
      <w:r w:rsidR="00650AF5">
        <w:rPr>
          <w:color w:val="000000"/>
          <w:sz w:val="28"/>
          <w:szCs w:val="28"/>
          <w:lang w:val="uk-UA"/>
        </w:rPr>
        <w:t>і</w:t>
      </w:r>
      <w:r>
        <w:rPr>
          <w:color w:val="000000"/>
          <w:sz w:val="28"/>
          <w:szCs w:val="28"/>
          <w:lang w:val="uk-UA"/>
        </w:rPr>
        <w:t xml:space="preserve">бупрофену </w:t>
      </w:r>
      <w:r w:rsidR="00821BED">
        <w:rPr>
          <w:color w:val="000000"/>
          <w:sz w:val="28"/>
          <w:szCs w:val="28"/>
          <w:lang w:val="uk-UA"/>
        </w:rPr>
        <w:br/>
      </w:r>
      <w:r>
        <w:rPr>
          <w:color w:val="000000"/>
          <w:sz w:val="28"/>
          <w:szCs w:val="28"/>
          <w:lang w:val="uk-UA"/>
        </w:rPr>
        <w:t>на 7 с (</w:t>
      </w:r>
      <w:r w:rsidRPr="0091507C">
        <w:rPr>
          <w:sz w:val="28"/>
          <w:szCs w:val="28"/>
          <w:lang w:val="en-US"/>
        </w:rPr>
        <w:t>p</w:t>
      </w:r>
      <w:r w:rsidRPr="0091507C">
        <w:rPr>
          <w:sz w:val="28"/>
          <w:szCs w:val="28"/>
          <w:lang w:val="uk-UA"/>
        </w:rPr>
        <w:t xml:space="preserve"> </w:t>
      </w:r>
      <w:r w:rsidRPr="0091507C">
        <w:rPr>
          <w:sz w:val="28"/>
          <w:szCs w:val="28"/>
          <w:lang w:val="en-US"/>
        </w:rPr>
        <w:sym w:font="Symbol" w:char="F03C"/>
      </w:r>
      <w:r w:rsidRPr="0091507C">
        <w:rPr>
          <w:sz w:val="28"/>
          <w:szCs w:val="28"/>
          <w:lang w:val="uk-UA"/>
        </w:rPr>
        <w:t xml:space="preserve"> 0,01</w:t>
      </w:r>
      <w:r w:rsidRPr="0091507C">
        <w:rPr>
          <w:color w:val="000000"/>
          <w:sz w:val="28"/>
          <w:szCs w:val="28"/>
          <w:lang w:val="uk-UA"/>
        </w:rPr>
        <w:t>)</w:t>
      </w:r>
      <w:r>
        <w:rPr>
          <w:color w:val="000000"/>
          <w:sz w:val="28"/>
          <w:szCs w:val="28"/>
          <w:lang w:val="uk-UA"/>
        </w:rPr>
        <w:t xml:space="preserve">. </w:t>
      </w:r>
      <w:r>
        <w:rPr>
          <w:sz w:val="28"/>
          <w:szCs w:val="28"/>
          <w:lang w:val="uk-UA"/>
        </w:rPr>
        <w:t xml:space="preserve">Імовірно, що ліганд саліцилової кислоти у структурі комплексів І і ІІ </w:t>
      </w:r>
      <w:r w:rsidR="00461A45">
        <w:rPr>
          <w:sz w:val="28"/>
          <w:szCs w:val="28"/>
          <w:lang w:val="uk-UA"/>
        </w:rPr>
        <w:t>відіграє роль у</w:t>
      </w:r>
      <w:r>
        <w:rPr>
          <w:sz w:val="28"/>
          <w:szCs w:val="28"/>
          <w:lang w:val="uk-UA"/>
        </w:rPr>
        <w:t xml:space="preserve"> їх аналгетичн</w:t>
      </w:r>
      <w:r w:rsidR="00461A45">
        <w:rPr>
          <w:sz w:val="28"/>
          <w:szCs w:val="28"/>
          <w:lang w:val="uk-UA"/>
        </w:rPr>
        <w:t>ій</w:t>
      </w:r>
      <w:r>
        <w:rPr>
          <w:sz w:val="28"/>
          <w:szCs w:val="28"/>
          <w:lang w:val="uk-UA"/>
        </w:rPr>
        <w:t xml:space="preserve"> активн</w:t>
      </w:r>
      <w:r w:rsidR="00461A45">
        <w:rPr>
          <w:sz w:val="28"/>
          <w:szCs w:val="28"/>
          <w:lang w:val="uk-UA"/>
        </w:rPr>
        <w:t>ості</w:t>
      </w:r>
      <w:r>
        <w:rPr>
          <w:sz w:val="28"/>
          <w:szCs w:val="28"/>
          <w:lang w:val="uk-UA"/>
        </w:rPr>
        <w:t>.</w:t>
      </w:r>
    </w:p>
    <w:p w14:paraId="1C912906" w14:textId="77777777" w:rsidR="00F05F4E" w:rsidRDefault="00F05F4E" w:rsidP="00F05F4E">
      <w:pPr>
        <w:pStyle w:val="a6"/>
        <w:spacing w:before="0" w:beforeAutospacing="0" w:after="0" w:afterAutospacing="0" w:line="360" w:lineRule="auto"/>
        <w:ind w:firstLine="706"/>
        <w:jc w:val="center"/>
        <w:rPr>
          <w:bCs/>
          <w:sz w:val="28"/>
          <w:szCs w:val="28"/>
          <w:lang w:val="uk-UA"/>
        </w:rPr>
      </w:pPr>
      <w:r w:rsidRPr="006D1679">
        <w:rPr>
          <w:noProof/>
          <w:color w:val="000000"/>
          <w:sz w:val="28"/>
          <w:szCs w:val="28"/>
          <w:lang w:val="en-US" w:eastAsia="en-US"/>
        </w:rPr>
        <w:lastRenderedPageBreak/>
        <w:drawing>
          <wp:inline distT="0" distB="0" distL="0" distR="0" wp14:anchorId="238A3047" wp14:editId="67E97F8C">
            <wp:extent cx="3669632" cy="2249905"/>
            <wp:effectExtent l="0" t="0" r="1270" b="0"/>
            <wp:docPr id="35"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4885" cy="2296044"/>
                    </a:xfrm>
                    <a:prstGeom prst="rect">
                      <a:avLst/>
                    </a:prstGeom>
                    <a:noFill/>
                    <a:ln>
                      <a:noFill/>
                    </a:ln>
                  </pic:spPr>
                </pic:pic>
              </a:graphicData>
            </a:graphic>
          </wp:inline>
        </w:drawing>
      </w:r>
    </w:p>
    <w:p w14:paraId="2F4AECB5" w14:textId="58306A05" w:rsidR="00F05F4E" w:rsidRPr="00F05F4E" w:rsidRDefault="00F05F4E" w:rsidP="00F05F4E">
      <w:pPr>
        <w:pStyle w:val="a6"/>
        <w:spacing w:before="0" w:beforeAutospacing="0" w:after="0" w:afterAutospacing="0" w:line="360" w:lineRule="auto"/>
        <w:ind w:firstLine="708"/>
        <w:jc w:val="both"/>
        <w:rPr>
          <w:sz w:val="28"/>
          <w:szCs w:val="28"/>
          <w:lang w:val="uk-UA"/>
        </w:rPr>
      </w:pPr>
      <w:r w:rsidRPr="003904CC">
        <w:rPr>
          <w:sz w:val="28"/>
          <w:szCs w:val="28"/>
          <w:lang w:val="uk-UA"/>
        </w:rPr>
        <w:t xml:space="preserve">Рис. </w:t>
      </w:r>
      <w:r>
        <w:rPr>
          <w:sz w:val="28"/>
          <w:szCs w:val="28"/>
          <w:lang w:val="uk-UA"/>
        </w:rPr>
        <w:t xml:space="preserve">5.2.1. </w:t>
      </w:r>
      <w:r w:rsidRPr="003904CC">
        <w:rPr>
          <w:sz w:val="28"/>
          <w:szCs w:val="28"/>
          <w:lang w:val="uk-UA"/>
        </w:rPr>
        <w:t>Аналгетична активність комплексної сполуки ІІ при пероральному введенні у тесті «ГП» (латентний час розвитку больової реакції</w:t>
      </w:r>
      <w:r>
        <w:rPr>
          <w:sz w:val="28"/>
          <w:szCs w:val="28"/>
          <w:lang w:val="uk-UA"/>
        </w:rPr>
        <w:t xml:space="preserve">, </w:t>
      </w:r>
      <w:r w:rsidRPr="003904CC">
        <w:rPr>
          <w:sz w:val="28"/>
          <w:szCs w:val="28"/>
          <w:lang w:val="uk-UA"/>
        </w:rPr>
        <w:t xml:space="preserve">у </w:t>
      </w:r>
      <w:r>
        <w:rPr>
          <w:sz w:val="28"/>
          <w:szCs w:val="28"/>
          <w:lang w:val="uk-UA"/>
        </w:rPr>
        <w:t>секундах</w:t>
      </w:r>
      <w:r w:rsidRPr="007D638E">
        <w:rPr>
          <w:sz w:val="28"/>
          <w:szCs w:val="28"/>
          <w:lang w:val="uk-UA"/>
        </w:rPr>
        <w:t xml:space="preserve"> </w:t>
      </w:r>
      <w:r w:rsidRPr="003904CC">
        <w:rPr>
          <w:sz w:val="28"/>
          <w:szCs w:val="28"/>
          <w:lang w:val="uk-UA"/>
        </w:rPr>
        <w:t>(М</w:t>
      </w:r>
      <w:r w:rsidRPr="003904CC">
        <w:rPr>
          <w:color w:val="4D5156"/>
          <w:sz w:val="28"/>
          <w:szCs w:val="28"/>
          <w:shd w:val="clear" w:color="auto" w:fill="FFFFFF"/>
          <w:lang w:val="uk-UA"/>
        </w:rPr>
        <w:t>±</w:t>
      </w:r>
      <w:r w:rsidRPr="003904CC">
        <w:rPr>
          <w:sz w:val="28"/>
          <w:szCs w:val="28"/>
          <w:lang w:val="en-US"/>
        </w:rPr>
        <w:t>m</w:t>
      </w:r>
      <w:r w:rsidRPr="003904CC">
        <w:rPr>
          <w:sz w:val="28"/>
          <w:szCs w:val="28"/>
          <w:lang w:val="uk-UA"/>
        </w:rPr>
        <w:t xml:space="preserve">, </w:t>
      </w:r>
      <w:r w:rsidRPr="003904CC">
        <w:rPr>
          <w:sz w:val="28"/>
          <w:szCs w:val="28"/>
          <w:lang w:val="en-US"/>
        </w:rPr>
        <w:t>n</w:t>
      </w:r>
      <w:r w:rsidRPr="003904CC">
        <w:rPr>
          <w:sz w:val="28"/>
          <w:szCs w:val="28"/>
          <w:lang w:val="uk-UA"/>
        </w:rPr>
        <w:t xml:space="preserve">=5) </w:t>
      </w:r>
    </w:p>
    <w:p w14:paraId="6A97AE94" w14:textId="3E5F0EEC" w:rsidR="00F05F4E" w:rsidRPr="008A6B7D" w:rsidRDefault="00F05F4E" w:rsidP="00352B8A">
      <w:pPr>
        <w:pStyle w:val="a6"/>
        <w:spacing w:before="0" w:beforeAutospacing="0" w:after="0" w:afterAutospacing="0"/>
        <w:ind w:left="450" w:hanging="450"/>
        <w:jc w:val="both"/>
        <w:rPr>
          <w:lang w:val="uk-UA"/>
        </w:rPr>
      </w:pPr>
      <w:r w:rsidRPr="008A6B7D">
        <w:rPr>
          <w:lang w:val="uk-UA"/>
        </w:rPr>
        <w:t>Примітки:</w:t>
      </w:r>
    </w:p>
    <w:p w14:paraId="182879E1" w14:textId="6DEC7F63" w:rsidR="00F05F4E" w:rsidRPr="008A6B7D" w:rsidRDefault="00F05F4E" w:rsidP="00352B8A">
      <w:pPr>
        <w:pStyle w:val="a6"/>
        <w:numPr>
          <w:ilvl w:val="0"/>
          <w:numId w:val="46"/>
        </w:numPr>
        <w:spacing w:before="0" w:beforeAutospacing="0" w:after="0" w:afterAutospacing="0"/>
        <w:ind w:left="450" w:hanging="450"/>
        <w:jc w:val="both"/>
        <w:rPr>
          <w:lang w:val="uk-UA"/>
        </w:rPr>
      </w:pPr>
      <w:r w:rsidRPr="008A6B7D">
        <w:rPr>
          <w:lang w:val="uk-UA"/>
        </w:rPr>
        <w:t xml:space="preserve">- p </w:t>
      </w:r>
      <w:r w:rsidRPr="008A6B7D">
        <w:rPr>
          <w:lang w:val="uk-UA"/>
        </w:rPr>
        <w:sym w:font="Symbol" w:char="F03C"/>
      </w:r>
      <w:r w:rsidRPr="008A6B7D">
        <w:rPr>
          <w:lang w:val="uk-UA"/>
        </w:rPr>
        <w:t xml:space="preserve"> 0,05 (статистично значуща різниця у порівнянні з контрольною групою). </w:t>
      </w:r>
    </w:p>
    <w:p w14:paraId="62F78DE8" w14:textId="77777777" w:rsidR="00F05F4E" w:rsidRPr="008A6B7D" w:rsidRDefault="00F05F4E" w:rsidP="00352B8A">
      <w:pPr>
        <w:pStyle w:val="a6"/>
        <w:numPr>
          <w:ilvl w:val="0"/>
          <w:numId w:val="46"/>
        </w:numPr>
        <w:spacing w:before="0" w:beforeAutospacing="0" w:after="0" w:afterAutospacing="0"/>
        <w:ind w:left="450" w:hanging="450"/>
        <w:jc w:val="both"/>
        <w:rPr>
          <w:lang w:val="uk-UA"/>
        </w:rPr>
      </w:pPr>
      <w:r w:rsidRPr="008A6B7D">
        <w:rPr>
          <w:lang w:val="uk-UA"/>
        </w:rPr>
        <w:t>** - р</w:t>
      </w:r>
      <w:r w:rsidRPr="008A6B7D">
        <w:rPr>
          <w:lang w:val="uk-UA"/>
        </w:rPr>
        <w:sym w:font="Symbol" w:char="F03C"/>
      </w:r>
      <w:r w:rsidRPr="008A6B7D">
        <w:rPr>
          <w:lang w:val="uk-UA"/>
        </w:rPr>
        <w:t>0,01 (статистично значуща різниця у порівнянні з контрольною групою).</w:t>
      </w:r>
    </w:p>
    <w:p w14:paraId="3EEA842B" w14:textId="2278E84D" w:rsidR="00F05F4E" w:rsidRPr="008A6B7D" w:rsidRDefault="00F05F4E" w:rsidP="00352B8A">
      <w:pPr>
        <w:pStyle w:val="a6"/>
        <w:numPr>
          <w:ilvl w:val="0"/>
          <w:numId w:val="46"/>
        </w:numPr>
        <w:spacing w:before="0" w:beforeAutospacing="0" w:after="0" w:afterAutospacing="0"/>
        <w:ind w:left="450" w:hanging="450"/>
        <w:jc w:val="both"/>
        <w:rPr>
          <w:lang w:val="uk-UA"/>
        </w:rPr>
      </w:pPr>
      <w:r w:rsidRPr="008A6B7D">
        <w:rPr>
          <w:lang w:val="uk-UA"/>
        </w:rPr>
        <w:t xml:space="preserve"># - p </w:t>
      </w:r>
      <w:r w:rsidRPr="008A6B7D">
        <w:rPr>
          <w:lang w:val="uk-UA"/>
        </w:rPr>
        <w:sym w:font="Symbol" w:char="F03C"/>
      </w:r>
      <w:r w:rsidRPr="008A6B7D">
        <w:rPr>
          <w:lang w:val="uk-UA"/>
        </w:rPr>
        <w:t xml:space="preserve"> 0,05 (статистично значуща різниця у порівнянні у порівнянні із референс-препаратом </w:t>
      </w:r>
      <w:r w:rsidR="0017102A" w:rsidRPr="008A6B7D">
        <w:rPr>
          <w:lang w:val="uk-UA"/>
        </w:rPr>
        <w:t>і</w:t>
      </w:r>
      <w:r w:rsidRPr="008A6B7D">
        <w:rPr>
          <w:lang w:val="uk-UA"/>
        </w:rPr>
        <w:t xml:space="preserve">бупрофеном). </w:t>
      </w:r>
    </w:p>
    <w:p w14:paraId="3DCF63B2" w14:textId="7D158AEC" w:rsidR="00F05F4E" w:rsidRPr="008A6B7D" w:rsidRDefault="00F05F4E" w:rsidP="00352B8A">
      <w:pPr>
        <w:pStyle w:val="a6"/>
        <w:numPr>
          <w:ilvl w:val="0"/>
          <w:numId w:val="46"/>
        </w:numPr>
        <w:spacing w:before="0" w:beforeAutospacing="0" w:after="0" w:afterAutospacing="0"/>
        <w:ind w:left="450" w:hanging="450"/>
        <w:jc w:val="both"/>
        <w:rPr>
          <w:lang w:val="uk-UA"/>
        </w:rPr>
      </w:pPr>
      <w:r w:rsidRPr="008A6B7D">
        <w:rPr>
          <w:lang w:val="uk-UA"/>
        </w:rPr>
        <w:t xml:space="preserve"> ## - p </w:t>
      </w:r>
      <w:r w:rsidRPr="008A6B7D">
        <w:rPr>
          <w:lang w:val="uk-UA"/>
        </w:rPr>
        <w:sym w:font="Symbol" w:char="F03C"/>
      </w:r>
      <w:r w:rsidRPr="008A6B7D">
        <w:rPr>
          <w:lang w:val="uk-UA"/>
        </w:rPr>
        <w:t xml:space="preserve"> 0,01 (статистично значуща різниця у порівнянні у порівнянні із референс-препаратом </w:t>
      </w:r>
      <w:r w:rsidR="00390008" w:rsidRPr="008A6B7D">
        <w:rPr>
          <w:lang w:val="uk-UA"/>
        </w:rPr>
        <w:t>і</w:t>
      </w:r>
      <w:r w:rsidRPr="008A6B7D">
        <w:rPr>
          <w:lang w:val="uk-UA"/>
        </w:rPr>
        <w:t>бупрофеном).</w:t>
      </w:r>
    </w:p>
    <w:p w14:paraId="769CE8FC" w14:textId="7EC3EFB1" w:rsidR="00F05F4E" w:rsidRPr="008A6B7D" w:rsidRDefault="00F05F4E" w:rsidP="00352B8A">
      <w:pPr>
        <w:pStyle w:val="a6"/>
        <w:numPr>
          <w:ilvl w:val="0"/>
          <w:numId w:val="46"/>
        </w:numPr>
        <w:spacing w:before="0" w:beforeAutospacing="0" w:after="0" w:afterAutospacing="0"/>
        <w:ind w:left="450" w:hanging="450"/>
        <w:jc w:val="both"/>
        <w:rPr>
          <w:lang w:val="uk-UA"/>
        </w:rPr>
      </w:pPr>
      <w:r w:rsidRPr="008A6B7D">
        <w:rPr>
          <w:lang w:val="uk-UA"/>
        </w:rPr>
        <w:t>n – кількість тварин у групі.</w:t>
      </w:r>
    </w:p>
    <w:p w14:paraId="7CA31111" w14:textId="77777777" w:rsidR="00F05F4E" w:rsidRPr="00F05F4E" w:rsidRDefault="00F05F4E" w:rsidP="00F05F4E">
      <w:pPr>
        <w:pStyle w:val="a6"/>
        <w:spacing w:before="0" w:beforeAutospacing="0" w:after="0" w:afterAutospacing="0" w:line="360" w:lineRule="auto"/>
        <w:rPr>
          <w:bCs/>
          <w:sz w:val="28"/>
          <w:szCs w:val="28"/>
        </w:rPr>
      </w:pPr>
    </w:p>
    <w:p w14:paraId="1C846867" w14:textId="1D35C61F" w:rsidR="00F05F4E" w:rsidRPr="008A6B7D" w:rsidRDefault="00F05F4E" w:rsidP="007C0C3C">
      <w:pPr>
        <w:pStyle w:val="a6"/>
        <w:spacing w:before="0" w:beforeAutospacing="0" w:after="0" w:afterAutospacing="0" w:line="360" w:lineRule="auto"/>
        <w:ind w:firstLine="709"/>
        <w:jc w:val="both"/>
        <w:rPr>
          <w:color w:val="000000" w:themeColor="text1"/>
          <w:sz w:val="28"/>
          <w:szCs w:val="28"/>
          <w:lang w:val="uk-UA"/>
        </w:rPr>
      </w:pPr>
      <w:r w:rsidRPr="008A6B7D">
        <w:rPr>
          <w:color w:val="000000" w:themeColor="text1"/>
          <w:sz w:val="28"/>
          <w:szCs w:val="28"/>
          <w:lang w:val="uk-UA"/>
        </w:rPr>
        <w:t>Також нами було досліджено протибольовий ефект при місцевому введенні сполук, що досліджувались. Відомо, що призначення місцевого введення НПЗЗ знижує необхідність у системному призначенні і є дуже важливим для людей похилого віку чи тих, хто страждає хронічними захворюваннями [2</w:t>
      </w:r>
      <w:r w:rsidR="00FE60C3" w:rsidRPr="008A6B7D">
        <w:rPr>
          <w:color w:val="000000" w:themeColor="text1"/>
          <w:sz w:val="28"/>
          <w:szCs w:val="28"/>
          <w:lang w:val="uk-UA"/>
        </w:rPr>
        <w:t>2</w:t>
      </w:r>
      <w:r w:rsidR="00390008" w:rsidRPr="008A6B7D">
        <w:rPr>
          <w:color w:val="000000" w:themeColor="text1"/>
          <w:sz w:val="28"/>
          <w:szCs w:val="28"/>
          <w:lang w:val="uk-UA"/>
        </w:rPr>
        <w:t>0</w:t>
      </w:r>
      <w:r w:rsidRPr="008A6B7D">
        <w:rPr>
          <w:color w:val="000000" w:themeColor="text1"/>
          <w:sz w:val="28"/>
          <w:szCs w:val="28"/>
          <w:lang w:val="uk-UA"/>
        </w:rPr>
        <w:t>]. Після</w:t>
      </w:r>
      <w:r w:rsidRPr="008A6B7D">
        <w:rPr>
          <w:color w:val="000000" w:themeColor="text1"/>
          <w:sz w:val="28"/>
          <w:szCs w:val="28"/>
        </w:rPr>
        <w:t xml:space="preserve"> </w:t>
      </w:r>
      <w:r w:rsidRPr="008A6B7D">
        <w:rPr>
          <w:color w:val="000000" w:themeColor="text1"/>
          <w:sz w:val="28"/>
          <w:szCs w:val="28"/>
          <w:lang w:val="uk-UA"/>
        </w:rPr>
        <w:t xml:space="preserve">місцевого введення комплексної сполуки І у вигляді 2% мазі (рис. 5.2.2) спостерігалося достовірне збільшення латентного часу реакції тварини на поверхневий та гострий біль в середньому на 4,4 с у порівнянні з контролем. </w:t>
      </w:r>
    </w:p>
    <w:p w14:paraId="3C6717CC" w14:textId="1AF0CA8B" w:rsidR="00C57D1F" w:rsidRPr="008A6B7D" w:rsidRDefault="00C57D1F" w:rsidP="00C57D1F">
      <w:pPr>
        <w:pStyle w:val="a6"/>
        <w:spacing w:before="0" w:beforeAutospacing="0" w:after="0" w:afterAutospacing="0" w:line="360" w:lineRule="auto"/>
        <w:ind w:firstLine="709"/>
        <w:jc w:val="both"/>
        <w:rPr>
          <w:color w:val="000000" w:themeColor="text1"/>
          <w:sz w:val="28"/>
          <w:szCs w:val="28"/>
          <w:lang w:val="uk-UA"/>
        </w:rPr>
      </w:pPr>
      <w:r w:rsidRPr="008A6B7D">
        <w:rPr>
          <w:color w:val="000000" w:themeColor="text1"/>
          <w:sz w:val="28"/>
          <w:szCs w:val="28"/>
          <w:lang w:val="uk-UA"/>
        </w:rPr>
        <w:t xml:space="preserve">Усі сполуки, що вивчалися у тесті ГП, поступалися за своєю аналгетичною дією  комплексній сполуці ІІ, показники латентного часу больової реакції, для якої, перевищували контрольні на 13,7 с. </w:t>
      </w:r>
    </w:p>
    <w:p w14:paraId="1EA5EBF2" w14:textId="05D78859" w:rsidR="00F05F4E" w:rsidRPr="0091507C" w:rsidRDefault="00F05F4E" w:rsidP="0071066B">
      <w:pPr>
        <w:pStyle w:val="a6"/>
        <w:spacing w:before="0" w:beforeAutospacing="0" w:after="0" w:afterAutospacing="0" w:line="360" w:lineRule="auto"/>
        <w:ind w:firstLine="708"/>
        <w:jc w:val="center"/>
        <w:rPr>
          <w:sz w:val="28"/>
          <w:szCs w:val="28"/>
          <w:lang w:val="uk-UA"/>
        </w:rPr>
      </w:pPr>
      <w:r w:rsidRPr="0091507C">
        <w:rPr>
          <w:noProof/>
          <w:sz w:val="28"/>
          <w:szCs w:val="28"/>
          <w:lang w:val="en-US" w:eastAsia="en-US"/>
        </w:rPr>
        <w:lastRenderedPageBreak/>
        <w:drawing>
          <wp:inline distT="0" distB="0" distL="0" distR="0" wp14:anchorId="28C9F874" wp14:editId="6A869D00">
            <wp:extent cx="3678072" cy="2322830"/>
            <wp:effectExtent l="0" t="0" r="508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50">
                      <a:extLst>
                        <a:ext uri="{28A0092B-C50C-407E-A947-70E740481C1C}">
                          <a14:useLocalDpi xmlns:a14="http://schemas.microsoft.com/office/drawing/2010/main" val="0"/>
                        </a:ext>
                      </a:extLst>
                    </a:blip>
                    <a:srcRect l="1248" t="4105" r="402" b="2977"/>
                    <a:stretch/>
                  </pic:blipFill>
                  <pic:spPr bwMode="auto">
                    <a:xfrm>
                      <a:off x="0" y="0"/>
                      <a:ext cx="3724354" cy="2352059"/>
                    </a:xfrm>
                    <a:prstGeom prst="rect">
                      <a:avLst/>
                    </a:prstGeom>
                    <a:ln>
                      <a:noFill/>
                    </a:ln>
                    <a:extLst>
                      <a:ext uri="{53640926-AAD7-44D8-BBD7-CCE9431645EC}">
                        <a14:shadowObscured xmlns:a14="http://schemas.microsoft.com/office/drawing/2010/main"/>
                      </a:ext>
                    </a:extLst>
                  </pic:spPr>
                </pic:pic>
              </a:graphicData>
            </a:graphic>
          </wp:inline>
        </w:drawing>
      </w:r>
    </w:p>
    <w:p w14:paraId="5E59630D" w14:textId="7E28EBBF" w:rsidR="00F05F4E" w:rsidRPr="0091507C" w:rsidRDefault="00F05F4E" w:rsidP="00F05F4E">
      <w:pPr>
        <w:pStyle w:val="a6"/>
        <w:spacing w:before="0" w:beforeAutospacing="0" w:after="0" w:afterAutospacing="0" w:line="360" w:lineRule="auto"/>
        <w:ind w:firstLine="708"/>
        <w:jc w:val="both"/>
        <w:rPr>
          <w:sz w:val="28"/>
          <w:szCs w:val="28"/>
          <w:lang w:val="uk-UA"/>
        </w:rPr>
      </w:pPr>
      <w:r w:rsidRPr="0091507C">
        <w:rPr>
          <w:sz w:val="28"/>
          <w:szCs w:val="28"/>
          <w:lang w:val="uk-UA"/>
        </w:rPr>
        <w:t xml:space="preserve">Рис. </w:t>
      </w:r>
      <w:r>
        <w:rPr>
          <w:sz w:val="28"/>
          <w:szCs w:val="28"/>
          <w:lang w:val="uk-UA"/>
        </w:rPr>
        <w:t>5</w:t>
      </w:r>
      <w:r w:rsidRPr="0091507C">
        <w:rPr>
          <w:sz w:val="28"/>
          <w:szCs w:val="28"/>
          <w:lang w:val="uk-UA"/>
        </w:rPr>
        <w:t>.</w:t>
      </w:r>
      <w:r>
        <w:rPr>
          <w:sz w:val="28"/>
          <w:szCs w:val="28"/>
          <w:lang w:val="uk-UA"/>
        </w:rPr>
        <w:t>2</w:t>
      </w:r>
      <w:r w:rsidRPr="0091507C">
        <w:rPr>
          <w:sz w:val="28"/>
          <w:szCs w:val="28"/>
          <w:lang w:val="uk-UA"/>
        </w:rPr>
        <w:t>.</w:t>
      </w:r>
      <w:r>
        <w:rPr>
          <w:sz w:val="28"/>
          <w:szCs w:val="28"/>
          <w:lang w:val="uk-UA"/>
        </w:rPr>
        <w:t>2</w:t>
      </w:r>
      <w:r w:rsidRPr="0091507C">
        <w:rPr>
          <w:sz w:val="28"/>
          <w:szCs w:val="28"/>
          <w:lang w:val="uk-UA"/>
        </w:rPr>
        <w:t xml:space="preserve"> Аналгетична дія досліджуваних сполук при місцевому введенні на моделі больового подразнення, у секундах (тест ГП). (М</w:t>
      </w:r>
      <w:r w:rsidRPr="0091507C">
        <w:rPr>
          <w:color w:val="4D5156"/>
          <w:sz w:val="28"/>
          <w:szCs w:val="28"/>
          <w:shd w:val="clear" w:color="auto" w:fill="FFFFFF"/>
          <w:lang w:val="uk-UA"/>
        </w:rPr>
        <w:t>±</w:t>
      </w:r>
      <w:r w:rsidRPr="0091507C">
        <w:rPr>
          <w:sz w:val="28"/>
          <w:szCs w:val="28"/>
          <w:lang w:val="en-US"/>
        </w:rPr>
        <w:t>m</w:t>
      </w:r>
      <w:r w:rsidRPr="0091507C">
        <w:rPr>
          <w:sz w:val="28"/>
          <w:szCs w:val="28"/>
          <w:lang w:val="uk-UA"/>
        </w:rPr>
        <w:t xml:space="preserve">, </w:t>
      </w:r>
      <w:r w:rsidRPr="0091507C">
        <w:rPr>
          <w:sz w:val="28"/>
          <w:szCs w:val="28"/>
          <w:lang w:val="en-US"/>
        </w:rPr>
        <w:t>n</w:t>
      </w:r>
      <w:r w:rsidRPr="0091507C">
        <w:rPr>
          <w:sz w:val="28"/>
          <w:szCs w:val="28"/>
          <w:lang w:val="uk-UA"/>
        </w:rPr>
        <w:t xml:space="preserve">=5). </w:t>
      </w:r>
    </w:p>
    <w:p w14:paraId="2639D625" w14:textId="77777777" w:rsidR="00F05F4E" w:rsidRPr="008A6B7D" w:rsidRDefault="00F05F4E" w:rsidP="00352B8A">
      <w:pPr>
        <w:pStyle w:val="a6"/>
        <w:spacing w:before="0" w:beforeAutospacing="0" w:after="0" w:afterAutospacing="0"/>
        <w:jc w:val="both"/>
        <w:rPr>
          <w:lang w:val="uk-UA"/>
        </w:rPr>
      </w:pPr>
      <w:r w:rsidRPr="008A6B7D">
        <w:rPr>
          <w:lang w:val="uk-UA"/>
        </w:rPr>
        <w:t xml:space="preserve">Примітки: </w:t>
      </w:r>
    </w:p>
    <w:p w14:paraId="6EDD2998" w14:textId="77777777" w:rsidR="00F05F4E" w:rsidRPr="008A6B7D" w:rsidRDefault="00F05F4E" w:rsidP="00352B8A">
      <w:pPr>
        <w:numPr>
          <w:ilvl w:val="6"/>
          <w:numId w:val="30"/>
        </w:numPr>
        <w:ind w:left="450" w:hanging="450"/>
        <w:jc w:val="both"/>
      </w:pPr>
      <w:r w:rsidRPr="008A6B7D">
        <w:t>*</w:t>
      </w:r>
      <w:r w:rsidRPr="008A6B7D">
        <w:rPr>
          <w:lang w:val="uk-UA"/>
        </w:rPr>
        <w:t xml:space="preserve"> </w:t>
      </w:r>
      <w:r w:rsidRPr="008A6B7D">
        <w:t>-</w:t>
      </w:r>
      <w:r w:rsidRPr="008A6B7D">
        <w:rPr>
          <w:lang w:val="uk-UA"/>
        </w:rPr>
        <w:t xml:space="preserve"> </w:t>
      </w:r>
      <w:r w:rsidRPr="008A6B7D">
        <w:rPr>
          <w:lang w:val="en-US"/>
        </w:rPr>
        <w:t>p</w:t>
      </w:r>
      <w:r w:rsidRPr="008A6B7D">
        <w:t xml:space="preserve"> </w:t>
      </w:r>
      <w:r w:rsidRPr="008A6B7D">
        <w:rPr>
          <w:lang w:val="en-US"/>
        </w:rPr>
        <w:sym w:font="Symbol" w:char="F03C"/>
      </w:r>
      <w:r w:rsidRPr="008A6B7D">
        <w:t xml:space="preserve"> 0,05 </w:t>
      </w:r>
      <w:r w:rsidRPr="008A6B7D">
        <w:rPr>
          <w:lang w:val="uk-UA"/>
        </w:rPr>
        <w:t>(статистично значуща різниця у порівнянні з контрольною групою).</w:t>
      </w:r>
      <w:r w:rsidRPr="008A6B7D">
        <w:t xml:space="preserve"> </w:t>
      </w:r>
    </w:p>
    <w:p w14:paraId="5FE0F313" w14:textId="77777777" w:rsidR="00F05F4E" w:rsidRPr="008A6B7D" w:rsidRDefault="00F05F4E" w:rsidP="00352B8A">
      <w:pPr>
        <w:numPr>
          <w:ilvl w:val="6"/>
          <w:numId w:val="30"/>
        </w:numPr>
        <w:ind w:left="450" w:hanging="450"/>
        <w:jc w:val="both"/>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 групою).</w:t>
      </w:r>
    </w:p>
    <w:p w14:paraId="15B03250" w14:textId="396ACDD2" w:rsidR="00F05F4E" w:rsidRPr="008A6B7D" w:rsidRDefault="00F05F4E" w:rsidP="00352B8A">
      <w:pPr>
        <w:numPr>
          <w:ilvl w:val="6"/>
          <w:numId w:val="30"/>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0,05 (статистично значуща різниця у порівнянні у порівнянні із референс-препаратом </w:t>
      </w:r>
      <w:r w:rsidR="00390008" w:rsidRPr="008A6B7D">
        <w:rPr>
          <w:lang w:val="uk-UA"/>
        </w:rPr>
        <w:t>і</w:t>
      </w:r>
      <w:r w:rsidRPr="008A6B7D">
        <w:rPr>
          <w:lang w:val="uk-UA"/>
        </w:rPr>
        <w:t>бупрофеном).</w:t>
      </w:r>
    </w:p>
    <w:p w14:paraId="231CCEFD" w14:textId="6B9A900D" w:rsidR="00F05F4E" w:rsidRPr="008A6B7D" w:rsidRDefault="00F05F4E" w:rsidP="00352B8A">
      <w:pPr>
        <w:numPr>
          <w:ilvl w:val="6"/>
          <w:numId w:val="30"/>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0,01 (статистично значуща різниця у порівнянні у порівнянні із референс-препаратом </w:t>
      </w:r>
      <w:r w:rsidR="00390008" w:rsidRPr="008A6B7D">
        <w:rPr>
          <w:lang w:val="uk-UA"/>
        </w:rPr>
        <w:t>і</w:t>
      </w:r>
      <w:r w:rsidRPr="008A6B7D">
        <w:rPr>
          <w:lang w:val="uk-UA"/>
        </w:rPr>
        <w:t>бупрофеном).</w:t>
      </w:r>
    </w:p>
    <w:p w14:paraId="6C46479C" w14:textId="4FE8746F" w:rsidR="00F05F4E" w:rsidRPr="008A6B7D" w:rsidRDefault="00F05F4E" w:rsidP="00352B8A">
      <w:pPr>
        <w:numPr>
          <w:ilvl w:val="6"/>
          <w:numId w:val="30"/>
        </w:numPr>
        <w:ind w:left="450" w:hanging="450"/>
        <w:jc w:val="both"/>
      </w:pPr>
      <w:r w:rsidRPr="008A6B7D">
        <w:t>n – кількість тварин у групі.</w:t>
      </w:r>
    </w:p>
    <w:p w14:paraId="094AC897" w14:textId="77777777" w:rsidR="00F05F4E" w:rsidRDefault="00F05F4E" w:rsidP="00F05F4E">
      <w:pPr>
        <w:pStyle w:val="a6"/>
        <w:spacing w:before="0" w:beforeAutospacing="0" w:after="0" w:afterAutospacing="0" w:line="360" w:lineRule="auto"/>
        <w:ind w:firstLine="709"/>
        <w:jc w:val="both"/>
        <w:rPr>
          <w:sz w:val="28"/>
          <w:szCs w:val="28"/>
          <w:lang w:val="uk-UA"/>
        </w:rPr>
      </w:pPr>
      <w:bookmarkStart w:id="14" w:name="_Toc63336108"/>
    </w:p>
    <w:p w14:paraId="6361DFEE" w14:textId="5C92C32E" w:rsidR="00F05F4E" w:rsidRDefault="00F05F4E" w:rsidP="00F05F4E">
      <w:pPr>
        <w:pStyle w:val="a6"/>
        <w:spacing w:before="0" w:beforeAutospacing="0" w:after="0" w:afterAutospacing="0" w:line="360" w:lineRule="auto"/>
        <w:ind w:firstLine="708"/>
        <w:jc w:val="both"/>
        <w:rPr>
          <w:rFonts w:eastAsia="MS Mincho"/>
          <w:b/>
          <w:sz w:val="28"/>
          <w:szCs w:val="28"/>
          <w:lang w:val="uk-UA"/>
        </w:rPr>
      </w:pPr>
      <w:r>
        <w:rPr>
          <w:b/>
          <w:sz w:val="28"/>
          <w:szCs w:val="28"/>
          <w:lang w:val="uk-UA"/>
        </w:rPr>
        <w:t xml:space="preserve">5.3 </w:t>
      </w:r>
      <w:r w:rsidRPr="00F05F4E">
        <w:rPr>
          <w:b/>
          <w:sz w:val="28"/>
          <w:szCs w:val="28"/>
          <w:lang w:val="uk-UA"/>
        </w:rPr>
        <w:t>Визначення антиноцицептивної</w:t>
      </w:r>
      <w:r w:rsidRPr="00F05F4E">
        <w:rPr>
          <w:sz w:val="28"/>
          <w:szCs w:val="28"/>
          <w:lang w:val="uk-UA"/>
        </w:rPr>
        <w:t xml:space="preserve"> </w:t>
      </w:r>
      <w:r w:rsidRPr="00F05F4E">
        <w:rPr>
          <w:b/>
          <w:sz w:val="28"/>
          <w:szCs w:val="28"/>
          <w:lang w:val="uk-UA"/>
        </w:rPr>
        <w:t xml:space="preserve">дії при пероральному і місцевому введенні </w:t>
      </w:r>
      <w:r w:rsidR="00C57D1F">
        <w:rPr>
          <w:b/>
          <w:sz w:val="28"/>
          <w:szCs w:val="28"/>
          <w:lang w:val="uk-UA"/>
        </w:rPr>
        <w:t xml:space="preserve">комплексних сполук </w:t>
      </w:r>
      <w:r w:rsidR="00C57D1F">
        <w:rPr>
          <w:b/>
          <w:sz w:val="28"/>
          <w:szCs w:val="28"/>
        </w:rPr>
        <w:t>Sn</w:t>
      </w:r>
      <w:r w:rsidR="00C57D1F">
        <w:rPr>
          <w:b/>
          <w:sz w:val="28"/>
          <w:szCs w:val="28"/>
          <w:lang w:val="uk-UA"/>
        </w:rPr>
        <w:t xml:space="preserve"> (</w:t>
      </w:r>
      <w:r w:rsidR="00C57D1F">
        <w:rPr>
          <w:b/>
          <w:sz w:val="28"/>
          <w:szCs w:val="28"/>
          <w:lang w:val="en-US"/>
        </w:rPr>
        <w:t>IV</w:t>
      </w:r>
      <w:r w:rsidR="00C57D1F">
        <w:rPr>
          <w:b/>
          <w:sz w:val="28"/>
          <w:szCs w:val="28"/>
          <w:lang w:val="uk-UA"/>
        </w:rPr>
        <w:t xml:space="preserve">) з саліцилоїлгідразонами бензальдегідів </w:t>
      </w:r>
      <w:r w:rsidRPr="00F05F4E">
        <w:rPr>
          <w:b/>
          <w:sz w:val="28"/>
          <w:szCs w:val="28"/>
          <w:lang w:val="uk-UA"/>
        </w:rPr>
        <w:t xml:space="preserve">на моделі </w:t>
      </w:r>
      <w:r w:rsidRPr="00F05F4E">
        <w:rPr>
          <w:rFonts w:eastAsia="MS Mincho"/>
          <w:b/>
          <w:sz w:val="28"/>
          <w:szCs w:val="28"/>
          <w:lang w:val="uk-UA"/>
        </w:rPr>
        <w:t>капсаїцин-індукованого болю</w:t>
      </w:r>
      <w:bookmarkEnd w:id="14"/>
    </w:p>
    <w:p w14:paraId="66346A6C" w14:textId="3AD5AC33" w:rsidR="00F05F4E" w:rsidRPr="00F05F4E" w:rsidRDefault="00F05F4E" w:rsidP="00F05F4E">
      <w:pPr>
        <w:pStyle w:val="a6"/>
        <w:spacing w:before="0" w:beforeAutospacing="0" w:after="0" w:afterAutospacing="0" w:line="360" w:lineRule="auto"/>
        <w:ind w:firstLine="708"/>
        <w:jc w:val="both"/>
        <w:rPr>
          <w:sz w:val="28"/>
          <w:szCs w:val="28"/>
          <w:lang w:val="uk-UA"/>
        </w:rPr>
      </w:pPr>
      <w:r w:rsidRPr="00F05F4E">
        <w:rPr>
          <w:sz w:val="28"/>
          <w:szCs w:val="28"/>
          <w:lang w:val="uk-UA"/>
        </w:rPr>
        <w:t xml:space="preserve">Капсаїцин є блокатором калієвих каналів А-типу і агоністом ванілоїдних рецепторів </w:t>
      </w:r>
      <w:r w:rsidRPr="00F05F4E">
        <w:rPr>
          <w:sz w:val="28"/>
          <w:szCs w:val="28"/>
        </w:rPr>
        <w:t>VR</w:t>
      </w:r>
      <w:r w:rsidRPr="00F05F4E">
        <w:rPr>
          <w:sz w:val="28"/>
          <w:szCs w:val="28"/>
          <w:lang w:val="uk-UA"/>
        </w:rPr>
        <w:t>1 (</w:t>
      </w:r>
      <w:r w:rsidRPr="00F05F4E">
        <w:rPr>
          <w:sz w:val="28"/>
          <w:szCs w:val="28"/>
        </w:rPr>
        <w:t>TRPV</w:t>
      </w:r>
      <w:r w:rsidRPr="00F05F4E">
        <w:rPr>
          <w:sz w:val="28"/>
          <w:szCs w:val="28"/>
          <w:lang w:val="uk-UA"/>
        </w:rPr>
        <w:t xml:space="preserve">-1). </w:t>
      </w:r>
      <w:r w:rsidRPr="00F05F4E">
        <w:rPr>
          <w:sz w:val="28"/>
          <w:szCs w:val="28"/>
        </w:rPr>
        <w:t xml:space="preserve">Обидві комплексні сполуки проявляли знеболюючий ефект на моделі больової реакції, викликаної капсаїцином. </w:t>
      </w:r>
    </w:p>
    <w:p w14:paraId="03E38DDA" w14:textId="1C79F6A4" w:rsidR="00F05F4E" w:rsidRDefault="00F05F4E" w:rsidP="00F05F4E">
      <w:pPr>
        <w:pStyle w:val="a6"/>
        <w:spacing w:before="0" w:beforeAutospacing="0" w:after="0" w:afterAutospacing="0" w:line="360" w:lineRule="auto"/>
        <w:ind w:firstLine="709"/>
        <w:jc w:val="both"/>
        <w:rPr>
          <w:sz w:val="28"/>
          <w:szCs w:val="28"/>
          <w:lang w:val="uk-UA"/>
        </w:rPr>
      </w:pPr>
      <w:r>
        <w:rPr>
          <w:sz w:val="28"/>
          <w:szCs w:val="28"/>
          <w:lang w:val="uk-UA"/>
        </w:rPr>
        <w:t>Так, показники групи, яка отримувала лікування комплексною сполукою І (рис. 5.3.1), перевищували показники</w:t>
      </w:r>
      <w:r w:rsidRPr="00EE24F4">
        <w:rPr>
          <w:sz w:val="28"/>
          <w:szCs w:val="28"/>
          <w:lang w:val="uk-UA"/>
        </w:rPr>
        <w:t xml:space="preserve"> </w:t>
      </w:r>
      <w:r>
        <w:rPr>
          <w:sz w:val="28"/>
          <w:szCs w:val="28"/>
          <w:lang w:val="uk-UA"/>
        </w:rPr>
        <w:t xml:space="preserve">антиноцицептивної активності референс препарату на 10 </w:t>
      </w:r>
      <w:r w:rsidRPr="00D76D69">
        <w:rPr>
          <w:color w:val="000000"/>
          <w:sz w:val="28"/>
          <w:szCs w:val="28"/>
        </w:rPr>
        <w:t>±</w:t>
      </w:r>
      <w:r>
        <w:rPr>
          <w:color w:val="000000"/>
          <w:sz w:val="28"/>
          <w:szCs w:val="28"/>
          <w:lang w:val="uk-UA"/>
        </w:rPr>
        <w:t xml:space="preserve"> 1с, </w:t>
      </w:r>
      <w:r>
        <w:rPr>
          <w:sz w:val="28"/>
          <w:szCs w:val="28"/>
          <w:lang w:val="uk-UA"/>
        </w:rPr>
        <w:t>що свідчить про його високий знеболюючий ефект.</w:t>
      </w:r>
    </w:p>
    <w:p w14:paraId="7286649B" w14:textId="7A8BDEDE" w:rsidR="007C0C3C" w:rsidRDefault="007C0C3C" w:rsidP="007C0C3C">
      <w:pPr>
        <w:pStyle w:val="a6"/>
        <w:tabs>
          <w:tab w:val="left" w:pos="709"/>
        </w:tabs>
        <w:spacing w:before="0" w:beforeAutospacing="0" w:after="0" w:afterAutospacing="0" w:line="360" w:lineRule="auto"/>
        <w:ind w:firstLine="709"/>
        <w:jc w:val="both"/>
        <w:rPr>
          <w:sz w:val="28"/>
          <w:szCs w:val="28"/>
          <w:lang w:val="uk-UA"/>
        </w:rPr>
      </w:pPr>
      <w:r>
        <w:rPr>
          <w:sz w:val="28"/>
          <w:szCs w:val="28"/>
          <w:lang w:val="uk-UA"/>
        </w:rPr>
        <w:t xml:space="preserve">Слід зазначити, що комплексна сполука ІІ не поступається за своєю знеболюючою активністю комплексу І. Так, через 3 години після перорального введення комплексів  показники латентного часу больової реакції </w:t>
      </w:r>
      <w:r w:rsidR="00821BED">
        <w:rPr>
          <w:sz w:val="28"/>
          <w:szCs w:val="28"/>
          <w:lang w:val="uk-UA"/>
        </w:rPr>
        <w:br/>
      </w:r>
      <w:r>
        <w:rPr>
          <w:sz w:val="28"/>
          <w:szCs w:val="28"/>
          <w:lang w:val="uk-UA"/>
        </w:rPr>
        <w:lastRenderedPageBreak/>
        <w:t xml:space="preserve">становили 9 </w:t>
      </w:r>
      <w:r w:rsidRPr="00D76D69">
        <w:rPr>
          <w:color w:val="000000"/>
          <w:sz w:val="28"/>
          <w:szCs w:val="28"/>
        </w:rPr>
        <w:t>±</w:t>
      </w:r>
      <w:r>
        <w:rPr>
          <w:color w:val="000000"/>
          <w:sz w:val="28"/>
          <w:szCs w:val="28"/>
          <w:lang w:val="uk-UA"/>
        </w:rPr>
        <w:t xml:space="preserve"> 2,5 с відповідно, для комплексу І і ІІ і статистично не поступались референс-препарату </w:t>
      </w:r>
      <w:r w:rsidR="0086476C">
        <w:rPr>
          <w:color w:val="000000"/>
          <w:sz w:val="28"/>
          <w:szCs w:val="28"/>
          <w:lang w:val="uk-UA"/>
        </w:rPr>
        <w:t>і</w:t>
      </w:r>
      <w:r>
        <w:rPr>
          <w:color w:val="000000"/>
          <w:sz w:val="28"/>
          <w:szCs w:val="28"/>
          <w:lang w:val="uk-UA"/>
        </w:rPr>
        <w:t>бупрофену.</w:t>
      </w:r>
    </w:p>
    <w:p w14:paraId="0DF7B278" w14:textId="02FC0607" w:rsidR="007C0C3C" w:rsidRDefault="007C0C3C" w:rsidP="00F05F4E">
      <w:pPr>
        <w:pStyle w:val="a6"/>
        <w:spacing w:before="0" w:beforeAutospacing="0" w:after="0" w:afterAutospacing="0" w:line="360" w:lineRule="auto"/>
        <w:ind w:firstLine="709"/>
        <w:jc w:val="both"/>
        <w:rPr>
          <w:sz w:val="28"/>
          <w:szCs w:val="28"/>
          <w:lang w:val="uk-UA"/>
        </w:rPr>
      </w:pPr>
      <w:r>
        <w:rPr>
          <w:sz w:val="28"/>
          <w:szCs w:val="28"/>
          <w:lang w:val="uk-UA"/>
        </w:rPr>
        <w:t xml:space="preserve">Через 3 години після перорального введення комплексних сполук І і ІІ спостерігалось наростання  протибольового ефекту, що був співставним із дією референс-препарату </w:t>
      </w:r>
      <w:r w:rsidR="0086476C">
        <w:rPr>
          <w:sz w:val="28"/>
          <w:szCs w:val="28"/>
          <w:lang w:val="uk-UA"/>
        </w:rPr>
        <w:t>і</w:t>
      </w:r>
      <w:r>
        <w:rPr>
          <w:sz w:val="28"/>
          <w:szCs w:val="28"/>
          <w:lang w:val="uk-UA"/>
        </w:rPr>
        <w:t>бупрофену.</w:t>
      </w:r>
    </w:p>
    <w:p w14:paraId="4BC584CA" w14:textId="77777777" w:rsidR="00F05F4E" w:rsidRDefault="00F05F4E" w:rsidP="00F05F4E">
      <w:pPr>
        <w:pStyle w:val="a6"/>
        <w:spacing w:before="0" w:beforeAutospacing="0" w:after="0" w:afterAutospacing="0" w:line="360" w:lineRule="auto"/>
        <w:ind w:firstLine="709"/>
        <w:jc w:val="center"/>
        <w:rPr>
          <w:sz w:val="28"/>
          <w:szCs w:val="28"/>
          <w:lang w:val="uk-UA"/>
        </w:rPr>
      </w:pPr>
      <w:r w:rsidRPr="006D1679">
        <w:rPr>
          <w:noProof/>
          <w:sz w:val="28"/>
          <w:szCs w:val="28"/>
          <w:lang w:val="en-US" w:eastAsia="en-US"/>
        </w:rPr>
        <w:drawing>
          <wp:inline distT="0" distB="0" distL="0" distR="0" wp14:anchorId="18B622BC" wp14:editId="4FD88323">
            <wp:extent cx="3910264" cy="2082800"/>
            <wp:effectExtent l="0" t="0" r="1905" b="0"/>
            <wp:docPr id="37"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18011" cy="2086927"/>
                    </a:xfrm>
                    <a:prstGeom prst="rect">
                      <a:avLst/>
                    </a:prstGeom>
                    <a:noFill/>
                    <a:ln>
                      <a:noFill/>
                    </a:ln>
                  </pic:spPr>
                </pic:pic>
              </a:graphicData>
            </a:graphic>
          </wp:inline>
        </w:drawing>
      </w:r>
    </w:p>
    <w:p w14:paraId="738413BE" w14:textId="773FD38E" w:rsidR="00F05F4E" w:rsidRDefault="00F05F4E" w:rsidP="00F05F4E">
      <w:pPr>
        <w:pStyle w:val="a6"/>
        <w:spacing w:before="0" w:beforeAutospacing="0" w:after="0" w:afterAutospacing="0" w:line="360" w:lineRule="auto"/>
        <w:jc w:val="both"/>
        <w:rPr>
          <w:sz w:val="28"/>
          <w:szCs w:val="28"/>
          <w:lang w:val="uk-UA"/>
        </w:rPr>
      </w:pPr>
      <w:r w:rsidRPr="007D638E">
        <w:rPr>
          <w:sz w:val="28"/>
          <w:szCs w:val="28"/>
          <w:lang w:val="uk-UA"/>
        </w:rPr>
        <w:t xml:space="preserve">Рис. </w:t>
      </w:r>
      <w:r>
        <w:rPr>
          <w:sz w:val="28"/>
          <w:szCs w:val="28"/>
          <w:lang w:val="uk-UA"/>
        </w:rPr>
        <w:t>5.</w:t>
      </w:r>
      <w:r w:rsidRPr="007D638E">
        <w:rPr>
          <w:sz w:val="28"/>
          <w:szCs w:val="28"/>
          <w:lang w:val="uk-UA"/>
        </w:rPr>
        <w:t xml:space="preserve">3.1 </w:t>
      </w:r>
      <w:r>
        <w:rPr>
          <w:sz w:val="28"/>
          <w:szCs w:val="28"/>
          <w:lang w:val="uk-UA"/>
        </w:rPr>
        <w:t xml:space="preserve">Антиноцицептивна </w:t>
      </w:r>
      <w:r w:rsidRPr="007D638E">
        <w:rPr>
          <w:sz w:val="28"/>
          <w:szCs w:val="28"/>
          <w:lang w:val="uk-UA"/>
        </w:rPr>
        <w:t>дія комплексних сполук при пероральному введенні (латентний час розвитку больової реакції,</w:t>
      </w:r>
      <w:r>
        <w:rPr>
          <w:sz w:val="28"/>
          <w:szCs w:val="28"/>
          <w:lang w:val="uk-UA"/>
        </w:rPr>
        <w:t xml:space="preserve"> у секундах</w:t>
      </w:r>
      <w:r w:rsidRPr="007D638E">
        <w:rPr>
          <w:sz w:val="28"/>
          <w:szCs w:val="28"/>
          <w:lang w:val="uk-UA"/>
        </w:rPr>
        <w:t xml:space="preserve"> (М</w:t>
      </w:r>
      <w:r w:rsidRPr="007D638E">
        <w:rPr>
          <w:color w:val="4D5156"/>
          <w:sz w:val="28"/>
          <w:szCs w:val="28"/>
          <w:shd w:val="clear" w:color="auto" w:fill="FFFFFF"/>
          <w:lang w:val="uk-UA"/>
        </w:rPr>
        <w:t>±</w:t>
      </w:r>
      <w:r w:rsidRPr="007D638E">
        <w:rPr>
          <w:sz w:val="28"/>
          <w:szCs w:val="28"/>
          <w:lang w:val="en-US"/>
        </w:rPr>
        <w:t>m</w:t>
      </w:r>
      <w:r w:rsidRPr="007D638E">
        <w:rPr>
          <w:sz w:val="28"/>
          <w:szCs w:val="28"/>
          <w:lang w:val="uk-UA"/>
        </w:rPr>
        <w:t xml:space="preserve">, </w:t>
      </w:r>
      <w:r w:rsidRPr="007D638E">
        <w:rPr>
          <w:sz w:val="28"/>
          <w:szCs w:val="28"/>
          <w:lang w:val="en-US"/>
        </w:rPr>
        <w:t>n</w:t>
      </w:r>
      <w:r w:rsidRPr="007D638E">
        <w:rPr>
          <w:sz w:val="28"/>
          <w:szCs w:val="28"/>
          <w:lang w:val="uk-UA"/>
        </w:rPr>
        <w:t>=5)</w:t>
      </w:r>
      <w:r>
        <w:rPr>
          <w:sz w:val="28"/>
          <w:szCs w:val="28"/>
          <w:lang w:val="uk-UA"/>
        </w:rPr>
        <w:t xml:space="preserve">. </w:t>
      </w:r>
    </w:p>
    <w:p w14:paraId="2CF6627A" w14:textId="77777777" w:rsidR="00F05F4E" w:rsidRPr="008A6B7D" w:rsidRDefault="00F05F4E" w:rsidP="00352B8A">
      <w:pPr>
        <w:pStyle w:val="a6"/>
        <w:spacing w:before="0" w:beforeAutospacing="0" w:after="0" w:afterAutospacing="0"/>
        <w:ind w:left="450" w:hanging="450"/>
        <w:jc w:val="both"/>
        <w:rPr>
          <w:lang w:val="uk-UA"/>
        </w:rPr>
      </w:pPr>
      <w:r w:rsidRPr="008A6B7D">
        <w:rPr>
          <w:lang w:val="uk-UA"/>
        </w:rPr>
        <w:t xml:space="preserve">Примітки: </w:t>
      </w:r>
    </w:p>
    <w:p w14:paraId="032C9EF1" w14:textId="77777777" w:rsidR="00F05F4E" w:rsidRPr="008A6B7D" w:rsidRDefault="00F05F4E" w:rsidP="00352B8A">
      <w:pPr>
        <w:numPr>
          <w:ilvl w:val="6"/>
          <w:numId w:val="31"/>
        </w:numPr>
        <w:ind w:left="450" w:hanging="450"/>
        <w:jc w:val="both"/>
      </w:pPr>
      <w:r w:rsidRPr="008A6B7D">
        <w:t>*</w:t>
      </w:r>
      <w:r w:rsidRPr="008A6B7D">
        <w:rPr>
          <w:lang w:val="uk-UA"/>
        </w:rPr>
        <w:t xml:space="preserve"> </w:t>
      </w:r>
      <w:r w:rsidRPr="008A6B7D">
        <w:t>-</w:t>
      </w:r>
      <w:r w:rsidRPr="008A6B7D">
        <w:rPr>
          <w:lang w:val="uk-UA"/>
        </w:rPr>
        <w:t xml:space="preserve"> </w:t>
      </w:r>
      <w:r w:rsidRPr="008A6B7D">
        <w:rPr>
          <w:lang w:val="en-US"/>
        </w:rPr>
        <w:t>p</w:t>
      </w:r>
      <w:r w:rsidRPr="008A6B7D">
        <w:t xml:space="preserve"> </w:t>
      </w:r>
      <w:r w:rsidRPr="008A6B7D">
        <w:rPr>
          <w:lang w:val="en-US"/>
        </w:rPr>
        <w:sym w:font="Symbol" w:char="F03C"/>
      </w:r>
      <w:r w:rsidRPr="008A6B7D">
        <w:t xml:space="preserve"> 0,05 </w:t>
      </w:r>
      <w:r w:rsidRPr="008A6B7D">
        <w:rPr>
          <w:lang w:val="uk-UA"/>
        </w:rPr>
        <w:t>(статистично значуща різниця у порівнянні з контрольною групою).</w:t>
      </w:r>
      <w:r w:rsidRPr="008A6B7D">
        <w:t xml:space="preserve"> </w:t>
      </w:r>
    </w:p>
    <w:p w14:paraId="61DA3500" w14:textId="77777777" w:rsidR="00F05F4E" w:rsidRPr="008A6B7D" w:rsidRDefault="00F05F4E" w:rsidP="00352B8A">
      <w:pPr>
        <w:numPr>
          <w:ilvl w:val="6"/>
          <w:numId w:val="31"/>
        </w:numPr>
        <w:ind w:left="450" w:hanging="450"/>
        <w:jc w:val="both"/>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 групою).</w:t>
      </w:r>
    </w:p>
    <w:p w14:paraId="0B303CB6" w14:textId="2E72043A" w:rsidR="00F05F4E" w:rsidRPr="008A6B7D" w:rsidRDefault="00F05F4E" w:rsidP="00352B8A">
      <w:pPr>
        <w:numPr>
          <w:ilvl w:val="6"/>
          <w:numId w:val="31"/>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0,05 (статистично значуща різниця у порівнянні у порівнянні із референс-препаратом </w:t>
      </w:r>
      <w:r w:rsidR="00390008" w:rsidRPr="008A6B7D">
        <w:rPr>
          <w:lang w:val="uk-UA"/>
        </w:rPr>
        <w:t>і</w:t>
      </w:r>
      <w:r w:rsidRPr="008A6B7D">
        <w:rPr>
          <w:lang w:val="uk-UA"/>
        </w:rPr>
        <w:t>бупрофеном).</w:t>
      </w:r>
    </w:p>
    <w:p w14:paraId="5495D853" w14:textId="4077562D" w:rsidR="00F05F4E" w:rsidRPr="008A6B7D" w:rsidRDefault="00F05F4E" w:rsidP="00352B8A">
      <w:pPr>
        <w:numPr>
          <w:ilvl w:val="6"/>
          <w:numId w:val="31"/>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0,01 (статистично значуща різниця у порівнянні у порівнянні із референс-препаратом </w:t>
      </w:r>
      <w:r w:rsidR="00390008" w:rsidRPr="008A6B7D">
        <w:rPr>
          <w:lang w:val="uk-UA"/>
        </w:rPr>
        <w:t>і</w:t>
      </w:r>
      <w:r w:rsidRPr="008A6B7D">
        <w:rPr>
          <w:lang w:val="uk-UA"/>
        </w:rPr>
        <w:t>бупрофеном).</w:t>
      </w:r>
    </w:p>
    <w:p w14:paraId="786F29AF" w14:textId="18A79327" w:rsidR="00F05F4E" w:rsidRPr="008A6B7D" w:rsidRDefault="00F05F4E" w:rsidP="00352B8A">
      <w:pPr>
        <w:numPr>
          <w:ilvl w:val="6"/>
          <w:numId w:val="31"/>
        </w:numPr>
        <w:ind w:left="450" w:hanging="450"/>
        <w:jc w:val="both"/>
        <w:rPr>
          <w:lang w:val="uk-UA"/>
        </w:rPr>
      </w:pPr>
      <w:r w:rsidRPr="008A6B7D">
        <w:t>n – кількість тварин у групі.</w:t>
      </w:r>
    </w:p>
    <w:p w14:paraId="15DC792C" w14:textId="77777777" w:rsidR="007C0C3C" w:rsidRDefault="007C0C3C" w:rsidP="00F05F4E">
      <w:pPr>
        <w:pStyle w:val="a6"/>
        <w:tabs>
          <w:tab w:val="left" w:pos="709"/>
        </w:tabs>
        <w:spacing w:before="0" w:beforeAutospacing="0" w:after="0" w:afterAutospacing="0" w:line="360" w:lineRule="auto"/>
        <w:ind w:firstLine="709"/>
        <w:jc w:val="both"/>
        <w:rPr>
          <w:sz w:val="28"/>
          <w:szCs w:val="28"/>
          <w:lang w:val="uk-UA"/>
        </w:rPr>
      </w:pPr>
    </w:p>
    <w:p w14:paraId="34472A43" w14:textId="30A72E36" w:rsidR="00F05F4E" w:rsidRDefault="00F05F4E" w:rsidP="00F05F4E">
      <w:pPr>
        <w:pStyle w:val="a6"/>
        <w:tabs>
          <w:tab w:val="left" w:pos="709"/>
        </w:tabs>
        <w:spacing w:before="0" w:beforeAutospacing="0" w:after="0" w:afterAutospacing="0" w:line="360" w:lineRule="auto"/>
        <w:ind w:firstLine="709"/>
        <w:jc w:val="both"/>
        <w:rPr>
          <w:sz w:val="28"/>
          <w:szCs w:val="28"/>
          <w:lang w:val="uk-UA"/>
        </w:rPr>
      </w:pPr>
      <w:r>
        <w:rPr>
          <w:sz w:val="28"/>
          <w:szCs w:val="28"/>
          <w:lang w:val="uk-UA"/>
        </w:rPr>
        <w:t xml:space="preserve">Аналгетична активність саліцилової кислоти свідчить про те, що ця сполука робить свій внесок в знеболюючий ефект комплексних сполук I і ІІ, впливаючи на TRPV-1 рецептори. Антиноцицептивна активність саліцилової кислоти реалізовувалася за рахунок збільшення латентного часу розвитку больової реакції і зменшення тривалості облизування лапи в середньому на 64,7 </w:t>
      </w:r>
      <w:r w:rsidRPr="00230693">
        <w:rPr>
          <w:color w:val="000000"/>
          <w:sz w:val="28"/>
          <w:szCs w:val="28"/>
          <w:lang w:val="uk-UA"/>
        </w:rPr>
        <w:t>±</w:t>
      </w:r>
      <w:r>
        <w:rPr>
          <w:color w:val="000000"/>
          <w:sz w:val="28"/>
          <w:szCs w:val="28"/>
          <w:lang w:val="uk-UA"/>
        </w:rPr>
        <w:t xml:space="preserve"> 2,0 у порівнянні із</w:t>
      </w:r>
      <w:r>
        <w:rPr>
          <w:sz w:val="28"/>
          <w:szCs w:val="28"/>
          <w:lang w:val="uk-UA"/>
        </w:rPr>
        <w:t xml:space="preserve">  контрольною групою. Обидві комплексні сполуки проявляють виражений знеболюючий ефект впродовж 5 годин експерименту та не поступаються за своєю ефективністю референс-препарату </w:t>
      </w:r>
      <w:r w:rsidR="0086476C">
        <w:rPr>
          <w:sz w:val="28"/>
          <w:szCs w:val="28"/>
          <w:lang w:val="uk-UA"/>
        </w:rPr>
        <w:t>і</w:t>
      </w:r>
      <w:r>
        <w:rPr>
          <w:sz w:val="28"/>
          <w:szCs w:val="28"/>
          <w:lang w:val="uk-UA"/>
        </w:rPr>
        <w:t>бупрофену.</w:t>
      </w:r>
    </w:p>
    <w:p w14:paraId="292D1A0B" w14:textId="17BE53D0" w:rsidR="00F05F4E" w:rsidRDefault="00F05F4E" w:rsidP="00F05F4E">
      <w:pPr>
        <w:pStyle w:val="a6"/>
        <w:tabs>
          <w:tab w:val="left" w:pos="709"/>
        </w:tabs>
        <w:spacing w:before="0" w:beforeAutospacing="0" w:after="0" w:afterAutospacing="0" w:line="360" w:lineRule="auto"/>
        <w:ind w:firstLine="709"/>
        <w:jc w:val="both"/>
        <w:rPr>
          <w:sz w:val="28"/>
          <w:szCs w:val="28"/>
          <w:lang w:val="uk-UA"/>
        </w:rPr>
      </w:pPr>
      <w:r>
        <w:rPr>
          <w:sz w:val="28"/>
          <w:szCs w:val="28"/>
          <w:lang w:val="uk-UA"/>
        </w:rPr>
        <w:lastRenderedPageBreak/>
        <w:t xml:space="preserve">Дослідження комплексної сполуки І (рис. 5.3.2),  при місцевому введенні показало високий рівень знеболюючої активності комплексу, латентний час больової реакції склав 8,3  </w:t>
      </w:r>
      <w:r w:rsidRPr="00150D3F">
        <w:rPr>
          <w:color w:val="000000"/>
          <w:sz w:val="28"/>
          <w:szCs w:val="28"/>
          <w:lang w:val="uk-UA"/>
        </w:rPr>
        <w:t>±</w:t>
      </w:r>
      <w:r>
        <w:rPr>
          <w:color w:val="000000"/>
          <w:sz w:val="28"/>
          <w:szCs w:val="28"/>
          <w:lang w:val="uk-UA"/>
        </w:rPr>
        <w:t xml:space="preserve"> 1,0 с.</w:t>
      </w:r>
      <w:r>
        <w:rPr>
          <w:sz w:val="28"/>
          <w:szCs w:val="28"/>
          <w:lang w:val="uk-UA"/>
        </w:rPr>
        <w:t xml:space="preserve"> </w:t>
      </w:r>
    </w:p>
    <w:p w14:paraId="7BA22342" w14:textId="162F8CDF" w:rsidR="007C0C3C" w:rsidRDefault="007C0C3C" w:rsidP="00F05F4E">
      <w:pPr>
        <w:pStyle w:val="a6"/>
        <w:tabs>
          <w:tab w:val="left" w:pos="709"/>
        </w:tabs>
        <w:spacing w:before="0" w:beforeAutospacing="0" w:after="0" w:afterAutospacing="0" w:line="360" w:lineRule="auto"/>
        <w:ind w:firstLine="709"/>
        <w:jc w:val="both"/>
        <w:rPr>
          <w:sz w:val="28"/>
          <w:szCs w:val="28"/>
          <w:lang w:val="uk-UA"/>
        </w:rPr>
      </w:pPr>
      <w:r>
        <w:rPr>
          <w:sz w:val="28"/>
          <w:szCs w:val="28"/>
          <w:lang w:val="uk-UA"/>
        </w:rPr>
        <w:t>Слід зазначити, що найменш виражена специфічна больова реакція у мишей спостерігалася після місцевого введення саліцілоїлгідразона бензальдегіду, дані були нижчі за контрольні на 71,5 с.</w:t>
      </w:r>
    </w:p>
    <w:p w14:paraId="424CD955" w14:textId="385D6087" w:rsidR="00F05F4E" w:rsidRDefault="00F05F4E" w:rsidP="00F05F4E">
      <w:pPr>
        <w:pStyle w:val="a6"/>
        <w:tabs>
          <w:tab w:val="left" w:pos="709"/>
        </w:tabs>
        <w:spacing w:before="0" w:beforeAutospacing="0" w:after="0" w:afterAutospacing="0" w:line="360" w:lineRule="auto"/>
        <w:ind w:firstLine="709"/>
        <w:jc w:val="center"/>
        <w:rPr>
          <w:sz w:val="28"/>
          <w:szCs w:val="28"/>
          <w:lang w:val="uk-UA"/>
        </w:rPr>
      </w:pPr>
      <w:r>
        <w:rPr>
          <w:noProof/>
          <w:sz w:val="28"/>
          <w:szCs w:val="28"/>
          <w:lang w:val="en-US" w:eastAsia="en-US"/>
        </w:rPr>
        <w:drawing>
          <wp:inline distT="0" distB="0" distL="0" distR="0" wp14:anchorId="47BC4124" wp14:editId="704B3306">
            <wp:extent cx="3703782" cy="2475172"/>
            <wp:effectExtent l="0" t="0" r="508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rotWithShape="1">
                    <a:blip r:embed="rId52">
                      <a:extLst>
                        <a:ext uri="{28A0092B-C50C-407E-A947-70E740481C1C}">
                          <a14:useLocalDpi xmlns:a14="http://schemas.microsoft.com/office/drawing/2010/main" val="0"/>
                        </a:ext>
                      </a:extLst>
                    </a:blip>
                    <a:srcRect l="3789" t="6468" r="1735" b="3701"/>
                    <a:stretch/>
                  </pic:blipFill>
                  <pic:spPr bwMode="auto">
                    <a:xfrm>
                      <a:off x="0" y="0"/>
                      <a:ext cx="3753795" cy="2508595"/>
                    </a:xfrm>
                    <a:prstGeom prst="rect">
                      <a:avLst/>
                    </a:prstGeom>
                    <a:ln>
                      <a:noFill/>
                    </a:ln>
                    <a:extLst>
                      <a:ext uri="{53640926-AAD7-44D8-BBD7-CCE9431645EC}">
                        <a14:shadowObscured xmlns:a14="http://schemas.microsoft.com/office/drawing/2010/main"/>
                      </a:ext>
                    </a:extLst>
                  </pic:spPr>
                </pic:pic>
              </a:graphicData>
            </a:graphic>
          </wp:inline>
        </w:drawing>
      </w:r>
    </w:p>
    <w:p w14:paraId="193A7AB5" w14:textId="31FC2106" w:rsidR="00F05F4E" w:rsidRDefault="00F05F4E" w:rsidP="00F05F4E">
      <w:pPr>
        <w:pStyle w:val="a6"/>
        <w:spacing w:before="0" w:beforeAutospacing="0" w:after="0" w:afterAutospacing="0" w:line="360" w:lineRule="auto"/>
        <w:ind w:firstLine="567"/>
        <w:jc w:val="both"/>
        <w:rPr>
          <w:sz w:val="28"/>
          <w:szCs w:val="28"/>
          <w:lang w:val="uk-UA"/>
        </w:rPr>
      </w:pPr>
      <w:r>
        <w:rPr>
          <w:sz w:val="28"/>
          <w:szCs w:val="28"/>
          <w:lang w:val="uk-UA"/>
        </w:rPr>
        <w:t>Рис. 5.3.2 Антиноцицептивна дія комплексної сполуки І при місцевому введенні (латентний час розвитку больової реакції, у секундах</w:t>
      </w:r>
      <w:r w:rsidRPr="007D638E">
        <w:rPr>
          <w:sz w:val="28"/>
          <w:szCs w:val="28"/>
          <w:lang w:val="uk-UA"/>
        </w:rPr>
        <w:t xml:space="preserve"> </w:t>
      </w:r>
      <w:r>
        <w:rPr>
          <w:sz w:val="28"/>
          <w:szCs w:val="28"/>
          <w:lang w:val="uk-UA"/>
        </w:rPr>
        <w:t>(М</w:t>
      </w:r>
      <w:r>
        <w:rPr>
          <w:color w:val="4D5156"/>
          <w:sz w:val="28"/>
          <w:szCs w:val="28"/>
          <w:shd w:val="clear" w:color="auto" w:fill="FFFFFF"/>
          <w:lang w:val="uk-UA"/>
        </w:rPr>
        <w:t>±</w:t>
      </w:r>
      <w:r>
        <w:rPr>
          <w:sz w:val="28"/>
          <w:szCs w:val="28"/>
          <w:lang w:val="en-US"/>
        </w:rPr>
        <w:t>m</w:t>
      </w:r>
      <w:r>
        <w:rPr>
          <w:sz w:val="28"/>
          <w:szCs w:val="28"/>
          <w:lang w:val="uk-UA"/>
        </w:rPr>
        <w:t xml:space="preserve">, </w:t>
      </w:r>
      <w:r>
        <w:rPr>
          <w:sz w:val="28"/>
          <w:szCs w:val="28"/>
          <w:lang w:val="en-US"/>
        </w:rPr>
        <w:t>n</w:t>
      </w:r>
      <w:r>
        <w:rPr>
          <w:sz w:val="28"/>
          <w:szCs w:val="28"/>
          <w:lang w:val="uk-UA"/>
        </w:rPr>
        <w:t xml:space="preserve">=5). </w:t>
      </w:r>
    </w:p>
    <w:p w14:paraId="738229A6" w14:textId="77777777" w:rsidR="00F05F4E" w:rsidRPr="008A6B7D" w:rsidRDefault="00F05F4E" w:rsidP="00F05F4E">
      <w:pPr>
        <w:pStyle w:val="a6"/>
        <w:spacing w:before="0" w:beforeAutospacing="0" w:after="0" w:afterAutospacing="0"/>
        <w:ind w:left="450" w:hanging="450"/>
        <w:jc w:val="both"/>
        <w:rPr>
          <w:lang w:val="uk-UA"/>
        </w:rPr>
      </w:pPr>
      <w:r w:rsidRPr="008A6B7D">
        <w:rPr>
          <w:lang w:val="uk-UA"/>
        </w:rPr>
        <w:t xml:space="preserve">Примітки: </w:t>
      </w:r>
    </w:p>
    <w:p w14:paraId="6384B279" w14:textId="77777777" w:rsidR="00F05F4E" w:rsidRPr="008A6B7D" w:rsidRDefault="00F05F4E" w:rsidP="00F05F4E">
      <w:pPr>
        <w:numPr>
          <w:ilvl w:val="6"/>
          <w:numId w:val="32"/>
        </w:numPr>
        <w:ind w:left="450" w:hanging="450"/>
        <w:jc w:val="both"/>
      </w:pPr>
      <w:r w:rsidRPr="008A6B7D">
        <w:t>*</w:t>
      </w:r>
      <w:r w:rsidRPr="008A6B7D">
        <w:rPr>
          <w:lang w:val="uk-UA"/>
        </w:rPr>
        <w:t xml:space="preserve"> </w:t>
      </w:r>
      <w:r w:rsidRPr="008A6B7D">
        <w:t>-</w:t>
      </w:r>
      <w:r w:rsidRPr="008A6B7D">
        <w:rPr>
          <w:lang w:val="uk-UA"/>
        </w:rPr>
        <w:t xml:space="preserve"> </w:t>
      </w:r>
      <w:r w:rsidRPr="008A6B7D">
        <w:rPr>
          <w:lang w:val="en-US"/>
        </w:rPr>
        <w:t>p</w:t>
      </w:r>
      <w:r w:rsidRPr="008A6B7D">
        <w:t xml:space="preserve"> </w:t>
      </w:r>
      <w:r w:rsidRPr="008A6B7D">
        <w:rPr>
          <w:lang w:val="en-US"/>
        </w:rPr>
        <w:sym w:font="Symbol" w:char="F03C"/>
      </w:r>
      <w:r w:rsidRPr="008A6B7D">
        <w:t xml:space="preserve"> 0,05 </w:t>
      </w:r>
      <w:r w:rsidRPr="008A6B7D">
        <w:rPr>
          <w:lang w:val="uk-UA"/>
        </w:rPr>
        <w:t>(статистично значуща різниця у порівнянні з контрольною групою).</w:t>
      </w:r>
      <w:r w:rsidRPr="008A6B7D">
        <w:t xml:space="preserve"> </w:t>
      </w:r>
    </w:p>
    <w:p w14:paraId="74BFBED2" w14:textId="77777777" w:rsidR="00F05F4E" w:rsidRPr="008A6B7D" w:rsidRDefault="00F05F4E" w:rsidP="00F05F4E">
      <w:pPr>
        <w:numPr>
          <w:ilvl w:val="6"/>
          <w:numId w:val="32"/>
        </w:numPr>
        <w:ind w:left="450" w:hanging="450"/>
        <w:jc w:val="both"/>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 групою).</w:t>
      </w:r>
    </w:p>
    <w:p w14:paraId="3C712775" w14:textId="2C25F2CB" w:rsidR="00F05F4E" w:rsidRPr="008A6B7D" w:rsidRDefault="00F05F4E" w:rsidP="00F05F4E">
      <w:pPr>
        <w:numPr>
          <w:ilvl w:val="6"/>
          <w:numId w:val="32"/>
        </w:numPr>
        <w:ind w:left="450" w:hanging="450"/>
        <w:jc w:val="both"/>
      </w:pPr>
      <w:r w:rsidRPr="008A6B7D">
        <w:t>n – кількість тварин у групі.</w:t>
      </w:r>
    </w:p>
    <w:p w14:paraId="46E0100A" w14:textId="77777777" w:rsidR="007C0C3C" w:rsidRPr="008A6B7D" w:rsidRDefault="007C0C3C" w:rsidP="007C0C3C">
      <w:pPr>
        <w:ind w:left="450"/>
        <w:jc w:val="both"/>
      </w:pPr>
    </w:p>
    <w:p w14:paraId="5C277C62" w14:textId="0062531A" w:rsidR="00F05F4E" w:rsidRDefault="00F05F4E" w:rsidP="007C0C3C">
      <w:pPr>
        <w:pStyle w:val="a6"/>
        <w:tabs>
          <w:tab w:val="left" w:pos="709"/>
        </w:tabs>
        <w:spacing w:before="0" w:beforeAutospacing="0" w:after="0" w:afterAutospacing="0" w:line="360" w:lineRule="auto"/>
        <w:ind w:firstLine="709"/>
        <w:jc w:val="both"/>
        <w:rPr>
          <w:sz w:val="28"/>
          <w:szCs w:val="28"/>
          <w:lang w:val="uk-UA"/>
        </w:rPr>
      </w:pPr>
      <w:r>
        <w:rPr>
          <w:sz w:val="28"/>
          <w:szCs w:val="28"/>
          <w:lang w:val="uk-UA"/>
        </w:rPr>
        <w:t>Антиноцицептивна активність мазей, які містили бензальдегід та саліцилову кислоту свідчить про те, що ці ліганди цих сполук впливають на знеболюючий ефект комплексної сполуки I, впливаючи на TRPV-1 рецептори. Антиноцицептивна активність саліцилової кислоти і бензальдегіду реалізовувалася за рахунок збільшення латентного часу розвитку больової реакції в середньому на 71 с. у порівнянні із контролем.</w:t>
      </w:r>
      <w:r w:rsidR="007C0C3C">
        <w:rPr>
          <w:sz w:val="28"/>
          <w:szCs w:val="28"/>
          <w:lang w:val="uk-UA"/>
        </w:rPr>
        <w:t xml:space="preserve"> </w:t>
      </w:r>
      <w:r>
        <w:rPr>
          <w:sz w:val="28"/>
          <w:szCs w:val="28"/>
          <w:lang w:val="uk-UA"/>
        </w:rPr>
        <w:t>Комплексна сполука ІІ також проявляла високий рівень антиноцицептивної дії при місцевому введені (рис. 5.3.3).</w:t>
      </w:r>
    </w:p>
    <w:p w14:paraId="0C9087E1" w14:textId="77777777" w:rsidR="00F05F4E" w:rsidRDefault="00F05F4E" w:rsidP="00F05F4E">
      <w:pPr>
        <w:pStyle w:val="a6"/>
        <w:spacing w:before="0" w:beforeAutospacing="0" w:after="0" w:afterAutospacing="0" w:line="360" w:lineRule="auto"/>
        <w:jc w:val="center"/>
        <w:rPr>
          <w:sz w:val="28"/>
          <w:szCs w:val="28"/>
          <w:lang w:val="uk-UA"/>
        </w:rPr>
      </w:pPr>
      <w:r>
        <w:rPr>
          <w:noProof/>
          <w:sz w:val="28"/>
          <w:szCs w:val="28"/>
          <w:lang w:val="en-US" w:eastAsia="en-US"/>
        </w:rPr>
        <w:lastRenderedPageBreak/>
        <w:drawing>
          <wp:inline distT="0" distB="0" distL="0" distR="0" wp14:anchorId="769C57D6" wp14:editId="2FFDEFEC">
            <wp:extent cx="3960640" cy="2098189"/>
            <wp:effectExtent l="0" t="0" r="190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rotWithShape="1">
                    <a:blip r:embed="rId53">
                      <a:extLst>
                        <a:ext uri="{28A0092B-C50C-407E-A947-70E740481C1C}">
                          <a14:useLocalDpi xmlns:a14="http://schemas.microsoft.com/office/drawing/2010/main" val="0"/>
                        </a:ext>
                      </a:extLst>
                    </a:blip>
                    <a:srcRect l="779" t="6100" r="2476" b="2673"/>
                    <a:stretch/>
                  </pic:blipFill>
                  <pic:spPr bwMode="auto">
                    <a:xfrm>
                      <a:off x="0" y="0"/>
                      <a:ext cx="3989565" cy="2113512"/>
                    </a:xfrm>
                    <a:prstGeom prst="rect">
                      <a:avLst/>
                    </a:prstGeom>
                    <a:ln>
                      <a:noFill/>
                    </a:ln>
                    <a:extLst>
                      <a:ext uri="{53640926-AAD7-44D8-BBD7-CCE9431645EC}">
                        <a14:shadowObscured xmlns:a14="http://schemas.microsoft.com/office/drawing/2010/main"/>
                      </a:ext>
                    </a:extLst>
                  </pic:spPr>
                </pic:pic>
              </a:graphicData>
            </a:graphic>
          </wp:inline>
        </w:drawing>
      </w:r>
    </w:p>
    <w:p w14:paraId="71DB9B5B" w14:textId="1FB979D0" w:rsidR="00F05F4E" w:rsidRDefault="00F05F4E" w:rsidP="00F05F4E">
      <w:pPr>
        <w:pStyle w:val="a6"/>
        <w:spacing w:before="0" w:beforeAutospacing="0" w:after="0" w:afterAutospacing="0" w:line="360" w:lineRule="auto"/>
        <w:jc w:val="both"/>
        <w:rPr>
          <w:sz w:val="28"/>
          <w:szCs w:val="28"/>
          <w:lang w:val="uk-UA"/>
        </w:rPr>
      </w:pPr>
      <w:r w:rsidRPr="00150D3F">
        <w:rPr>
          <w:sz w:val="28"/>
          <w:szCs w:val="28"/>
          <w:lang w:val="uk-UA"/>
        </w:rPr>
        <w:t xml:space="preserve">Рис. </w:t>
      </w:r>
      <w:r>
        <w:rPr>
          <w:sz w:val="28"/>
          <w:szCs w:val="28"/>
          <w:lang w:val="uk-UA"/>
        </w:rPr>
        <w:t>5</w:t>
      </w:r>
      <w:r w:rsidRPr="00150D3F">
        <w:rPr>
          <w:sz w:val="28"/>
          <w:szCs w:val="28"/>
          <w:lang w:val="uk-UA"/>
        </w:rPr>
        <w:t xml:space="preserve">.3.3 </w:t>
      </w:r>
      <w:r>
        <w:rPr>
          <w:sz w:val="28"/>
          <w:szCs w:val="28"/>
          <w:lang w:val="uk-UA"/>
        </w:rPr>
        <w:t>Антиноцицептивна</w:t>
      </w:r>
      <w:r w:rsidRPr="00150D3F">
        <w:rPr>
          <w:sz w:val="28"/>
          <w:szCs w:val="28"/>
          <w:lang w:val="uk-UA"/>
        </w:rPr>
        <w:t xml:space="preserve"> дія комплексної сполуки ІІ при місцевому введенні (латентний час розвитку больової реакції</w:t>
      </w:r>
      <w:r>
        <w:rPr>
          <w:sz w:val="28"/>
          <w:szCs w:val="28"/>
          <w:lang w:val="uk-UA"/>
        </w:rPr>
        <w:t>,</w:t>
      </w:r>
      <w:r w:rsidRPr="00150D3F">
        <w:rPr>
          <w:sz w:val="28"/>
          <w:szCs w:val="28"/>
          <w:lang w:val="uk-UA"/>
        </w:rPr>
        <w:t xml:space="preserve"> у </w:t>
      </w:r>
      <w:r>
        <w:rPr>
          <w:sz w:val="28"/>
          <w:szCs w:val="28"/>
          <w:lang w:val="uk-UA"/>
        </w:rPr>
        <w:t>секундах</w:t>
      </w:r>
      <w:r w:rsidRPr="007D638E">
        <w:rPr>
          <w:sz w:val="28"/>
          <w:szCs w:val="28"/>
          <w:lang w:val="uk-UA"/>
        </w:rPr>
        <w:t xml:space="preserve"> </w:t>
      </w:r>
      <w:r w:rsidRPr="00150D3F">
        <w:rPr>
          <w:sz w:val="28"/>
          <w:szCs w:val="28"/>
          <w:lang w:val="uk-UA"/>
        </w:rPr>
        <w:t>(М</w:t>
      </w:r>
      <w:r w:rsidRPr="00150D3F">
        <w:rPr>
          <w:color w:val="4D5156"/>
          <w:sz w:val="28"/>
          <w:szCs w:val="28"/>
          <w:shd w:val="clear" w:color="auto" w:fill="FFFFFF"/>
          <w:lang w:val="uk-UA"/>
        </w:rPr>
        <w:t>±</w:t>
      </w:r>
      <w:r w:rsidRPr="00150D3F">
        <w:rPr>
          <w:sz w:val="28"/>
          <w:szCs w:val="28"/>
          <w:lang w:val="en-US"/>
        </w:rPr>
        <w:t>m</w:t>
      </w:r>
      <w:r w:rsidRPr="00150D3F">
        <w:rPr>
          <w:sz w:val="28"/>
          <w:szCs w:val="28"/>
          <w:lang w:val="uk-UA"/>
        </w:rPr>
        <w:t xml:space="preserve">, </w:t>
      </w:r>
      <w:r w:rsidRPr="00150D3F">
        <w:rPr>
          <w:sz w:val="28"/>
          <w:szCs w:val="28"/>
          <w:lang w:val="en-US"/>
        </w:rPr>
        <w:t>n</w:t>
      </w:r>
      <w:r w:rsidRPr="00150D3F">
        <w:rPr>
          <w:sz w:val="28"/>
          <w:szCs w:val="28"/>
          <w:lang w:val="uk-UA"/>
        </w:rPr>
        <w:t>=5)</w:t>
      </w:r>
    </w:p>
    <w:p w14:paraId="10E3F782" w14:textId="77777777" w:rsidR="00F05F4E" w:rsidRPr="008A6B7D" w:rsidRDefault="00F05F4E" w:rsidP="00352B8A">
      <w:pPr>
        <w:pStyle w:val="a6"/>
        <w:spacing w:before="0" w:beforeAutospacing="0" w:after="0" w:afterAutospacing="0"/>
        <w:jc w:val="both"/>
        <w:rPr>
          <w:lang w:val="uk-UA"/>
        </w:rPr>
      </w:pPr>
      <w:r w:rsidRPr="008A6B7D">
        <w:rPr>
          <w:lang w:val="uk-UA"/>
        </w:rPr>
        <w:t xml:space="preserve">Примітки: </w:t>
      </w:r>
    </w:p>
    <w:p w14:paraId="149AFD09" w14:textId="77777777" w:rsidR="00F05F4E" w:rsidRPr="008A6B7D" w:rsidRDefault="00F05F4E" w:rsidP="00F05F4E">
      <w:pPr>
        <w:numPr>
          <w:ilvl w:val="6"/>
          <w:numId w:val="33"/>
        </w:numPr>
        <w:ind w:left="450" w:hanging="450"/>
        <w:jc w:val="both"/>
      </w:pPr>
      <w:r w:rsidRPr="008A6B7D">
        <w:t>*</w:t>
      </w:r>
      <w:r w:rsidRPr="008A6B7D">
        <w:rPr>
          <w:lang w:val="uk-UA"/>
        </w:rPr>
        <w:t xml:space="preserve"> </w:t>
      </w:r>
      <w:r w:rsidRPr="008A6B7D">
        <w:t>-</w:t>
      </w:r>
      <w:r w:rsidRPr="008A6B7D">
        <w:rPr>
          <w:lang w:val="uk-UA"/>
        </w:rPr>
        <w:t xml:space="preserve"> </w:t>
      </w:r>
      <w:r w:rsidRPr="008A6B7D">
        <w:rPr>
          <w:lang w:val="en-US"/>
        </w:rPr>
        <w:t>p</w:t>
      </w:r>
      <w:r w:rsidRPr="008A6B7D">
        <w:t xml:space="preserve"> </w:t>
      </w:r>
      <w:r w:rsidRPr="008A6B7D">
        <w:rPr>
          <w:lang w:val="en-US"/>
        </w:rPr>
        <w:sym w:font="Symbol" w:char="F03C"/>
      </w:r>
      <w:r w:rsidRPr="008A6B7D">
        <w:t xml:space="preserve"> 0,05 </w:t>
      </w:r>
      <w:r w:rsidRPr="008A6B7D">
        <w:rPr>
          <w:lang w:val="uk-UA"/>
        </w:rPr>
        <w:t>(статистично значуща різниця у порівнянні з контрольною групою).</w:t>
      </w:r>
      <w:r w:rsidRPr="008A6B7D">
        <w:t xml:space="preserve"> </w:t>
      </w:r>
    </w:p>
    <w:p w14:paraId="18EA0EB3" w14:textId="77777777" w:rsidR="00F05F4E" w:rsidRPr="008A6B7D" w:rsidRDefault="00F05F4E" w:rsidP="00F05F4E">
      <w:pPr>
        <w:numPr>
          <w:ilvl w:val="6"/>
          <w:numId w:val="33"/>
        </w:numPr>
        <w:ind w:left="450" w:hanging="450"/>
        <w:jc w:val="both"/>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 групою).</w:t>
      </w:r>
    </w:p>
    <w:p w14:paraId="6642A6FE" w14:textId="77777777" w:rsidR="00F05F4E" w:rsidRPr="008A6B7D" w:rsidRDefault="00F05F4E" w:rsidP="00F05F4E">
      <w:pPr>
        <w:numPr>
          <w:ilvl w:val="6"/>
          <w:numId w:val="33"/>
        </w:numPr>
        <w:ind w:left="450" w:hanging="450"/>
        <w:jc w:val="both"/>
      </w:pPr>
      <w:r w:rsidRPr="008A6B7D">
        <w:t>n – кількість тварин у групі.</w:t>
      </w:r>
    </w:p>
    <w:p w14:paraId="48233ACB" w14:textId="62F1D92A" w:rsidR="00F05F4E" w:rsidRPr="008A6B7D" w:rsidRDefault="00F05F4E" w:rsidP="00F05F4E">
      <w:pPr>
        <w:pStyle w:val="a6"/>
        <w:spacing w:line="360" w:lineRule="auto"/>
        <w:ind w:firstLine="708"/>
        <w:jc w:val="both"/>
        <w:rPr>
          <w:color w:val="000000" w:themeColor="text1"/>
          <w:sz w:val="28"/>
          <w:szCs w:val="28"/>
          <w:lang w:val="uk-UA"/>
        </w:rPr>
      </w:pPr>
      <w:r w:rsidRPr="008A6B7D">
        <w:rPr>
          <w:color w:val="000000" w:themeColor="text1"/>
          <w:sz w:val="28"/>
          <w:szCs w:val="28"/>
          <w:lang w:val="uk-UA"/>
        </w:rPr>
        <w:t xml:space="preserve">На моделі болю, що було викликано введенням капсаїцину, після мисцевого введення саліцілоїлгідразону 4-бромбензальдегіду и </w:t>
      </w:r>
      <w:r w:rsidR="00821BED">
        <w:rPr>
          <w:color w:val="000000" w:themeColor="text1"/>
          <w:sz w:val="28"/>
          <w:szCs w:val="28"/>
          <w:lang w:val="uk-UA"/>
        </w:rPr>
        <w:br/>
      </w:r>
      <w:r w:rsidRPr="008A6B7D">
        <w:rPr>
          <w:color w:val="000000" w:themeColor="text1"/>
          <w:sz w:val="28"/>
          <w:szCs w:val="28"/>
          <w:lang w:val="uk-UA"/>
        </w:rPr>
        <w:t xml:space="preserve">4-бромбензальдегіду показники склали 29,0  ± 1,0 с і 34,8 ± 1,0 с відповідно. Хлорид олова (ІІ) знижував рівень больової реакції на 57,1 с. у порівнянні із контрольною групою, що може свідчити про його вплив на TRPV1-рецептори. </w:t>
      </w:r>
    </w:p>
    <w:p w14:paraId="656D93DA" w14:textId="132E6B48" w:rsidR="00F05F4E" w:rsidRPr="008A6B7D" w:rsidRDefault="00F05F4E" w:rsidP="00F05F4E">
      <w:pPr>
        <w:pStyle w:val="20"/>
        <w:tabs>
          <w:tab w:val="left" w:pos="720"/>
        </w:tabs>
        <w:ind w:firstLine="720"/>
        <w:rPr>
          <w:rFonts w:eastAsia="MS Mincho"/>
          <w:b/>
          <w:color w:val="000000" w:themeColor="text1"/>
          <w:szCs w:val="28"/>
        </w:rPr>
      </w:pPr>
      <w:r w:rsidRPr="008A6B7D">
        <w:rPr>
          <w:b/>
          <w:color w:val="000000" w:themeColor="text1"/>
          <w:szCs w:val="28"/>
        </w:rPr>
        <w:t xml:space="preserve">5.4 Визначення антиноцицептивної дії при пероральному і місцевому введенні </w:t>
      </w:r>
      <w:r w:rsidR="00C57D1F" w:rsidRPr="008A6B7D">
        <w:rPr>
          <w:b/>
          <w:color w:val="000000" w:themeColor="text1"/>
          <w:szCs w:val="28"/>
        </w:rPr>
        <w:t>комплексних сполук Sn (</w:t>
      </w:r>
      <w:r w:rsidR="00C57D1F" w:rsidRPr="008A6B7D">
        <w:rPr>
          <w:b/>
          <w:color w:val="000000" w:themeColor="text1"/>
          <w:szCs w:val="28"/>
          <w:lang w:val="en-US"/>
        </w:rPr>
        <w:t>IV</w:t>
      </w:r>
      <w:r w:rsidR="00C57D1F" w:rsidRPr="008A6B7D">
        <w:rPr>
          <w:b/>
          <w:color w:val="000000" w:themeColor="text1"/>
          <w:szCs w:val="28"/>
        </w:rPr>
        <w:t>) з саліцилоїлгідразонами бензальдегідів</w:t>
      </w:r>
      <w:r w:rsidRPr="008A6B7D">
        <w:rPr>
          <w:b/>
          <w:color w:val="000000" w:themeColor="text1"/>
          <w:szCs w:val="28"/>
        </w:rPr>
        <w:t xml:space="preserve"> на моделі </w:t>
      </w:r>
      <w:r w:rsidRPr="008A6B7D">
        <w:rPr>
          <w:rFonts w:eastAsia="MS Mincho"/>
          <w:b/>
          <w:color w:val="000000" w:themeColor="text1"/>
          <w:szCs w:val="28"/>
        </w:rPr>
        <w:t>аллілізотіоціанат-індукованого болю</w:t>
      </w:r>
    </w:p>
    <w:p w14:paraId="35141702" w14:textId="77777777" w:rsidR="007C0C3C" w:rsidRPr="008A6B7D" w:rsidRDefault="007C0C3C" w:rsidP="007C0C3C">
      <w:pPr>
        <w:rPr>
          <w:rFonts w:eastAsia="MS Mincho"/>
          <w:color w:val="000000" w:themeColor="text1"/>
          <w:lang w:val="uk-UA"/>
        </w:rPr>
      </w:pPr>
    </w:p>
    <w:p w14:paraId="37CDEE82" w14:textId="73251D76" w:rsidR="00F05F4E" w:rsidRPr="008A6B7D" w:rsidRDefault="00F05F4E" w:rsidP="00F05F4E">
      <w:pPr>
        <w:spacing w:line="360" w:lineRule="auto"/>
        <w:ind w:firstLine="708"/>
        <w:jc w:val="both"/>
        <w:rPr>
          <w:color w:val="000000" w:themeColor="text1"/>
          <w:sz w:val="28"/>
          <w:szCs w:val="28"/>
          <w:lang w:val="uk-UA"/>
        </w:rPr>
      </w:pPr>
      <w:r w:rsidRPr="008A6B7D">
        <w:rPr>
          <w:color w:val="000000" w:themeColor="text1"/>
          <w:sz w:val="28"/>
          <w:szCs w:val="28"/>
          <w:lang w:val="uk-UA"/>
        </w:rPr>
        <w:t xml:space="preserve">Аллілізотіоціанат (гірчичне масло, AITC), є селективним агоністом TRPA1-каналу. При інгібуванні каналу TRPA1 відбувається усунення </w:t>
      </w:r>
      <w:r w:rsidR="00821BED">
        <w:rPr>
          <w:color w:val="000000" w:themeColor="text1"/>
          <w:sz w:val="28"/>
          <w:szCs w:val="28"/>
          <w:lang w:val="uk-UA"/>
        </w:rPr>
        <w:br/>
      </w:r>
      <w:r w:rsidRPr="008A6B7D">
        <w:rPr>
          <w:color w:val="000000" w:themeColor="text1"/>
          <w:sz w:val="28"/>
          <w:szCs w:val="28"/>
          <w:lang w:val="uk-UA"/>
        </w:rPr>
        <w:t>Ca-опосередкованої відповіді в сенсорних нейронах задніх корінців і трійчастого нерву, що викликає розвиток гострого болю [2</w:t>
      </w:r>
      <w:r w:rsidR="00FE60C3" w:rsidRPr="008A6B7D">
        <w:rPr>
          <w:color w:val="000000" w:themeColor="text1"/>
          <w:sz w:val="28"/>
          <w:szCs w:val="28"/>
          <w:lang w:val="uk-UA"/>
        </w:rPr>
        <w:t>21</w:t>
      </w:r>
      <w:r w:rsidRPr="008A6B7D">
        <w:rPr>
          <w:color w:val="000000" w:themeColor="text1"/>
          <w:sz w:val="28"/>
          <w:szCs w:val="28"/>
          <w:lang w:val="uk-UA"/>
        </w:rPr>
        <w:t>].</w:t>
      </w:r>
    </w:p>
    <w:p w14:paraId="0BF29900" w14:textId="38B1EF4A" w:rsidR="007C0C3C" w:rsidRPr="008A6B7D" w:rsidRDefault="00F05F4E" w:rsidP="00F05F4E">
      <w:pPr>
        <w:spacing w:line="360" w:lineRule="auto"/>
        <w:ind w:firstLine="708"/>
        <w:jc w:val="both"/>
        <w:rPr>
          <w:color w:val="000000" w:themeColor="text1"/>
          <w:sz w:val="28"/>
          <w:szCs w:val="28"/>
          <w:lang w:val="uk-UA"/>
        </w:rPr>
      </w:pPr>
      <w:r w:rsidRPr="008A6B7D">
        <w:rPr>
          <w:color w:val="000000" w:themeColor="text1"/>
          <w:sz w:val="28"/>
          <w:szCs w:val="28"/>
          <w:lang w:val="uk-UA"/>
        </w:rPr>
        <w:t xml:space="preserve">Специфічність капсаїцину для </w:t>
      </w:r>
      <w:r w:rsidRPr="008A6B7D">
        <w:rPr>
          <w:color w:val="000000" w:themeColor="text1"/>
          <w:sz w:val="28"/>
          <w:szCs w:val="28"/>
        </w:rPr>
        <w:t>TRPV</w:t>
      </w:r>
      <w:r w:rsidRPr="008A6B7D">
        <w:rPr>
          <w:color w:val="000000" w:themeColor="text1"/>
          <w:sz w:val="28"/>
          <w:szCs w:val="28"/>
          <w:lang w:val="uk-UA"/>
        </w:rPr>
        <w:t xml:space="preserve">1 залишається незмінною, але останні дослідження показали, що </w:t>
      </w:r>
      <w:r w:rsidRPr="008A6B7D">
        <w:rPr>
          <w:color w:val="000000" w:themeColor="text1"/>
          <w:sz w:val="28"/>
          <w:szCs w:val="28"/>
        </w:rPr>
        <w:t>TRPA</w:t>
      </w:r>
      <w:r w:rsidRPr="008A6B7D">
        <w:rPr>
          <w:color w:val="000000" w:themeColor="text1"/>
          <w:sz w:val="28"/>
          <w:szCs w:val="28"/>
          <w:lang w:val="uk-UA"/>
        </w:rPr>
        <w:t xml:space="preserve">1 не є єдиною молекулярною мішенню </w:t>
      </w:r>
      <w:r w:rsidRPr="008A6B7D">
        <w:rPr>
          <w:color w:val="000000" w:themeColor="text1"/>
          <w:sz w:val="28"/>
          <w:szCs w:val="28"/>
        </w:rPr>
        <w:t>AITC.</w:t>
      </w:r>
      <w:r w:rsidRPr="008A6B7D">
        <w:rPr>
          <w:color w:val="000000" w:themeColor="text1"/>
          <w:sz w:val="28"/>
          <w:szCs w:val="28"/>
          <w:lang w:val="uk-UA"/>
        </w:rPr>
        <w:t xml:space="preserve"> Показано, що </w:t>
      </w:r>
      <w:r w:rsidRPr="008A6B7D">
        <w:rPr>
          <w:color w:val="000000" w:themeColor="text1"/>
          <w:sz w:val="28"/>
          <w:szCs w:val="28"/>
        </w:rPr>
        <w:t>AITC</w:t>
      </w:r>
      <w:r w:rsidRPr="008A6B7D">
        <w:rPr>
          <w:color w:val="000000" w:themeColor="text1"/>
          <w:sz w:val="28"/>
          <w:szCs w:val="28"/>
          <w:lang w:val="uk-UA"/>
        </w:rPr>
        <w:t xml:space="preserve"> впливає на активацію  </w:t>
      </w:r>
      <w:r w:rsidRPr="008A6B7D">
        <w:rPr>
          <w:color w:val="000000" w:themeColor="text1"/>
          <w:sz w:val="28"/>
          <w:szCs w:val="28"/>
        </w:rPr>
        <w:t>TRPV</w:t>
      </w:r>
      <w:r w:rsidRPr="008A6B7D">
        <w:rPr>
          <w:color w:val="000000" w:themeColor="text1"/>
          <w:sz w:val="28"/>
          <w:szCs w:val="28"/>
          <w:lang w:val="uk-UA"/>
        </w:rPr>
        <w:t>1-каналу у тесті на мишах</w:t>
      </w:r>
      <w:r w:rsidRPr="008A6B7D">
        <w:rPr>
          <w:color w:val="000000" w:themeColor="text1"/>
          <w:sz w:val="28"/>
          <w:szCs w:val="28"/>
        </w:rPr>
        <w:t xml:space="preserve"> [</w:t>
      </w:r>
      <w:r w:rsidRPr="008A6B7D">
        <w:rPr>
          <w:color w:val="000000" w:themeColor="text1"/>
          <w:sz w:val="28"/>
          <w:szCs w:val="28"/>
          <w:lang w:val="uk-UA"/>
        </w:rPr>
        <w:t>2</w:t>
      </w:r>
      <w:r w:rsidR="00FE60C3" w:rsidRPr="008A6B7D">
        <w:rPr>
          <w:color w:val="000000" w:themeColor="text1"/>
          <w:sz w:val="28"/>
          <w:szCs w:val="28"/>
        </w:rPr>
        <w:t>22</w:t>
      </w:r>
      <w:r w:rsidRPr="008A6B7D">
        <w:rPr>
          <w:color w:val="000000" w:themeColor="text1"/>
          <w:sz w:val="28"/>
          <w:szCs w:val="28"/>
        </w:rPr>
        <w:t>].</w:t>
      </w:r>
      <w:r w:rsidRPr="008A6B7D">
        <w:rPr>
          <w:color w:val="000000" w:themeColor="text1"/>
          <w:sz w:val="28"/>
          <w:szCs w:val="28"/>
          <w:lang w:val="uk-UA"/>
        </w:rPr>
        <w:t xml:space="preserve"> </w:t>
      </w:r>
    </w:p>
    <w:p w14:paraId="7243C2AC" w14:textId="5EC3787F" w:rsidR="00F05F4E" w:rsidRPr="008A6B7D" w:rsidRDefault="00F05F4E" w:rsidP="00F05F4E">
      <w:pPr>
        <w:spacing w:line="360" w:lineRule="auto"/>
        <w:ind w:firstLine="708"/>
        <w:jc w:val="both"/>
        <w:rPr>
          <w:color w:val="000000" w:themeColor="text1"/>
          <w:sz w:val="28"/>
          <w:szCs w:val="28"/>
        </w:rPr>
      </w:pPr>
      <w:r w:rsidRPr="008A6B7D">
        <w:rPr>
          <w:color w:val="000000" w:themeColor="text1"/>
          <w:sz w:val="28"/>
          <w:szCs w:val="28"/>
          <w:lang w:val="uk-UA"/>
        </w:rPr>
        <w:lastRenderedPageBreak/>
        <w:t>Згідно з даними отриманими в результаті експерименту видно, шо комплексні сполуки І та ІІ проявляли виразну антиноцицептивну дію у порівнянні із контрольною групою.</w:t>
      </w:r>
    </w:p>
    <w:p w14:paraId="2C902B55" w14:textId="59BA6050" w:rsidR="00F05F4E" w:rsidRPr="008A6B7D" w:rsidRDefault="00F05F4E" w:rsidP="00F05F4E">
      <w:pPr>
        <w:pStyle w:val="a6"/>
        <w:spacing w:before="0" w:beforeAutospacing="0" w:after="0" w:afterAutospacing="0" w:line="360" w:lineRule="auto"/>
        <w:ind w:firstLine="708"/>
        <w:jc w:val="both"/>
        <w:rPr>
          <w:color w:val="000000" w:themeColor="text1"/>
          <w:sz w:val="28"/>
          <w:szCs w:val="28"/>
          <w:lang w:val="uk-UA"/>
        </w:rPr>
      </w:pPr>
      <w:r w:rsidRPr="008A6B7D">
        <w:rPr>
          <w:color w:val="000000" w:themeColor="text1"/>
          <w:sz w:val="28"/>
          <w:szCs w:val="28"/>
          <w:lang w:val="uk-UA"/>
        </w:rPr>
        <w:t xml:space="preserve">Так, для комплексної сполуки І (рис. 5.4.1) тривалість больової реакції становила 33,0 ± 6,0 с у порівнянні із контролем через 1 годину після введення. </w:t>
      </w:r>
    </w:p>
    <w:p w14:paraId="31DB369E" w14:textId="77777777" w:rsidR="00F05F4E" w:rsidRDefault="00F05F4E" w:rsidP="00F05F4E">
      <w:pPr>
        <w:pStyle w:val="a6"/>
        <w:spacing w:before="0" w:beforeAutospacing="0" w:after="0" w:afterAutospacing="0" w:line="360" w:lineRule="auto"/>
        <w:ind w:firstLine="709"/>
        <w:jc w:val="center"/>
        <w:rPr>
          <w:sz w:val="28"/>
          <w:szCs w:val="28"/>
          <w:lang w:val="uk-UA"/>
        </w:rPr>
      </w:pPr>
      <w:r w:rsidRPr="006D1679">
        <w:rPr>
          <w:noProof/>
          <w:sz w:val="28"/>
          <w:szCs w:val="28"/>
          <w:lang w:val="en-US" w:eastAsia="en-US"/>
        </w:rPr>
        <w:drawing>
          <wp:inline distT="0" distB="0" distL="0" distR="0" wp14:anchorId="227321D5" wp14:editId="76C1A6F6">
            <wp:extent cx="4038600" cy="2324100"/>
            <wp:effectExtent l="0" t="0" r="0" b="0"/>
            <wp:docPr id="40"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9667" cy="2324714"/>
                    </a:xfrm>
                    <a:prstGeom prst="rect">
                      <a:avLst/>
                    </a:prstGeom>
                    <a:noFill/>
                    <a:ln>
                      <a:noFill/>
                    </a:ln>
                  </pic:spPr>
                </pic:pic>
              </a:graphicData>
            </a:graphic>
          </wp:inline>
        </w:drawing>
      </w:r>
    </w:p>
    <w:p w14:paraId="41CB23F7" w14:textId="4A18FE36" w:rsidR="00F05F4E" w:rsidRDefault="00F05F4E" w:rsidP="00F05F4E">
      <w:pPr>
        <w:pStyle w:val="a6"/>
        <w:spacing w:before="0" w:beforeAutospacing="0" w:after="0" w:afterAutospacing="0" w:line="360" w:lineRule="auto"/>
        <w:ind w:firstLine="709"/>
        <w:jc w:val="both"/>
        <w:rPr>
          <w:sz w:val="28"/>
          <w:szCs w:val="28"/>
          <w:lang w:val="uk-UA"/>
        </w:rPr>
      </w:pPr>
      <w:r w:rsidRPr="007D638E">
        <w:rPr>
          <w:sz w:val="28"/>
          <w:szCs w:val="28"/>
          <w:lang w:val="uk-UA"/>
        </w:rPr>
        <w:t xml:space="preserve">Рис. </w:t>
      </w:r>
      <w:r>
        <w:rPr>
          <w:sz w:val="28"/>
          <w:szCs w:val="28"/>
          <w:lang w:val="uk-UA"/>
        </w:rPr>
        <w:t>5</w:t>
      </w:r>
      <w:r w:rsidRPr="007D638E">
        <w:rPr>
          <w:sz w:val="28"/>
          <w:szCs w:val="28"/>
          <w:lang w:val="uk-UA"/>
        </w:rPr>
        <w:t>.</w:t>
      </w:r>
      <w:r>
        <w:rPr>
          <w:sz w:val="28"/>
          <w:szCs w:val="28"/>
          <w:lang w:val="uk-UA"/>
        </w:rPr>
        <w:t>4</w:t>
      </w:r>
      <w:r w:rsidRPr="007D638E">
        <w:rPr>
          <w:sz w:val="28"/>
          <w:szCs w:val="28"/>
          <w:lang w:val="uk-UA"/>
        </w:rPr>
        <w:t xml:space="preserve">.1 </w:t>
      </w:r>
      <w:r>
        <w:rPr>
          <w:sz w:val="28"/>
          <w:szCs w:val="28"/>
          <w:lang w:val="uk-UA"/>
        </w:rPr>
        <w:t>Антиноцицептивна</w:t>
      </w:r>
      <w:r w:rsidRPr="007D638E">
        <w:rPr>
          <w:sz w:val="28"/>
          <w:szCs w:val="28"/>
          <w:lang w:val="uk-UA"/>
        </w:rPr>
        <w:t xml:space="preserve"> активність комплексної сполуки І при пероральному введенні (латентний час розвитку больової реакції у </w:t>
      </w:r>
      <w:r>
        <w:rPr>
          <w:sz w:val="28"/>
          <w:szCs w:val="28"/>
          <w:lang w:val="uk-UA"/>
        </w:rPr>
        <w:t>секундах</w:t>
      </w:r>
      <w:r w:rsidRPr="007D638E">
        <w:rPr>
          <w:sz w:val="28"/>
          <w:szCs w:val="28"/>
          <w:lang w:val="uk-UA"/>
        </w:rPr>
        <w:t xml:space="preserve"> (М</w:t>
      </w:r>
      <w:r w:rsidRPr="007D638E">
        <w:rPr>
          <w:color w:val="4D5156"/>
          <w:sz w:val="28"/>
          <w:szCs w:val="28"/>
          <w:shd w:val="clear" w:color="auto" w:fill="FFFFFF"/>
          <w:lang w:val="uk-UA"/>
        </w:rPr>
        <w:t>±</w:t>
      </w:r>
      <w:r w:rsidRPr="007D638E">
        <w:rPr>
          <w:sz w:val="28"/>
          <w:szCs w:val="28"/>
          <w:lang w:val="en-US"/>
        </w:rPr>
        <w:t>m</w:t>
      </w:r>
      <w:r w:rsidRPr="007D638E">
        <w:rPr>
          <w:sz w:val="28"/>
          <w:szCs w:val="28"/>
          <w:lang w:val="uk-UA"/>
        </w:rPr>
        <w:t xml:space="preserve">, </w:t>
      </w:r>
      <w:r w:rsidRPr="007D638E">
        <w:rPr>
          <w:sz w:val="28"/>
          <w:szCs w:val="28"/>
          <w:lang w:val="en-US"/>
        </w:rPr>
        <w:t>n</w:t>
      </w:r>
      <w:r w:rsidRPr="007D638E">
        <w:rPr>
          <w:sz w:val="28"/>
          <w:szCs w:val="28"/>
          <w:lang w:val="uk-UA"/>
        </w:rPr>
        <w:t xml:space="preserve">=5) </w:t>
      </w:r>
    </w:p>
    <w:p w14:paraId="292F8908" w14:textId="77777777" w:rsidR="00F05F4E" w:rsidRPr="008A6B7D" w:rsidRDefault="00F05F4E" w:rsidP="00352B8A">
      <w:pPr>
        <w:pStyle w:val="a6"/>
        <w:spacing w:before="0" w:beforeAutospacing="0" w:after="0" w:afterAutospacing="0"/>
        <w:ind w:left="450" w:hanging="450"/>
        <w:jc w:val="both"/>
        <w:rPr>
          <w:lang w:val="uk-UA"/>
        </w:rPr>
      </w:pPr>
      <w:r w:rsidRPr="008A6B7D">
        <w:rPr>
          <w:lang w:val="uk-UA"/>
        </w:rPr>
        <w:t xml:space="preserve">Примітки: </w:t>
      </w:r>
    </w:p>
    <w:p w14:paraId="1FA8CAA1" w14:textId="77777777" w:rsidR="00F05F4E" w:rsidRPr="008A6B7D" w:rsidRDefault="00F05F4E" w:rsidP="00352B8A">
      <w:pPr>
        <w:numPr>
          <w:ilvl w:val="6"/>
          <w:numId w:val="34"/>
        </w:numPr>
        <w:ind w:left="450" w:hanging="450"/>
        <w:jc w:val="both"/>
      </w:pPr>
      <w:r w:rsidRPr="008A6B7D">
        <w:t>*</w:t>
      </w:r>
      <w:r w:rsidRPr="008A6B7D">
        <w:rPr>
          <w:lang w:val="uk-UA"/>
        </w:rPr>
        <w:t xml:space="preserve"> </w:t>
      </w:r>
      <w:r w:rsidRPr="008A6B7D">
        <w:t>-</w:t>
      </w:r>
      <w:r w:rsidRPr="008A6B7D">
        <w:rPr>
          <w:lang w:val="uk-UA"/>
        </w:rPr>
        <w:t xml:space="preserve"> </w:t>
      </w:r>
      <w:r w:rsidRPr="008A6B7D">
        <w:rPr>
          <w:lang w:val="en-US"/>
        </w:rPr>
        <w:t>p</w:t>
      </w:r>
      <w:r w:rsidRPr="008A6B7D">
        <w:t xml:space="preserve"> </w:t>
      </w:r>
      <w:r w:rsidRPr="008A6B7D">
        <w:rPr>
          <w:lang w:val="en-US"/>
        </w:rPr>
        <w:sym w:font="Symbol" w:char="F03C"/>
      </w:r>
      <w:r w:rsidRPr="008A6B7D">
        <w:t xml:space="preserve"> 0,05 </w:t>
      </w:r>
      <w:r w:rsidRPr="008A6B7D">
        <w:rPr>
          <w:lang w:val="uk-UA"/>
        </w:rPr>
        <w:t>(статистично значуща різниця у порівнянні з контрольною групою).</w:t>
      </w:r>
      <w:r w:rsidRPr="008A6B7D">
        <w:t xml:space="preserve"> </w:t>
      </w:r>
    </w:p>
    <w:p w14:paraId="29724A59" w14:textId="77777777" w:rsidR="00F05F4E" w:rsidRPr="008A6B7D" w:rsidRDefault="00F05F4E" w:rsidP="00352B8A">
      <w:pPr>
        <w:numPr>
          <w:ilvl w:val="6"/>
          <w:numId w:val="34"/>
        </w:numPr>
        <w:ind w:left="450" w:hanging="450"/>
        <w:jc w:val="both"/>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 групою).</w:t>
      </w:r>
    </w:p>
    <w:p w14:paraId="209AF33A" w14:textId="3C519CD8" w:rsidR="00F05F4E" w:rsidRPr="008A6B7D" w:rsidRDefault="00F05F4E" w:rsidP="00352B8A">
      <w:pPr>
        <w:numPr>
          <w:ilvl w:val="6"/>
          <w:numId w:val="34"/>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0,05 (статистично значуща різниця у порівнянні у порівнянні із референс-препаратом </w:t>
      </w:r>
      <w:r w:rsidR="00390008" w:rsidRPr="008A6B7D">
        <w:rPr>
          <w:lang w:val="uk-UA"/>
        </w:rPr>
        <w:t>і</w:t>
      </w:r>
      <w:r w:rsidRPr="008A6B7D">
        <w:rPr>
          <w:lang w:val="uk-UA"/>
        </w:rPr>
        <w:t>бупрофеном).</w:t>
      </w:r>
    </w:p>
    <w:p w14:paraId="7371C911" w14:textId="2DE2413B" w:rsidR="00F05F4E" w:rsidRPr="008A6B7D" w:rsidRDefault="00F05F4E" w:rsidP="00352B8A">
      <w:pPr>
        <w:numPr>
          <w:ilvl w:val="6"/>
          <w:numId w:val="34"/>
        </w:numPr>
        <w:ind w:left="450" w:hanging="450"/>
        <w:jc w:val="both"/>
      </w:pPr>
      <w:r w:rsidRPr="008A6B7D">
        <w:rPr>
          <w:lang w:val="uk-UA"/>
        </w:rPr>
        <w:t xml:space="preserve">## - </w:t>
      </w:r>
      <w:r w:rsidRPr="008A6B7D">
        <w:rPr>
          <w:lang w:val="en-US"/>
        </w:rPr>
        <w:t>p</w:t>
      </w:r>
      <w:r w:rsidRPr="008A6B7D">
        <w:rPr>
          <w:lang w:val="uk-UA"/>
        </w:rPr>
        <w:t xml:space="preserve"> </w:t>
      </w:r>
      <w:r w:rsidRPr="008A6B7D">
        <w:rPr>
          <w:lang w:val="en-US"/>
        </w:rPr>
        <w:sym w:font="Symbol" w:char="F03C"/>
      </w:r>
      <w:r w:rsidRPr="008A6B7D">
        <w:rPr>
          <w:lang w:val="uk-UA"/>
        </w:rPr>
        <w:t xml:space="preserve"> 0,01 (статистично значуща різниця у порівнянні у порівнянні із референс-препаратом </w:t>
      </w:r>
      <w:r w:rsidR="00390008" w:rsidRPr="008A6B7D">
        <w:rPr>
          <w:lang w:val="uk-UA"/>
        </w:rPr>
        <w:t>і</w:t>
      </w:r>
      <w:r w:rsidRPr="008A6B7D">
        <w:rPr>
          <w:lang w:val="uk-UA"/>
        </w:rPr>
        <w:t>бупрофеном).</w:t>
      </w:r>
    </w:p>
    <w:p w14:paraId="6F3B7893" w14:textId="77777777" w:rsidR="00F05F4E" w:rsidRPr="008A6B7D" w:rsidRDefault="00F05F4E" w:rsidP="00352B8A">
      <w:pPr>
        <w:numPr>
          <w:ilvl w:val="6"/>
          <w:numId w:val="34"/>
        </w:numPr>
        <w:ind w:left="450" w:hanging="450"/>
        <w:jc w:val="both"/>
        <w:rPr>
          <w:lang w:val="uk-UA"/>
        </w:rPr>
      </w:pPr>
      <w:r w:rsidRPr="008A6B7D">
        <w:t>n – кількість тварин у групі.</w:t>
      </w:r>
    </w:p>
    <w:p w14:paraId="6DD6544F" w14:textId="77777777" w:rsidR="00F05F4E" w:rsidRDefault="00F05F4E" w:rsidP="00F05F4E">
      <w:pPr>
        <w:pStyle w:val="a6"/>
        <w:spacing w:before="0" w:beforeAutospacing="0" w:after="0" w:afterAutospacing="0" w:line="360" w:lineRule="auto"/>
        <w:jc w:val="both"/>
        <w:rPr>
          <w:sz w:val="28"/>
          <w:szCs w:val="28"/>
          <w:lang w:val="uk-UA"/>
        </w:rPr>
      </w:pPr>
    </w:p>
    <w:p w14:paraId="578D92B7" w14:textId="71E825B6" w:rsidR="00F05F4E" w:rsidRDefault="00F05F4E" w:rsidP="00F05F4E">
      <w:pPr>
        <w:pStyle w:val="a6"/>
        <w:spacing w:before="0" w:beforeAutospacing="0" w:after="0" w:afterAutospacing="0" w:line="360" w:lineRule="auto"/>
        <w:ind w:firstLine="540"/>
        <w:jc w:val="both"/>
        <w:rPr>
          <w:sz w:val="28"/>
          <w:szCs w:val="28"/>
          <w:lang w:val="uk-UA"/>
        </w:rPr>
      </w:pPr>
      <w:r>
        <w:rPr>
          <w:sz w:val="28"/>
          <w:szCs w:val="28"/>
          <w:lang w:val="uk-UA"/>
        </w:rPr>
        <w:t xml:space="preserve">Через 5 годин після початку експерименту антиноцицептивна дія комплексної сполуки І достовірно перевищувала дію референт-препарату </w:t>
      </w:r>
      <w:r w:rsidR="0086476C">
        <w:rPr>
          <w:sz w:val="28"/>
          <w:szCs w:val="28"/>
          <w:lang w:val="uk-UA"/>
        </w:rPr>
        <w:t>і</w:t>
      </w:r>
      <w:r>
        <w:rPr>
          <w:sz w:val="28"/>
          <w:szCs w:val="28"/>
          <w:lang w:val="uk-UA"/>
        </w:rPr>
        <w:t xml:space="preserve">бупрофену на 31 </w:t>
      </w:r>
      <w:r w:rsidRPr="00230693">
        <w:rPr>
          <w:color w:val="000000"/>
          <w:sz w:val="28"/>
          <w:szCs w:val="28"/>
          <w:lang w:val="uk-UA"/>
        </w:rPr>
        <w:t>±</w:t>
      </w:r>
      <w:r>
        <w:rPr>
          <w:color w:val="000000"/>
          <w:sz w:val="28"/>
          <w:szCs w:val="28"/>
          <w:lang w:val="uk-UA"/>
        </w:rPr>
        <w:t xml:space="preserve"> 2,0 с. Протибольова активність </w:t>
      </w:r>
      <w:r>
        <w:rPr>
          <w:sz w:val="28"/>
          <w:szCs w:val="28"/>
          <w:lang w:val="uk-UA"/>
        </w:rPr>
        <w:t xml:space="preserve"> </w:t>
      </w:r>
      <w:bookmarkStart w:id="15" w:name="OLE_LINK8"/>
      <w:r>
        <w:rPr>
          <w:sz w:val="28"/>
          <w:szCs w:val="28"/>
          <w:lang w:val="uk-UA"/>
        </w:rPr>
        <w:t xml:space="preserve">комплексу ІІ </w:t>
      </w:r>
      <w:bookmarkEnd w:id="15"/>
      <w:r>
        <w:rPr>
          <w:sz w:val="28"/>
          <w:szCs w:val="28"/>
          <w:lang w:val="uk-UA"/>
        </w:rPr>
        <w:t xml:space="preserve">реалізовувалась за рахунок зменшення тривалості облизувань лапи </w:t>
      </w:r>
      <w:r w:rsidR="00821BED">
        <w:rPr>
          <w:sz w:val="28"/>
          <w:szCs w:val="28"/>
          <w:lang w:val="uk-UA"/>
        </w:rPr>
        <w:br/>
      </w:r>
      <w:r>
        <w:rPr>
          <w:sz w:val="28"/>
          <w:szCs w:val="28"/>
          <w:lang w:val="uk-UA"/>
        </w:rPr>
        <w:t xml:space="preserve">до 50,5 </w:t>
      </w:r>
      <w:r w:rsidRPr="00230693">
        <w:rPr>
          <w:color w:val="000000"/>
          <w:sz w:val="28"/>
          <w:szCs w:val="28"/>
          <w:lang w:val="uk-UA"/>
        </w:rPr>
        <w:t>±</w:t>
      </w:r>
      <w:r>
        <w:rPr>
          <w:color w:val="000000"/>
          <w:sz w:val="28"/>
          <w:szCs w:val="28"/>
          <w:lang w:val="uk-UA"/>
        </w:rPr>
        <w:t xml:space="preserve"> 1,5 с. </w:t>
      </w:r>
      <w:r>
        <w:rPr>
          <w:sz w:val="28"/>
          <w:szCs w:val="28"/>
          <w:lang w:val="uk-UA"/>
        </w:rPr>
        <w:t>через 3 години після початку експерименту</w:t>
      </w:r>
      <w:r w:rsidRPr="00DF012A">
        <w:rPr>
          <w:sz w:val="28"/>
          <w:szCs w:val="28"/>
          <w:lang w:val="uk-UA"/>
        </w:rPr>
        <w:t>.</w:t>
      </w:r>
    </w:p>
    <w:p w14:paraId="4DA0C7B9" w14:textId="77777777" w:rsidR="007C0C3C" w:rsidRDefault="00F05F4E" w:rsidP="00F05F4E">
      <w:pPr>
        <w:pStyle w:val="a6"/>
        <w:spacing w:before="0" w:beforeAutospacing="0" w:after="0" w:afterAutospacing="0" w:line="360" w:lineRule="auto"/>
        <w:ind w:firstLine="709"/>
        <w:jc w:val="both"/>
        <w:rPr>
          <w:sz w:val="28"/>
          <w:szCs w:val="28"/>
          <w:lang w:val="uk-UA"/>
        </w:rPr>
      </w:pPr>
      <w:r>
        <w:rPr>
          <w:sz w:val="28"/>
          <w:szCs w:val="28"/>
          <w:lang w:val="uk-UA"/>
        </w:rPr>
        <w:t>Згідно з даними отриманими в результаті експерименту видно, що місцеве введення комплексних сполук І та ІІ викликало виразну знеболюючу дію у порівнянні із контролем.</w:t>
      </w:r>
    </w:p>
    <w:p w14:paraId="07B1CD1C" w14:textId="2DE1E1D1" w:rsidR="00F05F4E" w:rsidRDefault="00F05F4E" w:rsidP="00F05F4E">
      <w:pPr>
        <w:pStyle w:val="a6"/>
        <w:spacing w:before="0" w:beforeAutospacing="0" w:after="0" w:afterAutospacing="0" w:line="360" w:lineRule="auto"/>
        <w:ind w:firstLine="709"/>
        <w:jc w:val="both"/>
        <w:rPr>
          <w:sz w:val="28"/>
          <w:szCs w:val="28"/>
          <w:lang w:val="uk-UA"/>
        </w:rPr>
      </w:pPr>
      <w:r>
        <w:rPr>
          <w:sz w:val="28"/>
          <w:szCs w:val="28"/>
          <w:lang w:val="uk-UA"/>
        </w:rPr>
        <w:lastRenderedPageBreak/>
        <w:t xml:space="preserve"> Так, для комплексної сполуки І  (рис. 5.</w:t>
      </w:r>
      <w:r w:rsidRPr="00980D31">
        <w:rPr>
          <w:sz w:val="28"/>
          <w:szCs w:val="28"/>
        </w:rPr>
        <w:t>4</w:t>
      </w:r>
      <w:r>
        <w:rPr>
          <w:sz w:val="28"/>
          <w:szCs w:val="28"/>
          <w:lang w:val="uk-UA"/>
        </w:rPr>
        <w:t>.</w:t>
      </w:r>
      <w:r w:rsidRPr="00980D31">
        <w:rPr>
          <w:sz w:val="28"/>
          <w:szCs w:val="28"/>
        </w:rPr>
        <w:t>2</w:t>
      </w:r>
      <w:r>
        <w:rPr>
          <w:sz w:val="28"/>
          <w:szCs w:val="28"/>
          <w:lang w:val="uk-UA"/>
        </w:rPr>
        <w:t xml:space="preserve">) тривалість больової реакції становила 12.2 </w:t>
      </w:r>
      <w:r w:rsidRPr="00230693">
        <w:rPr>
          <w:color w:val="000000"/>
          <w:sz w:val="28"/>
          <w:szCs w:val="28"/>
          <w:lang w:val="uk-UA"/>
        </w:rPr>
        <w:t>±</w:t>
      </w:r>
      <w:r>
        <w:rPr>
          <w:color w:val="000000"/>
          <w:sz w:val="28"/>
          <w:szCs w:val="28"/>
          <w:lang w:val="uk-UA"/>
        </w:rPr>
        <w:t xml:space="preserve"> 3,5</w:t>
      </w:r>
      <w:r>
        <w:rPr>
          <w:sz w:val="28"/>
          <w:szCs w:val="28"/>
          <w:lang w:val="uk-UA"/>
        </w:rPr>
        <w:t xml:space="preserve"> с у порівнянні із контролем. </w:t>
      </w:r>
    </w:p>
    <w:p w14:paraId="3863F8CB" w14:textId="77777777" w:rsidR="00F05F4E" w:rsidRDefault="00F05F4E" w:rsidP="00F05F4E">
      <w:pPr>
        <w:pStyle w:val="a6"/>
        <w:spacing w:before="0" w:beforeAutospacing="0" w:after="0" w:afterAutospacing="0" w:line="360" w:lineRule="auto"/>
        <w:ind w:firstLine="709"/>
        <w:jc w:val="center"/>
        <w:rPr>
          <w:sz w:val="28"/>
          <w:szCs w:val="28"/>
          <w:lang w:val="uk-UA"/>
        </w:rPr>
      </w:pPr>
      <w:r>
        <w:rPr>
          <w:noProof/>
          <w:sz w:val="28"/>
          <w:szCs w:val="28"/>
          <w:lang w:val="en-US" w:eastAsia="en-US"/>
        </w:rPr>
        <w:drawing>
          <wp:inline distT="0" distB="0" distL="0" distR="0" wp14:anchorId="4565090C" wp14:editId="572EFE56">
            <wp:extent cx="4123078" cy="2293749"/>
            <wp:effectExtent l="0" t="0" r="4445"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rotWithShape="1">
                    <a:blip r:embed="rId55">
                      <a:extLst>
                        <a:ext uri="{28A0092B-C50C-407E-A947-70E740481C1C}">
                          <a14:useLocalDpi xmlns:a14="http://schemas.microsoft.com/office/drawing/2010/main" val="0"/>
                        </a:ext>
                      </a:extLst>
                    </a:blip>
                    <a:srcRect l="1383" t="4339" r="2003" b="4857"/>
                    <a:stretch/>
                  </pic:blipFill>
                  <pic:spPr bwMode="auto">
                    <a:xfrm>
                      <a:off x="0" y="0"/>
                      <a:ext cx="4136168" cy="2301031"/>
                    </a:xfrm>
                    <a:prstGeom prst="rect">
                      <a:avLst/>
                    </a:prstGeom>
                    <a:ln>
                      <a:noFill/>
                    </a:ln>
                    <a:extLst>
                      <a:ext uri="{53640926-AAD7-44D8-BBD7-CCE9431645EC}">
                        <a14:shadowObscured xmlns:a14="http://schemas.microsoft.com/office/drawing/2010/main"/>
                      </a:ext>
                    </a:extLst>
                  </pic:spPr>
                </pic:pic>
              </a:graphicData>
            </a:graphic>
          </wp:inline>
        </w:drawing>
      </w:r>
    </w:p>
    <w:p w14:paraId="6E4C55B7" w14:textId="099E33ED" w:rsidR="00F05F4E" w:rsidRPr="00FF6C5D" w:rsidRDefault="00F05F4E" w:rsidP="00F05F4E">
      <w:pPr>
        <w:pStyle w:val="a6"/>
        <w:spacing w:before="0" w:beforeAutospacing="0" w:after="0" w:afterAutospacing="0" w:line="360" w:lineRule="auto"/>
        <w:ind w:firstLine="706"/>
        <w:jc w:val="both"/>
        <w:rPr>
          <w:sz w:val="28"/>
          <w:szCs w:val="28"/>
          <w:lang w:val="uk-UA"/>
        </w:rPr>
      </w:pPr>
      <w:r w:rsidRPr="00FF6C5D">
        <w:rPr>
          <w:sz w:val="28"/>
          <w:szCs w:val="28"/>
          <w:lang w:val="uk-UA"/>
        </w:rPr>
        <w:t xml:space="preserve">Рис. </w:t>
      </w:r>
      <w:r>
        <w:rPr>
          <w:sz w:val="28"/>
          <w:szCs w:val="28"/>
          <w:lang w:val="uk-UA"/>
        </w:rPr>
        <w:t>5</w:t>
      </w:r>
      <w:r w:rsidRPr="00FF6C5D">
        <w:rPr>
          <w:sz w:val="28"/>
          <w:szCs w:val="28"/>
          <w:lang w:val="uk-UA"/>
        </w:rPr>
        <w:t>.4.2 А</w:t>
      </w:r>
      <w:r>
        <w:rPr>
          <w:sz w:val="28"/>
          <w:szCs w:val="28"/>
          <w:lang w:val="uk-UA"/>
        </w:rPr>
        <w:t>тиноцицептивна дія</w:t>
      </w:r>
      <w:r w:rsidRPr="00FF6C5D">
        <w:rPr>
          <w:sz w:val="28"/>
          <w:szCs w:val="28"/>
          <w:lang w:val="uk-UA"/>
        </w:rPr>
        <w:t xml:space="preserve"> комплексної сполуки І при місцевому введенні (латентний час розвитку больової реакції у  секундах, (М</w:t>
      </w:r>
      <w:r w:rsidRPr="00FF6C5D">
        <w:rPr>
          <w:color w:val="4D5156"/>
          <w:sz w:val="28"/>
          <w:szCs w:val="28"/>
          <w:shd w:val="clear" w:color="auto" w:fill="FFFFFF"/>
          <w:lang w:val="uk-UA"/>
        </w:rPr>
        <w:t>±</w:t>
      </w:r>
      <w:r w:rsidRPr="00FF6C5D">
        <w:rPr>
          <w:sz w:val="28"/>
          <w:szCs w:val="28"/>
          <w:lang w:val="en-US"/>
        </w:rPr>
        <w:t>m</w:t>
      </w:r>
      <w:r w:rsidRPr="00FF6C5D">
        <w:rPr>
          <w:sz w:val="28"/>
          <w:szCs w:val="28"/>
          <w:lang w:val="uk-UA"/>
        </w:rPr>
        <w:t xml:space="preserve">, </w:t>
      </w:r>
      <w:r w:rsidRPr="00FF6C5D">
        <w:rPr>
          <w:sz w:val="28"/>
          <w:szCs w:val="28"/>
          <w:lang w:val="en-US"/>
        </w:rPr>
        <w:t>n</w:t>
      </w:r>
      <w:r w:rsidRPr="00FF6C5D">
        <w:rPr>
          <w:sz w:val="28"/>
          <w:szCs w:val="28"/>
          <w:lang w:val="uk-UA"/>
        </w:rPr>
        <w:t>=5)</w:t>
      </w:r>
      <w:r>
        <w:rPr>
          <w:sz w:val="28"/>
          <w:szCs w:val="28"/>
          <w:lang w:val="uk-UA"/>
        </w:rPr>
        <w:t>)</w:t>
      </w:r>
      <w:r w:rsidRPr="00FF6C5D">
        <w:rPr>
          <w:sz w:val="28"/>
          <w:szCs w:val="28"/>
          <w:lang w:val="uk-UA"/>
        </w:rPr>
        <w:t>.</w:t>
      </w:r>
    </w:p>
    <w:p w14:paraId="018142BF" w14:textId="77777777" w:rsidR="00F05F4E" w:rsidRPr="008A6B7D" w:rsidRDefault="00F05F4E" w:rsidP="00F05F4E">
      <w:pPr>
        <w:pStyle w:val="a6"/>
        <w:spacing w:before="0" w:beforeAutospacing="0" w:after="0" w:afterAutospacing="0"/>
        <w:ind w:left="540" w:hanging="540"/>
        <w:jc w:val="both"/>
        <w:rPr>
          <w:lang w:val="uk-UA"/>
        </w:rPr>
      </w:pPr>
      <w:r w:rsidRPr="008A6B7D">
        <w:rPr>
          <w:lang w:val="uk-UA"/>
        </w:rPr>
        <w:t xml:space="preserve">Примітки: </w:t>
      </w:r>
    </w:p>
    <w:p w14:paraId="56EA5734" w14:textId="77777777" w:rsidR="00F05F4E" w:rsidRPr="008A6B7D" w:rsidRDefault="00F05F4E" w:rsidP="00F05F4E">
      <w:pPr>
        <w:numPr>
          <w:ilvl w:val="6"/>
          <w:numId w:val="35"/>
        </w:numPr>
        <w:ind w:left="540" w:hanging="540"/>
        <w:jc w:val="both"/>
      </w:pPr>
      <w:r w:rsidRPr="008A6B7D">
        <w:t>*</w:t>
      </w:r>
      <w:r w:rsidRPr="008A6B7D">
        <w:rPr>
          <w:lang w:val="uk-UA"/>
        </w:rPr>
        <w:t xml:space="preserve"> </w:t>
      </w:r>
      <w:r w:rsidRPr="008A6B7D">
        <w:t>-</w:t>
      </w:r>
      <w:r w:rsidRPr="008A6B7D">
        <w:rPr>
          <w:lang w:val="uk-UA"/>
        </w:rPr>
        <w:t xml:space="preserve"> </w:t>
      </w:r>
      <w:r w:rsidRPr="008A6B7D">
        <w:rPr>
          <w:lang w:val="en-US"/>
        </w:rPr>
        <w:t>p</w:t>
      </w:r>
      <w:r w:rsidRPr="008A6B7D">
        <w:t xml:space="preserve"> </w:t>
      </w:r>
      <w:r w:rsidRPr="008A6B7D">
        <w:rPr>
          <w:lang w:val="en-US"/>
        </w:rPr>
        <w:sym w:font="Symbol" w:char="F03C"/>
      </w:r>
      <w:r w:rsidRPr="008A6B7D">
        <w:t xml:space="preserve"> 0,05 </w:t>
      </w:r>
      <w:r w:rsidRPr="008A6B7D">
        <w:rPr>
          <w:lang w:val="uk-UA"/>
        </w:rPr>
        <w:t>(статистично значуща різниця у порівнянні з контрольною групою).</w:t>
      </w:r>
      <w:r w:rsidRPr="008A6B7D">
        <w:t xml:space="preserve"> </w:t>
      </w:r>
    </w:p>
    <w:p w14:paraId="77203A1C" w14:textId="77777777" w:rsidR="00F05F4E" w:rsidRPr="008A6B7D" w:rsidRDefault="00F05F4E" w:rsidP="00F05F4E">
      <w:pPr>
        <w:numPr>
          <w:ilvl w:val="6"/>
          <w:numId w:val="35"/>
        </w:numPr>
        <w:ind w:left="540" w:hanging="540"/>
        <w:jc w:val="both"/>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 групою).</w:t>
      </w:r>
    </w:p>
    <w:p w14:paraId="2A622FC5" w14:textId="201E03A1" w:rsidR="00F05F4E" w:rsidRPr="008A6B7D" w:rsidRDefault="00F05F4E" w:rsidP="00F05F4E">
      <w:pPr>
        <w:numPr>
          <w:ilvl w:val="6"/>
          <w:numId w:val="35"/>
        </w:numPr>
        <w:ind w:left="540" w:hanging="540"/>
        <w:jc w:val="both"/>
      </w:pPr>
      <w:r w:rsidRPr="008A6B7D">
        <w:t>n – кількість тварин у групі.</w:t>
      </w:r>
    </w:p>
    <w:p w14:paraId="3A7DFE25" w14:textId="77777777" w:rsidR="007C0C3C" w:rsidRPr="00F05F4E" w:rsidRDefault="007C0C3C" w:rsidP="007C0C3C">
      <w:pPr>
        <w:ind w:left="540"/>
        <w:jc w:val="both"/>
        <w:rPr>
          <w:sz w:val="26"/>
          <w:szCs w:val="26"/>
        </w:rPr>
      </w:pPr>
    </w:p>
    <w:p w14:paraId="13CF6C1D" w14:textId="77777777" w:rsidR="00F05F4E" w:rsidRPr="00FF6C5D" w:rsidRDefault="00F05F4E" w:rsidP="00F05F4E">
      <w:pPr>
        <w:spacing w:line="360" w:lineRule="auto"/>
        <w:ind w:firstLine="708"/>
        <w:jc w:val="both"/>
        <w:rPr>
          <w:sz w:val="28"/>
          <w:szCs w:val="28"/>
        </w:rPr>
      </w:pPr>
      <w:r w:rsidRPr="00FF6C5D">
        <w:rPr>
          <w:sz w:val="28"/>
          <w:szCs w:val="28"/>
          <w:lang w:val="uk-UA"/>
        </w:rPr>
        <w:t xml:space="preserve">Очевидно, що комплексна сполука I реалізує свій місцевий </w:t>
      </w:r>
      <w:r>
        <w:rPr>
          <w:sz w:val="28"/>
          <w:szCs w:val="28"/>
          <w:lang w:val="uk-UA"/>
        </w:rPr>
        <w:t>знебоюючий</w:t>
      </w:r>
      <w:r w:rsidRPr="00FF6C5D">
        <w:rPr>
          <w:sz w:val="28"/>
          <w:szCs w:val="28"/>
          <w:lang w:val="uk-UA"/>
        </w:rPr>
        <w:t xml:space="preserve"> ефект на моделі тесту з аллілізотіоціонатом завдяки наявності в структурі </w:t>
      </w:r>
      <w:r>
        <w:rPr>
          <w:sz w:val="28"/>
          <w:szCs w:val="28"/>
          <w:lang w:val="uk-UA"/>
        </w:rPr>
        <w:t>ліганду</w:t>
      </w:r>
      <w:r w:rsidRPr="00FF6C5D">
        <w:rPr>
          <w:sz w:val="28"/>
          <w:szCs w:val="28"/>
          <w:lang w:val="uk-UA"/>
        </w:rPr>
        <w:t xml:space="preserve"> молекули саліцилової кислоти.  </w:t>
      </w:r>
    </w:p>
    <w:p w14:paraId="17735C52" w14:textId="77777777" w:rsidR="00F05F4E" w:rsidRDefault="00F05F4E" w:rsidP="00F05F4E">
      <w:pPr>
        <w:pStyle w:val="a6"/>
        <w:spacing w:before="0" w:beforeAutospacing="0" w:after="0" w:afterAutospacing="0" w:line="360" w:lineRule="auto"/>
        <w:ind w:firstLine="709"/>
        <w:jc w:val="both"/>
        <w:rPr>
          <w:sz w:val="28"/>
          <w:szCs w:val="28"/>
          <w:lang w:val="uk-UA"/>
        </w:rPr>
      </w:pPr>
      <w:r>
        <w:rPr>
          <w:sz w:val="28"/>
          <w:szCs w:val="28"/>
          <w:lang w:val="uk-UA"/>
        </w:rPr>
        <w:t xml:space="preserve">Це підтверджується тим, що саліцилова кислота проявляла виразний місцевий знеболюючий ефект, дані склали 9.6 </w:t>
      </w:r>
      <w:r w:rsidRPr="00230693">
        <w:rPr>
          <w:color w:val="000000"/>
          <w:sz w:val="28"/>
          <w:szCs w:val="28"/>
          <w:lang w:val="uk-UA"/>
        </w:rPr>
        <w:t>±</w:t>
      </w:r>
      <w:r>
        <w:rPr>
          <w:color w:val="000000"/>
          <w:sz w:val="28"/>
          <w:szCs w:val="28"/>
          <w:lang w:val="uk-UA"/>
        </w:rPr>
        <w:t xml:space="preserve"> 0,9 </w:t>
      </w:r>
      <w:r>
        <w:rPr>
          <w:sz w:val="28"/>
          <w:szCs w:val="28"/>
          <w:lang w:val="uk-UA"/>
        </w:rPr>
        <w:t xml:space="preserve">с. у порівнянні із показниками контрольної групи.  </w:t>
      </w:r>
    </w:p>
    <w:p w14:paraId="6418FE55" w14:textId="77777777" w:rsidR="007C0C3C" w:rsidRDefault="00F05F4E" w:rsidP="00F05F4E">
      <w:pPr>
        <w:pStyle w:val="a6"/>
        <w:spacing w:before="0" w:beforeAutospacing="0" w:after="0" w:afterAutospacing="0" w:line="360" w:lineRule="auto"/>
        <w:ind w:firstLine="709"/>
        <w:jc w:val="both"/>
        <w:rPr>
          <w:sz w:val="28"/>
          <w:szCs w:val="28"/>
          <w:lang w:val="uk-UA"/>
        </w:rPr>
      </w:pPr>
      <w:r>
        <w:rPr>
          <w:sz w:val="28"/>
          <w:szCs w:val="28"/>
          <w:lang w:val="uk-UA"/>
        </w:rPr>
        <w:t xml:space="preserve">Місцева антиноцицептивна активність </w:t>
      </w:r>
      <w:r>
        <w:rPr>
          <w:sz w:val="28"/>
          <w:szCs w:val="28"/>
          <w:lang w:val="en-US"/>
        </w:rPr>
        <w:t>c</w:t>
      </w:r>
      <w:r>
        <w:rPr>
          <w:sz w:val="28"/>
          <w:szCs w:val="28"/>
          <w:lang w:val="uk-UA"/>
        </w:rPr>
        <w:t xml:space="preserve">аліцилоїлгідразону бензальдегіду реалізовувалась за рахунок збільшення латентного часу розвитку больовий реакції (в середньому в 1,7 раз) і зменшення тривалості облизування лапи на 40 с. у порівнянні із контролем. Отримані дані свідчать про те, що </w:t>
      </w:r>
      <w:r>
        <w:rPr>
          <w:sz w:val="28"/>
          <w:szCs w:val="28"/>
          <w:lang w:val="en-US"/>
        </w:rPr>
        <w:t>c</w:t>
      </w:r>
      <w:r>
        <w:rPr>
          <w:sz w:val="28"/>
          <w:szCs w:val="28"/>
          <w:lang w:val="uk-UA"/>
        </w:rPr>
        <w:t xml:space="preserve">аліцилоїлгідразон бензальдегіду виявляє місцевий знеболююсий ефект на даній моделі ноцицептивної реакції. </w:t>
      </w:r>
    </w:p>
    <w:p w14:paraId="3FA969B7" w14:textId="20DD47D2" w:rsidR="00F05F4E" w:rsidRDefault="00F05F4E" w:rsidP="00F05F4E">
      <w:pPr>
        <w:pStyle w:val="a6"/>
        <w:spacing w:before="0" w:beforeAutospacing="0" w:after="0" w:afterAutospacing="0" w:line="360" w:lineRule="auto"/>
        <w:ind w:firstLine="709"/>
        <w:jc w:val="both"/>
        <w:rPr>
          <w:sz w:val="28"/>
          <w:szCs w:val="28"/>
          <w:lang w:val="uk-UA"/>
        </w:rPr>
      </w:pPr>
      <w:r>
        <w:rPr>
          <w:sz w:val="28"/>
          <w:szCs w:val="28"/>
          <w:lang w:val="uk-UA"/>
        </w:rPr>
        <w:t xml:space="preserve">Комплекс І проявляє найбільш виразний антиноцицептивний ефект, що може свідчити про вплив комплексу І на </w:t>
      </w:r>
      <w:r>
        <w:rPr>
          <w:color w:val="000000"/>
          <w:sz w:val="28"/>
          <w:szCs w:val="28"/>
        </w:rPr>
        <w:t>TRPA</w:t>
      </w:r>
      <w:r>
        <w:rPr>
          <w:color w:val="000000"/>
          <w:sz w:val="28"/>
          <w:szCs w:val="28"/>
          <w:lang w:val="uk-UA"/>
        </w:rPr>
        <w:t>1-рецептори</w:t>
      </w:r>
      <w:r>
        <w:rPr>
          <w:sz w:val="28"/>
          <w:szCs w:val="28"/>
          <w:lang w:val="uk-UA"/>
        </w:rPr>
        <w:t xml:space="preserve">. Комплексна </w:t>
      </w:r>
      <w:r>
        <w:rPr>
          <w:sz w:val="28"/>
          <w:szCs w:val="28"/>
          <w:lang w:val="uk-UA"/>
        </w:rPr>
        <w:lastRenderedPageBreak/>
        <w:t xml:space="preserve">сполука ІІ (рис. 5.4.3) також виявляла антиноцицептивну дію, дані становили 28,8 с. </w:t>
      </w:r>
      <w:r w:rsidRPr="00230693">
        <w:rPr>
          <w:color w:val="000000"/>
          <w:sz w:val="28"/>
          <w:szCs w:val="28"/>
          <w:lang w:val="uk-UA"/>
        </w:rPr>
        <w:t>±</w:t>
      </w:r>
      <w:r>
        <w:rPr>
          <w:color w:val="000000"/>
          <w:sz w:val="28"/>
          <w:szCs w:val="28"/>
          <w:lang w:val="uk-UA"/>
        </w:rPr>
        <w:t xml:space="preserve"> 7,0</w:t>
      </w:r>
      <w:r>
        <w:rPr>
          <w:sz w:val="28"/>
          <w:szCs w:val="28"/>
          <w:lang w:val="uk-UA"/>
        </w:rPr>
        <w:t xml:space="preserve"> у порівнянні із контролем.</w:t>
      </w:r>
    </w:p>
    <w:p w14:paraId="3E008EA0" w14:textId="77777777" w:rsidR="0071066B" w:rsidRDefault="00F05F4E" w:rsidP="0071066B">
      <w:pPr>
        <w:pStyle w:val="a6"/>
        <w:spacing w:before="0" w:beforeAutospacing="0" w:after="0" w:afterAutospacing="0" w:line="360" w:lineRule="auto"/>
        <w:ind w:hanging="450"/>
        <w:jc w:val="center"/>
        <w:rPr>
          <w:sz w:val="28"/>
          <w:szCs w:val="28"/>
          <w:lang w:val="uk-UA"/>
        </w:rPr>
      </w:pPr>
      <w:r>
        <w:rPr>
          <w:noProof/>
          <w:sz w:val="28"/>
          <w:szCs w:val="28"/>
          <w:lang w:val="en-US" w:eastAsia="en-US"/>
        </w:rPr>
        <w:drawing>
          <wp:inline distT="0" distB="0" distL="0" distR="0" wp14:anchorId="69179D46" wp14:editId="5A16E1AD">
            <wp:extent cx="3704095" cy="2485835"/>
            <wp:effectExtent l="0" t="0" r="4445"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rotWithShape="1">
                    <a:blip r:embed="rId56">
                      <a:extLst>
                        <a:ext uri="{28A0092B-C50C-407E-A947-70E740481C1C}">
                          <a14:useLocalDpi xmlns:a14="http://schemas.microsoft.com/office/drawing/2010/main" val="0"/>
                        </a:ext>
                      </a:extLst>
                    </a:blip>
                    <a:srcRect l="14357" t="5369" r="2354" b="2435"/>
                    <a:stretch/>
                  </pic:blipFill>
                  <pic:spPr bwMode="auto">
                    <a:xfrm>
                      <a:off x="0" y="0"/>
                      <a:ext cx="3714659" cy="2492924"/>
                    </a:xfrm>
                    <a:prstGeom prst="rect">
                      <a:avLst/>
                    </a:prstGeom>
                    <a:ln>
                      <a:noFill/>
                    </a:ln>
                    <a:extLst>
                      <a:ext uri="{53640926-AAD7-44D8-BBD7-CCE9431645EC}">
                        <a14:shadowObscured xmlns:a14="http://schemas.microsoft.com/office/drawing/2010/main"/>
                      </a:ext>
                    </a:extLst>
                  </pic:spPr>
                </pic:pic>
              </a:graphicData>
            </a:graphic>
          </wp:inline>
        </w:drawing>
      </w:r>
    </w:p>
    <w:p w14:paraId="61496699" w14:textId="6D324EA9" w:rsidR="00F05F4E" w:rsidRPr="008A6B7D" w:rsidRDefault="00F05F4E" w:rsidP="0071066B">
      <w:pPr>
        <w:pStyle w:val="a6"/>
        <w:spacing w:before="0" w:beforeAutospacing="0" w:after="0" w:afterAutospacing="0" w:line="360" w:lineRule="auto"/>
        <w:ind w:hanging="90"/>
        <w:jc w:val="both"/>
        <w:rPr>
          <w:lang w:val="uk-UA"/>
        </w:rPr>
      </w:pPr>
      <w:r w:rsidRPr="00FF6C5D">
        <w:rPr>
          <w:sz w:val="27"/>
          <w:szCs w:val="27"/>
          <w:lang w:val="uk-UA"/>
        </w:rPr>
        <w:t xml:space="preserve">Рис. </w:t>
      </w:r>
      <w:r>
        <w:rPr>
          <w:sz w:val="27"/>
          <w:szCs w:val="27"/>
          <w:lang w:val="uk-UA"/>
        </w:rPr>
        <w:t>5</w:t>
      </w:r>
      <w:r w:rsidRPr="00FF6C5D">
        <w:rPr>
          <w:sz w:val="27"/>
          <w:szCs w:val="27"/>
          <w:lang w:val="uk-UA"/>
        </w:rPr>
        <w:t>.4.3 Антиноцицептивна активність комплексної сполуки ІІ при місцевому введенні (латентний час розвитку больової реакції у секундах, (М</w:t>
      </w:r>
      <w:r w:rsidRPr="00FF6C5D">
        <w:rPr>
          <w:color w:val="4D5156"/>
          <w:sz w:val="27"/>
          <w:szCs w:val="27"/>
          <w:shd w:val="clear" w:color="auto" w:fill="FFFFFF"/>
          <w:lang w:val="uk-UA"/>
        </w:rPr>
        <w:t>±</w:t>
      </w:r>
      <w:r w:rsidRPr="00FF6C5D">
        <w:rPr>
          <w:sz w:val="27"/>
          <w:szCs w:val="27"/>
          <w:lang w:val="en-US"/>
        </w:rPr>
        <w:t>m</w:t>
      </w:r>
      <w:r w:rsidRPr="00FF6C5D">
        <w:rPr>
          <w:sz w:val="27"/>
          <w:szCs w:val="27"/>
          <w:lang w:val="uk-UA"/>
        </w:rPr>
        <w:t xml:space="preserve">, </w:t>
      </w:r>
      <w:r w:rsidRPr="00FF6C5D">
        <w:rPr>
          <w:sz w:val="27"/>
          <w:szCs w:val="27"/>
          <w:lang w:val="en-US"/>
        </w:rPr>
        <w:t>n</w:t>
      </w:r>
      <w:r w:rsidRPr="00FF6C5D">
        <w:rPr>
          <w:sz w:val="27"/>
          <w:szCs w:val="27"/>
          <w:lang w:val="uk-UA"/>
        </w:rPr>
        <w:t>=5).</w:t>
      </w:r>
      <w:r>
        <w:rPr>
          <w:sz w:val="28"/>
          <w:szCs w:val="28"/>
          <w:lang w:val="uk-UA"/>
        </w:rPr>
        <w:br/>
      </w:r>
      <w:r w:rsidRPr="008A6B7D">
        <w:rPr>
          <w:lang w:val="uk-UA"/>
        </w:rPr>
        <w:t>Примітки:</w:t>
      </w:r>
    </w:p>
    <w:p w14:paraId="57F1E29B" w14:textId="77777777" w:rsidR="00F05F4E" w:rsidRPr="008A6B7D" w:rsidRDefault="00F05F4E" w:rsidP="00F05F4E">
      <w:pPr>
        <w:numPr>
          <w:ilvl w:val="6"/>
          <w:numId w:val="14"/>
        </w:numPr>
        <w:ind w:left="450" w:hanging="450"/>
        <w:jc w:val="both"/>
      </w:pPr>
      <w:r w:rsidRPr="008A6B7D">
        <w:t>*</w:t>
      </w:r>
      <w:r w:rsidRPr="008A6B7D">
        <w:rPr>
          <w:lang w:val="uk-UA"/>
        </w:rPr>
        <w:t xml:space="preserve"> </w:t>
      </w:r>
      <w:r w:rsidRPr="008A6B7D">
        <w:t>-</w:t>
      </w:r>
      <w:r w:rsidRPr="008A6B7D">
        <w:rPr>
          <w:lang w:val="uk-UA"/>
        </w:rPr>
        <w:t xml:space="preserve"> </w:t>
      </w:r>
      <w:r w:rsidRPr="008A6B7D">
        <w:rPr>
          <w:lang w:val="en-US"/>
        </w:rPr>
        <w:t>p</w:t>
      </w:r>
      <w:r w:rsidRPr="008A6B7D">
        <w:t xml:space="preserve"> </w:t>
      </w:r>
      <w:r w:rsidRPr="008A6B7D">
        <w:rPr>
          <w:lang w:val="en-US"/>
        </w:rPr>
        <w:sym w:font="Symbol" w:char="F03C"/>
      </w:r>
      <w:r w:rsidRPr="008A6B7D">
        <w:t xml:space="preserve"> 0,05 </w:t>
      </w:r>
      <w:r w:rsidRPr="008A6B7D">
        <w:rPr>
          <w:lang w:val="uk-UA"/>
        </w:rPr>
        <w:t>(статистично значуща різниця у порівнянні з контрольною групою).</w:t>
      </w:r>
      <w:r w:rsidRPr="008A6B7D">
        <w:t xml:space="preserve"> </w:t>
      </w:r>
    </w:p>
    <w:p w14:paraId="758F4B24" w14:textId="77777777" w:rsidR="00F05F4E" w:rsidRPr="008A6B7D" w:rsidRDefault="00F05F4E" w:rsidP="00F05F4E">
      <w:pPr>
        <w:numPr>
          <w:ilvl w:val="6"/>
          <w:numId w:val="14"/>
        </w:numPr>
        <w:ind w:left="450" w:hanging="450"/>
        <w:jc w:val="both"/>
      </w:pP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 групою).</w:t>
      </w:r>
    </w:p>
    <w:p w14:paraId="391DEA79" w14:textId="74E447F3" w:rsidR="00F05F4E" w:rsidRPr="008A6B7D" w:rsidRDefault="00F05F4E" w:rsidP="00F05F4E">
      <w:pPr>
        <w:numPr>
          <w:ilvl w:val="6"/>
          <w:numId w:val="14"/>
        </w:numPr>
        <w:ind w:left="450" w:hanging="450"/>
        <w:jc w:val="both"/>
      </w:pPr>
      <w:r w:rsidRPr="008A6B7D">
        <w:t>n – кількість тварин у групі.</w:t>
      </w:r>
    </w:p>
    <w:p w14:paraId="74A922E5" w14:textId="77777777" w:rsidR="007C0C3C" w:rsidRPr="00F05F4E" w:rsidRDefault="007C0C3C" w:rsidP="007C0C3C">
      <w:pPr>
        <w:ind w:left="450"/>
        <w:jc w:val="both"/>
        <w:rPr>
          <w:sz w:val="26"/>
          <w:szCs w:val="26"/>
        </w:rPr>
      </w:pPr>
    </w:p>
    <w:p w14:paraId="643DAB32" w14:textId="77777777" w:rsidR="001759D5" w:rsidRDefault="00F05F4E" w:rsidP="001759D5">
      <w:pPr>
        <w:pStyle w:val="a6"/>
        <w:spacing w:before="0" w:beforeAutospacing="0" w:after="0" w:afterAutospacing="0" w:line="360" w:lineRule="auto"/>
        <w:ind w:firstLine="567"/>
        <w:jc w:val="both"/>
        <w:rPr>
          <w:sz w:val="28"/>
          <w:szCs w:val="28"/>
          <w:lang w:val="uk-UA"/>
        </w:rPr>
      </w:pPr>
      <w:r>
        <w:rPr>
          <w:sz w:val="28"/>
          <w:szCs w:val="28"/>
          <w:lang w:val="uk-UA"/>
        </w:rPr>
        <w:t xml:space="preserve">Найбільш виразний знеболюючий ефект спостерігався після місцевого нанесення саліцілоїлгідразона 4-бромбензальдегіду у відповідь на введення аллілізотіоціонату (зменшення часу облизування пошкодженої кінцівки до 10,8 </w:t>
      </w:r>
      <w:r w:rsidRPr="00230693">
        <w:rPr>
          <w:color w:val="000000"/>
          <w:sz w:val="28"/>
          <w:szCs w:val="28"/>
          <w:lang w:val="uk-UA"/>
        </w:rPr>
        <w:t>±</w:t>
      </w:r>
      <w:r>
        <w:rPr>
          <w:color w:val="000000"/>
          <w:sz w:val="28"/>
          <w:szCs w:val="28"/>
          <w:lang w:val="uk-UA"/>
        </w:rPr>
        <w:t xml:space="preserve"> 1,0 с</w:t>
      </w:r>
      <w:r>
        <w:rPr>
          <w:sz w:val="28"/>
          <w:szCs w:val="28"/>
          <w:lang w:val="uk-UA"/>
        </w:rPr>
        <w:t xml:space="preserve">). </w:t>
      </w:r>
      <w:bookmarkStart w:id="16" w:name="_Toc61808896"/>
      <w:bookmarkStart w:id="17" w:name="_Toc63336110"/>
    </w:p>
    <w:p w14:paraId="4958D9F2" w14:textId="77777777" w:rsidR="001759D5" w:rsidRDefault="001759D5" w:rsidP="001759D5">
      <w:pPr>
        <w:pStyle w:val="a6"/>
        <w:spacing w:before="0" w:beforeAutospacing="0" w:after="0" w:afterAutospacing="0" w:line="360" w:lineRule="auto"/>
        <w:ind w:firstLine="567"/>
        <w:jc w:val="both"/>
        <w:rPr>
          <w:b/>
          <w:sz w:val="28"/>
          <w:szCs w:val="28"/>
          <w:lang w:val="uk-UA"/>
        </w:rPr>
      </w:pPr>
    </w:p>
    <w:p w14:paraId="10F6436B" w14:textId="2CDD858A" w:rsidR="00F05F4E" w:rsidRPr="001759D5" w:rsidRDefault="00F05F4E" w:rsidP="001759D5">
      <w:pPr>
        <w:pStyle w:val="a6"/>
        <w:spacing w:before="0" w:beforeAutospacing="0" w:after="0" w:afterAutospacing="0" w:line="360" w:lineRule="auto"/>
        <w:ind w:firstLine="567"/>
        <w:jc w:val="both"/>
        <w:rPr>
          <w:sz w:val="28"/>
          <w:szCs w:val="28"/>
          <w:lang w:val="uk-UA"/>
        </w:rPr>
      </w:pPr>
      <w:r>
        <w:rPr>
          <w:b/>
          <w:sz w:val="28"/>
          <w:szCs w:val="28"/>
          <w:lang w:val="uk-UA"/>
        </w:rPr>
        <w:t>5.</w:t>
      </w:r>
      <w:r w:rsidRPr="0048196F">
        <w:rPr>
          <w:b/>
          <w:sz w:val="28"/>
          <w:szCs w:val="28"/>
          <w:lang w:val="uk-UA"/>
        </w:rPr>
        <w:t xml:space="preserve">5 Визначення анальгетичної дії при місцевому введенні </w:t>
      </w:r>
      <w:r w:rsidR="00C57D1F">
        <w:rPr>
          <w:b/>
          <w:sz w:val="28"/>
          <w:szCs w:val="28"/>
          <w:lang w:val="uk-UA"/>
        </w:rPr>
        <w:t xml:space="preserve">комплексних сполук </w:t>
      </w:r>
      <w:r w:rsidR="00C57D1F">
        <w:rPr>
          <w:b/>
          <w:sz w:val="28"/>
          <w:szCs w:val="28"/>
        </w:rPr>
        <w:t>Sn</w:t>
      </w:r>
      <w:r w:rsidR="00C57D1F">
        <w:rPr>
          <w:b/>
          <w:sz w:val="28"/>
          <w:szCs w:val="28"/>
          <w:lang w:val="uk-UA"/>
        </w:rPr>
        <w:t xml:space="preserve"> (</w:t>
      </w:r>
      <w:r w:rsidR="00C57D1F">
        <w:rPr>
          <w:b/>
          <w:sz w:val="28"/>
          <w:szCs w:val="28"/>
          <w:lang w:val="en-US"/>
        </w:rPr>
        <w:t>IV</w:t>
      </w:r>
      <w:r w:rsidR="00C57D1F">
        <w:rPr>
          <w:b/>
          <w:sz w:val="28"/>
          <w:szCs w:val="28"/>
          <w:lang w:val="uk-UA"/>
        </w:rPr>
        <w:t>) з саліцилоїлгідразонами бензальдегідів</w:t>
      </w:r>
      <w:r w:rsidRPr="0048196F">
        <w:rPr>
          <w:b/>
          <w:sz w:val="28"/>
          <w:szCs w:val="28"/>
          <w:lang w:val="uk-UA"/>
        </w:rPr>
        <w:t xml:space="preserve"> на моделі </w:t>
      </w:r>
      <w:r w:rsidRPr="0048196F">
        <w:rPr>
          <w:rFonts w:eastAsia="MS Mincho"/>
          <w:b/>
          <w:sz w:val="28"/>
          <w:szCs w:val="28"/>
          <w:lang w:val="uk-UA"/>
        </w:rPr>
        <w:t>формалін-індукованого болю.</w:t>
      </w:r>
      <w:bookmarkEnd w:id="16"/>
      <w:bookmarkEnd w:id="17"/>
    </w:p>
    <w:p w14:paraId="52850B2E" w14:textId="32FE5DBE" w:rsidR="00F05F4E" w:rsidRPr="0048196F" w:rsidRDefault="00F05F4E" w:rsidP="001759D5">
      <w:pPr>
        <w:pStyle w:val="a6"/>
        <w:spacing w:before="0" w:beforeAutospacing="0" w:after="0" w:afterAutospacing="0" w:line="360" w:lineRule="auto"/>
        <w:ind w:firstLine="567"/>
        <w:jc w:val="both"/>
        <w:rPr>
          <w:rFonts w:eastAsia="MS Mincho"/>
          <w:b/>
          <w:sz w:val="28"/>
          <w:szCs w:val="28"/>
          <w:lang w:val="uk-UA"/>
        </w:rPr>
      </w:pPr>
      <w:r w:rsidRPr="0048196F">
        <w:rPr>
          <w:sz w:val="28"/>
          <w:szCs w:val="28"/>
          <w:lang w:val="uk-UA"/>
        </w:rPr>
        <w:t xml:space="preserve">Відомо, що формаліновий тест дозволяє диференціювати різні механізми аналгетичної активності лікарських речовин і доведено, що в гострій фазі не виявляють активності речовини, переважним механізмом дії яких є вплив на синтез ЦОГ-2 з подальшим пригніченням вироблення простагландинів, тим самим зменшуючи </w:t>
      </w:r>
      <w:r w:rsidRPr="00787744">
        <w:rPr>
          <w:color w:val="000000"/>
          <w:sz w:val="28"/>
          <w:szCs w:val="28"/>
          <w:lang w:val="uk-UA"/>
        </w:rPr>
        <w:t>запалення [2</w:t>
      </w:r>
      <w:r w:rsidR="00FE60C3">
        <w:rPr>
          <w:color w:val="000000"/>
          <w:sz w:val="28"/>
          <w:szCs w:val="28"/>
          <w:lang w:val="uk-UA"/>
        </w:rPr>
        <w:t>23</w:t>
      </w:r>
      <w:r w:rsidRPr="00787744">
        <w:rPr>
          <w:color w:val="000000"/>
          <w:sz w:val="28"/>
          <w:szCs w:val="28"/>
          <w:lang w:val="uk-UA"/>
        </w:rPr>
        <w:t>].</w:t>
      </w:r>
    </w:p>
    <w:p w14:paraId="550ABD19" w14:textId="50279CB4" w:rsidR="00F05F4E" w:rsidRDefault="00F05F4E" w:rsidP="00F05F4E">
      <w:pPr>
        <w:pStyle w:val="a6"/>
        <w:spacing w:before="0" w:beforeAutospacing="0" w:after="0" w:afterAutospacing="0" w:line="360" w:lineRule="auto"/>
        <w:ind w:firstLine="567"/>
        <w:jc w:val="both"/>
        <w:rPr>
          <w:sz w:val="28"/>
          <w:szCs w:val="28"/>
          <w:lang w:val="uk-UA"/>
        </w:rPr>
      </w:pPr>
      <w:r w:rsidRPr="0048196F">
        <w:rPr>
          <w:sz w:val="28"/>
          <w:szCs w:val="28"/>
          <w:lang w:val="uk-UA"/>
        </w:rPr>
        <w:lastRenderedPageBreak/>
        <w:t>Перевагою формалінового тесту є можливість оцінити два типи болю протягом тривалого часу (2 фази</w:t>
      </w:r>
      <w:r w:rsidRPr="00787744">
        <w:rPr>
          <w:color w:val="000000"/>
          <w:sz w:val="28"/>
          <w:szCs w:val="28"/>
          <w:lang w:val="uk-UA"/>
        </w:rPr>
        <w:t xml:space="preserve">) </w:t>
      </w:r>
      <w:r w:rsidRPr="00787744">
        <w:rPr>
          <w:color w:val="000000"/>
          <w:sz w:val="28"/>
          <w:szCs w:val="28"/>
        </w:rPr>
        <w:t>[</w:t>
      </w:r>
      <w:r w:rsidRPr="00787744">
        <w:rPr>
          <w:color w:val="000000"/>
          <w:sz w:val="28"/>
          <w:szCs w:val="28"/>
          <w:lang w:val="uk-UA"/>
        </w:rPr>
        <w:t>2</w:t>
      </w:r>
      <w:r w:rsidR="00FE60C3">
        <w:rPr>
          <w:color w:val="000000"/>
          <w:sz w:val="28"/>
          <w:szCs w:val="28"/>
          <w:lang w:val="uk-UA"/>
        </w:rPr>
        <w:t>24</w:t>
      </w:r>
      <w:r w:rsidRPr="00787744">
        <w:rPr>
          <w:color w:val="000000"/>
          <w:sz w:val="28"/>
          <w:szCs w:val="28"/>
          <w:lang w:val="uk-UA"/>
        </w:rPr>
        <w:t>, 2</w:t>
      </w:r>
      <w:r w:rsidR="00FE60C3">
        <w:rPr>
          <w:color w:val="000000"/>
          <w:sz w:val="28"/>
          <w:szCs w:val="28"/>
          <w:lang w:val="uk-UA"/>
        </w:rPr>
        <w:t>25</w:t>
      </w:r>
      <w:r w:rsidRPr="00787744">
        <w:rPr>
          <w:color w:val="000000"/>
          <w:sz w:val="28"/>
          <w:szCs w:val="28"/>
        </w:rPr>
        <w:t>]</w:t>
      </w:r>
      <w:r w:rsidRPr="00787744">
        <w:rPr>
          <w:color w:val="000000"/>
          <w:sz w:val="28"/>
          <w:szCs w:val="28"/>
          <w:lang w:val="uk-UA"/>
        </w:rPr>
        <w:t>.</w:t>
      </w:r>
      <w:r>
        <w:rPr>
          <w:sz w:val="28"/>
          <w:szCs w:val="28"/>
          <w:lang w:val="uk-UA"/>
        </w:rPr>
        <w:t xml:space="preserve"> Відомо, що I фаза (перші 5 хв. після введення флогогену) є фазою гострого болю і пов'язана в основному з прямою активацією тонких немієлінових С-волокон, більшість з яких передає імпульс від больових рецепторів. У свою чергу II фаза характеризує біль, що індукується запальними факторами в периферичних тканинах, проявлятися він починає через 10-15 хвилин після початку експерименту і закінчується через 50 - 55 хв. </w:t>
      </w:r>
    </w:p>
    <w:p w14:paraId="18055CAC" w14:textId="7611E31B" w:rsidR="00F05F4E" w:rsidRDefault="00F05F4E" w:rsidP="00F05F4E">
      <w:pPr>
        <w:pStyle w:val="a6"/>
        <w:spacing w:before="0" w:beforeAutospacing="0" w:after="0" w:afterAutospacing="0" w:line="360" w:lineRule="auto"/>
        <w:ind w:firstLine="567"/>
        <w:jc w:val="both"/>
        <w:rPr>
          <w:sz w:val="28"/>
          <w:szCs w:val="28"/>
          <w:lang w:val="uk-UA"/>
        </w:rPr>
      </w:pPr>
      <w:r>
        <w:rPr>
          <w:sz w:val="28"/>
          <w:szCs w:val="28"/>
          <w:lang w:val="uk-UA"/>
        </w:rPr>
        <w:t xml:space="preserve">Результати, отримані в першій фазі формалінового запалення (табл. 5.5.1) свідчать про те, що практично всі досліджувані сполуки не надають анальгетичної дії в цій фазі, що імовірно пов'язано з відсутністю впливу досліджуваних сполук на периферичні ноцицептори. </w:t>
      </w:r>
    </w:p>
    <w:p w14:paraId="68B7BD98" w14:textId="3CE8446D" w:rsidR="00F05F4E" w:rsidRDefault="00F05F4E" w:rsidP="00F05F4E">
      <w:pPr>
        <w:widowControl w:val="0"/>
        <w:autoSpaceDE w:val="0"/>
        <w:autoSpaceDN w:val="0"/>
        <w:adjustRightInd w:val="0"/>
        <w:jc w:val="right"/>
        <w:rPr>
          <w:sz w:val="28"/>
          <w:szCs w:val="28"/>
          <w:lang w:val="uk-UA"/>
        </w:rPr>
      </w:pPr>
      <w:r w:rsidRPr="00FF6C5D">
        <w:rPr>
          <w:sz w:val="28"/>
          <w:szCs w:val="28"/>
          <w:lang w:val="uk-UA"/>
        </w:rPr>
        <w:t xml:space="preserve">Таблиця </w:t>
      </w:r>
      <w:r>
        <w:rPr>
          <w:sz w:val="28"/>
          <w:szCs w:val="28"/>
          <w:lang w:val="uk-UA"/>
        </w:rPr>
        <w:t>5</w:t>
      </w:r>
      <w:r w:rsidRPr="00FF6C5D">
        <w:rPr>
          <w:sz w:val="28"/>
          <w:szCs w:val="28"/>
          <w:lang w:val="uk-UA"/>
        </w:rPr>
        <w:t>.5.1</w:t>
      </w:r>
    </w:p>
    <w:p w14:paraId="6BF16B19" w14:textId="5E1F1B6C" w:rsidR="00F05F4E" w:rsidRDefault="00F05F4E" w:rsidP="007C0C3C">
      <w:pPr>
        <w:widowControl w:val="0"/>
        <w:autoSpaceDE w:val="0"/>
        <w:autoSpaceDN w:val="0"/>
        <w:adjustRightInd w:val="0"/>
        <w:jc w:val="right"/>
        <w:rPr>
          <w:b/>
          <w:sz w:val="28"/>
          <w:szCs w:val="28"/>
          <w:lang w:val="uk-UA"/>
        </w:rPr>
      </w:pPr>
      <w:r>
        <w:rPr>
          <w:b/>
          <w:sz w:val="28"/>
          <w:szCs w:val="28"/>
          <w:lang w:val="uk-UA"/>
        </w:rPr>
        <w:t>Антиноцицептивна</w:t>
      </w:r>
      <w:r w:rsidRPr="00FF6C5D">
        <w:rPr>
          <w:b/>
          <w:sz w:val="28"/>
          <w:szCs w:val="28"/>
          <w:lang w:val="uk-UA"/>
        </w:rPr>
        <w:t xml:space="preserve"> активність досліджуваних сполук при пероральному на моделі больового запалення, викликаного формаліном, у секундах.</w:t>
      </w:r>
      <w:r>
        <w:rPr>
          <w:b/>
          <w:sz w:val="28"/>
          <w:szCs w:val="28"/>
          <w:lang w:val="uk-UA"/>
        </w:rPr>
        <w:t xml:space="preserve"> </w:t>
      </w:r>
      <w:r w:rsidRPr="00FF6C5D">
        <w:rPr>
          <w:b/>
          <w:sz w:val="28"/>
          <w:szCs w:val="28"/>
          <w:lang w:val="uk-UA"/>
        </w:rPr>
        <w:t>(М</w:t>
      </w:r>
      <w:r w:rsidRPr="00FF6C5D">
        <w:rPr>
          <w:b/>
          <w:color w:val="4D5156"/>
          <w:sz w:val="28"/>
          <w:szCs w:val="28"/>
          <w:shd w:val="clear" w:color="auto" w:fill="FFFFFF"/>
          <w:lang w:val="uk-UA"/>
        </w:rPr>
        <w:t>±</w:t>
      </w:r>
      <w:r w:rsidRPr="00FF6C5D">
        <w:rPr>
          <w:b/>
          <w:sz w:val="28"/>
          <w:szCs w:val="28"/>
          <w:lang w:val="en-US"/>
        </w:rPr>
        <w:t>m</w:t>
      </w:r>
      <w:r w:rsidRPr="00FF6C5D">
        <w:rPr>
          <w:b/>
          <w:sz w:val="28"/>
          <w:szCs w:val="28"/>
          <w:lang w:val="uk-UA"/>
        </w:rPr>
        <w:t xml:space="preserve">, </w:t>
      </w:r>
      <w:r w:rsidRPr="00FF6C5D">
        <w:rPr>
          <w:b/>
          <w:sz w:val="28"/>
          <w:szCs w:val="28"/>
          <w:lang w:val="en-US"/>
        </w:rPr>
        <w:t>n</w:t>
      </w:r>
      <w:r w:rsidRPr="00FF6C5D">
        <w:rPr>
          <w:b/>
          <w:sz w:val="28"/>
          <w:szCs w:val="28"/>
          <w:lang w:val="uk-UA"/>
        </w:rPr>
        <w:t>=5)</w:t>
      </w:r>
    </w:p>
    <w:p w14:paraId="6A6BF00C" w14:textId="77777777" w:rsidR="00F05F4E" w:rsidRPr="00FF6C5D" w:rsidRDefault="00F05F4E" w:rsidP="00F05F4E">
      <w:pPr>
        <w:widowControl w:val="0"/>
        <w:autoSpaceDE w:val="0"/>
        <w:autoSpaceDN w:val="0"/>
        <w:adjustRightInd w:val="0"/>
        <w:rPr>
          <w:sz w:val="28"/>
          <w:szCs w:val="28"/>
          <w:lang w:val="uk-UA"/>
        </w:rPr>
      </w:pPr>
    </w:p>
    <w:tbl>
      <w:tblPr>
        <w:tblStyle w:val="afb"/>
        <w:tblpPr w:leftFromText="180" w:rightFromText="180" w:vertAnchor="text" w:horzAnchor="margin" w:tblpX="80" w:tblpY="-137"/>
        <w:tblW w:w="9319" w:type="dxa"/>
        <w:tblLayout w:type="fixed"/>
        <w:tblLook w:val="04A0" w:firstRow="1" w:lastRow="0" w:firstColumn="1" w:lastColumn="0" w:noHBand="0" w:noVBand="1"/>
      </w:tblPr>
      <w:tblGrid>
        <w:gridCol w:w="630"/>
        <w:gridCol w:w="4410"/>
        <w:gridCol w:w="2250"/>
        <w:gridCol w:w="2029"/>
      </w:tblGrid>
      <w:tr w:rsidR="00A50810" w:rsidRPr="00A50810" w14:paraId="5FD7398F" w14:textId="77777777" w:rsidTr="00352B8A">
        <w:trPr>
          <w:trHeight w:val="890"/>
        </w:trPr>
        <w:tc>
          <w:tcPr>
            <w:tcW w:w="630" w:type="dxa"/>
            <w:vAlign w:val="center"/>
          </w:tcPr>
          <w:p w14:paraId="2E6B793E" w14:textId="785A55E6" w:rsidR="00A50810" w:rsidRDefault="00A50810" w:rsidP="00352B8A">
            <w:pPr>
              <w:widowControl w:val="0"/>
              <w:autoSpaceDE w:val="0"/>
              <w:autoSpaceDN w:val="0"/>
              <w:adjustRightInd w:val="0"/>
              <w:jc w:val="center"/>
              <w:rPr>
                <w:color w:val="000000"/>
              </w:rPr>
            </w:pPr>
            <w:r w:rsidRPr="00A50810">
              <w:t>№ гр</w:t>
            </w:r>
          </w:p>
        </w:tc>
        <w:tc>
          <w:tcPr>
            <w:tcW w:w="4410" w:type="dxa"/>
            <w:vAlign w:val="center"/>
          </w:tcPr>
          <w:p w14:paraId="27A69A17" w14:textId="59C67B0D" w:rsidR="00A50810" w:rsidRPr="00A50810" w:rsidRDefault="00A50810" w:rsidP="00352B8A">
            <w:pPr>
              <w:widowControl w:val="0"/>
              <w:autoSpaceDE w:val="0"/>
              <w:autoSpaceDN w:val="0"/>
              <w:adjustRightInd w:val="0"/>
              <w:jc w:val="center"/>
              <w:rPr>
                <w:color w:val="000000"/>
              </w:rPr>
            </w:pPr>
            <w:r>
              <w:rPr>
                <w:color w:val="000000"/>
              </w:rPr>
              <w:t>Сполука</w:t>
            </w:r>
          </w:p>
        </w:tc>
        <w:tc>
          <w:tcPr>
            <w:tcW w:w="4279" w:type="dxa"/>
            <w:gridSpan w:val="2"/>
          </w:tcPr>
          <w:p w14:paraId="3D722F82" w14:textId="77777777" w:rsidR="00A50810" w:rsidRPr="00A50810" w:rsidRDefault="00A50810" w:rsidP="00352B8A">
            <w:pPr>
              <w:widowControl w:val="0"/>
              <w:autoSpaceDE w:val="0"/>
              <w:autoSpaceDN w:val="0"/>
              <w:adjustRightInd w:val="0"/>
              <w:jc w:val="center"/>
              <w:rPr>
                <w:color w:val="000000"/>
              </w:rPr>
            </w:pPr>
            <w:r w:rsidRPr="00A50810">
              <w:rPr>
                <w:color w:val="000000"/>
              </w:rPr>
              <w:t>Формал</w:t>
            </w:r>
            <w:r w:rsidRPr="00A50810">
              <w:rPr>
                <w:color w:val="000000"/>
                <w:lang w:val="uk-UA"/>
              </w:rPr>
              <w:t>і</w:t>
            </w:r>
            <w:r w:rsidRPr="00A50810">
              <w:rPr>
                <w:color w:val="000000"/>
              </w:rPr>
              <w:t>н</w:t>
            </w:r>
          </w:p>
          <w:p w14:paraId="60956F2F" w14:textId="77777777" w:rsidR="00A50810" w:rsidRPr="00A50810" w:rsidRDefault="00A50810" w:rsidP="00352B8A">
            <w:pPr>
              <w:widowControl w:val="0"/>
              <w:autoSpaceDE w:val="0"/>
              <w:autoSpaceDN w:val="0"/>
              <w:adjustRightInd w:val="0"/>
              <w:rPr>
                <w:color w:val="000000"/>
              </w:rPr>
            </w:pPr>
            <w:r w:rsidRPr="00A50810">
              <w:rPr>
                <w:color w:val="000000"/>
                <w:lang w:val="uk-UA"/>
              </w:rPr>
              <w:t xml:space="preserve">         </w:t>
            </w:r>
            <w:r w:rsidRPr="00A50810">
              <w:rPr>
                <w:color w:val="000000"/>
              </w:rPr>
              <w:t xml:space="preserve">1 фаза              </w:t>
            </w:r>
            <w:r w:rsidRPr="00A50810">
              <w:rPr>
                <w:color w:val="000000"/>
                <w:lang w:val="uk-UA"/>
              </w:rPr>
              <w:t xml:space="preserve">     </w:t>
            </w:r>
            <w:r w:rsidRPr="00A50810">
              <w:rPr>
                <w:color w:val="000000"/>
              </w:rPr>
              <w:t xml:space="preserve"> </w:t>
            </w:r>
            <w:r w:rsidRPr="00A50810">
              <w:rPr>
                <w:color w:val="000000"/>
                <w:lang w:val="uk-UA"/>
              </w:rPr>
              <w:t xml:space="preserve">    </w:t>
            </w:r>
            <w:r w:rsidRPr="00A50810">
              <w:rPr>
                <w:color w:val="000000"/>
              </w:rPr>
              <w:t>2 фаза</w:t>
            </w:r>
          </w:p>
        </w:tc>
      </w:tr>
      <w:tr w:rsidR="00A50810" w:rsidRPr="00A50810" w14:paraId="6A9A9CDA" w14:textId="77777777" w:rsidTr="00352B8A">
        <w:trPr>
          <w:trHeight w:val="377"/>
        </w:trPr>
        <w:tc>
          <w:tcPr>
            <w:tcW w:w="630" w:type="dxa"/>
            <w:vAlign w:val="center"/>
          </w:tcPr>
          <w:p w14:paraId="485B0E53" w14:textId="77D94C22" w:rsidR="00A50810" w:rsidRPr="00A50810" w:rsidRDefault="00A50810" w:rsidP="00352B8A">
            <w:pPr>
              <w:widowControl w:val="0"/>
              <w:autoSpaceDE w:val="0"/>
              <w:autoSpaceDN w:val="0"/>
              <w:adjustRightInd w:val="0"/>
              <w:spacing w:line="360" w:lineRule="auto"/>
              <w:rPr>
                <w:color w:val="000000"/>
                <w:lang w:val="uk-UA"/>
              </w:rPr>
            </w:pPr>
            <w:r>
              <w:rPr>
                <w:color w:val="000000"/>
                <w:lang w:val="uk-UA"/>
              </w:rPr>
              <w:t>1</w:t>
            </w:r>
          </w:p>
        </w:tc>
        <w:tc>
          <w:tcPr>
            <w:tcW w:w="4410" w:type="dxa"/>
            <w:vAlign w:val="center"/>
          </w:tcPr>
          <w:p w14:paraId="5EC81AD5" w14:textId="6C16F8FE" w:rsidR="00A50810" w:rsidRPr="00A50810" w:rsidRDefault="00A50810" w:rsidP="00352B8A">
            <w:pPr>
              <w:widowControl w:val="0"/>
              <w:autoSpaceDE w:val="0"/>
              <w:autoSpaceDN w:val="0"/>
              <w:adjustRightInd w:val="0"/>
              <w:spacing w:line="360" w:lineRule="auto"/>
              <w:rPr>
                <w:color w:val="000000"/>
                <w:lang w:val="uk-UA"/>
              </w:rPr>
            </w:pPr>
            <w:r w:rsidRPr="00A50810">
              <w:rPr>
                <w:color w:val="000000"/>
                <w:lang w:val="uk-UA"/>
              </w:rPr>
              <w:t>Контроль</w:t>
            </w:r>
          </w:p>
        </w:tc>
        <w:tc>
          <w:tcPr>
            <w:tcW w:w="2250" w:type="dxa"/>
            <w:vAlign w:val="center"/>
          </w:tcPr>
          <w:p w14:paraId="3DBA4F32" w14:textId="77777777" w:rsidR="00A50810" w:rsidRPr="00A50810" w:rsidRDefault="00A50810" w:rsidP="00352B8A">
            <w:pPr>
              <w:widowControl w:val="0"/>
              <w:autoSpaceDE w:val="0"/>
              <w:autoSpaceDN w:val="0"/>
              <w:adjustRightInd w:val="0"/>
              <w:spacing w:line="360" w:lineRule="auto"/>
              <w:jc w:val="center"/>
              <w:rPr>
                <w:color w:val="000000"/>
                <w:lang w:val="uk-UA"/>
              </w:rPr>
            </w:pPr>
            <w:r w:rsidRPr="00A50810">
              <w:rPr>
                <w:color w:val="000000"/>
                <w:lang w:val="uk-UA"/>
              </w:rPr>
              <w:t>46,5</w:t>
            </w:r>
            <w:r w:rsidRPr="00A50810">
              <w:rPr>
                <w:color w:val="000000"/>
              </w:rPr>
              <w:t xml:space="preserve"> ± </w:t>
            </w:r>
            <w:r w:rsidRPr="00A50810">
              <w:rPr>
                <w:color w:val="000000"/>
                <w:lang w:val="uk-UA"/>
              </w:rPr>
              <w:t>5,5</w:t>
            </w:r>
          </w:p>
        </w:tc>
        <w:tc>
          <w:tcPr>
            <w:tcW w:w="2029" w:type="dxa"/>
            <w:vAlign w:val="center"/>
          </w:tcPr>
          <w:p w14:paraId="2F7D07A2" w14:textId="77777777" w:rsidR="00A50810" w:rsidRPr="00A50810" w:rsidRDefault="00A50810" w:rsidP="00352B8A">
            <w:pPr>
              <w:widowControl w:val="0"/>
              <w:autoSpaceDE w:val="0"/>
              <w:autoSpaceDN w:val="0"/>
              <w:adjustRightInd w:val="0"/>
              <w:spacing w:line="360" w:lineRule="auto"/>
              <w:jc w:val="center"/>
              <w:rPr>
                <w:color w:val="000000"/>
              </w:rPr>
            </w:pPr>
            <w:r w:rsidRPr="00A50810">
              <w:rPr>
                <w:color w:val="000000"/>
                <w:lang w:val="uk-UA"/>
              </w:rPr>
              <w:t>90,1</w:t>
            </w:r>
            <w:r w:rsidRPr="00A50810">
              <w:rPr>
                <w:color w:val="000000"/>
              </w:rPr>
              <w:t xml:space="preserve"> </w:t>
            </w:r>
            <w:r w:rsidRPr="00A50810">
              <w:rPr>
                <w:color w:val="000000"/>
                <w:lang w:val="uk-UA"/>
              </w:rPr>
              <w:sym w:font="Symbol" w:char="F0B1"/>
            </w:r>
            <w:r w:rsidRPr="00A50810">
              <w:rPr>
                <w:color w:val="000000"/>
                <w:lang w:val="uk-UA"/>
              </w:rPr>
              <w:t xml:space="preserve"> 11,9</w:t>
            </w:r>
          </w:p>
        </w:tc>
      </w:tr>
      <w:tr w:rsidR="00A50810" w:rsidRPr="00A50810" w14:paraId="29E81E4B" w14:textId="77777777" w:rsidTr="00352B8A">
        <w:trPr>
          <w:trHeight w:val="399"/>
        </w:trPr>
        <w:tc>
          <w:tcPr>
            <w:tcW w:w="630" w:type="dxa"/>
            <w:vAlign w:val="center"/>
          </w:tcPr>
          <w:p w14:paraId="3156CA90" w14:textId="5B0EBC8E" w:rsidR="00A50810" w:rsidRPr="00A50810" w:rsidRDefault="00A50810" w:rsidP="00352B8A">
            <w:pPr>
              <w:widowControl w:val="0"/>
              <w:autoSpaceDE w:val="0"/>
              <w:autoSpaceDN w:val="0"/>
              <w:adjustRightInd w:val="0"/>
              <w:spacing w:line="360" w:lineRule="auto"/>
              <w:rPr>
                <w:color w:val="000000"/>
                <w:lang w:val="uk-UA"/>
              </w:rPr>
            </w:pPr>
            <w:r>
              <w:rPr>
                <w:lang w:val="uk-UA"/>
              </w:rPr>
              <w:t>2</w:t>
            </w:r>
          </w:p>
        </w:tc>
        <w:tc>
          <w:tcPr>
            <w:tcW w:w="4410" w:type="dxa"/>
            <w:vAlign w:val="center"/>
          </w:tcPr>
          <w:p w14:paraId="48805094" w14:textId="68416F46" w:rsidR="00A50810" w:rsidRPr="00A50810" w:rsidRDefault="00A50810" w:rsidP="00352B8A">
            <w:pPr>
              <w:widowControl w:val="0"/>
              <w:autoSpaceDE w:val="0"/>
              <w:autoSpaceDN w:val="0"/>
              <w:adjustRightInd w:val="0"/>
              <w:spacing w:line="360" w:lineRule="auto"/>
              <w:rPr>
                <w:color w:val="000000"/>
                <w:lang w:val="uk-UA"/>
              </w:rPr>
            </w:pPr>
            <w:r w:rsidRPr="00A50810">
              <w:rPr>
                <w:color w:val="000000"/>
                <w:lang w:val="uk-UA"/>
              </w:rPr>
              <w:t>Комплекс I</w:t>
            </w:r>
          </w:p>
        </w:tc>
        <w:tc>
          <w:tcPr>
            <w:tcW w:w="2250" w:type="dxa"/>
            <w:vAlign w:val="center"/>
          </w:tcPr>
          <w:p w14:paraId="7DA0217E" w14:textId="77777777" w:rsidR="00A50810" w:rsidRPr="00A50810" w:rsidRDefault="00A50810" w:rsidP="00352B8A">
            <w:pPr>
              <w:widowControl w:val="0"/>
              <w:autoSpaceDE w:val="0"/>
              <w:autoSpaceDN w:val="0"/>
              <w:adjustRightInd w:val="0"/>
              <w:spacing w:line="360" w:lineRule="auto"/>
              <w:jc w:val="center"/>
              <w:rPr>
                <w:color w:val="000000"/>
              </w:rPr>
            </w:pPr>
            <w:r w:rsidRPr="00A50810">
              <w:rPr>
                <w:color w:val="000000"/>
                <w:lang w:val="uk-UA"/>
              </w:rPr>
              <w:t>28,4</w:t>
            </w:r>
            <w:r w:rsidRPr="00A50810">
              <w:rPr>
                <w:color w:val="000000"/>
              </w:rPr>
              <w:t xml:space="preserve"> </w:t>
            </w:r>
            <w:r w:rsidRPr="00A50810">
              <w:rPr>
                <w:color w:val="000000"/>
                <w:lang w:val="uk-UA"/>
              </w:rPr>
              <w:sym w:font="Symbol" w:char="F0B1"/>
            </w:r>
            <w:r w:rsidRPr="00A50810">
              <w:rPr>
                <w:color w:val="000000"/>
                <w:lang w:val="uk-UA"/>
              </w:rPr>
              <w:t xml:space="preserve"> 4,7</w:t>
            </w:r>
          </w:p>
        </w:tc>
        <w:tc>
          <w:tcPr>
            <w:tcW w:w="2029" w:type="dxa"/>
            <w:vAlign w:val="center"/>
          </w:tcPr>
          <w:p w14:paraId="0331D5EA" w14:textId="77777777" w:rsidR="00A50810" w:rsidRPr="00A50810" w:rsidRDefault="00A50810" w:rsidP="00352B8A">
            <w:pPr>
              <w:widowControl w:val="0"/>
              <w:autoSpaceDE w:val="0"/>
              <w:autoSpaceDN w:val="0"/>
              <w:adjustRightInd w:val="0"/>
              <w:spacing w:line="360" w:lineRule="auto"/>
              <w:jc w:val="center"/>
              <w:rPr>
                <w:color w:val="000000"/>
              </w:rPr>
            </w:pPr>
            <w:r w:rsidRPr="00A50810">
              <w:rPr>
                <w:color w:val="000000"/>
                <w:lang w:val="en-US"/>
              </w:rPr>
              <w:t>19,9</w:t>
            </w:r>
            <w:r w:rsidRPr="00A50810">
              <w:rPr>
                <w:color w:val="000000"/>
              </w:rPr>
              <w:t xml:space="preserve"> </w:t>
            </w:r>
            <w:r w:rsidRPr="00A50810">
              <w:rPr>
                <w:color w:val="000000"/>
                <w:lang w:val="uk-UA"/>
              </w:rPr>
              <w:sym w:font="Symbol" w:char="F0B1"/>
            </w:r>
            <w:r w:rsidRPr="00A50810">
              <w:rPr>
                <w:color w:val="000000"/>
                <w:lang w:val="uk-UA"/>
              </w:rPr>
              <w:t xml:space="preserve"> 0,1</w:t>
            </w:r>
          </w:p>
        </w:tc>
      </w:tr>
      <w:tr w:rsidR="00A50810" w:rsidRPr="00A50810" w14:paraId="0D9005F2" w14:textId="77777777" w:rsidTr="00352B8A">
        <w:trPr>
          <w:trHeight w:val="435"/>
        </w:trPr>
        <w:tc>
          <w:tcPr>
            <w:tcW w:w="630" w:type="dxa"/>
            <w:vAlign w:val="center"/>
          </w:tcPr>
          <w:p w14:paraId="199C74EE" w14:textId="2DCBFD7B" w:rsidR="00A50810" w:rsidRPr="00A50810" w:rsidRDefault="00A50810" w:rsidP="00352B8A">
            <w:pPr>
              <w:widowControl w:val="0"/>
              <w:autoSpaceDE w:val="0"/>
              <w:autoSpaceDN w:val="0"/>
              <w:adjustRightInd w:val="0"/>
              <w:spacing w:line="360" w:lineRule="auto"/>
              <w:rPr>
                <w:color w:val="000000"/>
                <w:lang w:val="uk-UA"/>
              </w:rPr>
            </w:pPr>
            <w:r>
              <w:rPr>
                <w:lang w:val="uk-UA"/>
              </w:rPr>
              <w:t>3</w:t>
            </w:r>
          </w:p>
        </w:tc>
        <w:tc>
          <w:tcPr>
            <w:tcW w:w="4410" w:type="dxa"/>
            <w:vAlign w:val="center"/>
          </w:tcPr>
          <w:p w14:paraId="48DEE423" w14:textId="69A5D2FF" w:rsidR="00A50810" w:rsidRPr="00A50810" w:rsidRDefault="00A50810" w:rsidP="00352B8A">
            <w:pPr>
              <w:widowControl w:val="0"/>
              <w:autoSpaceDE w:val="0"/>
              <w:autoSpaceDN w:val="0"/>
              <w:adjustRightInd w:val="0"/>
              <w:spacing w:line="360" w:lineRule="auto"/>
              <w:rPr>
                <w:color w:val="000000"/>
                <w:lang w:val="uk-UA"/>
              </w:rPr>
            </w:pPr>
            <w:r w:rsidRPr="00A50810">
              <w:rPr>
                <w:color w:val="000000"/>
                <w:lang w:val="uk-UA"/>
              </w:rPr>
              <w:t>Комплекс II</w:t>
            </w:r>
          </w:p>
        </w:tc>
        <w:tc>
          <w:tcPr>
            <w:tcW w:w="2250" w:type="dxa"/>
            <w:vAlign w:val="center"/>
          </w:tcPr>
          <w:p w14:paraId="29E2E8BC" w14:textId="77777777" w:rsidR="00A50810" w:rsidRPr="00A50810" w:rsidRDefault="00A50810" w:rsidP="00352B8A">
            <w:pPr>
              <w:widowControl w:val="0"/>
              <w:autoSpaceDE w:val="0"/>
              <w:autoSpaceDN w:val="0"/>
              <w:adjustRightInd w:val="0"/>
              <w:spacing w:line="360" w:lineRule="auto"/>
              <w:jc w:val="center"/>
              <w:rPr>
                <w:color w:val="000000"/>
                <w:lang w:val="en-US"/>
              </w:rPr>
            </w:pPr>
            <w:r w:rsidRPr="00A50810">
              <w:rPr>
                <w:color w:val="000000"/>
                <w:lang w:val="uk-UA"/>
              </w:rPr>
              <w:t>38,8</w:t>
            </w:r>
            <w:r w:rsidRPr="00A50810">
              <w:rPr>
                <w:color w:val="000000"/>
              </w:rPr>
              <w:t xml:space="preserve"> </w:t>
            </w:r>
            <w:r w:rsidRPr="00A50810">
              <w:rPr>
                <w:color w:val="000000"/>
                <w:lang w:val="uk-UA"/>
              </w:rPr>
              <w:sym w:font="Symbol" w:char="F0B1"/>
            </w:r>
            <w:r w:rsidRPr="00A50810">
              <w:rPr>
                <w:color w:val="000000"/>
                <w:lang w:val="uk-UA"/>
              </w:rPr>
              <w:t xml:space="preserve"> 4</w:t>
            </w:r>
            <w:r w:rsidRPr="00A50810">
              <w:rPr>
                <w:color w:val="000000"/>
                <w:lang w:val="en-US"/>
              </w:rPr>
              <w:t>,2</w:t>
            </w:r>
          </w:p>
        </w:tc>
        <w:tc>
          <w:tcPr>
            <w:tcW w:w="2029" w:type="dxa"/>
            <w:vAlign w:val="center"/>
          </w:tcPr>
          <w:p w14:paraId="01073BDC" w14:textId="77777777" w:rsidR="00A50810" w:rsidRPr="00A50810" w:rsidRDefault="00A50810" w:rsidP="00352B8A">
            <w:pPr>
              <w:widowControl w:val="0"/>
              <w:autoSpaceDE w:val="0"/>
              <w:autoSpaceDN w:val="0"/>
              <w:adjustRightInd w:val="0"/>
              <w:spacing w:line="360" w:lineRule="auto"/>
              <w:jc w:val="center"/>
              <w:rPr>
                <w:color w:val="000000"/>
                <w:lang w:val="en-US"/>
              </w:rPr>
            </w:pPr>
            <w:r w:rsidRPr="00A50810">
              <w:rPr>
                <w:color w:val="000000"/>
              </w:rPr>
              <w:t>2</w:t>
            </w:r>
            <w:r w:rsidRPr="00A50810">
              <w:rPr>
                <w:color w:val="000000"/>
                <w:lang w:val="en-US"/>
              </w:rPr>
              <w:t>5,57</w:t>
            </w:r>
            <w:r w:rsidRPr="00A50810">
              <w:rPr>
                <w:color w:val="000000"/>
              </w:rPr>
              <w:t xml:space="preserve"> </w:t>
            </w:r>
            <w:r w:rsidRPr="00A50810">
              <w:rPr>
                <w:color w:val="000000"/>
                <w:lang w:val="uk-UA"/>
              </w:rPr>
              <w:sym w:font="Symbol" w:char="F0B1"/>
            </w:r>
            <w:r w:rsidRPr="00A50810">
              <w:rPr>
                <w:color w:val="000000"/>
                <w:lang w:val="uk-UA"/>
              </w:rPr>
              <w:t xml:space="preserve"> </w:t>
            </w:r>
            <w:r w:rsidRPr="00A50810">
              <w:rPr>
                <w:color w:val="000000"/>
                <w:lang w:val="en-US"/>
              </w:rPr>
              <w:t>9,1</w:t>
            </w:r>
          </w:p>
        </w:tc>
      </w:tr>
      <w:tr w:rsidR="00A50810" w:rsidRPr="00A50810" w14:paraId="4B0A48AB" w14:textId="77777777" w:rsidTr="00352B8A">
        <w:trPr>
          <w:trHeight w:val="498"/>
        </w:trPr>
        <w:tc>
          <w:tcPr>
            <w:tcW w:w="630" w:type="dxa"/>
            <w:vAlign w:val="center"/>
          </w:tcPr>
          <w:p w14:paraId="5281AC11" w14:textId="0E3B9CC0" w:rsidR="00A50810" w:rsidRPr="00A50810" w:rsidRDefault="00A50810" w:rsidP="00352B8A">
            <w:pPr>
              <w:widowControl w:val="0"/>
              <w:autoSpaceDE w:val="0"/>
              <w:autoSpaceDN w:val="0"/>
              <w:adjustRightInd w:val="0"/>
              <w:spacing w:line="360" w:lineRule="auto"/>
              <w:rPr>
                <w:color w:val="000000"/>
                <w:lang w:val="uk-UA"/>
              </w:rPr>
            </w:pPr>
            <w:r>
              <w:rPr>
                <w:lang w:val="uk-UA"/>
              </w:rPr>
              <w:t>4</w:t>
            </w:r>
          </w:p>
        </w:tc>
        <w:tc>
          <w:tcPr>
            <w:tcW w:w="4410" w:type="dxa"/>
            <w:vAlign w:val="center"/>
          </w:tcPr>
          <w:p w14:paraId="6940D008" w14:textId="223E7E58" w:rsidR="00A50810" w:rsidRPr="00A50810" w:rsidRDefault="00A50810" w:rsidP="00352B8A">
            <w:pPr>
              <w:widowControl w:val="0"/>
              <w:autoSpaceDE w:val="0"/>
              <w:autoSpaceDN w:val="0"/>
              <w:adjustRightInd w:val="0"/>
              <w:spacing w:line="360" w:lineRule="auto"/>
              <w:rPr>
                <w:color w:val="000000"/>
                <w:lang w:val="uk-UA"/>
              </w:rPr>
            </w:pPr>
            <w:r w:rsidRPr="00A50810">
              <w:rPr>
                <w:color w:val="000000"/>
                <w:lang w:val="uk-UA"/>
              </w:rPr>
              <w:t>Саліцилоілгідразон бензальдегіду</w:t>
            </w:r>
          </w:p>
        </w:tc>
        <w:tc>
          <w:tcPr>
            <w:tcW w:w="2250" w:type="dxa"/>
            <w:vAlign w:val="center"/>
          </w:tcPr>
          <w:p w14:paraId="7679B44F" w14:textId="77777777" w:rsidR="00A50810" w:rsidRPr="00A50810" w:rsidRDefault="00A50810" w:rsidP="00352B8A">
            <w:pPr>
              <w:widowControl w:val="0"/>
              <w:autoSpaceDE w:val="0"/>
              <w:autoSpaceDN w:val="0"/>
              <w:adjustRightInd w:val="0"/>
              <w:spacing w:line="360" w:lineRule="auto"/>
              <w:jc w:val="center"/>
              <w:rPr>
                <w:color w:val="000000"/>
                <w:highlight w:val="yellow"/>
                <w:lang w:val="en-US"/>
              </w:rPr>
            </w:pPr>
            <w:r w:rsidRPr="00A50810">
              <w:rPr>
                <w:color w:val="000000"/>
                <w:lang w:val="en-US"/>
              </w:rPr>
              <w:t>44,2</w:t>
            </w:r>
            <w:r w:rsidRPr="00A50810">
              <w:rPr>
                <w:color w:val="000000"/>
                <w:lang w:val="uk-UA"/>
              </w:rPr>
              <w:t xml:space="preserve"> </w:t>
            </w:r>
            <w:r w:rsidRPr="00A50810">
              <w:rPr>
                <w:color w:val="000000"/>
                <w:lang w:val="uk-UA"/>
              </w:rPr>
              <w:sym w:font="Symbol" w:char="F0B1"/>
            </w:r>
            <w:r w:rsidRPr="00A50810">
              <w:rPr>
                <w:color w:val="000000"/>
                <w:lang w:val="uk-UA"/>
              </w:rPr>
              <w:t xml:space="preserve"> 3</w:t>
            </w:r>
            <w:r w:rsidRPr="00A50810">
              <w:rPr>
                <w:color w:val="000000"/>
                <w:lang w:val="en-US"/>
              </w:rPr>
              <w:t>,4</w:t>
            </w:r>
          </w:p>
        </w:tc>
        <w:tc>
          <w:tcPr>
            <w:tcW w:w="2029" w:type="dxa"/>
            <w:vAlign w:val="center"/>
          </w:tcPr>
          <w:p w14:paraId="36072459" w14:textId="77777777" w:rsidR="00A50810" w:rsidRPr="00A50810" w:rsidRDefault="00A50810" w:rsidP="00352B8A">
            <w:pPr>
              <w:widowControl w:val="0"/>
              <w:autoSpaceDE w:val="0"/>
              <w:autoSpaceDN w:val="0"/>
              <w:adjustRightInd w:val="0"/>
              <w:spacing w:line="360" w:lineRule="auto"/>
              <w:jc w:val="center"/>
              <w:rPr>
                <w:color w:val="000000"/>
              </w:rPr>
            </w:pPr>
            <w:r w:rsidRPr="00A50810">
              <w:rPr>
                <w:color w:val="000000"/>
              </w:rPr>
              <w:t>0,0</w:t>
            </w:r>
          </w:p>
        </w:tc>
      </w:tr>
      <w:tr w:rsidR="00A50810" w:rsidRPr="00A50810" w14:paraId="4E5624C2" w14:textId="77777777" w:rsidTr="00352B8A">
        <w:trPr>
          <w:trHeight w:val="538"/>
        </w:trPr>
        <w:tc>
          <w:tcPr>
            <w:tcW w:w="630" w:type="dxa"/>
            <w:vAlign w:val="center"/>
          </w:tcPr>
          <w:p w14:paraId="116A3B8F" w14:textId="35ED5E89" w:rsidR="00A50810" w:rsidRPr="00A50810" w:rsidRDefault="00A50810" w:rsidP="00352B8A">
            <w:pPr>
              <w:widowControl w:val="0"/>
              <w:autoSpaceDE w:val="0"/>
              <w:autoSpaceDN w:val="0"/>
              <w:adjustRightInd w:val="0"/>
              <w:spacing w:line="360" w:lineRule="auto"/>
              <w:rPr>
                <w:color w:val="000000"/>
                <w:lang w:val="uk-UA"/>
              </w:rPr>
            </w:pPr>
            <w:r>
              <w:rPr>
                <w:lang w:val="uk-UA"/>
              </w:rPr>
              <w:t>5</w:t>
            </w:r>
          </w:p>
        </w:tc>
        <w:tc>
          <w:tcPr>
            <w:tcW w:w="4410" w:type="dxa"/>
            <w:vAlign w:val="center"/>
          </w:tcPr>
          <w:p w14:paraId="649295E5" w14:textId="53B2E78F" w:rsidR="00A50810" w:rsidRPr="00A50810" w:rsidRDefault="00A50810" w:rsidP="00352B8A">
            <w:pPr>
              <w:widowControl w:val="0"/>
              <w:autoSpaceDE w:val="0"/>
              <w:autoSpaceDN w:val="0"/>
              <w:adjustRightInd w:val="0"/>
              <w:spacing w:line="360" w:lineRule="auto"/>
              <w:rPr>
                <w:color w:val="000000"/>
                <w:lang w:val="uk-UA"/>
              </w:rPr>
            </w:pPr>
            <w:r w:rsidRPr="00A50810">
              <w:rPr>
                <w:color w:val="000000"/>
                <w:lang w:val="uk-UA"/>
              </w:rPr>
              <w:t>Саліцилоілгідразон 4-бромбензальдегіду</w:t>
            </w:r>
          </w:p>
        </w:tc>
        <w:tc>
          <w:tcPr>
            <w:tcW w:w="2250" w:type="dxa"/>
            <w:vAlign w:val="center"/>
          </w:tcPr>
          <w:p w14:paraId="668D60DC" w14:textId="77777777" w:rsidR="00A50810" w:rsidRPr="00A50810" w:rsidRDefault="00A50810" w:rsidP="00352B8A">
            <w:pPr>
              <w:widowControl w:val="0"/>
              <w:autoSpaceDE w:val="0"/>
              <w:autoSpaceDN w:val="0"/>
              <w:adjustRightInd w:val="0"/>
              <w:spacing w:line="360" w:lineRule="auto"/>
              <w:jc w:val="center"/>
              <w:rPr>
                <w:color w:val="000000"/>
                <w:highlight w:val="yellow"/>
                <w:lang w:val="en-US"/>
              </w:rPr>
            </w:pPr>
            <w:r w:rsidRPr="00A50810">
              <w:rPr>
                <w:color w:val="000000"/>
                <w:lang w:val="en-US"/>
              </w:rPr>
              <w:t>41,07</w:t>
            </w:r>
            <w:r w:rsidRPr="00A50810">
              <w:rPr>
                <w:color w:val="000000"/>
              </w:rPr>
              <w:t xml:space="preserve"> </w:t>
            </w:r>
            <w:r w:rsidRPr="00A50810">
              <w:rPr>
                <w:color w:val="000000"/>
                <w:lang w:val="uk-UA"/>
              </w:rPr>
              <w:sym w:font="Symbol" w:char="F0B1"/>
            </w:r>
            <w:r w:rsidRPr="00A50810">
              <w:rPr>
                <w:color w:val="000000"/>
                <w:lang w:val="uk-UA"/>
              </w:rPr>
              <w:t xml:space="preserve"> </w:t>
            </w:r>
            <w:r w:rsidRPr="00A50810">
              <w:rPr>
                <w:color w:val="000000"/>
                <w:lang w:val="en-US"/>
              </w:rPr>
              <w:t>8,4</w:t>
            </w:r>
          </w:p>
        </w:tc>
        <w:tc>
          <w:tcPr>
            <w:tcW w:w="2029" w:type="dxa"/>
            <w:vAlign w:val="center"/>
          </w:tcPr>
          <w:p w14:paraId="58C9BCA0" w14:textId="77777777" w:rsidR="00A50810" w:rsidRPr="00A50810" w:rsidRDefault="00A50810" w:rsidP="00352B8A">
            <w:pPr>
              <w:widowControl w:val="0"/>
              <w:autoSpaceDE w:val="0"/>
              <w:autoSpaceDN w:val="0"/>
              <w:adjustRightInd w:val="0"/>
              <w:spacing w:line="360" w:lineRule="auto"/>
              <w:jc w:val="center"/>
              <w:rPr>
                <w:color w:val="000000"/>
                <w:lang w:val="en-US"/>
              </w:rPr>
            </w:pPr>
            <w:r w:rsidRPr="00A50810">
              <w:rPr>
                <w:color w:val="000000"/>
                <w:lang w:val="en-US"/>
              </w:rPr>
              <w:t>27,3</w:t>
            </w:r>
            <w:r w:rsidRPr="00A50810">
              <w:rPr>
                <w:color w:val="000000"/>
              </w:rPr>
              <w:t xml:space="preserve"> </w:t>
            </w:r>
            <w:r w:rsidRPr="00A50810">
              <w:rPr>
                <w:color w:val="000000"/>
                <w:lang w:val="uk-UA"/>
              </w:rPr>
              <w:sym w:font="Symbol" w:char="F0B1"/>
            </w:r>
            <w:r w:rsidRPr="00A50810">
              <w:rPr>
                <w:color w:val="000000"/>
                <w:lang w:val="uk-UA"/>
              </w:rPr>
              <w:t xml:space="preserve"> </w:t>
            </w:r>
            <w:r w:rsidRPr="00A50810">
              <w:rPr>
                <w:color w:val="000000"/>
                <w:lang w:val="en-US"/>
              </w:rPr>
              <w:t>5,6</w:t>
            </w:r>
          </w:p>
        </w:tc>
      </w:tr>
      <w:tr w:rsidR="00A50810" w:rsidRPr="00A50810" w14:paraId="06169FF8" w14:textId="77777777" w:rsidTr="00352B8A">
        <w:trPr>
          <w:trHeight w:val="433"/>
        </w:trPr>
        <w:tc>
          <w:tcPr>
            <w:tcW w:w="630" w:type="dxa"/>
            <w:vAlign w:val="center"/>
          </w:tcPr>
          <w:p w14:paraId="2699F4AF" w14:textId="5748E05B" w:rsidR="00A50810" w:rsidRPr="00A50810" w:rsidRDefault="00A50810" w:rsidP="00352B8A">
            <w:pPr>
              <w:widowControl w:val="0"/>
              <w:autoSpaceDE w:val="0"/>
              <w:autoSpaceDN w:val="0"/>
              <w:adjustRightInd w:val="0"/>
              <w:spacing w:line="360" w:lineRule="auto"/>
              <w:rPr>
                <w:color w:val="000000"/>
                <w:lang w:val="uk-UA"/>
              </w:rPr>
            </w:pPr>
            <w:r>
              <w:rPr>
                <w:lang w:val="uk-UA"/>
              </w:rPr>
              <w:t>6</w:t>
            </w:r>
          </w:p>
        </w:tc>
        <w:tc>
          <w:tcPr>
            <w:tcW w:w="4410" w:type="dxa"/>
            <w:vAlign w:val="center"/>
          </w:tcPr>
          <w:p w14:paraId="59CD1020" w14:textId="337B91ED" w:rsidR="00A50810" w:rsidRPr="00A50810" w:rsidRDefault="00A50810" w:rsidP="00352B8A">
            <w:pPr>
              <w:widowControl w:val="0"/>
              <w:autoSpaceDE w:val="0"/>
              <w:autoSpaceDN w:val="0"/>
              <w:adjustRightInd w:val="0"/>
              <w:spacing w:line="360" w:lineRule="auto"/>
              <w:rPr>
                <w:color w:val="000000"/>
                <w:lang w:val="uk-UA"/>
              </w:rPr>
            </w:pPr>
            <w:r w:rsidRPr="00A50810">
              <w:rPr>
                <w:color w:val="000000"/>
                <w:lang w:val="uk-UA"/>
              </w:rPr>
              <w:t>Бензальдегід</w:t>
            </w:r>
          </w:p>
        </w:tc>
        <w:tc>
          <w:tcPr>
            <w:tcW w:w="2250" w:type="dxa"/>
            <w:vAlign w:val="center"/>
          </w:tcPr>
          <w:p w14:paraId="2AF079D0" w14:textId="77777777" w:rsidR="00A50810" w:rsidRPr="00A50810" w:rsidRDefault="00A50810" w:rsidP="00352B8A">
            <w:pPr>
              <w:widowControl w:val="0"/>
              <w:autoSpaceDE w:val="0"/>
              <w:autoSpaceDN w:val="0"/>
              <w:adjustRightInd w:val="0"/>
              <w:spacing w:line="360" w:lineRule="auto"/>
              <w:jc w:val="center"/>
              <w:rPr>
                <w:color w:val="000000"/>
                <w:lang w:val="en-US"/>
              </w:rPr>
            </w:pPr>
            <w:r w:rsidRPr="00A50810">
              <w:rPr>
                <w:color w:val="000000"/>
                <w:lang w:val="en-US"/>
              </w:rPr>
              <w:t>56,4</w:t>
            </w:r>
            <w:r w:rsidRPr="00A50810">
              <w:rPr>
                <w:color w:val="000000"/>
                <w:lang w:val="uk-UA"/>
              </w:rPr>
              <w:t xml:space="preserve"> </w:t>
            </w:r>
            <w:r w:rsidRPr="00A50810">
              <w:rPr>
                <w:color w:val="000000"/>
                <w:lang w:val="uk-UA"/>
              </w:rPr>
              <w:sym w:font="Symbol" w:char="F0B1"/>
            </w:r>
            <w:r w:rsidRPr="00A50810">
              <w:rPr>
                <w:color w:val="000000"/>
                <w:lang w:val="uk-UA"/>
              </w:rPr>
              <w:t xml:space="preserve"> </w:t>
            </w:r>
            <w:r w:rsidRPr="00A50810">
              <w:rPr>
                <w:color w:val="000000"/>
                <w:lang w:val="en-US"/>
              </w:rPr>
              <w:t>2,4</w:t>
            </w:r>
          </w:p>
        </w:tc>
        <w:tc>
          <w:tcPr>
            <w:tcW w:w="2029" w:type="dxa"/>
            <w:vAlign w:val="center"/>
          </w:tcPr>
          <w:p w14:paraId="667DE066" w14:textId="77777777" w:rsidR="00A50810" w:rsidRPr="00A50810" w:rsidRDefault="00A50810" w:rsidP="00352B8A">
            <w:pPr>
              <w:widowControl w:val="0"/>
              <w:autoSpaceDE w:val="0"/>
              <w:autoSpaceDN w:val="0"/>
              <w:adjustRightInd w:val="0"/>
              <w:spacing w:line="360" w:lineRule="auto"/>
              <w:jc w:val="center"/>
              <w:rPr>
                <w:color w:val="000000"/>
                <w:lang w:val="en-US"/>
              </w:rPr>
            </w:pPr>
            <w:r w:rsidRPr="00A50810">
              <w:rPr>
                <w:color w:val="000000"/>
              </w:rPr>
              <w:t>4,</w:t>
            </w:r>
            <w:r w:rsidRPr="00A50810">
              <w:rPr>
                <w:color w:val="000000"/>
                <w:lang w:val="en-US"/>
              </w:rPr>
              <w:t>3</w:t>
            </w:r>
            <w:r w:rsidRPr="00A50810">
              <w:rPr>
                <w:color w:val="000000"/>
                <w:lang w:val="uk-UA"/>
              </w:rPr>
              <w:t xml:space="preserve"> </w:t>
            </w:r>
            <w:r w:rsidRPr="00A50810">
              <w:rPr>
                <w:color w:val="000000"/>
                <w:lang w:val="uk-UA"/>
              </w:rPr>
              <w:sym w:font="Symbol" w:char="F0B1"/>
            </w:r>
            <w:r w:rsidRPr="00A50810">
              <w:rPr>
                <w:color w:val="000000"/>
                <w:lang w:val="uk-UA"/>
              </w:rPr>
              <w:t xml:space="preserve"> 1,</w:t>
            </w:r>
            <w:r w:rsidRPr="00A50810">
              <w:rPr>
                <w:color w:val="000000"/>
                <w:lang w:val="en-US"/>
              </w:rPr>
              <w:t>5</w:t>
            </w:r>
          </w:p>
        </w:tc>
      </w:tr>
      <w:tr w:rsidR="00A50810" w:rsidRPr="00A50810" w14:paraId="7A45B9D3" w14:textId="77777777" w:rsidTr="00352B8A">
        <w:trPr>
          <w:trHeight w:val="384"/>
        </w:trPr>
        <w:tc>
          <w:tcPr>
            <w:tcW w:w="630" w:type="dxa"/>
            <w:vAlign w:val="center"/>
          </w:tcPr>
          <w:p w14:paraId="483979C9" w14:textId="58EDA84B" w:rsidR="00A50810" w:rsidRPr="00A50810" w:rsidRDefault="00A50810" w:rsidP="00352B8A">
            <w:pPr>
              <w:widowControl w:val="0"/>
              <w:autoSpaceDE w:val="0"/>
              <w:autoSpaceDN w:val="0"/>
              <w:adjustRightInd w:val="0"/>
              <w:spacing w:line="360" w:lineRule="auto"/>
              <w:rPr>
                <w:color w:val="000000"/>
                <w:lang w:val="uk-UA"/>
              </w:rPr>
            </w:pPr>
            <w:r>
              <w:rPr>
                <w:lang w:val="uk-UA"/>
              </w:rPr>
              <w:t>7</w:t>
            </w:r>
          </w:p>
        </w:tc>
        <w:tc>
          <w:tcPr>
            <w:tcW w:w="4410" w:type="dxa"/>
            <w:vAlign w:val="center"/>
          </w:tcPr>
          <w:p w14:paraId="2D03AAB0" w14:textId="7B4CB144" w:rsidR="00A50810" w:rsidRPr="00A50810" w:rsidRDefault="00A50810" w:rsidP="00352B8A">
            <w:pPr>
              <w:widowControl w:val="0"/>
              <w:autoSpaceDE w:val="0"/>
              <w:autoSpaceDN w:val="0"/>
              <w:adjustRightInd w:val="0"/>
              <w:spacing w:line="360" w:lineRule="auto"/>
              <w:rPr>
                <w:color w:val="000000"/>
                <w:lang w:val="uk-UA"/>
              </w:rPr>
            </w:pPr>
            <w:r w:rsidRPr="00A50810">
              <w:rPr>
                <w:color w:val="000000"/>
                <w:lang w:val="uk-UA"/>
              </w:rPr>
              <w:t>4-бромбензальдегід</w:t>
            </w:r>
          </w:p>
        </w:tc>
        <w:tc>
          <w:tcPr>
            <w:tcW w:w="2250" w:type="dxa"/>
            <w:vAlign w:val="center"/>
          </w:tcPr>
          <w:p w14:paraId="00B7E142" w14:textId="77777777" w:rsidR="00A50810" w:rsidRPr="00A50810" w:rsidRDefault="00A50810" w:rsidP="00352B8A">
            <w:pPr>
              <w:widowControl w:val="0"/>
              <w:autoSpaceDE w:val="0"/>
              <w:autoSpaceDN w:val="0"/>
              <w:adjustRightInd w:val="0"/>
              <w:spacing w:line="360" w:lineRule="auto"/>
              <w:jc w:val="center"/>
              <w:rPr>
                <w:color w:val="000000"/>
                <w:lang w:val="en-US"/>
              </w:rPr>
            </w:pPr>
            <w:r w:rsidRPr="00A50810">
              <w:rPr>
                <w:color w:val="000000"/>
                <w:lang w:val="en-US"/>
              </w:rPr>
              <w:t>52,9</w:t>
            </w:r>
            <w:r w:rsidRPr="00A50810">
              <w:rPr>
                <w:color w:val="000000"/>
                <w:lang w:val="uk-UA"/>
              </w:rPr>
              <w:t xml:space="preserve"> </w:t>
            </w:r>
            <w:r w:rsidRPr="00A50810">
              <w:rPr>
                <w:color w:val="000000"/>
                <w:lang w:val="uk-UA"/>
              </w:rPr>
              <w:sym w:font="Symbol" w:char="F0B1"/>
            </w:r>
            <w:r w:rsidRPr="00A50810">
              <w:rPr>
                <w:color w:val="000000"/>
                <w:lang w:val="uk-UA"/>
              </w:rPr>
              <w:t xml:space="preserve"> </w:t>
            </w:r>
            <w:r w:rsidRPr="00A50810">
              <w:rPr>
                <w:color w:val="000000"/>
                <w:lang w:val="en-US"/>
              </w:rPr>
              <w:t>4,2</w:t>
            </w:r>
          </w:p>
        </w:tc>
        <w:tc>
          <w:tcPr>
            <w:tcW w:w="2029" w:type="dxa"/>
            <w:vAlign w:val="center"/>
          </w:tcPr>
          <w:p w14:paraId="294940BF" w14:textId="77777777" w:rsidR="00A50810" w:rsidRPr="00A50810" w:rsidRDefault="00A50810" w:rsidP="00352B8A">
            <w:pPr>
              <w:widowControl w:val="0"/>
              <w:autoSpaceDE w:val="0"/>
              <w:autoSpaceDN w:val="0"/>
              <w:adjustRightInd w:val="0"/>
              <w:spacing w:line="360" w:lineRule="auto"/>
              <w:jc w:val="center"/>
              <w:rPr>
                <w:color w:val="000000"/>
                <w:lang w:val="en-US"/>
              </w:rPr>
            </w:pPr>
            <w:r w:rsidRPr="00A50810">
              <w:rPr>
                <w:color w:val="000000"/>
              </w:rPr>
              <w:t>2</w:t>
            </w:r>
            <w:r w:rsidRPr="00A50810">
              <w:rPr>
                <w:color w:val="000000"/>
                <w:lang w:val="en-US"/>
              </w:rPr>
              <w:t>1,4</w:t>
            </w:r>
            <w:r w:rsidRPr="00A50810">
              <w:rPr>
                <w:color w:val="000000"/>
                <w:lang w:val="uk-UA"/>
              </w:rPr>
              <w:t xml:space="preserve"> </w:t>
            </w:r>
            <w:r w:rsidRPr="00A50810">
              <w:rPr>
                <w:color w:val="000000"/>
                <w:lang w:val="uk-UA"/>
              </w:rPr>
              <w:sym w:font="Symbol" w:char="F0B1"/>
            </w:r>
            <w:r w:rsidRPr="00A50810">
              <w:rPr>
                <w:color w:val="000000"/>
                <w:lang w:val="uk-UA"/>
              </w:rPr>
              <w:t xml:space="preserve"> 1</w:t>
            </w:r>
            <w:r w:rsidRPr="00A50810">
              <w:rPr>
                <w:color w:val="000000"/>
                <w:lang w:val="en-US"/>
              </w:rPr>
              <w:t>4,3</w:t>
            </w:r>
          </w:p>
        </w:tc>
      </w:tr>
      <w:tr w:rsidR="00A50810" w:rsidRPr="00A50810" w14:paraId="5B72E412" w14:textId="77777777" w:rsidTr="00352B8A">
        <w:trPr>
          <w:trHeight w:val="115"/>
        </w:trPr>
        <w:tc>
          <w:tcPr>
            <w:tcW w:w="630" w:type="dxa"/>
            <w:vAlign w:val="center"/>
          </w:tcPr>
          <w:p w14:paraId="43E3F00B" w14:textId="2745905F" w:rsidR="00A50810" w:rsidRPr="00A50810" w:rsidRDefault="00A50810" w:rsidP="00352B8A">
            <w:pPr>
              <w:widowControl w:val="0"/>
              <w:autoSpaceDE w:val="0"/>
              <w:autoSpaceDN w:val="0"/>
              <w:adjustRightInd w:val="0"/>
              <w:spacing w:line="360" w:lineRule="auto"/>
              <w:rPr>
                <w:color w:val="000000"/>
                <w:lang w:val="uk-UA"/>
              </w:rPr>
            </w:pPr>
            <w:r>
              <w:t>8</w:t>
            </w:r>
          </w:p>
        </w:tc>
        <w:tc>
          <w:tcPr>
            <w:tcW w:w="4410" w:type="dxa"/>
            <w:vAlign w:val="center"/>
          </w:tcPr>
          <w:p w14:paraId="5FF6C235" w14:textId="6001E610" w:rsidR="00A50810" w:rsidRPr="00A50810" w:rsidRDefault="00A50810" w:rsidP="00352B8A">
            <w:pPr>
              <w:widowControl w:val="0"/>
              <w:autoSpaceDE w:val="0"/>
              <w:autoSpaceDN w:val="0"/>
              <w:adjustRightInd w:val="0"/>
              <w:spacing w:line="360" w:lineRule="auto"/>
              <w:rPr>
                <w:color w:val="000000"/>
                <w:lang w:val="uk-UA"/>
              </w:rPr>
            </w:pPr>
            <w:r w:rsidRPr="00A50810">
              <w:rPr>
                <w:color w:val="000000"/>
                <w:lang w:val="uk-UA"/>
              </w:rPr>
              <w:t>Саліцилова кислота</w:t>
            </w:r>
          </w:p>
        </w:tc>
        <w:tc>
          <w:tcPr>
            <w:tcW w:w="2250" w:type="dxa"/>
            <w:vAlign w:val="center"/>
          </w:tcPr>
          <w:p w14:paraId="188558BA" w14:textId="77777777" w:rsidR="00A50810" w:rsidRPr="00A50810" w:rsidRDefault="00A50810" w:rsidP="00352B8A">
            <w:pPr>
              <w:widowControl w:val="0"/>
              <w:autoSpaceDE w:val="0"/>
              <w:autoSpaceDN w:val="0"/>
              <w:adjustRightInd w:val="0"/>
              <w:spacing w:line="360" w:lineRule="auto"/>
              <w:jc w:val="center"/>
              <w:rPr>
                <w:color w:val="000000"/>
                <w:lang w:val="en-US"/>
              </w:rPr>
            </w:pPr>
            <w:r w:rsidRPr="00A50810">
              <w:rPr>
                <w:color w:val="000000"/>
                <w:lang w:val="en-US"/>
              </w:rPr>
              <w:t>46,0</w:t>
            </w:r>
            <w:r w:rsidRPr="00A50810">
              <w:rPr>
                <w:color w:val="000000"/>
              </w:rPr>
              <w:t xml:space="preserve"> </w:t>
            </w:r>
            <w:r w:rsidRPr="00A50810">
              <w:rPr>
                <w:color w:val="000000"/>
                <w:lang w:val="uk-UA"/>
              </w:rPr>
              <w:sym w:font="Symbol" w:char="F0B1"/>
            </w:r>
            <w:r w:rsidRPr="00A50810">
              <w:rPr>
                <w:color w:val="000000"/>
                <w:lang w:val="uk-UA"/>
              </w:rPr>
              <w:t xml:space="preserve"> </w:t>
            </w:r>
            <w:r w:rsidRPr="00A50810">
              <w:rPr>
                <w:color w:val="000000"/>
                <w:lang w:val="en-US"/>
              </w:rPr>
              <w:t>3,7</w:t>
            </w:r>
          </w:p>
        </w:tc>
        <w:tc>
          <w:tcPr>
            <w:tcW w:w="2029" w:type="dxa"/>
            <w:vAlign w:val="center"/>
          </w:tcPr>
          <w:p w14:paraId="4EA99982" w14:textId="77777777" w:rsidR="00A50810" w:rsidRPr="00A50810" w:rsidRDefault="00A50810" w:rsidP="00352B8A">
            <w:pPr>
              <w:widowControl w:val="0"/>
              <w:autoSpaceDE w:val="0"/>
              <w:autoSpaceDN w:val="0"/>
              <w:adjustRightInd w:val="0"/>
              <w:spacing w:line="360" w:lineRule="auto"/>
              <w:jc w:val="center"/>
              <w:rPr>
                <w:color w:val="000000"/>
                <w:lang w:val="en-US"/>
              </w:rPr>
            </w:pPr>
            <w:r w:rsidRPr="00A50810">
              <w:rPr>
                <w:color w:val="000000"/>
              </w:rPr>
              <w:t>1</w:t>
            </w:r>
            <w:r w:rsidRPr="00A50810">
              <w:rPr>
                <w:color w:val="000000"/>
                <w:lang w:val="en-US"/>
              </w:rPr>
              <w:t>0,8</w:t>
            </w:r>
            <w:r w:rsidRPr="00A50810">
              <w:rPr>
                <w:color w:val="000000"/>
              </w:rPr>
              <w:t xml:space="preserve"> </w:t>
            </w:r>
            <w:r w:rsidRPr="00A50810">
              <w:rPr>
                <w:color w:val="000000"/>
                <w:lang w:val="uk-UA"/>
              </w:rPr>
              <w:sym w:font="Symbol" w:char="F0B1"/>
            </w:r>
            <w:r w:rsidRPr="00A50810">
              <w:rPr>
                <w:color w:val="000000"/>
                <w:lang w:val="uk-UA"/>
              </w:rPr>
              <w:t xml:space="preserve"> </w:t>
            </w:r>
            <w:r w:rsidRPr="00A50810">
              <w:rPr>
                <w:color w:val="000000"/>
                <w:lang w:val="en-US"/>
              </w:rPr>
              <w:t>5</w:t>
            </w:r>
            <w:r w:rsidRPr="00A50810">
              <w:rPr>
                <w:color w:val="000000"/>
                <w:lang w:val="uk-UA"/>
              </w:rPr>
              <w:t>,</w:t>
            </w:r>
            <w:r w:rsidRPr="00A50810">
              <w:rPr>
                <w:color w:val="000000"/>
                <w:lang w:val="en-US"/>
              </w:rPr>
              <w:t>1*</w:t>
            </w:r>
          </w:p>
        </w:tc>
      </w:tr>
      <w:tr w:rsidR="00A50810" w:rsidRPr="00A50810" w14:paraId="55AEF00E" w14:textId="77777777" w:rsidTr="00352B8A">
        <w:trPr>
          <w:trHeight w:val="340"/>
        </w:trPr>
        <w:tc>
          <w:tcPr>
            <w:tcW w:w="630" w:type="dxa"/>
          </w:tcPr>
          <w:p w14:paraId="3D5E2BCF" w14:textId="1C9BD296" w:rsidR="00A50810" w:rsidRPr="00A50810" w:rsidRDefault="00A50810" w:rsidP="00352B8A">
            <w:pPr>
              <w:widowControl w:val="0"/>
              <w:autoSpaceDE w:val="0"/>
              <w:autoSpaceDN w:val="0"/>
              <w:adjustRightInd w:val="0"/>
              <w:spacing w:line="360" w:lineRule="auto"/>
              <w:rPr>
                <w:color w:val="000000"/>
                <w:lang w:val="uk-UA"/>
              </w:rPr>
            </w:pPr>
            <w:r>
              <w:rPr>
                <w:color w:val="000000"/>
                <w:lang w:val="uk-UA"/>
              </w:rPr>
              <w:t>9</w:t>
            </w:r>
          </w:p>
        </w:tc>
        <w:tc>
          <w:tcPr>
            <w:tcW w:w="4410" w:type="dxa"/>
            <w:vAlign w:val="center"/>
          </w:tcPr>
          <w:p w14:paraId="61A46A31" w14:textId="1A7CB5FB" w:rsidR="00A50810" w:rsidRPr="00A50810" w:rsidRDefault="00A50810" w:rsidP="00352B8A">
            <w:pPr>
              <w:widowControl w:val="0"/>
              <w:autoSpaceDE w:val="0"/>
              <w:autoSpaceDN w:val="0"/>
              <w:adjustRightInd w:val="0"/>
              <w:spacing w:line="360" w:lineRule="auto"/>
              <w:rPr>
                <w:color w:val="000000"/>
                <w:lang w:val="uk-UA"/>
              </w:rPr>
            </w:pPr>
            <w:r w:rsidRPr="00A50810">
              <w:rPr>
                <w:color w:val="000000"/>
                <w:lang w:val="uk-UA"/>
              </w:rPr>
              <w:t>SnCl</w:t>
            </w:r>
            <w:r w:rsidRPr="00A50810">
              <w:rPr>
                <w:color w:val="000000"/>
                <w:vertAlign w:val="subscript"/>
                <w:lang w:val="uk-UA"/>
              </w:rPr>
              <w:t>2</w:t>
            </w:r>
          </w:p>
        </w:tc>
        <w:tc>
          <w:tcPr>
            <w:tcW w:w="2250" w:type="dxa"/>
            <w:vAlign w:val="center"/>
          </w:tcPr>
          <w:p w14:paraId="7B8AC9F7" w14:textId="77777777" w:rsidR="00A50810" w:rsidRPr="00A50810" w:rsidRDefault="00A50810" w:rsidP="00352B8A">
            <w:pPr>
              <w:widowControl w:val="0"/>
              <w:autoSpaceDE w:val="0"/>
              <w:autoSpaceDN w:val="0"/>
              <w:adjustRightInd w:val="0"/>
              <w:spacing w:line="360" w:lineRule="auto"/>
              <w:jc w:val="center"/>
              <w:rPr>
                <w:color w:val="000000"/>
                <w:lang w:val="uk-UA"/>
              </w:rPr>
            </w:pPr>
            <w:r w:rsidRPr="00A50810">
              <w:rPr>
                <w:color w:val="000000"/>
                <w:lang w:val="uk-UA"/>
              </w:rPr>
              <w:t xml:space="preserve">41,99 </w:t>
            </w:r>
            <w:r w:rsidRPr="00A50810">
              <w:rPr>
                <w:color w:val="000000"/>
                <w:lang w:val="uk-UA"/>
              </w:rPr>
              <w:sym w:font="Symbol" w:char="F0B1"/>
            </w:r>
            <w:r w:rsidRPr="00A50810">
              <w:rPr>
                <w:color w:val="000000"/>
                <w:lang w:val="uk-UA"/>
              </w:rPr>
              <w:t xml:space="preserve"> 7,0</w:t>
            </w:r>
          </w:p>
        </w:tc>
        <w:tc>
          <w:tcPr>
            <w:tcW w:w="2029" w:type="dxa"/>
            <w:vAlign w:val="center"/>
          </w:tcPr>
          <w:p w14:paraId="167305B7" w14:textId="77777777" w:rsidR="00A50810" w:rsidRPr="00A50810" w:rsidRDefault="00A50810" w:rsidP="00352B8A">
            <w:pPr>
              <w:widowControl w:val="0"/>
              <w:autoSpaceDE w:val="0"/>
              <w:autoSpaceDN w:val="0"/>
              <w:adjustRightInd w:val="0"/>
              <w:spacing w:line="360" w:lineRule="auto"/>
              <w:jc w:val="center"/>
              <w:rPr>
                <w:color w:val="000000"/>
                <w:lang w:val="en-US"/>
              </w:rPr>
            </w:pPr>
            <w:r w:rsidRPr="00A50810">
              <w:rPr>
                <w:color w:val="000000"/>
                <w:lang w:val="uk-UA"/>
              </w:rPr>
              <w:t xml:space="preserve">11,35 </w:t>
            </w:r>
            <w:r w:rsidRPr="00A50810">
              <w:rPr>
                <w:color w:val="000000"/>
                <w:lang w:val="uk-UA"/>
              </w:rPr>
              <w:sym w:font="Symbol" w:char="F0B1"/>
            </w:r>
            <w:r w:rsidRPr="00A50810">
              <w:rPr>
                <w:color w:val="000000"/>
                <w:lang w:val="uk-UA"/>
              </w:rPr>
              <w:t xml:space="preserve"> 3,5</w:t>
            </w:r>
            <w:r w:rsidRPr="00A50810">
              <w:rPr>
                <w:color w:val="000000"/>
                <w:lang w:val="en-US"/>
              </w:rPr>
              <w:t>*</w:t>
            </w:r>
          </w:p>
        </w:tc>
      </w:tr>
    </w:tbl>
    <w:p w14:paraId="333C3A3B" w14:textId="77777777" w:rsidR="00F05F4E" w:rsidRPr="008A6B7D" w:rsidRDefault="00F05F4E" w:rsidP="00352B8A">
      <w:pPr>
        <w:pStyle w:val="a6"/>
        <w:tabs>
          <w:tab w:val="left" w:pos="0"/>
        </w:tabs>
        <w:spacing w:before="0" w:beforeAutospacing="0" w:after="0" w:afterAutospacing="0"/>
        <w:ind w:left="450" w:hanging="450"/>
        <w:jc w:val="both"/>
        <w:rPr>
          <w:lang w:val="uk-UA"/>
        </w:rPr>
      </w:pPr>
      <w:r w:rsidRPr="008A6B7D">
        <w:rPr>
          <w:lang w:val="uk-UA"/>
        </w:rPr>
        <w:t xml:space="preserve">Примітки: </w:t>
      </w:r>
    </w:p>
    <w:p w14:paraId="2892A78D" w14:textId="693A7EB3" w:rsidR="00F05F4E" w:rsidRPr="008A6B7D" w:rsidRDefault="00F05F4E" w:rsidP="00352B8A">
      <w:pPr>
        <w:tabs>
          <w:tab w:val="left" w:pos="0"/>
          <w:tab w:val="left" w:pos="270"/>
        </w:tabs>
        <w:ind w:left="450" w:hanging="450"/>
        <w:jc w:val="both"/>
      </w:pPr>
      <w:r w:rsidRPr="008A6B7D">
        <w:rPr>
          <w:lang w:val="uk-UA"/>
        </w:rPr>
        <w:t>1.</w:t>
      </w:r>
      <w:r w:rsidRPr="008A6B7D">
        <w:rPr>
          <w:lang w:val="uk-UA"/>
        </w:rPr>
        <w:tab/>
      </w:r>
      <w:r w:rsidRPr="008A6B7D">
        <w:rPr>
          <w:lang w:val="uk-UA"/>
        </w:rPr>
        <w:tab/>
        <w:t xml:space="preserve"> </w:t>
      </w:r>
      <w:r w:rsidRPr="008A6B7D">
        <w:t>*</w:t>
      </w:r>
      <w:r w:rsidRPr="008A6B7D">
        <w:rPr>
          <w:lang w:val="uk-UA"/>
        </w:rPr>
        <w:t xml:space="preserve"> </w:t>
      </w:r>
      <w:r w:rsidRPr="008A6B7D">
        <w:t>-</w:t>
      </w:r>
      <w:r w:rsidRPr="008A6B7D">
        <w:rPr>
          <w:lang w:val="uk-UA"/>
        </w:rPr>
        <w:t xml:space="preserve"> </w:t>
      </w:r>
      <w:r w:rsidRPr="008A6B7D">
        <w:rPr>
          <w:lang w:val="en-US"/>
        </w:rPr>
        <w:t>p</w:t>
      </w:r>
      <w:r w:rsidRPr="008A6B7D">
        <w:t xml:space="preserve"> </w:t>
      </w:r>
      <w:r w:rsidRPr="008A6B7D">
        <w:rPr>
          <w:lang w:val="en-US"/>
        </w:rPr>
        <w:sym w:font="Symbol" w:char="F03C"/>
      </w:r>
      <w:r w:rsidRPr="008A6B7D">
        <w:t xml:space="preserve"> 0,05 </w:t>
      </w:r>
      <w:r w:rsidRPr="008A6B7D">
        <w:rPr>
          <w:lang w:val="uk-UA"/>
        </w:rPr>
        <w:t>(статистично значуща різниця у порівнянні з контрольною групою).</w:t>
      </w:r>
      <w:r w:rsidRPr="008A6B7D">
        <w:t xml:space="preserve"> </w:t>
      </w:r>
    </w:p>
    <w:p w14:paraId="1D3295F4" w14:textId="48B92FB8" w:rsidR="00F05F4E" w:rsidRPr="008A6B7D" w:rsidRDefault="00F05F4E" w:rsidP="00352B8A">
      <w:pPr>
        <w:tabs>
          <w:tab w:val="left" w:pos="0"/>
        </w:tabs>
        <w:ind w:left="450" w:hanging="450"/>
        <w:jc w:val="both"/>
        <w:rPr>
          <w:lang w:val="uk-UA"/>
        </w:rPr>
      </w:pPr>
      <w:r w:rsidRPr="008A6B7D">
        <w:rPr>
          <w:lang w:val="uk-UA"/>
        </w:rPr>
        <w:t>2.</w:t>
      </w:r>
      <w:r w:rsidRPr="008A6B7D">
        <w:rPr>
          <w:lang w:val="uk-UA"/>
        </w:rPr>
        <w:tab/>
      </w:r>
      <w:r w:rsidRPr="008A6B7D">
        <w:t>**</w:t>
      </w:r>
      <w:r w:rsidRPr="008A6B7D">
        <w:rPr>
          <w:lang w:val="uk-UA"/>
        </w:rPr>
        <w:t xml:space="preserve"> - р</w:t>
      </w:r>
      <w:r w:rsidRPr="008A6B7D">
        <w:rPr>
          <w:lang w:val="uk-UA"/>
        </w:rPr>
        <w:sym w:font="Symbol" w:char="F03C"/>
      </w:r>
      <w:r w:rsidRPr="008A6B7D">
        <w:rPr>
          <w:lang w:val="uk-UA"/>
        </w:rPr>
        <w:t>0,01 (статистично значуща різниця у порівнянні з контрольною групою).</w:t>
      </w:r>
    </w:p>
    <w:p w14:paraId="38AF814A" w14:textId="5C028238" w:rsidR="00F05F4E" w:rsidRPr="008A6B7D" w:rsidRDefault="00F05F4E" w:rsidP="00352B8A">
      <w:pPr>
        <w:tabs>
          <w:tab w:val="left" w:pos="0"/>
        </w:tabs>
        <w:ind w:left="450" w:hanging="450"/>
        <w:jc w:val="both"/>
        <w:rPr>
          <w:lang w:val="uk-UA"/>
        </w:rPr>
      </w:pPr>
      <w:r w:rsidRPr="008A6B7D">
        <w:rPr>
          <w:lang w:val="uk-UA"/>
        </w:rPr>
        <w:t>3.</w:t>
      </w:r>
      <w:r w:rsidRPr="008A6B7D">
        <w:rPr>
          <w:lang w:val="uk-UA"/>
        </w:rPr>
        <w:tab/>
      </w:r>
      <w:r w:rsidRPr="008A6B7D">
        <w:t>n – кількість тварин у групі.</w:t>
      </w:r>
    </w:p>
    <w:p w14:paraId="3FFFD0F2" w14:textId="63FFF67A" w:rsidR="00F05F4E" w:rsidRDefault="00F05F4E" w:rsidP="00F05F4E">
      <w:pPr>
        <w:ind w:left="1440" w:hanging="360"/>
        <w:jc w:val="both"/>
        <w:rPr>
          <w:sz w:val="28"/>
          <w:szCs w:val="28"/>
        </w:rPr>
      </w:pPr>
    </w:p>
    <w:p w14:paraId="6D9F8BB2" w14:textId="6BA1253A" w:rsidR="007C0C3C" w:rsidRPr="007C0C3C" w:rsidRDefault="007C0C3C" w:rsidP="007C0C3C">
      <w:pPr>
        <w:pStyle w:val="a6"/>
        <w:spacing w:before="0" w:beforeAutospacing="0" w:after="0" w:afterAutospacing="0" w:line="360" w:lineRule="auto"/>
        <w:ind w:firstLine="709"/>
        <w:jc w:val="both"/>
        <w:rPr>
          <w:sz w:val="28"/>
          <w:szCs w:val="28"/>
          <w:lang w:val="uk-UA"/>
        </w:rPr>
      </w:pPr>
      <w:r>
        <w:rPr>
          <w:sz w:val="28"/>
          <w:szCs w:val="28"/>
          <w:lang w:val="uk-UA"/>
        </w:rPr>
        <w:lastRenderedPageBreak/>
        <w:t xml:space="preserve">В першій фазі формалінового запалення деяку антиноцицептивну дію надавала мазь на основі саліцілоїлгідразона бензальдегіду, у той час, як бензальдегід та </w:t>
      </w:r>
      <w:r>
        <w:rPr>
          <w:color w:val="000000"/>
          <w:sz w:val="28"/>
          <w:szCs w:val="28"/>
          <w:lang w:val="uk-UA"/>
        </w:rPr>
        <w:t>4-бромбензальдегід</w:t>
      </w:r>
      <w:r>
        <w:rPr>
          <w:sz w:val="28"/>
          <w:szCs w:val="28"/>
          <w:lang w:val="uk-UA"/>
        </w:rPr>
        <w:t xml:space="preserve"> та суміш бензальдегіду і саліцилової кислоти, викликали подразнення.</w:t>
      </w:r>
    </w:p>
    <w:p w14:paraId="53FF9E51" w14:textId="77777777" w:rsidR="00F05F4E" w:rsidRPr="002153CA" w:rsidRDefault="00F05F4E" w:rsidP="00F05F4E">
      <w:pPr>
        <w:pStyle w:val="a6"/>
        <w:spacing w:before="0" w:beforeAutospacing="0" w:after="0" w:afterAutospacing="0" w:line="360" w:lineRule="auto"/>
        <w:ind w:firstLine="709"/>
        <w:jc w:val="both"/>
        <w:rPr>
          <w:sz w:val="28"/>
          <w:szCs w:val="28"/>
          <w:lang w:val="uk-UA"/>
        </w:rPr>
      </w:pPr>
      <w:r>
        <w:rPr>
          <w:sz w:val="28"/>
          <w:szCs w:val="28"/>
          <w:lang w:val="uk-UA"/>
        </w:rPr>
        <w:t xml:space="preserve">На моделі формалінового запалення деяку знеболюючу дію в першій фазі запалення надавала мазь на основі саліцілоїлгідразона бензальдегіду, у той час, як бензальдегід та </w:t>
      </w:r>
      <w:r>
        <w:rPr>
          <w:color w:val="000000"/>
          <w:sz w:val="28"/>
          <w:szCs w:val="28"/>
          <w:lang w:val="uk-UA"/>
        </w:rPr>
        <w:t>4-бромбензальдегід 5</w:t>
      </w:r>
      <w:r>
        <w:rPr>
          <w:sz w:val="28"/>
          <w:szCs w:val="28"/>
          <w:lang w:val="uk-UA"/>
        </w:rPr>
        <w:t>викликали подразнення.</w:t>
      </w:r>
    </w:p>
    <w:p w14:paraId="1069716E" w14:textId="71FB9C0B" w:rsidR="00F05F4E" w:rsidRPr="00AB540A" w:rsidRDefault="00F05F4E" w:rsidP="00F05F4E">
      <w:pPr>
        <w:pStyle w:val="a6"/>
        <w:spacing w:before="0" w:beforeAutospacing="0" w:after="0" w:afterAutospacing="0" w:line="360" w:lineRule="auto"/>
        <w:ind w:firstLine="709"/>
        <w:jc w:val="both"/>
        <w:rPr>
          <w:sz w:val="28"/>
          <w:szCs w:val="28"/>
        </w:rPr>
      </w:pPr>
      <w:r>
        <w:rPr>
          <w:sz w:val="28"/>
          <w:szCs w:val="28"/>
          <w:lang w:val="uk-UA"/>
        </w:rPr>
        <w:t xml:space="preserve">Вище було зазначено, що на моделі каррагінанового запалення, комплексні сполуки I і II, а також їх складові - бензальдегід і </w:t>
      </w:r>
      <w:r w:rsidR="00821BED">
        <w:rPr>
          <w:sz w:val="28"/>
          <w:szCs w:val="28"/>
          <w:lang w:val="uk-UA"/>
        </w:rPr>
        <w:br/>
      </w:r>
      <w:r>
        <w:rPr>
          <w:sz w:val="28"/>
          <w:szCs w:val="28"/>
          <w:lang w:val="uk-UA"/>
        </w:rPr>
        <w:t xml:space="preserve">4-бромбензальдегід мають протизапальну дію, що підтверджується даними, отриманими в результаті проведення формалінового тесту, а саме купірування больового синдрому у другій (запальній) фазі експерименту. Так тривалість облизувань для комплексної сполуки І зменшилась на </w:t>
      </w:r>
      <w:r w:rsidRPr="00AB540A">
        <w:rPr>
          <w:sz w:val="28"/>
          <w:szCs w:val="28"/>
        </w:rPr>
        <w:t xml:space="preserve">35 </w:t>
      </w:r>
      <w:r>
        <w:rPr>
          <w:sz w:val="28"/>
          <w:szCs w:val="28"/>
          <w:lang w:val="en-US"/>
        </w:rPr>
        <w:t>c</w:t>
      </w:r>
      <w:r w:rsidRPr="00AB540A">
        <w:rPr>
          <w:sz w:val="28"/>
          <w:szCs w:val="28"/>
        </w:rPr>
        <w:t xml:space="preserve">. </w:t>
      </w:r>
      <w:r>
        <w:rPr>
          <w:sz w:val="28"/>
          <w:szCs w:val="28"/>
          <w:lang w:val="uk-UA"/>
        </w:rPr>
        <w:t xml:space="preserve">у порівнянні з референс-препаратом, а для комплексної сполуки ІІ дані склала </w:t>
      </w:r>
      <w:r>
        <w:rPr>
          <w:color w:val="000000"/>
          <w:sz w:val="28"/>
          <w:szCs w:val="28"/>
        </w:rPr>
        <w:t>2</w:t>
      </w:r>
      <w:r w:rsidRPr="00AB540A">
        <w:rPr>
          <w:color w:val="000000"/>
          <w:sz w:val="28"/>
          <w:szCs w:val="28"/>
        </w:rPr>
        <w:t>5,57</w:t>
      </w:r>
      <w:r>
        <w:rPr>
          <w:color w:val="000000"/>
          <w:sz w:val="28"/>
          <w:szCs w:val="28"/>
        </w:rPr>
        <w:t xml:space="preserve"> </w:t>
      </w:r>
      <w:r>
        <w:rPr>
          <w:color w:val="000000"/>
          <w:sz w:val="28"/>
          <w:szCs w:val="28"/>
          <w:lang w:val="uk-UA"/>
        </w:rPr>
        <w:sym w:font="Symbol" w:char="F0B1"/>
      </w:r>
      <w:r>
        <w:rPr>
          <w:color w:val="000000"/>
          <w:sz w:val="28"/>
          <w:szCs w:val="28"/>
          <w:lang w:val="uk-UA"/>
        </w:rPr>
        <w:t xml:space="preserve"> </w:t>
      </w:r>
      <w:r w:rsidRPr="00AB540A">
        <w:rPr>
          <w:color w:val="000000"/>
          <w:sz w:val="28"/>
          <w:szCs w:val="28"/>
        </w:rPr>
        <w:t>9,1.</w:t>
      </w:r>
    </w:p>
    <w:p w14:paraId="383140EF" w14:textId="2D81BD6B" w:rsidR="00F05F4E" w:rsidRPr="00D716B4" w:rsidRDefault="00F05F4E" w:rsidP="00F05F4E">
      <w:pPr>
        <w:tabs>
          <w:tab w:val="left" w:pos="720"/>
        </w:tabs>
        <w:spacing w:line="360" w:lineRule="auto"/>
        <w:ind w:firstLine="720"/>
        <w:jc w:val="both"/>
        <w:rPr>
          <w:sz w:val="28"/>
          <w:szCs w:val="28"/>
          <w:lang w:val="uk-UA"/>
        </w:rPr>
      </w:pPr>
      <w:r w:rsidRPr="00FF6C5D">
        <w:rPr>
          <w:sz w:val="28"/>
          <w:szCs w:val="28"/>
          <w:lang w:val="uk-UA"/>
        </w:rPr>
        <w:t xml:space="preserve">Найбільш виразний знеболюючий ефект </w:t>
      </w:r>
      <w:r>
        <w:rPr>
          <w:sz w:val="28"/>
          <w:szCs w:val="28"/>
          <w:lang w:val="uk-UA"/>
        </w:rPr>
        <w:t>у</w:t>
      </w:r>
      <w:r w:rsidRPr="00FF6C5D">
        <w:rPr>
          <w:sz w:val="28"/>
          <w:szCs w:val="28"/>
          <w:lang w:val="uk-UA"/>
        </w:rPr>
        <w:t xml:space="preserve"> ІІ фазі формалінового запалення проявили 2% мазь СГБ - тварини повністю ігнорували запалену кінцівку та після  нанесення 2% мазі бензальдегіду, число облизувань склало </w:t>
      </w:r>
      <w:r w:rsidRPr="00FF6C5D">
        <w:rPr>
          <w:color w:val="000000"/>
          <w:sz w:val="28"/>
          <w:szCs w:val="28"/>
        </w:rPr>
        <w:t>4,3</w:t>
      </w:r>
      <w:r w:rsidRPr="00FF6C5D">
        <w:rPr>
          <w:color w:val="000000"/>
          <w:sz w:val="28"/>
          <w:szCs w:val="28"/>
          <w:lang w:val="uk-UA"/>
        </w:rPr>
        <w:t xml:space="preserve"> </w:t>
      </w:r>
      <w:r w:rsidRPr="00FF6C5D">
        <w:rPr>
          <w:color w:val="000000"/>
          <w:sz w:val="28"/>
          <w:szCs w:val="28"/>
          <w:lang w:val="uk-UA"/>
        </w:rPr>
        <w:sym w:font="Symbol" w:char="F0B1"/>
      </w:r>
      <w:r w:rsidRPr="00FF6C5D">
        <w:rPr>
          <w:color w:val="000000"/>
          <w:sz w:val="28"/>
          <w:szCs w:val="28"/>
          <w:lang w:val="uk-UA"/>
        </w:rPr>
        <w:t xml:space="preserve"> 1,</w:t>
      </w:r>
      <w:r w:rsidRPr="00FF6C5D">
        <w:rPr>
          <w:color w:val="000000"/>
          <w:sz w:val="28"/>
          <w:szCs w:val="28"/>
        </w:rPr>
        <w:t xml:space="preserve">5 </w:t>
      </w:r>
      <w:r w:rsidRPr="00FF6C5D">
        <w:rPr>
          <w:color w:val="000000"/>
          <w:sz w:val="28"/>
          <w:szCs w:val="28"/>
          <w:lang w:val="en-US"/>
        </w:rPr>
        <w:t>c</w:t>
      </w:r>
      <w:r w:rsidRPr="00FF6C5D">
        <w:rPr>
          <w:color w:val="000000"/>
          <w:sz w:val="28"/>
          <w:szCs w:val="28"/>
        </w:rPr>
        <w:t xml:space="preserve">. </w:t>
      </w:r>
      <w:r>
        <w:rPr>
          <w:sz w:val="28"/>
          <w:szCs w:val="28"/>
          <w:lang w:val="uk-UA"/>
        </w:rPr>
        <w:t>у</w:t>
      </w:r>
      <w:r w:rsidRPr="00FF6C5D">
        <w:rPr>
          <w:sz w:val="28"/>
          <w:szCs w:val="28"/>
          <w:lang w:val="uk-UA"/>
        </w:rPr>
        <w:t xml:space="preserve"> порівнянні з контрольною групою. Отримані дані дозволяють припустити, що </w:t>
      </w:r>
      <w:r>
        <w:rPr>
          <w:sz w:val="28"/>
          <w:szCs w:val="28"/>
          <w:lang w:val="uk-UA"/>
        </w:rPr>
        <w:t>знеболюючу</w:t>
      </w:r>
      <w:r w:rsidRPr="00FF6C5D">
        <w:rPr>
          <w:sz w:val="28"/>
          <w:szCs w:val="28"/>
          <w:lang w:val="uk-UA"/>
        </w:rPr>
        <w:t xml:space="preserve"> дію зазначених сполук </w:t>
      </w:r>
      <w:r>
        <w:rPr>
          <w:sz w:val="28"/>
          <w:szCs w:val="28"/>
          <w:lang w:val="uk-UA"/>
        </w:rPr>
        <w:t>у</w:t>
      </w:r>
      <w:r w:rsidRPr="00FF6C5D">
        <w:rPr>
          <w:sz w:val="28"/>
          <w:szCs w:val="28"/>
          <w:lang w:val="uk-UA"/>
        </w:rPr>
        <w:t xml:space="preserve"> цьому випадку </w:t>
      </w:r>
      <w:r>
        <w:rPr>
          <w:sz w:val="28"/>
          <w:szCs w:val="28"/>
          <w:lang w:val="uk-UA"/>
        </w:rPr>
        <w:t xml:space="preserve">може </w:t>
      </w:r>
      <w:r w:rsidRPr="00FF6C5D">
        <w:rPr>
          <w:sz w:val="28"/>
          <w:szCs w:val="28"/>
          <w:lang w:val="uk-UA"/>
        </w:rPr>
        <w:t>виклика</w:t>
      </w:r>
      <w:r>
        <w:rPr>
          <w:sz w:val="28"/>
          <w:szCs w:val="28"/>
          <w:lang w:val="uk-UA"/>
        </w:rPr>
        <w:t>ти</w:t>
      </w:r>
      <w:r w:rsidRPr="00FF6C5D">
        <w:rPr>
          <w:sz w:val="28"/>
          <w:szCs w:val="28"/>
          <w:lang w:val="uk-UA"/>
        </w:rPr>
        <w:t xml:space="preserve"> їх інгібуючий вплив на активність циклооксигенази. Саліцилова кислота також </w:t>
      </w:r>
      <w:r>
        <w:rPr>
          <w:sz w:val="28"/>
          <w:szCs w:val="28"/>
          <w:lang w:val="uk-UA"/>
        </w:rPr>
        <w:t>здійснювала</w:t>
      </w:r>
      <w:r w:rsidRPr="00FF6C5D">
        <w:rPr>
          <w:sz w:val="28"/>
          <w:szCs w:val="28"/>
          <w:lang w:val="uk-UA"/>
        </w:rPr>
        <w:t xml:space="preserve"> висок</w:t>
      </w:r>
      <w:r>
        <w:rPr>
          <w:sz w:val="28"/>
          <w:szCs w:val="28"/>
          <w:lang w:val="uk-UA"/>
        </w:rPr>
        <w:t>ий</w:t>
      </w:r>
      <w:r w:rsidRPr="00FF6C5D">
        <w:rPr>
          <w:sz w:val="28"/>
          <w:szCs w:val="28"/>
          <w:lang w:val="uk-UA"/>
        </w:rPr>
        <w:t xml:space="preserve"> </w:t>
      </w:r>
      <w:r>
        <w:rPr>
          <w:sz w:val="28"/>
          <w:szCs w:val="28"/>
          <w:lang w:val="uk-UA"/>
        </w:rPr>
        <w:t>знеболюючий</w:t>
      </w:r>
      <w:r w:rsidRPr="00FF6C5D">
        <w:rPr>
          <w:sz w:val="28"/>
          <w:szCs w:val="28"/>
          <w:lang w:val="uk-UA"/>
        </w:rPr>
        <w:t xml:space="preserve"> </w:t>
      </w:r>
      <w:r>
        <w:rPr>
          <w:sz w:val="28"/>
          <w:szCs w:val="28"/>
          <w:lang w:val="uk-UA"/>
        </w:rPr>
        <w:t>ефект</w:t>
      </w:r>
      <w:r w:rsidRPr="00FF6C5D">
        <w:rPr>
          <w:sz w:val="28"/>
          <w:szCs w:val="28"/>
          <w:lang w:val="uk-UA"/>
        </w:rPr>
        <w:t xml:space="preserve"> у ІІ фазі формалінового тесту, число облизувань зменшились в середньому в 10 разів у порівнянні з контрольною групою.</w:t>
      </w:r>
    </w:p>
    <w:p w14:paraId="5494DE99" w14:textId="1AB3738B" w:rsidR="00F05F4E" w:rsidRDefault="00F05F4E" w:rsidP="00F05F4E">
      <w:pPr>
        <w:pStyle w:val="a6"/>
        <w:spacing w:before="0" w:beforeAutospacing="0" w:after="0" w:afterAutospacing="0" w:line="360" w:lineRule="auto"/>
        <w:ind w:firstLine="709"/>
        <w:jc w:val="both"/>
        <w:rPr>
          <w:sz w:val="28"/>
          <w:szCs w:val="28"/>
          <w:lang w:val="uk-UA"/>
        </w:rPr>
      </w:pPr>
      <w:r w:rsidRPr="00DF012A">
        <w:rPr>
          <w:sz w:val="28"/>
          <w:szCs w:val="28"/>
          <w:lang w:val="uk-UA"/>
        </w:rPr>
        <w:t>Імовірн</w:t>
      </w:r>
      <w:r>
        <w:rPr>
          <w:sz w:val="28"/>
          <w:szCs w:val="28"/>
          <w:lang w:val="uk-UA"/>
        </w:rPr>
        <w:t>о,</w:t>
      </w:r>
      <w:r w:rsidRPr="00DF012A">
        <w:rPr>
          <w:sz w:val="28"/>
          <w:szCs w:val="28"/>
          <w:lang w:val="uk-UA"/>
        </w:rPr>
        <w:t xml:space="preserve"> механізм аналгетичної дії комплексних сполук І і ІІ може бути пов’язано із рівнем кальцію в нейронах [</w:t>
      </w:r>
      <w:r>
        <w:rPr>
          <w:sz w:val="28"/>
          <w:szCs w:val="28"/>
          <w:lang w:val="uk-UA"/>
        </w:rPr>
        <w:t>2</w:t>
      </w:r>
      <w:r w:rsidR="00FE60C3">
        <w:rPr>
          <w:sz w:val="28"/>
          <w:szCs w:val="28"/>
          <w:lang w:val="uk-UA"/>
        </w:rPr>
        <w:t>26</w:t>
      </w:r>
      <w:r w:rsidRPr="00DF012A">
        <w:rPr>
          <w:sz w:val="28"/>
          <w:szCs w:val="28"/>
          <w:lang w:val="uk-UA"/>
        </w:rPr>
        <w:t>]. Оскільки було показано, що кальцій бере участь у дії опіоїдів [</w:t>
      </w:r>
      <w:r>
        <w:rPr>
          <w:sz w:val="28"/>
          <w:szCs w:val="28"/>
          <w:lang w:val="uk-UA"/>
        </w:rPr>
        <w:t>2</w:t>
      </w:r>
      <w:r w:rsidR="00FE60C3">
        <w:rPr>
          <w:sz w:val="28"/>
          <w:szCs w:val="28"/>
          <w:lang w:val="uk-UA"/>
        </w:rPr>
        <w:t>26</w:t>
      </w:r>
      <w:r w:rsidRPr="00DF012A">
        <w:rPr>
          <w:sz w:val="28"/>
          <w:szCs w:val="28"/>
          <w:lang w:val="uk-UA"/>
        </w:rPr>
        <w:t>], можливо, кальцій впливає на сприйняття болю, опосередковане також опіоїдними рецепторами</w:t>
      </w:r>
      <w:r>
        <w:rPr>
          <w:sz w:val="28"/>
          <w:szCs w:val="28"/>
          <w:lang w:val="uk-UA"/>
        </w:rPr>
        <w:t xml:space="preserve">, що підтверджується результатами дослідження у тесті «Гаряча Пластина і «Відсмикування хвоста». У той самий час, комплексні сполуки І і ІІ проявляють виражений антиноцицептивний ефект на обох моделях хімічного </w:t>
      </w:r>
      <w:r>
        <w:rPr>
          <w:sz w:val="28"/>
          <w:szCs w:val="28"/>
          <w:lang w:val="uk-UA"/>
        </w:rPr>
        <w:lastRenderedPageBreak/>
        <w:t xml:space="preserve">подразнення: капсаіцин і </w:t>
      </w:r>
      <w:r w:rsidRPr="0076125E">
        <w:rPr>
          <w:sz w:val="28"/>
          <w:szCs w:val="28"/>
          <w:lang w:val="uk-UA"/>
        </w:rPr>
        <w:t>AITC</w:t>
      </w:r>
      <w:r>
        <w:rPr>
          <w:sz w:val="28"/>
          <w:szCs w:val="28"/>
          <w:lang w:val="uk-UA"/>
        </w:rPr>
        <w:t xml:space="preserve">-індукованих моделях болю. Імовірно, що комплексні сполуки І і ІІ реалізують свій антиноцицептивний ефект  за рахунок впливу на </w:t>
      </w:r>
      <w:r w:rsidRPr="0076125E">
        <w:rPr>
          <w:sz w:val="28"/>
          <w:szCs w:val="28"/>
        </w:rPr>
        <w:t>TRPV</w:t>
      </w:r>
      <w:r w:rsidRPr="00D716B4">
        <w:rPr>
          <w:sz w:val="28"/>
          <w:szCs w:val="28"/>
          <w:lang w:val="uk-UA"/>
        </w:rPr>
        <w:t>-1</w:t>
      </w:r>
      <w:r>
        <w:rPr>
          <w:sz w:val="28"/>
          <w:szCs w:val="28"/>
          <w:lang w:val="uk-UA"/>
        </w:rPr>
        <w:t xml:space="preserve"> і </w:t>
      </w:r>
      <w:r>
        <w:rPr>
          <w:sz w:val="28"/>
          <w:szCs w:val="28"/>
          <w:lang w:val="en-US"/>
        </w:rPr>
        <w:t>TRPA</w:t>
      </w:r>
      <w:r w:rsidRPr="00D716B4">
        <w:rPr>
          <w:sz w:val="28"/>
          <w:szCs w:val="28"/>
          <w:lang w:val="uk-UA"/>
        </w:rPr>
        <w:t xml:space="preserve">-1 </w:t>
      </w:r>
      <w:r>
        <w:rPr>
          <w:sz w:val="28"/>
          <w:szCs w:val="28"/>
          <w:lang w:val="uk-UA"/>
        </w:rPr>
        <w:t xml:space="preserve">канали. </w:t>
      </w:r>
    </w:p>
    <w:p w14:paraId="5B351AD5" w14:textId="59B3F66E" w:rsidR="00C57D1F" w:rsidRDefault="00C57D1F">
      <w:pPr>
        <w:rPr>
          <w:rFonts w:eastAsia="Calibri"/>
          <w:sz w:val="28"/>
          <w:szCs w:val="28"/>
          <w:lang w:val="uk-UA"/>
        </w:rPr>
      </w:pPr>
      <w:r>
        <w:rPr>
          <w:sz w:val="28"/>
          <w:szCs w:val="28"/>
          <w:lang w:val="uk-UA"/>
        </w:rPr>
        <w:br w:type="page"/>
      </w:r>
    </w:p>
    <w:p w14:paraId="3419BF24" w14:textId="165BABF7" w:rsidR="00C57D1F" w:rsidRDefault="00F05F4E" w:rsidP="00C57D1F">
      <w:pPr>
        <w:spacing w:line="360" w:lineRule="auto"/>
        <w:jc w:val="center"/>
        <w:rPr>
          <w:b/>
          <w:sz w:val="28"/>
          <w:szCs w:val="28"/>
          <w:lang w:val="uk-UA"/>
        </w:rPr>
      </w:pPr>
      <w:r w:rsidRPr="00F05F4E">
        <w:rPr>
          <w:b/>
          <w:sz w:val="28"/>
          <w:szCs w:val="28"/>
          <w:lang w:val="uk-UA"/>
        </w:rPr>
        <w:lastRenderedPageBreak/>
        <w:t>РОЗДІЛ 6</w:t>
      </w:r>
    </w:p>
    <w:p w14:paraId="36B22DD7" w14:textId="27B70A7A" w:rsidR="00F05F4E" w:rsidRPr="00F05F4E" w:rsidRDefault="00F05F4E" w:rsidP="00C57D1F">
      <w:pPr>
        <w:spacing w:line="360" w:lineRule="auto"/>
        <w:jc w:val="center"/>
        <w:rPr>
          <w:b/>
          <w:sz w:val="28"/>
          <w:szCs w:val="28"/>
          <w:lang w:val="uk-UA"/>
        </w:rPr>
      </w:pPr>
      <w:r w:rsidRPr="00F05F4E">
        <w:rPr>
          <w:b/>
          <w:sz w:val="28"/>
          <w:szCs w:val="28"/>
          <w:lang w:val="uk-UA"/>
        </w:rPr>
        <w:t xml:space="preserve">ДОСЛІДЖЕННЯ ВЛИВУ </w:t>
      </w:r>
      <w:r w:rsidRPr="00F05F4E">
        <w:rPr>
          <w:b/>
          <w:caps/>
          <w:sz w:val="28"/>
          <w:szCs w:val="28"/>
          <w:lang w:val="uk-UA"/>
        </w:rPr>
        <w:t xml:space="preserve">комплекснИх </w:t>
      </w:r>
      <w:r w:rsidRPr="00F05F4E">
        <w:rPr>
          <w:b/>
          <w:sz w:val="28"/>
          <w:szCs w:val="28"/>
          <w:lang w:val="uk-UA"/>
        </w:rPr>
        <w:t xml:space="preserve">СПОЛУК </w:t>
      </w:r>
      <w:r w:rsidRPr="00F05F4E">
        <w:rPr>
          <w:b/>
          <w:sz w:val="28"/>
          <w:szCs w:val="28"/>
          <w:lang w:val="en-US"/>
        </w:rPr>
        <w:t>Sn</w:t>
      </w:r>
      <w:r w:rsidRPr="00F05F4E">
        <w:rPr>
          <w:b/>
          <w:sz w:val="28"/>
          <w:szCs w:val="28"/>
          <w:lang w:val="uk-UA"/>
        </w:rPr>
        <w:t>(</w:t>
      </w:r>
      <w:r w:rsidRPr="00F05F4E">
        <w:rPr>
          <w:b/>
          <w:sz w:val="28"/>
          <w:szCs w:val="28"/>
          <w:lang w:val="en-US"/>
        </w:rPr>
        <w:t>IV</w:t>
      </w:r>
      <w:r w:rsidRPr="00F05F4E">
        <w:rPr>
          <w:b/>
          <w:sz w:val="28"/>
          <w:szCs w:val="28"/>
          <w:lang w:val="uk-UA"/>
        </w:rPr>
        <w:t>) З САЛІЦИЛОЇЛГІДРАЗОНАМИ БЕНЗАЛЬДЕГІДІВ НА ЦЕНТРАЛЬНУ НЕРВОВУ СИСТЕМУ</w:t>
      </w:r>
    </w:p>
    <w:p w14:paraId="6C95738F" w14:textId="32CE7A41" w:rsidR="00F05F4E" w:rsidRPr="006F2142" w:rsidRDefault="00F05F4E" w:rsidP="00F05F4E">
      <w:pPr>
        <w:spacing w:line="420" w:lineRule="atLeast"/>
        <w:ind w:firstLine="708"/>
        <w:jc w:val="both"/>
        <w:rPr>
          <w:rStyle w:val="jlqj4b"/>
          <w:color w:val="000000"/>
          <w:sz w:val="28"/>
          <w:szCs w:val="28"/>
          <w:lang w:val="uk-UA"/>
        </w:rPr>
      </w:pPr>
      <w:r w:rsidRPr="006F2142">
        <w:rPr>
          <w:rStyle w:val="jlqj4b"/>
          <w:color w:val="000000"/>
          <w:sz w:val="28"/>
          <w:szCs w:val="28"/>
          <w:lang w:val="uk-UA"/>
        </w:rPr>
        <w:t>Життя, що супроводжується щоденним болем є фізичним та емоційним стресом.</w:t>
      </w:r>
      <w:r>
        <w:rPr>
          <w:rStyle w:val="jlqj4b"/>
          <w:color w:val="000000"/>
          <w:sz w:val="28"/>
          <w:szCs w:val="28"/>
          <w:lang w:val="uk-UA"/>
        </w:rPr>
        <w:t xml:space="preserve"> Часто, хронічні захворювання, що супроводжуються запальними процесами та відчуттям болю</w:t>
      </w:r>
      <w:r w:rsidRPr="006F2142">
        <w:rPr>
          <w:rStyle w:val="jlqj4b"/>
          <w:color w:val="000000"/>
          <w:sz w:val="28"/>
          <w:szCs w:val="28"/>
          <w:lang w:val="uk-UA"/>
        </w:rPr>
        <w:t xml:space="preserve">, </w:t>
      </w:r>
      <w:r>
        <w:rPr>
          <w:rStyle w:val="jlqj4b"/>
          <w:color w:val="000000"/>
          <w:sz w:val="28"/>
          <w:szCs w:val="28"/>
          <w:lang w:val="uk-UA"/>
        </w:rPr>
        <w:t>викликають</w:t>
      </w:r>
      <w:r w:rsidRPr="006F2142">
        <w:rPr>
          <w:rStyle w:val="jlqj4b"/>
          <w:color w:val="000000"/>
          <w:sz w:val="28"/>
          <w:szCs w:val="28"/>
          <w:lang w:val="uk-UA"/>
        </w:rPr>
        <w:t xml:space="preserve"> зменшення задоволення від </w:t>
      </w:r>
      <w:r>
        <w:rPr>
          <w:rStyle w:val="jlqj4b"/>
          <w:color w:val="000000"/>
          <w:sz w:val="28"/>
          <w:szCs w:val="28"/>
          <w:lang w:val="uk-UA"/>
        </w:rPr>
        <w:t>життя</w:t>
      </w:r>
      <w:r w:rsidRPr="006F2142">
        <w:rPr>
          <w:rStyle w:val="jlqj4b"/>
          <w:color w:val="000000"/>
          <w:sz w:val="28"/>
          <w:szCs w:val="28"/>
          <w:lang w:val="uk-UA"/>
        </w:rPr>
        <w:t>, втрат</w:t>
      </w:r>
      <w:r>
        <w:rPr>
          <w:rStyle w:val="jlqj4b"/>
          <w:color w:val="000000"/>
          <w:sz w:val="28"/>
          <w:szCs w:val="28"/>
          <w:lang w:val="uk-UA"/>
        </w:rPr>
        <w:t>у</w:t>
      </w:r>
      <w:r w:rsidRPr="006F2142">
        <w:rPr>
          <w:rStyle w:val="jlqj4b"/>
          <w:color w:val="000000"/>
          <w:sz w:val="28"/>
          <w:szCs w:val="28"/>
          <w:lang w:val="uk-UA"/>
        </w:rPr>
        <w:t xml:space="preserve"> функці</w:t>
      </w:r>
      <w:r>
        <w:rPr>
          <w:rStyle w:val="jlqj4b"/>
          <w:color w:val="000000"/>
          <w:sz w:val="28"/>
          <w:szCs w:val="28"/>
          <w:lang w:val="uk-UA"/>
        </w:rPr>
        <w:t>ональності</w:t>
      </w:r>
      <w:r w:rsidRPr="006F2142">
        <w:rPr>
          <w:rStyle w:val="jlqj4b"/>
          <w:color w:val="000000"/>
          <w:sz w:val="28"/>
          <w:szCs w:val="28"/>
          <w:lang w:val="uk-UA"/>
        </w:rPr>
        <w:t>,</w:t>
      </w:r>
      <w:r>
        <w:rPr>
          <w:rStyle w:val="jlqj4b"/>
          <w:color w:val="000000"/>
          <w:sz w:val="28"/>
          <w:szCs w:val="28"/>
          <w:lang w:val="uk-UA"/>
        </w:rPr>
        <w:t xml:space="preserve"> роздратованість, погіршення сну, </w:t>
      </w:r>
      <w:r w:rsidRPr="006F2142">
        <w:rPr>
          <w:rStyle w:val="jlqj4b"/>
          <w:color w:val="000000"/>
          <w:sz w:val="28"/>
          <w:szCs w:val="28"/>
          <w:lang w:val="uk-UA"/>
        </w:rPr>
        <w:t>труднощ</w:t>
      </w:r>
      <w:r>
        <w:rPr>
          <w:rStyle w:val="jlqj4b"/>
          <w:color w:val="000000"/>
          <w:sz w:val="28"/>
          <w:szCs w:val="28"/>
          <w:lang w:val="uk-UA"/>
        </w:rPr>
        <w:t xml:space="preserve">ами </w:t>
      </w:r>
      <w:r w:rsidRPr="006F2142">
        <w:rPr>
          <w:rStyle w:val="jlqj4b"/>
          <w:color w:val="000000"/>
          <w:sz w:val="28"/>
          <w:szCs w:val="28"/>
          <w:lang w:val="uk-UA"/>
        </w:rPr>
        <w:t>у стосунках</w:t>
      </w:r>
      <w:r>
        <w:rPr>
          <w:rStyle w:val="jlqj4b"/>
          <w:color w:val="000000"/>
          <w:sz w:val="28"/>
          <w:szCs w:val="28"/>
          <w:lang w:val="uk-UA"/>
        </w:rPr>
        <w:t xml:space="preserve"> із оточуючими</w:t>
      </w:r>
      <w:r w:rsidRPr="006F2142">
        <w:rPr>
          <w:rStyle w:val="jlqj4b"/>
          <w:color w:val="000000"/>
          <w:sz w:val="28"/>
          <w:szCs w:val="28"/>
          <w:lang w:val="uk-UA"/>
        </w:rPr>
        <w:t xml:space="preserve"> [</w:t>
      </w:r>
      <w:r w:rsidR="00390008">
        <w:rPr>
          <w:rStyle w:val="jlqj4b"/>
          <w:color w:val="000000"/>
          <w:sz w:val="28"/>
          <w:szCs w:val="28"/>
          <w:lang w:val="uk-UA"/>
        </w:rPr>
        <w:t>2</w:t>
      </w:r>
      <w:r w:rsidR="00FE60C3">
        <w:rPr>
          <w:rStyle w:val="jlqj4b"/>
          <w:color w:val="000000"/>
          <w:sz w:val="28"/>
          <w:szCs w:val="28"/>
          <w:lang w:val="uk-UA"/>
        </w:rPr>
        <w:t>27</w:t>
      </w:r>
      <w:r w:rsidRPr="006F2142">
        <w:rPr>
          <w:rStyle w:val="jlqj4b"/>
          <w:color w:val="000000"/>
          <w:sz w:val="28"/>
          <w:szCs w:val="28"/>
          <w:lang w:val="uk-UA"/>
        </w:rPr>
        <w:t xml:space="preserve">]. </w:t>
      </w:r>
      <w:r>
        <w:rPr>
          <w:rStyle w:val="jlqj4b"/>
          <w:color w:val="000000"/>
          <w:sz w:val="28"/>
          <w:szCs w:val="28"/>
          <w:lang w:val="uk-UA"/>
        </w:rPr>
        <w:t>Відчуття н</w:t>
      </w:r>
      <w:r w:rsidRPr="006F2142">
        <w:rPr>
          <w:rStyle w:val="jlqj4b"/>
          <w:color w:val="000000"/>
          <w:sz w:val="28"/>
          <w:szCs w:val="28"/>
          <w:lang w:val="uk-UA"/>
        </w:rPr>
        <w:t>евпевнен</w:t>
      </w:r>
      <w:r>
        <w:rPr>
          <w:rStyle w:val="jlqj4b"/>
          <w:color w:val="000000"/>
          <w:sz w:val="28"/>
          <w:szCs w:val="28"/>
          <w:lang w:val="uk-UA"/>
        </w:rPr>
        <w:t>о</w:t>
      </w:r>
      <w:r w:rsidRPr="006F2142">
        <w:rPr>
          <w:rStyle w:val="jlqj4b"/>
          <w:color w:val="000000"/>
          <w:sz w:val="28"/>
          <w:szCs w:val="28"/>
          <w:lang w:val="uk-UA"/>
        </w:rPr>
        <w:t>ст</w:t>
      </w:r>
      <w:r>
        <w:rPr>
          <w:rStyle w:val="jlqj4b"/>
          <w:color w:val="000000"/>
          <w:sz w:val="28"/>
          <w:szCs w:val="28"/>
          <w:lang w:val="uk-UA"/>
        </w:rPr>
        <w:t>і</w:t>
      </w:r>
      <w:r w:rsidRPr="006F2142">
        <w:rPr>
          <w:rStyle w:val="jlqj4b"/>
          <w:color w:val="000000"/>
          <w:sz w:val="28"/>
          <w:szCs w:val="28"/>
          <w:lang w:val="uk-UA"/>
        </w:rPr>
        <w:t xml:space="preserve"> у тому, що </w:t>
      </w:r>
      <w:r>
        <w:rPr>
          <w:rStyle w:val="jlqj4b"/>
          <w:color w:val="000000"/>
          <w:sz w:val="28"/>
          <w:szCs w:val="28"/>
          <w:lang w:val="uk-UA"/>
        </w:rPr>
        <w:t>біль і запалення минуть</w:t>
      </w:r>
      <w:r w:rsidRPr="006F2142">
        <w:rPr>
          <w:rStyle w:val="jlqj4b"/>
          <w:color w:val="000000"/>
          <w:sz w:val="28"/>
          <w:szCs w:val="28"/>
          <w:lang w:val="uk-UA"/>
        </w:rPr>
        <w:t xml:space="preserve">, </w:t>
      </w:r>
      <w:r>
        <w:rPr>
          <w:rStyle w:val="jlqj4b"/>
          <w:color w:val="000000"/>
          <w:sz w:val="28"/>
          <w:szCs w:val="28"/>
          <w:lang w:val="uk-UA"/>
        </w:rPr>
        <w:t>викликає</w:t>
      </w:r>
      <w:r w:rsidRPr="006F2142">
        <w:rPr>
          <w:rStyle w:val="jlqj4b"/>
          <w:color w:val="000000"/>
          <w:sz w:val="28"/>
          <w:szCs w:val="28"/>
          <w:lang w:val="uk-UA"/>
        </w:rPr>
        <w:t xml:space="preserve"> почуття тривоги, смутку, горя та гніву.</w:t>
      </w:r>
      <w:r>
        <w:rPr>
          <w:rStyle w:val="jlqj4b"/>
          <w:color w:val="000000"/>
          <w:sz w:val="28"/>
          <w:szCs w:val="28"/>
          <w:lang w:val="uk-UA"/>
        </w:rPr>
        <w:t xml:space="preserve"> </w:t>
      </w:r>
      <w:r w:rsidRPr="006F2142">
        <w:rPr>
          <w:rStyle w:val="jlqj4b"/>
          <w:color w:val="000000"/>
          <w:sz w:val="28"/>
          <w:szCs w:val="28"/>
          <w:lang w:val="uk-UA"/>
        </w:rPr>
        <w:t xml:space="preserve">Психологічне та фізичне переживання постійного болю, що взаємодіє з індивідуальною та соціальною вразливістю, може </w:t>
      </w:r>
      <w:r>
        <w:rPr>
          <w:rStyle w:val="jlqj4b"/>
          <w:color w:val="000000"/>
          <w:sz w:val="28"/>
          <w:szCs w:val="28"/>
          <w:lang w:val="uk-UA"/>
        </w:rPr>
        <w:t>стати причиною розвитку</w:t>
      </w:r>
      <w:r w:rsidRPr="006F2142">
        <w:rPr>
          <w:rStyle w:val="jlqj4b"/>
          <w:color w:val="000000"/>
          <w:sz w:val="28"/>
          <w:szCs w:val="28"/>
          <w:lang w:val="uk-UA"/>
        </w:rPr>
        <w:t xml:space="preserve"> депресії</w:t>
      </w:r>
      <w:r w:rsidRPr="006F2142">
        <w:rPr>
          <w:rStyle w:val="jlqj4b"/>
          <w:color w:val="000000"/>
          <w:sz w:val="28"/>
          <w:szCs w:val="28"/>
        </w:rPr>
        <w:t xml:space="preserve"> [</w:t>
      </w:r>
      <w:r w:rsidR="00390008">
        <w:rPr>
          <w:rStyle w:val="jlqj4b"/>
          <w:color w:val="000000"/>
          <w:sz w:val="28"/>
          <w:szCs w:val="28"/>
          <w:lang w:val="uk-UA"/>
        </w:rPr>
        <w:t>2</w:t>
      </w:r>
      <w:r w:rsidR="00FE60C3">
        <w:rPr>
          <w:rStyle w:val="jlqj4b"/>
          <w:color w:val="000000"/>
          <w:sz w:val="28"/>
          <w:szCs w:val="28"/>
          <w:lang w:val="uk-UA"/>
        </w:rPr>
        <w:t>28</w:t>
      </w:r>
      <w:r w:rsidRPr="006F2142">
        <w:rPr>
          <w:rStyle w:val="jlqj4b"/>
          <w:color w:val="000000"/>
          <w:sz w:val="28"/>
          <w:szCs w:val="28"/>
        </w:rPr>
        <w:t>]</w:t>
      </w:r>
      <w:r w:rsidRPr="006F2142">
        <w:rPr>
          <w:rStyle w:val="jlqj4b"/>
          <w:color w:val="000000"/>
          <w:sz w:val="28"/>
          <w:szCs w:val="28"/>
          <w:lang w:val="uk-UA"/>
        </w:rPr>
        <w:t>.</w:t>
      </w:r>
    </w:p>
    <w:p w14:paraId="3C7F28B7" w14:textId="3F089D1D" w:rsidR="00F05F4E" w:rsidRPr="00D02F4A" w:rsidRDefault="00F05F4E" w:rsidP="00F05F4E">
      <w:pPr>
        <w:pStyle w:val="a6"/>
        <w:spacing w:before="0" w:beforeAutospacing="0" w:after="0" w:afterAutospacing="0" w:line="360" w:lineRule="auto"/>
        <w:ind w:firstLine="709"/>
        <w:jc w:val="both"/>
        <w:rPr>
          <w:color w:val="211E1E"/>
          <w:sz w:val="28"/>
          <w:szCs w:val="28"/>
        </w:rPr>
      </w:pPr>
      <w:r w:rsidRPr="00F24BC1">
        <w:rPr>
          <w:color w:val="211E1E"/>
          <w:sz w:val="28"/>
          <w:szCs w:val="28"/>
          <w:lang w:val="uk-UA"/>
        </w:rPr>
        <w:t>Дослідження, що були проведені нашими колегами, свідчать про те, що лікування протизапальними засобами, зокрема ацетилсаліцилова кислота, інгібітори ЦОГ-2 та антагоністи рецепторів фактору некрозу пухлини, здатні покращити перебіг лікування депресії [</w:t>
      </w:r>
      <w:r w:rsidR="00390008">
        <w:rPr>
          <w:color w:val="211E1E"/>
          <w:sz w:val="28"/>
          <w:szCs w:val="28"/>
          <w:lang w:val="uk-UA"/>
        </w:rPr>
        <w:t>2</w:t>
      </w:r>
      <w:r w:rsidR="00FE60C3">
        <w:rPr>
          <w:color w:val="211E1E"/>
          <w:sz w:val="28"/>
          <w:szCs w:val="28"/>
          <w:lang w:val="uk-UA"/>
        </w:rPr>
        <w:t>29</w:t>
      </w:r>
      <w:r w:rsidRPr="00F24BC1">
        <w:rPr>
          <w:color w:val="211E1E"/>
          <w:sz w:val="28"/>
          <w:szCs w:val="28"/>
          <w:lang w:val="uk-UA"/>
        </w:rPr>
        <w:t>]. Існують літературні дані, що підтверджують запальний компонент депресії [</w:t>
      </w:r>
      <w:r w:rsidR="00390008">
        <w:rPr>
          <w:color w:val="211E1E"/>
          <w:sz w:val="28"/>
          <w:szCs w:val="28"/>
          <w:lang w:val="uk-UA"/>
        </w:rPr>
        <w:t>2</w:t>
      </w:r>
      <w:r w:rsidR="00FE60C3">
        <w:rPr>
          <w:color w:val="211E1E"/>
          <w:sz w:val="28"/>
          <w:szCs w:val="28"/>
          <w:lang w:val="uk-UA"/>
        </w:rPr>
        <w:t>30</w:t>
      </w:r>
      <w:r w:rsidRPr="00F24BC1">
        <w:rPr>
          <w:color w:val="211E1E"/>
          <w:sz w:val="28"/>
          <w:szCs w:val="28"/>
          <w:lang w:val="uk-UA"/>
        </w:rPr>
        <w:t xml:space="preserve">], але взаємозв’язок антидепресивної дії НПЗЗ остаточно не встановлено. Відомо, що інгібітори ЦОГ-2 мають прямий вплив на серотонінергічну систему ЦНС, а також можуть впливати на неї опосередковано через імунні процеси в ЦНС </w:t>
      </w:r>
      <w:r w:rsidRPr="00F24BC1">
        <w:rPr>
          <w:color w:val="211E1E"/>
          <w:sz w:val="28"/>
          <w:szCs w:val="28"/>
        </w:rPr>
        <w:t>[</w:t>
      </w:r>
      <w:r w:rsidR="00390008">
        <w:rPr>
          <w:color w:val="211E1E"/>
          <w:sz w:val="28"/>
          <w:szCs w:val="28"/>
          <w:lang w:val="uk-UA"/>
        </w:rPr>
        <w:t>2</w:t>
      </w:r>
      <w:r w:rsidR="00FE60C3">
        <w:rPr>
          <w:color w:val="211E1E"/>
          <w:sz w:val="28"/>
          <w:szCs w:val="28"/>
          <w:lang w:val="uk-UA"/>
        </w:rPr>
        <w:t>31</w:t>
      </w:r>
      <w:r w:rsidRPr="00F24BC1">
        <w:rPr>
          <w:color w:val="211E1E"/>
          <w:sz w:val="28"/>
          <w:szCs w:val="28"/>
        </w:rPr>
        <w:t>]</w:t>
      </w:r>
      <w:r w:rsidRPr="00F24BC1">
        <w:rPr>
          <w:color w:val="211E1E"/>
          <w:sz w:val="28"/>
          <w:szCs w:val="28"/>
          <w:lang w:val="uk-UA"/>
        </w:rPr>
        <w:t>. Дослідження на щурах показало більш високий рівень серотоніну як у фронтальній, так і в темпоропаріетальній корі після прийому рофекоксибу, селективного НПЗП ЦОГ-2 [</w:t>
      </w:r>
      <w:r w:rsidR="00390008">
        <w:rPr>
          <w:color w:val="211E1E"/>
          <w:sz w:val="28"/>
          <w:szCs w:val="28"/>
          <w:lang w:val="uk-UA"/>
        </w:rPr>
        <w:t>2</w:t>
      </w:r>
      <w:r w:rsidR="00FE60C3">
        <w:rPr>
          <w:color w:val="211E1E"/>
          <w:sz w:val="28"/>
          <w:szCs w:val="28"/>
          <w:lang w:val="uk-UA"/>
        </w:rPr>
        <w:t>32</w:t>
      </w:r>
      <w:r w:rsidRPr="00F24BC1">
        <w:rPr>
          <w:color w:val="211E1E"/>
          <w:sz w:val="28"/>
          <w:szCs w:val="28"/>
          <w:lang w:val="uk-UA"/>
        </w:rPr>
        <w:t>].</w:t>
      </w:r>
      <w:r w:rsidRPr="00F24BC1">
        <w:rPr>
          <w:color w:val="211E1E"/>
          <w:sz w:val="28"/>
          <w:szCs w:val="28"/>
        </w:rPr>
        <w:t xml:space="preserve"> </w:t>
      </w:r>
    </w:p>
    <w:p w14:paraId="7549C061" w14:textId="6CEEAD1C" w:rsidR="00F05F4E" w:rsidRDefault="00F05F4E" w:rsidP="007C0C3C">
      <w:pPr>
        <w:pStyle w:val="a6"/>
        <w:spacing w:line="360" w:lineRule="auto"/>
        <w:ind w:firstLine="720"/>
        <w:jc w:val="both"/>
        <w:outlineLvl w:val="1"/>
        <w:rPr>
          <w:sz w:val="28"/>
          <w:szCs w:val="28"/>
          <w:lang w:val="uk-UA"/>
        </w:rPr>
      </w:pPr>
      <w:r>
        <w:rPr>
          <w:b/>
          <w:sz w:val="28"/>
          <w:szCs w:val="28"/>
          <w:lang w:val="uk-UA"/>
        </w:rPr>
        <w:t xml:space="preserve">6.1 Вивчення антидепресантної активності </w:t>
      </w:r>
      <w:r w:rsidR="00C57D1F">
        <w:rPr>
          <w:b/>
          <w:sz w:val="28"/>
          <w:szCs w:val="28"/>
          <w:lang w:val="uk-UA"/>
        </w:rPr>
        <w:t xml:space="preserve">комплексних сполук </w:t>
      </w:r>
      <w:r w:rsidR="00C57D1F">
        <w:rPr>
          <w:b/>
          <w:sz w:val="28"/>
          <w:szCs w:val="28"/>
        </w:rPr>
        <w:t>Sn</w:t>
      </w:r>
      <w:r w:rsidR="00C57D1F">
        <w:rPr>
          <w:b/>
          <w:sz w:val="28"/>
          <w:szCs w:val="28"/>
          <w:lang w:val="uk-UA"/>
        </w:rPr>
        <w:t xml:space="preserve"> (</w:t>
      </w:r>
      <w:r w:rsidR="00C57D1F">
        <w:rPr>
          <w:b/>
          <w:sz w:val="28"/>
          <w:szCs w:val="28"/>
          <w:lang w:val="en-US"/>
        </w:rPr>
        <w:t>IV</w:t>
      </w:r>
      <w:r w:rsidR="00C57D1F">
        <w:rPr>
          <w:b/>
          <w:sz w:val="28"/>
          <w:szCs w:val="28"/>
          <w:lang w:val="uk-UA"/>
        </w:rPr>
        <w:t>) з саліцилоїлгідразонами бензальдегідів</w:t>
      </w:r>
    </w:p>
    <w:p w14:paraId="29664984" w14:textId="77777777" w:rsidR="00F05F4E" w:rsidRDefault="00F05F4E" w:rsidP="00F05F4E">
      <w:pPr>
        <w:pStyle w:val="a0"/>
        <w:spacing w:line="360" w:lineRule="auto"/>
        <w:ind w:left="0" w:firstLine="720"/>
        <w:jc w:val="both"/>
        <w:rPr>
          <w:sz w:val="28"/>
          <w:szCs w:val="28"/>
          <w:lang w:val="uk-UA"/>
        </w:rPr>
      </w:pPr>
      <w:r>
        <w:rPr>
          <w:sz w:val="28"/>
          <w:szCs w:val="28"/>
          <w:lang w:val="uk-UA"/>
        </w:rPr>
        <w:t>Тест Порсолта було розроблено як скринінговий тест на гризунах для вивчення сполук, які можуть бути потенційними антидепресантами. Тест ґрунтується на припущенні, що тварина намагатиметься уникнути негативного (стресового) стимулу.</w:t>
      </w:r>
    </w:p>
    <w:p w14:paraId="49F20D7D" w14:textId="4A9DD962" w:rsidR="00F05F4E" w:rsidRPr="00C57D1F" w:rsidRDefault="00F05F4E" w:rsidP="00C57D1F">
      <w:pPr>
        <w:pStyle w:val="a6"/>
        <w:spacing w:before="0" w:beforeAutospacing="0" w:after="0" w:afterAutospacing="0" w:line="360" w:lineRule="auto"/>
        <w:ind w:firstLine="720"/>
        <w:jc w:val="both"/>
        <w:rPr>
          <w:sz w:val="28"/>
          <w:szCs w:val="28"/>
          <w:lang w:val="uk-UA"/>
        </w:rPr>
      </w:pPr>
      <w:r>
        <w:rPr>
          <w:color w:val="000000"/>
          <w:sz w:val="28"/>
          <w:szCs w:val="28"/>
          <w:lang w:val="uk-UA"/>
        </w:rPr>
        <w:lastRenderedPageBreak/>
        <w:t xml:space="preserve">Антидепресантну дію комплексних сполук І і ІІ досліджували у відповідних дозах </w:t>
      </w:r>
      <w:r w:rsidRPr="00473DF6">
        <w:rPr>
          <w:sz w:val="28"/>
          <w:szCs w:val="28"/>
          <w:lang w:val="uk-UA" w:eastAsia="en-US"/>
        </w:rPr>
        <w:t>147 мг/кг і 168 мг/кг</w:t>
      </w:r>
      <w:r>
        <w:rPr>
          <w:sz w:val="28"/>
          <w:szCs w:val="28"/>
          <w:lang w:val="uk-UA" w:eastAsia="en-US"/>
        </w:rPr>
        <w:t xml:space="preserve"> при пероральному введенні.</w:t>
      </w:r>
      <w:r w:rsidR="00C57D1F">
        <w:rPr>
          <w:sz w:val="28"/>
          <w:szCs w:val="28"/>
          <w:lang w:val="uk-UA" w:eastAsia="en-US"/>
        </w:rPr>
        <w:t xml:space="preserve"> </w:t>
      </w:r>
      <w:r w:rsidRPr="00164C26">
        <w:rPr>
          <w:sz w:val="28"/>
          <w:szCs w:val="28"/>
          <w:lang w:val="uk-UA"/>
        </w:rPr>
        <w:t xml:space="preserve">Через 1 годину після перорального введення комплексів І і ІІ спостерігалася повна відсутність іммобільності мишей упродовж 3 хв. вимірювання, у порівнянні з контрольною групою. Показники активного плавання істотно перевищували дані референт препарату амітриптиліну. </w:t>
      </w:r>
    </w:p>
    <w:p w14:paraId="65FC4302" w14:textId="4880499C" w:rsidR="00F05F4E" w:rsidRPr="00164C26" w:rsidRDefault="00F05F4E" w:rsidP="00F05F4E">
      <w:pPr>
        <w:widowControl w:val="0"/>
        <w:spacing w:line="360" w:lineRule="auto"/>
        <w:ind w:firstLine="709"/>
        <w:jc w:val="both"/>
        <w:rPr>
          <w:rFonts w:eastAsia="Calibri"/>
          <w:sz w:val="28"/>
          <w:szCs w:val="28"/>
          <w:lang w:val="uk-UA"/>
        </w:rPr>
      </w:pPr>
      <w:r w:rsidRPr="00164C26">
        <w:rPr>
          <w:rFonts w:eastAsia="Calibri"/>
          <w:sz w:val="28"/>
          <w:szCs w:val="28"/>
          <w:lang w:val="uk-UA"/>
        </w:rPr>
        <w:t>Відомо, що інгібування зворотного захоплення моноамінів є основним механізмом антидепресивної дії амітриптиліну. Блокуючи транспортери серотоніну та норадреналіну, амітриптилін збільшує кількість нейромедіаторів у синапсі, а отже, посилює нейротрансмісію [2</w:t>
      </w:r>
      <w:r w:rsidR="00FE60C3">
        <w:rPr>
          <w:rFonts w:eastAsia="Calibri"/>
          <w:sz w:val="28"/>
          <w:szCs w:val="28"/>
          <w:lang w:val="uk-UA"/>
        </w:rPr>
        <w:t>33</w:t>
      </w:r>
      <w:r w:rsidRPr="00164C26">
        <w:rPr>
          <w:rFonts w:eastAsia="Calibri"/>
          <w:sz w:val="28"/>
          <w:szCs w:val="28"/>
          <w:lang w:val="uk-UA"/>
        </w:rPr>
        <w:t xml:space="preserve">]. </w:t>
      </w:r>
    </w:p>
    <w:p w14:paraId="19A39253" w14:textId="204D4D7F" w:rsidR="00F05F4E" w:rsidRPr="00164C26" w:rsidRDefault="00F05F4E" w:rsidP="0071066B">
      <w:pPr>
        <w:widowControl w:val="0"/>
        <w:spacing w:line="360" w:lineRule="auto"/>
        <w:jc w:val="both"/>
        <w:rPr>
          <w:rFonts w:eastAsia="Calibri"/>
          <w:sz w:val="28"/>
          <w:szCs w:val="28"/>
          <w:lang w:val="uk-UA"/>
        </w:rPr>
      </w:pPr>
      <w:r w:rsidRPr="00164C26">
        <w:rPr>
          <w:rFonts w:eastAsia="Calibri"/>
          <w:sz w:val="28"/>
          <w:szCs w:val="28"/>
          <w:lang w:val="uk-UA"/>
        </w:rPr>
        <w:t xml:space="preserve">Через три години після перорального введення комплексних сполук І і ІІ час </w:t>
      </w:r>
      <w:r w:rsidRPr="00164C26">
        <w:rPr>
          <w:sz w:val="28"/>
          <w:szCs w:val="28"/>
          <w:lang w:val="uk-UA"/>
        </w:rPr>
        <w:t>іммобільності</w:t>
      </w:r>
      <w:r w:rsidRPr="00164C26">
        <w:rPr>
          <w:rFonts w:eastAsia="Calibri"/>
          <w:sz w:val="28"/>
          <w:szCs w:val="28"/>
          <w:lang w:val="uk-UA"/>
        </w:rPr>
        <w:t xml:space="preserve"> залишався на досить низькому рівні, так дані склали 6 с та 10 с для комплексних сполук І і ІІ, відповідно (табл. </w:t>
      </w:r>
      <w:r>
        <w:rPr>
          <w:rFonts w:eastAsia="Calibri"/>
          <w:sz w:val="28"/>
          <w:szCs w:val="28"/>
          <w:lang w:val="uk-UA"/>
        </w:rPr>
        <w:t>6</w:t>
      </w:r>
      <w:r w:rsidRPr="00164C26">
        <w:rPr>
          <w:rFonts w:eastAsia="Calibri"/>
          <w:sz w:val="28"/>
          <w:szCs w:val="28"/>
          <w:lang w:val="uk-UA"/>
        </w:rPr>
        <w:t xml:space="preserve">.1.1 та рис. </w:t>
      </w:r>
      <w:r>
        <w:rPr>
          <w:rFonts w:eastAsia="Calibri"/>
          <w:sz w:val="28"/>
          <w:szCs w:val="28"/>
          <w:lang w:val="uk-UA"/>
        </w:rPr>
        <w:t>6</w:t>
      </w:r>
      <w:r w:rsidRPr="00164C26">
        <w:rPr>
          <w:rFonts w:eastAsia="Calibri"/>
          <w:sz w:val="28"/>
          <w:szCs w:val="28"/>
          <w:lang w:val="uk-UA"/>
        </w:rPr>
        <w:t>.1.</w:t>
      </w:r>
      <w:r>
        <w:rPr>
          <w:rFonts w:eastAsia="Calibri"/>
          <w:sz w:val="28"/>
          <w:szCs w:val="28"/>
          <w:lang w:val="uk-UA"/>
        </w:rPr>
        <w:t>1</w:t>
      </w:r>
      <w:r w:rsidRPr="00164C26">
        <w:rPr>
          <w:rFonts w:eastAsia="Calibri"/>
          <w:sz w:val="28"/>
          <w:szCs w:val="28"/>
          <w:lang w:val="uk-UA"/>
        </w:rPr>
        <w:t xml:space="preserve">). Впродовж п’яти годин спостерігалася </w:t>
      </w:r>
      <w:r w:rsidRPr="00164C26">
        <w:rPr>
          <w:color w:val="000000"/>
          <w:sz w:val="28"/>
          <w:szCs w:val="28"/>
          <w:lang w:val="uk-UA"/>
        </w:rPr>
        <w:t>антидепрес</w:t>
      </w:r>
      <w:r>
        <w:rPr>
          <w:color w:val="000000"/>
          <w:sz w:val="28"/>
          <w:szCs w:val="28"/>
          <w:lang w:val="uk-UA"/>
        </w:rPr>
        <w:t>антна</w:t>
      </w:r>
      <w:r w:rsidRPr="00164C26">
        <w:rPr>
          <w:color w:val="000000"/>
          <w:sz w:val="28"/>
          <w:szCs w:val="28"/>
          <w:lang w:val="uk-UA"/>
        </w:rPr>
        <w:t xml:space="preserve"> </w:t>
      </w:r>
      <w:r w:rsidRPr="00164C26">
        <w:rPr>
          <w:rFonts w:eastAsia="Calibri"/>
          <w:sz w:val="28"/>
          <w:szCs w:val="28"/>
          <w:lang w:val="uk-UA"/>
        </w:rPr>
        <w:t xml:space="preserve">дія досліджуваних сполук, які в середньому зменшували час </w:t>
      </w:r>
      <w:r w:rsidRPr="00164C26">
        <w:rPr>
          <w:sz w:val="28"/>
          <w:szCs w:val="28"/>
          <w:lang w:val="uk-UA"/>
        </w:rPr>
        <w:t>іммобільності</w:t>
      </w:r>
      <w:r w:rsidRPr="00164C26">
        <w:rPr>
          <w:rFonts w:eastAsia="Calibri"/>
          <w:sz w:val="28"/>
          <w:szCs w:val="28"/>
          <w:lang w:val="uk-UA"/>
        </w:rPr>
        <w:t xml:space="preserve"> тварин до 6 сек і 2 сек, відповідно.</w:t>
      </w:r>
    </w:p>
    <w:p w14:paraId="33313187" w14:textId="10927332" w:rsidR="00F05F4E" w:rsidRPr="007C0C3C" w:rsidRDefault="00F05F4E" w:rsidP="00F05F4E">
      <w:pPr>
        <w:widowControl w:val="0"/>
        <w:autoSpaceDE w:val="0"/>
        <w:autoSpaceDN w:val="0"/>
        <w:adjustRightInd w:val="0"/>
        <w:spacing w:line="360" w:lineRule="auto"/>
        <w:ind w:left="5664" w:firstLine="708"/>
        <w:jc w:val="right"/>
        <w:rPr>
          <w:i/>
          <w:sz w:val="28"/>
          <w:szCs w:val="28"/>
          <w:lang w:val="uk-UA"/>
        </w:rPr>
      </w:pPr>
      <w:r w:rsidRPr="007C0C3C">
        <w:rPr>
          <w:i/>
          <w:sz w:val="28"/>
          <w:szCs w:val="28"/>
          <w:lang w:val="uk-UA"/>
        </w:rPr>
        <w:t xml:space="preserve">Таблиця </w:t>
      </w:r>
      <w:r w:rsidRPr="007C0C3C">
        <w:rPr>
          <w:i/>
          <w:sz w:val="28"/>
          <w:szCs w:val="28"/>
        </w:rPr>
        <w:t>6</w:t>
      </w:r>
      <w:r w:rsidRPr="007C0C3C">
        <w:rPr>
          <w:i/>
          <w:sz w:val="28"/>
          <w:szCs w:val="28"/>
          <w:lang w:val="uk-UA"/>
        </w:rPr>
        <w:t>.1.1</w:t>
      </w:r>
    </w:p>
    <w:p w14:paraId="0145C470" w14:textId="5D5A0C0B" w:rsidR="00F05F4E" w:rsidRPr="00164C26" w:rsidRDefault="00F05F4E" w:rsidP="007C0C3C">
      <w:pPr>
        <w:widowControl w:val="0"/>
        <w:autoSpaceDE w:val="0"/>
        <w:autoSpaceDN w:val="0"/>
        <w:adjustRightInd w:val="0"/>
        <w:spacing w:line="360" w:lineRule="auto"/>
        <w:jc w:val="right"/>
        <w:rPr>
          <w:b/>
          <w:sz w:val="28"/>
          <w:szCs w:val="28"/>
          <w:lang w:val="uk-UA"/>
        </w:rPr>
      </w:pPr>
      <w:r w:rsidRPr="00164C26">
        <w:rPr>
          <w:b/>
          <w:color w:val="000000"/>
          <w:sz w:val="28"/>
          <w:szCs w:val="28"/>
          <w:lang w:val="uk-UA"/>
        </w:rPr>
        <w:t>Антидепресивна</w:t>
      </w:r>
      <w:r w:rsidRPr="00164C26">
        <w:rPr>
          <w:color w:val="000000"/>
          <w:sz w:val="28"/>
          <w:szCs w:val="28"/>
          <w:lang w:val="uk-UA"/>
        </w:rPr>
        <w:t xml:space="preserve"> </w:t>
      </w:r>
      <w:r w:rsidRPr="00164C26">
        <w:rPr>
          <w:b/>
          <w:sz w:val="28"/>
          <w:szCs w:val="28"/>
          <w:lang w:val="uk-UA"/>
        </w:rPr>
        <w:t>активність досліджуваних сполук при пероральному введенні у тесті Порсолта</w:t>
      </w:r>
      <w:r w:rsidRPr="00164C26">
        <w:rPr>
          <w:sz w:val="28"/>
          <w:szCs w:val="28"/>
          <w:lang w:val="uk-UA"/>
        </w:rPr>
        <w:t xml:space="preserve"> </w:t>
      </w:r>
      <w:r w:rsidRPr="00164C26">
        <w:rPr>
          <w:b/>
          <w:sz w:val="28"/>
          <w:szCs w:val="28"/>
          <w:lang w:val="uk-UA"/>
        </w:rPr>
        <w:t>(М</w:t>
      </w:r>
      <w:r w:rsidRPr="00164C26">
        <w:rPr>
          <w:b/>
          <w:color w:val="4D5156"/>
          <w:sz w:val="28"/>
          <w:szCs w:val="28"/>
          <w:shd w:val="clear" w:color="auto" w:fill="FFFFFF"/>
          <w:lang w:val="uk-UA"/>
        </w:rPr>
        <w:t>±</w:t>
      </w:r>
      <w:r w:rsidRPr="00164C26">
        <w:rPr>
          <w:b/>
          <w:sz w:val="28"/>
          <w:szCs w:val="28"/>
          <w:lang w:val="en-US"/>
        </w:rPr>
        <w:t>m</w:t>
      </w:r>
      <w:r w:rsidRPr="00164C26">
        <w:rPr>
          <w:b/>
          <w:sz w:val="28"/>
          <w:szCs w:val="28"/>
          <w:lang w:val="uk-UA"/>
        </w:rPr>
        <w:t xml:space="preserve">, </w:t>
      </w:r>
      <w:r w:rsidRPr="00164C26">
        <w:rPr>
          <w:b/>
          <w:sz w:val="28"/>
          <w:szCs w:val="28"/>
          <w:lang w:val="en-US"/>
        </w:rPr>
        <w:t>n</w:t>
      </w:r>
      <w:r w:rsidRPr="00164C26">
        <w:rPr>
          <w:b/>
          <w:sz w:val="28"/>
          <w:szCs w:val="28"/>
          <w:lang w:val="uk-UA"/>
        </w:rPr>
        <w:t>=</w:t>
      </w:r>
      <w:r w:rsidRPr="00164C26">
        <w:rPr>
          <w:b/>
          <w:sz w:val="28"/>
          <w:szCs w:val="28"/>
        </w:rPr>
        <w:t>6</w:t>
      </w:r>
      <w:r w:rsidRPr="00164C26">
        <w:rPr>
          <w:b/>
          <w:sz w:val="28"/>
          <w:szCs w:val="28"/>
          <w:lang w:val="uk-UA"/>
        </w:rPr>
        <w:t>)</w:t>
      </w:r>
    </w:p>
    <w:tbl>
      <w:tblPr>
        <w:tblStyle w:val="afb"/>
        <w:tblW w:w="9309" w:type="dxa"/>
        <w:tblLayout w:type="fixed"/>
        <w:tblLook w:val="04A0" w:firstRow="1" w:lastRow="0" w:firstColumn="1" w:lastColumn="0" w:noHBand="0" w:noVBand="1"/>
      </w:tblPr>
      <w:tblGrid>
        <w:gridCol w:w="526"/>
        <w:gridCol w:w="1725"/>
        <w:gridCol w:w="1732"/>
        <w:gridCol w:w="1827"/>
        <w:gridCol w:w="1691"/>
        <w:gridCol w:w="1808"/>
      </w:tblGrid>
      <w:tr w:rsidR="00F05F4E" w:rsidRPr="00A50810" w14:paraId="7A53B245" w14:textId="77777777" w:rsidTr="00A50810">
        <w:trPr>
          <w:trHeight w:val="447"/>
        </w:trPr>
        <w:tc>
          <w:tcPr>
            <w:tcW w:w="526" w:type="dxa"/>
            <w:vMerge w:val="restart"/>
            <w:vAlign w:val="center"/>
          </w:tcPr>
          <w:p w14:paraId="6C8DBF99" w14:textId="77777777" w:rsidR="00F05F4E" w:rsidRPr="00A50810" w:rsidRDefault="00F05F4E" w:rsidP="00A50810">
            <w:pPr>
              <w:widowControl w:val="0"/>
              <w:autoSpaceDE w:val="0"/>
              <w:autoSpaceDN w:val="0"/>
              <w:adjustRightInd w:val="0"/>
              <w:spacing w:line="360" w:lineRule="auto"/>
            </w:pPr>
            <w:r w:rsidRPr="00A50810">
              <w:t>№ гр</w:t>
            </w:r>
          </w:p>
        </w:tc>
        <w:tc>
          <w:tcPr>
            <w:tcW w:w="1725" w:type="dxa"/>
            <w:vMerge w:val="restart"/>
            <w:vAlign w:val="center"/>
          </w:tcPr>
          <w:p w14:paraId="14FC324B" w14:textId="77777777" w:rsidR="00F05F4E" w:rsidRPr="00A50810" w:rsidRDefault="00F05F4E" w:rsidP="00A50810">
            <w:pPr>
              <w:widowControl w:val="0"/>
              <w:autoSpaceDE w:val="0"/>
              <w:autoSpaceDN w:val="0"/>
              <w:adjustRightInd w:val="0"/>
              <w:spacing w:line="360" w:lineRule="auto"/>
            </w:pPr>
            <w:r w:rsidRPr="00A50810">
              <w:t>Сполука</w:t>
            </w:r>
          </w:p>
        </w:tc>
        <w:tc>
          <w:tcPr>
            <w:tcW w:w="7058" w:type="dxa"/>
            <w:gridSpan w:val="4"/>
            <w:vAlign w:val="center"/>
          </w:tcPr>
          <w:p w14:paraId="2A2220DE" w14:textId="309FC718" w:rsidR="00F05F4E" w:rsidRPr="00A50810" w:rsidRDefault="00F05F4E" w:rsidP="00A50810">
            <w:pPr>
              <w:widowControl w:val="0"/>
              <w:autoSpaceDE w:val="0"/>
              <w:autoSpaceDN w:val="0"/>
              <w:adjustRightInd w:val="0"/>
              <w:spacing w:line="360" w:lineRule="auto"/>
              <w:jc w:val="center"/>
              <w:rPr>
                <w:lang w:val="uk-UA"/>
              </w:rPr>
            </w:pPr>
            <w:r w:rsidRPr="00A50810">
              <w:rPr>
                <w:lang w:val="uk-UA"/>
              </w:rPr>
              <w:t>Час іммобільності тварин, с</w:t>
            </w:r>
          </w:p>
        </w:tc>
      </w:tr>
      <w:tr w:rsidR="00F05F4E" w:rsidRPr="00A50810" w14:paraId="02236079" w14:textId="77777777" w:rsidTr="00A50810">
        <w:trPr>
          <w:trHeight w:val="346"/>
        </w:trPr>
        <w:tc>
          <w:tcPr>
            <w:tcW w:w="526" w:type="dxa"/>
            <w:vMerge/>
            <w:vAlign w:val="center"/>
          </w:tcPr>
          <w:p w14:paraId="77EB0829" w14:textId="77777777" w:rsidR="00F05F4E" w:rsidRPr="00A50810" w:rsidRDefault="00F05F4E" w:rsidP="00A50810">
            <w:pPr>
              <w:widowControl w:val="0"/>
              <w:autoSpaceDE w:val="0"/>
              <w:autoSpaceDN w:val="0"/>
              <w:adjustRightInd w:val="0"/>
              <w:spacing w:line="360" w:lineRule="auto"/>
            </w:pPr>
          </w:p>
        </w:tc>
        <w:tc>
          <w:tcPr>
            <w:tcW w:w="1725" w:type="dxa"/>
            <w:vMerge/>
            <w:vAlign w:val="center"/>
          </w:tcPr>
          <w:p w14:paraId="0EA4F9EB" w14:textId="77777777" w:rsidR="00F05F4E" w:rsidRPr="00A50810" w:rsidRDefault="00F05F4E" w:rsidP="00A50810">
            <w:pPr>
              <w:widowControl w:val="0"/>
              <w:autoSpaceDE w:val="0"/>
              <w:autoSpaceDN w:val="0"/>
              <w:adjustRightInd w:val="0"/>
              <w:spacing w:line="360" w:lineRule="auto"/>
            </w:pPr>
          </w:p>
        </w:tc>
        <w:tc>
          <w:tcPr>
            <w:tcW w:w="1732" w:type="dxa"/>
            <w:vAlign w:val="center"/>
          </w:tcPr>
          <w:p w14:paraId="6A146AEF" w14:textId="77777777" w:rsidR="00F05F4E" w:rsidRPr="00A50810" w:rsidRDefault="00F05F4E" w:rsidP="00A50810">
            <w:pPr>
              <w:widowControl w:val="0"/>
              <w:autoSpaceDE w:val="0"/>
              <w:autoSpaceDN w:val="0"/>
              <w:adjustRightInd w:val="0"/>
              <w:spacing w:line="360" w:lineRule="auto"/>
              <w:jc w:val="center"/>
              <w:rPr>
                <w:lang w:val="uk-UA"/>
              </w:rPr>
            </w:pPr>
            <w:r w:rsidRPr="00A50810">
              <w:rPr>
                <w:lang w:val="uk-UA"/>
              </w:rPr>
              <w:t>1 год</w:t>
            </w:r>
          </w:p>
        </w:tc>
        <w:tc>
          <w:tcPr>
            <w:tcW w:w="1827" w:type="dxa"/>
            <w:vAlign w:val="center"/>
          </w:tcPr>
          <w:p w14:paraId="2C57465D" w14:textId="77777777" w:rsidR="00F05F4E" w:rsidRPr="00A50810" w:rsidRDefault="00F05F4E" w:rsidP="00A50810">
            <w:pPr>
              <w:widowControl w:val="0"/>
              <w:autoSpaceDE w:val="0"/>
              <w:autoSpaceDN w:val="0"/>
              <w:adjustRightInd w:val="0"/>
              <w:spacing w:line="360" w:lineRule="auto"/>
              <w:jc w:val="center"/>
              <w:rPr>
                <w:lang w:val="uk-UA"/>
              </w:rPr>
            </w:pPr>
            <w:r w:rsidRPr="00A50810">
              <w:rPr>
                <w:lang w:val="en-US"/>
              </w:rPr>
              <w:t>3</w:t>
            </w:r>
            <w:r w:rsidRPr="00A50810">
              <w:rPr>
                <w:lang w:val="uk-UA"/>
              </w:rPr>
              <w:t xml:space="preserve"> год</w:t>
            </w:r>
          </w:p>
        </w:tc>
        <w:tc>
          <w:tcPr>
            <w:tcW w:w="1691" w:type="dxa"/>
            <w:vAlign w:val="center"/>
          </w:tcPr>
          <w:p w14:paraId="2B333B13" w14:textId="77777777" w:rsidR="00F05F4E" w:rsidRPr="00A50810" w:rsidRDefault="00F05F4E" w:rsidP="00A50810">
            <w:pPr>
              <w:widowControl w:val="0"/>
              <w:autoSpaceDE w:val="0"/>
              <w:autoSpaceDN w:val="0"/>
              <w:adjustRightInd w:val="0"/>
              <w:spacing w:line="360" w:lineRule="auto"/>
              <w:jc w:val="center"/>
              <w:rPr>
                <w:lang w:val="uk-UA"/>
              </w:rPr>
            </w:pPr>
            <w:r w:rsidRPr="00A50810">
              <w:rPr>
                <w:lang w:val="en-US"/>
              </w:rPr>
              <w:t>5</w:t>
            </w:r>
            <w:r w:rsidRPr="00A50810">
              <w:rPr>
                <w:lang w:val="uk-UA"/>
              </w:rPr>
              <w:t xml:space="preserve"> год</w:t>
            </w:r>
          </w:p>
        </w:tc>
        <w:tc>
          <w:tcPr>
            <w:tcW w:w="1807" w:type="dxa"/>
            <w:vAlign w:val="center"/>
          </w:tcPr>
          <w:p w14:paraId="676E00D9" w14:textId="77777777" w:rsidR="00F05F4E" w:rsidRPr="00A50810" w:rsidRDefault="00F05F4E" w:rsidP="00A50810">
            <w:pPr>
              <w:widowControl w:val="0"/>
              <w:autoSpaceDE w:val="0"/>
              <w:autoSpaceDN w:val="0"/>
              <w:adjustRightInd w:val="0"/>
              <w:spacing w:line="360" w:lineRule="auto"/>
              <w:jc w:val="center"/>
              <w:rPr>
                <w:lang w:val="uk-UA"/>
              </w:rPr>
            </w:pPr>
            <w:r w:rsidRPr="00A50810">
              <w:rPr>
                <w:lang w:val="en-US"/>
              </w:rPr>
              <w:t>2</w:t>
            </w:r>
            <w:r w:rsidRPr="00A50810">
              <w:rPr>
                <w:lang w:val="uk-UA"/>
              </w:rPr>
              <w:t>4 год</w:t>
            </w:r>
          </w:p>
        </w:tc>
      </w:tr>
      <w:tr w:rsidR="00F05F4E" w:rsidRPr="00A50810" w14:paraId="52B4D227" w14:textId="77777777" w:rsidTr="00A50810">
        <w:trPr>
          <w:trHeight w:val="101"/>
        </w:trPr>
        <w:tc>
          <w:tcPr>
            <w:tcW w:w="526" w:type="dxa"/>
            <w:vAlign w:val="center"/>
          </w:tcPr>
          <w:p w14:paraId="2238BB0E"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1</w:t>
            </w:r>
          </w:p>
        </w:tc>
        <w:tc>
          <w:tcPr>
            <w:tcW w:w="1725" w:type="dxa"/>
            <w:vAlign w:val="center"/>
          </w:tcPr>
          <w:p w14:paraId="756CCB4C"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Контроль</w:t>
            </w:r>
          </w:p>
        </w:tc>
        <w:tc>
          <w:tcPr>
            <w:tcW w:w="1732" w:type="dxa"/>
            <w:vAlign w:val="center"/>
          </w:tcPr>
          <w:p w14:paraId="69C010D4" w14:textId="77777777" w:rsidR="00F05F4E" w:rsidRPr="00A50810" w:rsidRDefault="00F05F4E" w:rsidP="00A50810">
            <w:pPr>
              <w:rPr>
                <w:color w:val="000000"/>
                <w:lang w:val="uk-UA"/>
              </w:rPr>
            </w:pPr>
            <w:r w:rsidRPr="00A50810">
              <w:rPr>
                <w:color w:val="000000"/>
                <w:lang w:val="uk-UA"/>
              </w:rPr>
              <w:t xml:space="preserve">62,4 </w:t>
            </w:r>
            <w:r w:rsidRPr="00A50810">
              <w:rPr>
                <w:color w:val="000000"/>
              </w:rPr>
              <w:t xml:space="preserve">± </w:t>
            </w:r>
            <w:r w:rsidRPr="00A50810">
              <w:rPr>
                <w:color w:val="000000"/>
                <w:lang w:val="uk-UA"/>
              </w:rPr>
              <w:t>5,5</w:t>
            </w:r>
          </w:p>
        </w:tc>
        <w:tc>
          <w:tcPr>
            <w:tcW w:w="1827" w:type="dxa"/>
            <w:vAlign w:val="center"/>
          </w:tcPr>
          <w:p w14:paraId="0852765A" w14:textId="77777777" w:rsidR="00F05F4E" w:rsidRPr="00A50810" w:rsidRDefault="00F05F4E" w:rsidP="00A50810">
            <w:r w:rsidRPr="00A50810">
              <w:rPr>
                <w:color w:val="000000"/>
                <w:lang w:val="uk-UA"/>
              </w:rPr>
              <w:t xml:space="preserve">62,4 </w:t>
            </w:r>
            <w:r w:rsidRPr="00A50810">
              <w:rPr>
                <w:color w:val="000000"/>
              </w:rPr>
              <w:t xml:space="preserve">± </w:t>
            </w:r>
            <w:r w:rsidRPr="00A50810">
              <w:rPr>
                <w:color w:val="000000"/>
                <w:lang w:val="uk-UA"/>
              </w:rPr>
              <w:t>5,5</w:t>
            </w:r>
          </w:p>
        </w:tc>
        <w:tc>
          <w:tcPr>
            <w:tcW w:w="1691" w:type="dxa"/>
            <w:vAlign w:val="center"/>
          </w:tcPr>
          <w:p w14:paraId="5E930C4C" w14:textId="77777777" w:rsidR="00F05F4E" w:rsidRPr="00A50810" w:rsidRDefault="00F05F4E" w:rsidP="00A50810">
            <w:r w:rsidRPr="00A50810">
              <w:rPr>
                <w:color w:val="000000"/>
                <w:lang w:val="uk-UA"/>
              </w:rPr>
              <w:t xml:space="preserve">62,4 </w:t>
            </w:r>
            <w:r w:rsidRPr="00A50810">
              <w:rPr>
                <w:color w:val="000000"/>
              </w:rPr>
              <w:t xml:space="preserve">± </w:t>
            </w:r>
            <w:r w:rsidRPr="00A50810">
              <w:rPr>
                <w:color w:val="000000"/>
                <w:lang w:val="uk-UA"/>
              </w:rPr>
              <w:t>5,5</w:t>
            </w:r>
          </w:p>
        </w:tc>
        <w:tc>
          <w:tcPr>
            <w:tcW w:w="1807" w:type="dxa"/>
            <w:vAlign w:val="center"/>
          </w:tcPr>
          <w:p w14:paraId="4A4BA2E4" w14:textId="77777777" w:rsidR="00F05F4E" w:rsidRPr="00A50810" w:rsidRDefault="00F05F4E" w:rsidP="00A50810">
            <w:r w:rsidRPr="00A50810">
              <w:rPr>
                <w:color w:val="000000"/>
                <w:lang w:val="uk-UA"/>
              </w:rPr>
              <w:t xml:space="preserve">62,4 </w:t>
            </w:r>
            <w:r w:rsidRPr="00A50810">
              <w:rPr>
                <w:color w:val="000000"/>
              </w:rPr>
              <w:t xml:space="preserve">± </w:t>
            </w:r>
            <w:r w:rsidRPr="00A50810">
              <w:rPr>
                <w:color w:val="000000"/>
                <w:lang w:val="uk-UA"/>
              </w:rPr>
              <w:t>5,5</w:t>
            </w:r>
          </w:p>
        </w:tc>
      </w:tr>
      <w:tr w:rsidR="00F05F4E" w:rsidRPr="00A50810" w14:paraId="42051703" w14:textId="77777777" w:rsidTr="00A50810">
        <w:trPr>
          <w:trHeight w:val="387"/>
        </w:trPr>
        <w:tc>
          <w:tcPr>
            <w:tcW w:w="526" w:type="dxa"/>
            <w:vAlign w:val="center"/>
          </w:tcPr>
          <w:p w14:paraId="7DEF0D63"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2</w:t>
            </w:r>
          </w:p>
        </w:tc>
        <w:tc>
          <w:tcPr>
            <w:tcW w:w="1725" w:type="dxa"/>
            <w:vAlign w:val="center"/>
          </w:tcPr>
          <w:p w14:paraId="56E18C65"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Амітриптилін</w:t>
            </w:r>
          </w:p>
        </w:tc>
        <w:tc>
          <w:tcPr>
            <w:tcW w:w="1732" w:type="dxa"/>
            <w:vAlign w:val="center"/>
          </w:tcPr>
          <w:p w14:paraId="25D3DB3B" w14:textId="77777777" w:rsidR="00F05F4E" w:rsidRPr="00A50810" w:rsidRDefault="00F05F4E" w:rsidP="00A50810">
            <w:pPr>
              <w:rPr>
                <w:color w:val="000000"/>
                <w:lang w:val="en-US"/>
              </w:rPr>
            </w:pPr>
            <w:r w:rsidRPr="00A50810">
              <w:rPr>
                <w:color w:val="000000"/>
                <w:lang w:val="uk-UA"/>
              </w:rPr>
              <w:t>26</w:t>
            </w:r>
            <w:r w:rsidRPr="00A50810">
              <w:rPr>
                <w:color w:val="000000"/>
                <w:lang w:val="en-US"/>
              </w:rPr>
              <w:t>,0</w:t>
            </w:r>
            <w:r w:rsidRPr="00A50810">
              <w:rPr>
                <w:color w:val="000000"/>
                <w:lang w:val="uk-UA"/>
              </w:rPr>
              <w:t xml:space="preserve"> </w:t>
            </w:r>
            <w:r w:rsidRPr="00A50810">
              <w:rPr>
                <w:color w:val="000000"/>
              </w:rPr>
              <w:t>±</w:t>
            </w:r>
            <w:r w:rsidRPr="00A50810">
              <w:rPr>
                <w:color w:val="000000"/>
                <w:lang w:val="uk-UA"/>
              </w:rPr>
              <w:t xml:space="preserve"> 1,3</w:t>
            </w:r>
            <w:r w:rsidRPr="00A50810">
              <w:rPr>
                <w:color w:val="000000"/>
                <w:lang w:val="en-US"/>
              </w:rPr>
              <w:t>**</w:t>
            </w:r>
          </w:p>
        </w:tc>
        <w:tc>
          <w:tcPr>
            <w:tcW w:w="1827" w:type="dxa"/>
            <w:vAlign w:val="center"/>
          </w:tcPr>
          <w:p w14:paraId="4B8E266C" w14:textId="77777777" w:rsidR="00F05F4E" w:rsidRPr="00A50810" w:rsidRDefault="00F05F4E" w:rsidP="00A50810">
            <w:pPr>
              <w:widowControl w:val="0"/>
              <w:autoSpaceDE w:val="0"/>
              <w:autoSpaceDN w:val="0"/>
              <w:adjustRightInd w:val="0"/>
              <w:spacing w:line="360" w:lineRule="auto"/>
              <w:rPr>
                <w:color w:val="000000"/>
                <w:lang w:val="en-US"/>
              </w:rPr>
            </w:pPr>
            <w:r w:rsidRPr="00A50810">
              <w:rPr>
                <w:color w:val="000000"/>
                <w:lang w:val="uk-UA"/>
              </w:rPr>
              <w:t>17</w:t>
            </w:r>
            <w:r w:rsidRPr="00A50810">
              <w:rPr>
                <w:color w:val="000000"/>
                <w:lang w:val="en-US"/>
              </w:rPr>
              <w:t>,0</w:t>
            </w:r>
            <w:r w:rsidRPr="00A50810">
              <w:rPr>
                <w:color w:val="000000"/>
                <w:lang w:val="uk-UA"/>
              </w:rPr>
              <w:t xml:space="preserve"> </w:t>
            </w:r>
            <w:r w:rsidRPr="00A50810">
              <w:rPr>
                <w:color w:val="000000"/>
              </w:rPr>
              <w:t>±</w:t>
            </w:r>
            <w:r w:rsidRPr="00A50810">
              <w:rPr>
                <w:color w:val="000000"/>
                <w:lang w:val="uk-UA"/>
              </w:rPr>
              <w:t xml:space="preserve"> 0,6</w:t>
            </w:r>
            <w:r w:rsidRPr="00A50810">
              <w:rPr>
                <w:color w:val="000000"/>
                <w:lang w:val="en-US"/>
              </w:rPr>
              <w:t>**</w:t>
            </w:r>
          </w:p>
        </w:tc>
        <w:tc>
          <w:tcPr>
            <w:tcW w:w="1691" w:type="dxa"/>
            <w:vAlign w:val="center"/>
          </w:tcPr>
          <w:p w14:paraId="2764DBB9" w14:textId="77777777" w:rsidR="00F05F4E" w:rsidRPr="00A50810" w:rsidRDefault="00F05F4E" w:rsidP="00A50810">
            <w:pPr>
              <w:widowControl w:val="0"/>
              <w:autoSpaceDE w:val="0"/>
              <w:autoSpaceDN w:val="0"/>
              <w:adjustRightInd w:val="0"/>
              <w:spacing w:line="360" w:lineRule="auto"/>
              <w:rPr>
                <w:color w:val="000000"/>
                <w:lang w:val="en-US"/>
              </w:rPr>
            </w:pPr>
            <w:r w:rsidRPr="00A50810">
              <w:rPr>
                <w:color w:val="000000"/>
                <w:lang w:val="uk-UA"/>
              </w:rPr>
              <w:t>20</w:t>
            </w:r>
            <w:r w:rsidRPr="00A50810">
              <w:rPr>
                <w:color w:val="000000"/>
                <w:lang w:val="en-US"/>
              </w:rPr>
              <w:t xml:space="preserve">,0 </w:t>
            </w:r>
            <w:r w:rsidRPr="00A50810">
              <w:rPr>
                <w:color w:val="000000"/>
              </w:rPr>
              <w:t>±</w:t>
            </w:r>
            <w:r w:rsidRPr="00A50810">
              <w:rPr>
                <w:color w:val="000000"/>
                <w:lang w:val="uk-UA"/>
              </w:rPr>
              <w:t xml:space="preserve"> </w:t>
            </w:r>
            <w:r w:rsidRPr="00A50810">
              <w:rPr>
                <w:color w:val="000000"/>
                <w:lang w:val="en-US"/>
              </w:rPr>
              <w:t>1,</w:t>
            </w:r>
            <w:r w:rsidRPr="00A50810">
              <w:rPr>
                <w:color w:val="000000"/>
                <w:lang w:val="uk-UA"/>
              </w:rPr>
              <w:t>9</w:t>
            </w:r>
            <w:r w:rsidRPr="00A50810">
              <w:rPr>
                <w:color w:val="000000"/>
                <w:lang w:val="en-US"/>
              </w:rPr>
              <w:t xml:space="preserve"> **</w:t>
            </w:r>
          </w:p>
        </w:tc>
        <w:tc>
          <w:tcPr>
            <w:tcW w:w="1807" w:type="dxa"/>
            <w:vAlign w:val="center"/>
          </w:tcPr>
          <w:p w14:paraId="634DFD8E" w14:textId="77777777" w:rsidR="00F05F4E" w:rsidRPr="00A50810" w:rsidRDefault="00F05F4E" w:rsidP="00A50810">
            <w:pPr>
              <w:widowControl w:val="0"/>
              <w:autoSpaceDE w:val="0"/>
              <w:autoSpaceDN w:val="0"/>
              <w:adjustRightInd w:val="0"/>
              <w:spacing w:line="360" w:lineRule="auto"/>
              <w:rPr>
                <w:color w:val="000000"/>
                <w:lang w:val="en-US"/>
              </w:rPr>
            </w:pPr>
            <w:r w:rsidRPr="00A50810">
              <w:rPr>
                <w:color w:val="000000"/>
                <w:lang w:val="uk-UA"/>
              </w:rPr>
              <w:t>60,0</w:t>
            </w:r>
            <w:r w:rsidRPr="00A50810">
              <w:rPr>
                <w:color w:val="000000"/>
                <w:lang w:val="en-US"/>
              </w:rPr>
              <w:t xml:space="preserve"> </w:t>
            </w:r>
            <w:r w:rsidRPr="00A50810">
              <w:rPr>
                <w:color w:val="000000"/>
              </w:rPr>
              <w:t>±</w:t>
            </w:r>
            <w:r w:rsidRPr="00A50810">
              <w:rPr>
                <w:color w:val="000000"/>
                <w:lang w:val="en-US"/>
              </w:rPr>
              <w:t xml:space="preserve"> </w:t>
            </w:r>
            <w:r w:rsidRPr="00A50810">
              <w:rPr>
                <w:color w:val="000000"/>
                <w:lang w:val="uk-UA"/>
              </w:rPr>
              <w:t>1</w:t>
            </w:r>
            <w:r w:rsidRPr="00A50810">
              <w:rPr>
                <w:color w:val="000000"/>
                <w:lang w:val="en-US"/>
              </w:rPr>
              <w:t>,</w:t>
            </w:r>
            <w:r w:rsidRPr="00A50810">
              <w:rPr>
                <w:color w:val="000000"/>
                <w:lang w:val="uk-UA"/>
              </w:rPr>
              <w:t>4</w:t>
            </w:r>
          </w:p>
        </w:tc>
      </w:tr>
      <w:tr w:rsidR="00F05F4E" w:rsidRPr="00A50810" w14:paraId="2EA19078" w14:textId="77777777" w:rsidTr="00A50810">
        <w:trPr>
          <w:trHeight w:val="387"/>
        </w:trPr>
        <w:tc>
          <w:tcPr>
            <w:tcW w:w="526" w:type="dxa"/>
            <w:vAlign w:val="center"/>
          </w:tcPr>
          <w:p w14:paraId="5850B38B"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3</w:t>
            </w:r>
          </w:p>
        </w:tc>
        <w:tc>
          <w:tcPr>
            <w:tcW w:w="1725" w:type="dxa"/>
            <w:vAlign w:val="center"/>
          </w:tcPr>
          <w:p w14:paraId="2B04B317"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К І</w:t>
            </w:r>
          </w:p>
        </w:tc>
        <w:tc>
          <w:tcPr>
            <w:tcW w:w="1732" w:type="dxa"/>
            <w:vAlign w:val="center"/>
          </w:tcPr>
          <w:p w14:paraId="6E5739CB" w14:textId="77777777" w:rsidR="00F05F4E" w:rsidRPr="00A50810" w:rsidRDefault="00F05F4E" w:rsidP="00A50810">
            <w:pPr>
              <w:rPr>
                <w:color w:val="000000"/>
                <w:lang w:val="en-US"/>
              </w:rPr>
            </w:pPr>
            <w:r w:rsidRPr="00A50810">
              <w:rPr>
                <w:color w:val="000000"/>
                <w:lang w:val="en-US"/>
              </w:rPr>
              <w:t>1,0</w:t>
            </w:r>
            <w:r w:rsidRPr="00A50810">
              <w:rPr>
                <w:color w:val="000000"/>
              </w:rPr>
              <w:t xml:space="preserve"> ± 0,6</w:t>
            </w:r>
            <w:r w:rsidRPr="00A50810">
              <w:rPr>
                <w:color w:val="000000"/>
                <w:lang w:val="uk-UA"/>
              </w:rPr>
              <w:t xml:space="preserve"> </w:t>
            </w:r>
            <w:r w:rsidRPr="00A50810">
              <w:rPr>
                <w:color w:val="000000"/>
                <w:lang w:val="en-US"/>
              </w:rPr>
              <w:t>**</w:t>
            </w:r>
            <w:r w:rsidRPr="00A50810">
              <w:rPr>
                <w:color w:val="000000"/>
                <w:lang w:val="uk-UA"/>
              </w:rPr>
              <w:t>,</w:t>
            </w:r>
            <w:r w:rsidRPr="00A50810">
              <w:rPr>
                <w:vertAlign w:val="superscript"/>
                <w:lang w:val="en-US"/>
              </w:rPr>
              <w:t>##</w:t>
            </w:r>
          </w:p>
        </w:tc>
        <w:tc>
          <w:tcPr>
            <w:tcW w:w="1827" w:type="dxa"/>
            <w:vAlign w:val="center"/>
          </w:tcPr>
          <w:p w14:paraId="235102AE" w14:textId="77777777" w:rsidR="00F05F4E" w:rsidRPr="00A50810" w:rsidRDefault="00F05F4E" w:rsidP="00A50810">
            <w:pPr>
              <w:widowControl w:val="0"/>
              <w:autoSpaceDE w:val="0"/>
              <w:autoSpaceDN w:val="0"/>
              <w:adjustRightInd w:val="0"/>
              <w:spacing w:line="360" w:lineRule="auto"/>
              <w:rPr>
                <w:lang w:val="en-US"/>
              </w:rPr>
            </w:pPr>
            <w:r w:rsidRPr="00A50810">
              <w:rPr>
                <w:color w:val="000000"/>
                <w:lang w:val="uk-UA"/>
              </w:rPr>
              <w:t>6,0</w:t>
            </w:r>
            <w:r w:rsidRPr="00A50810">
              <w:rPr>
                <w:color w:val="000000"/>
              </w:rPr>
              <w:t xml:space="preserve"> ± 1,5</w:t>
            </w:r>
            <w:r w:rsidRPr="00A50810">
              <w:rPr>
                <w:color w:val="000000"/>
                <w:lang w:val="en-US"/>
              </w:rPr>
              <w:t xml:space="preserve"> **</w:t>
            </w:r>
            <w:r w:rsidRPr="00A50810">
              <w:rPr>
                <w:color w:val="000000"/>
                <w:lang w:val="uk-UA"/>
              </w:rPr>
              <w:t>,</w:t>
            </w:r>
            <w:r w:rsidRPr="00A50810">
              <w:rPr>
                <w:vertAlign w:val="superscript"/>
                <w:lang w:val="en-US"/>
              </w:rPr>
              <w:t>##</w:t>
            </w:r>
          </w:p>
        </w:tc>
        <w:tc>
          <w:tcPr>
            <w:tcW w:w="1691" w:type="dxa"/>
            <w:vAlign w:val="center"/>
          </w:tcPr>
          <w:p w14:paraId="75E09045" w14:textId="77777777" w:rsidR="00F05F4E" w:rsidRPr="00A50810" w:rsidRDefault="00F05F4E" w:rsidP="00A50810">
            <w:pPr>
              <w:widowControl w:val="0"/>
              <w:autoSpaceDE w:val="0"/>
              <w:autoSpaceDN w:val="0"/>
              <w:adjustRightInd w:val="0"/>
              <w:spacing w:line="360" w:lineRule="auto"/>
              <w:rPr>
                <w:lang w:val="en-US"/>
              </w:rPr>
            </w:pPr>
            <w:r w:rsidRPr="00A50810">
              <w:rPr>
                <w:color w:val="000000"/>
                <w:lang w:val="uk-UA"/>
              </w:rPr>
              <w:t xml:space="preserve">6,0 </w:t>
            </w:r>
            <w:r w:rsidRPr="00A50810">
              <w:rPr>
                <w:color w:val="000000"/>
              </w:rPr>
              <w:t>± 0,6</w:t>
            </w:r>
            <w:r w:rsidRPr="00A50810">
              <w:rPr>
                <w:color w:val="000000"/>
                <w:lang w:val="en-US"/>
              </w:rPr>
              <w:t xml:space="preserve"> **</w:t>
            </w:r>
            <w:r w:rsidRPr="00A50810">
              <w:rPr>
                <w:color w:val="000000"/>
                <w:lang w:val="uk-UA"/>
              </w:rPr>
              <w:t>,</w:t>
            </w:r>
            <w:r w:rsidRPr="00A50810">
              <w:rPr>
                <w:vertAlign w:val="superscript"/>
                <w:lang w:val="en-US"/>
              </w:rPr>
              <w:t>##</w:t>
            </w:r>
            <w:r w:rsidRPr="00A50810">
              <w:rPr>
                <w:color w:val="000000"/>
                <w:lang w:val="en-US"/>
              </w:rPr>
              <w:t xml:space="preserve"> </w:t>
            </w:r>
          </w:p>
        </w:tc>
        <w:tc>
          <w:tcPr>
            <w:tcW w:w="1807" w:type="dxa"/>
            <w:vAlign w:val="center"/>
          </w:tcPr>
          <w:p w14:paraId="430B96B6" w14:textId="77777777" w:rsidR="00F05F4E" w:rsidRPr="00A50810" w:rsidRDefault="00F05F4E" w:rsidP="00A50810">
            <w:pPr>
              <w:widowControl w:val="0"/>
              <w:autoSpaceDE w:val="0"/>
              <w:autoSpaceDN w:val="0"/>
              <w:adjustRightInd w:val="0"/>
              <w:spacing w:line="360" w:lineRule="auto"/>
              <w:rPr>
                <w:lang w:val="en-US"/>
              </w:rPr>
            </w:pPr>
            <w:r w:rsidRPr="00A50810">
              <w:rPr>
                <w:color w:val="000000"/>
                <w:lang w:val="uk-UA"/>
              </w:rPr>
              <w:t xml:space="preserve">20,0 </w:t>
            </w:r>
            <w:r w:rsidRPr="00A50810">
              <w:rPr>
                <w:color w:val="000000"/>
              </w:rPr>
              <w:t>± 9,6</w:t>
            </w:r>
            <w:r w:rsidRPr="00A50810">
              <w:rPr>
                <w:color w:val="000000"/>
                <w:lang w:val="uk-UA"/>
              </w:rPr>
              <w:t xml:space="preserve"> </w:t>
            </w:r>
            <w:r w:rsidRPr="00A50810">
              <w:rPr>
                <w:color w:val="000000"/>
                <w:lang w:val="en-US"/>
              </w:rPr>
              <w:t>**</w:t>
            </w:r>
            <w:r w:rsidRPr="00A50810">
              <w:rPr>
                <w:color w:val="000000"/>
                <w:lang w:val="uk-UA"/>
              </w:rPr>
              <w:t>,</w:t>
            </w:r>
            <w:r w:rsidRPr="00A50810">
              <w:rPr>
                <w:vertAlign w:val="superscript"/>
                <w:lang w:val="en-US"/>
              </w:rPr>
              <w:t>##</w:t>
            </w:r>
          </w:p>
        </w:tc>
      </w:tr>
      <w:tr w:rsidR="00F05F4E" w:rsidRPr="00A50810" w14:paraId="7D6B2757" w14:textId="77777777" w:rsidTr="00A50810">
        <w:trPr>
          <w:trHeight w:val="378"/>
        </w:trPr>
        <w:tc>
          <w:tcPr>
            <w:tcW w:w="526" w:type="dxa"/>
            <w:vAlign w:val="center"/>
          </w:tcPr>
          <w:p w14:paraId="073028F5"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4</w:t>
            </w:r>
          </w:p>
        </w:tc>
        <w:tc>
          <w:tcPr>
            <w:tcW w:w="1725" w:type="dxa"/>
            <w:vAlign w:val="center"/>
          </w:tcPr>
          <w:p w14:paraId="5D9FFEEB"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БА</w:t>
            </w:r>
          </w:p>
        </w:tc>
        <w:tc>
          <w:tcPr>
            <w:tcW w:w="1732" w:type="dxa"/>
            <w:vAlign w:val="center"/>
          </w:tcPr>
          <w:p w14:paraId="5E0354E3" w14:textId="77777777" w:rsidR="00F05F4E" w:rsidRPr="00A50810" w:rsidRDefault="00F05F4E" w:rsidP="00A50810">
            <w:pPr>
              <w:rPr>
                <w:color w:val="000000"/>
                <w:lang w:val="en-US"/>
              </w:rPr>
            </w:pPr>
            <w:r w:rsidRPr="00A50810">
              <w:rPr>
                <w:color w:val="000000"/>
                <w:lang w:val="uk-UA"/>
              </w:rPr>
              <w:t xml:space="preserve">2,0 </w:t>
            </w:r>
            <w:r w:rsidRPr="00A50810">
              <w:rPr>
                <w:color w:val="000000"/>
              </w:rPr>
              <w:t>± 0,6</w:t>
            </w:r>
            <w:r w:rsidRPr="00A50810">
              <w:rPr>
                <w:color w:val="000000"/>
                <w:lang w:val="uk-UA"/>
              </w:rPr>
              <w:t xml:space="preserve"> </w:t>
            </w:r>
            <w:r w:rsidRPr="00A50810">
              <w:rPr>
                <w:color w:val="000000"/>
                <w:lang w:val="en-US"/>
              </w:rPr>
              <w:t>**</w:t>
            </w:r>
            <w:r w:rsidRPr="00A50810">
              <w:rPr>
                <w:color w:val="000000"/>
                <w:lang w:val="uk-UA"/>
              </w:rPr>
              <w:t>,</w:t>
            </w:r>
            <w:r w:rsidRPr="00A50810">
              <w:rPr>
                <w:vertAlign w:val="superscript"/>
                <w:lang w:val="en-US"/>
              </w:rPr>
              <w:t>##</w:t>
            </w:r>
          </w:p>
        </w:tc>
        <w:tc>
          <w:tcPr>
            <w:tcW w:w="1827" w:type="dxa"/>
            <w:vAlign w:val="center"/>
          </w:tcPr>
          <w:p w14:paraId="40DC684C" w14:textId="77777777" w:rsidR="00F05F4E" w:rsidRPr="00A50810" w:rsidRDefault="00F05F4E" w:rsidP="00A50810">
            <w:pPr>
              <w:rPr>
                <w:color w:val="000000"/>
                <w:lang w:val="en-US"/>
              </w:rPr>
            </w:pPr>
            <w:r w:rsidRPr="00A50810">
              <w:rPr>
                <w:color w:val="000000"/>
                <w:lang w:val="uk-UA"/>
              </w:rPr>
              <w:t>10,0</w:t>
            </w:r>
            <w:r w:rsidRPr="00A50810">
              <w:rPr>
                <w:color w:val="000000"/>
              </w:rPr>
              <w:t xml:space="preserve"> ± 0,8</w:t>
            </w:r>
            <w:r w:rsidRPr="00A50810">
              <w:rPr>
                <w:color w:val="000000"/>
                <w:lang w:val="en-US"/>
              </w:rPr>
              <w:t xml:space="preserve"> **</w:t>
            </w:r>
          </w:p>
        </w:tc>
        <w:tc>
          <w:tcPr>
            <w:tcW w:w="1691" w:type="dxa"/>
            <w:vAlign w:val="center"/>
          </w:tcPr>
          <w:p w14:paraId="629A11A9" w14:textId="77777777" w:rsidR="00F05F4E" w:rsidRPr="00A50810" w:rsidRDefault="00F05F4E" w:rsidP="00A50810">
            <w:pPr>
              <w:rPr>
                <w:vertAlign w:val="superscript"/>
                <w:lang w:val="en-US"/>
              </w:rPr>
            </w:pPr>
            <w:r w:rsidRPr="00A50810">
              <w:rPr>
                <w:lang w:val="uk-UA"/>
              </w:rPr>
              <w:t xml:space="preserve">14,0 </w:t>
            </w:r>
            <w:r w:rsidRPr="00A50810">
              <w:rPr>
                <w:vertAlign w:val="superscript"/>
                <w:lang w:val="en-US"/>
              </w:rPr>
              <w:t xml:space="preserve"> </w:t>
            </w:r>
            <w:r w:rsidRPr="00A50810">
              <w:rPr>
                <w:color w:val="000000"/>
                <w:lang w:val="en-US"/>
              </w:rPr>
              <w:t>±</w:t>
            </w:r>
            <w:r w:rsidRPr="00A50810">
              <w:rPr>
                <w:color w:val="000000"/>
              </w:rPr>
              <w:t xml:space="preserve"> 0,7</w:t>
            </w:r>
            <w:r w:rsidRPr="00A50810">
              <w:rPr>
                <w:color w:val="000000"/>
                <w:lang w:val="en-US"/>
              </w:rPr>
              <w:t>**</w:t>
            </w:r>
          </w:p>
        </w:tc>
        <w:tc>
          <w:tcPr>
            <w:tcW w:w="1807" w:type="dxa"/>
            <w:vAlign w:val="center"/>
          </w:tcPr>
          <w:p w14:paraId="4BA4695E" w14:textId="77777777" w:rsidR="00F05F4E" w:rsidRPr="00A50810" w:rsidRDefault="00F05F4E" w:rsidP="00A50810">
            <w:pPr>
              <w:rPr>
                <w:color w:val="000000"/>
              </w:rPr>
            </w:pPr>
            <w:r w:rsidRPr="00A50810">
              <w:rPr>
                <w:color w:val="000000"/>
                <w:lang w:val="uk-UA"/>
              </w:rPr>
              <w:t>56,0</w:t>
            </w:r>
            <w:r w:rsidRPr="00A50810">
              <w:rPr>
                <w:color w:val="000000"/>
                <w:lang w:val="en-US"/>
              </w:rPr>
              <w:t xml:space="preserve"> </w:t>
            </w:r>
            <w:r w:rsidRPr="00A50810">
              <w:rPr>
                <w:color w:val="000000"/>
              </w:rPr>
              <w:t xml:space="preserve"> ± 3,1</w:t>
            </w:r>
          </w:p>
        </w:tc>
      </w:tr>
      <w:tr w:rsidR="00F05F4E" w:rsidRPr="00A50810" w14:paraId="5BA60B2F" w14:textId="77777777" w:rsidTr="00A50810">
        <w:trPr>
          <w:trHeight w:val="247"/>
        </w:trPr>
        <w:tc>
          <w:tcPr>
            <w:tcW w:w="526" w:type="dxa"/>
            <w:vAlign w:val="center"/>
          </w:tcPr>
          <w:p w14:paraId="12D13FE6"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5</w:t>
            </w:r>
          </w:p>
        </w:tc>
        <w:tc>
          <w:tcPr>
            <w:tcW w:w="1725" w:type="dxa"/>
            <w:vAlign w:val="center"/>
          </w:tcPr>
          <w:p w14:paraId="008D27CF"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СГБА</w:t>
            </w:r>
          </w:p>
        </w:tc>
        <w:tc>
          <w:tcPr>
            <w:tcW w:w="1732" w:type="dxa"/>
            <w:vAlign w:val="center"/>
          </w:tcPr>
          <w:p w14:paraId="423CEE17" w14:textId="77777777" w:rsidR="00F05F4E" w:rsidRPr="00A50810" w:rsidRDefault="00F05F4E" w:rsidP="00A50810">
            <w:pPr>
              <w:rPr>
                <w:color w:val="000000"/>
                <w:lang w:val="en-US"/>
              </w:rPr>
            </w:pPr>
            <w:r w:rsidRPr="00A50810">
              <w:rPr>
                <w:color w:val="000000"/>
                <w:lang w:val="uk-UA"/>
              </w:rPr>
              <w:t>24,0</w:t>
            </w:r>
            <w:r w:rsidRPr="00A50810">
              <w:rPr>
                <w:color w:val="000000"/>
                <w:lang w:val="en-US"/>
              </w:rPr>
              <w:t xml:space="preserve"> </w:t>
            </w:r>
            <w:r w:rsidRPr="00A50810">
              <w:rPr>
                <w:color w:val="000000"/>
              </w:rPr>
              <w:t>±</w:t>
            </w:r>
            <w:r w:rsidRPr="00A50810">
              <w:rPr>
                <w:color w:val="000000"/>
                <w:lang w:val="en-US"/>
              </w:rPr>
              <w:t xml:space="preserve"> </w:t>
            </w:r>
            <w:r w:rsidRPr="00A50810">
              <w:rPr>
                <w:color w:val="000000"/>
              </w:rPr>
              <w:t>5,4</w:t>
            </w:r>
            <w:r w:rsidRPr="00A50810">
              <w:rPr>
                <w:color w:val="000000"/>
                <w:lang w:val="uk-UA"/>
              </w:rPr>
              <w:t xml:space="preserve"> </w:t>
            </w:r>
            <w:r w:rsidRPr="00A50810">
              <w:rPr>
                <w:color w:val="000000"/>
                <w:lang w:val="en-US"/>
              </w:rPr>
              <w:t>**</w:t>
            </w:r>
          </w:p>
        </w:tc>
        <w:tc>
          <w:tcPr>
            <w:tcW w:w="1827" w:type="dxa"/>
            <w:vAlign w:val="center"/>
          </w:tcPr>
          <w:p w14:paraId="3686C38C" w14:textId="77777777" w:rsidR="00F05F4E" w:rsidRPr="00A50810" w:rsidRDefault="00F05F4E" w:rsidP="00A50810">
            <w:pPr>
              <w:rPr>
                <w:vertAlign w:val="superscript"/>
                <w:lang w:val="en-US"/>
              </w:rPr>
            </w:pPr>
            <w:r w:rsidRPr="00A50810">
              <w:rPr>
                <w:lang w:val="uk-UA"/>
              </w:rPr>
              <w:t>28,5</w:t>
            </w:r>
            <w:r w:rsidRPr="00A50810">
              <w:t xml:space="preserve"> ±</w:t>
            </w:r>
            <w:r w:rsidRPr="00A50810">
              <w:rPr>
                <w:lang w:val="uk-UA"/>
              </w:rPr>
              <w:t xml:space="preserve"> 1,7</w:t>
            </w:r>
            <w:r w:rsidRPr="00A50810">
              <w:rPr>
                <w:color w:val="000000"/>
                <w:lang w:val="uk-UA"/>
              </w:rPr>
              <w:t xml:space="preserve"> </w:t>
            </w:r>
            <w:r w:rsidRPr="00A50810">
              <w:rPr>
                <w:color w:val="000000"/>
                <w:lang w:val="en-US"/>
              </w:rPr>
              <w:t xml:space="preserve">** </w:t>
            </w:r>
          </w:p>
          <w:p w14:paraId="6B0892F8" w14:textId="77777777" w:rsidR="00F05F4E" w:rsidRPr="00A50810" w:rsidRDefault="00F05F4E" w:rsidP="00A50810">
            <w:pPr>
              <w:rPr>
                <w:color w:val="000000"/>
              </w:rPr>
            </w:pPr>
          </w:p>
        </w:tc>
        <w:tc>
          <w:tcPr>
            <w:tcW w:w="1691" w:type="dxa"/>
            <w:vAlign w:val="center"/>
          </w:tcPr>
          <w:p w14:paraId="42FB2E60" w14:textId="77777777" w:rsidR="00F05F4E" w:rsidRPr="00A50810" w:rsidRDefault="00F05F4E" w:rsidP="00A50810">
            <w:pPr>
              <w:rPr>
                <w:color w:val="000000"/>
                <w:lang w:val="en-US"/>
              </w:rPr>
            </w:pPr>
            <w:r w:rsidRPr="00A50810">
              <w:rPr>
                <w:color w:val="000000"/>
                <w:lang w:val="uk-UA"/>
              </w:rPr>
              <w:t>17,0</w:t>
            </w:r>
            <w:r w:rsidRPr="00A50810">
              <w:rPr>
                <w:color w:val="000000"/>
                <w:lang w:val="en-US"/>
              </w:rPr>
              <w:t xml:space="preserve"> </w:t>
            </w:r>
            <w:r w:rsidRPr="00A50810">
              <w:rPr>
                <w:color w:val="000000"/>
              </w:rPr>
              <w:t>±</w:t>
            </w:r>
            <w:r w:rsidRPr="00A50810">
              <w:rPr>
                <w:color w:val="000000"/>
                <w:lang w:val="en-US"/>
              </w:rPr>
              <w:t xml:space="preserve"> </w:t>
            </w:r>
            <w:r w:rsidRPr="00A50810">
              <w:rPr>
                <w:color w:val="000000"/>
              </w:rPr>
              <w:t>0,7</w:t>
            </w:r>
            <w:r w:rsidRPr="00A50810">
              <w:rPr>
                <w:color w:val="000000"/>
                <w:lang w:val="en-US"/>
              </w:rPr>
              <w:t>**</w:t>
            </w:r>
          </w:p>
        </w:tc>
        <w:tc>
          <w:tcPr>
            <w:tcW w:w="1807" w:type="dxa"/>
            <w:vAlign w:val="center"/>
          </w:tcPr>
          <w:p w14:paraId="392F0380" w14:textId="77777777" w:rsidR="00F05F4E" w:rsidRPr="00A50810" w:rsidRDefault="00F05F4E" w:rsidP="00A50810">
            <w:pPr>
              <w:widowControl w:val="0"/>
              <w:autoSpaceDE w:val="0"/>
              <w:autoSpaceDN w:val="0"/>
              <w:adjustRightInd w:val="0"/>
              <w:spacing w:line="360" w:lineRule="auto"/>
              <w:rPr>
                <w:lang w:val="en-US"/>
              </w:rPr>
            </w:pPr>
            <w:r w:rsidRPr="00A50810">
              <w:rPr>
                <w:lang w:val="uk-UA"/>
              </w:rPr>
              <w:t>19,0</w:t>
            </w:r>
            <w:r w:rsidRPr="00A50810">
              <w:rPr>
                <w:lang w:val="en-US"/>
              </w:rPr>
              <w:t xml:space="preserve"> </w:t>
            </w:r>
            <w:r w:rsidRPr="00A50810">
              <w:rPr>
                <w:color w:val="000000"/>
              </w:rPr>
              <w:t>±</w:t>
            </w:r>
            <w:r w:rsidRPr="00A50810">
              <w:rPr>
                <w:color w:val="000000"/>
                <w:lang w:val="en-US"/>
              </w:rPr>
              <w:t xml:space="preserve"> </w:t>
            </w:r>
            <w:r w:rsidRPr="00A50810">
              <w:rPr>
                <w:color w:val="000000"/>
              </w:rPr>
              <w:t>4,9</w:t>
            </w:r>
            <w:r w:rsidRPr="00A50810">
              <w:rPr>
                <w:color w:val="000000"/>
                <w:lang w:val="uk-UA"/>
              </w:rPr>
              <w:t xml:space="preserve"> </w:t>
            </w:r>
            <w:r w:rsidRPr="00A50810">
              <w:rPr>
                <w:color w:val="000000"/>
                <w:lang w:val="en-US"/>
              </w:rPr>
              <w:t>**</w:t>
            </w:r>
            <w:r w:rsidRPr="00A50810">
              <w:rPr>
                <w:color w:val="000000"/>
                <w:lang w:val="uk-UA"/>
              </w:rPr>
              <w:t>,</w:t>
            </w:r>
            <w:r w:rsidRPr="00A50810">
              <w:rPr>
                <w:vertAlign w:val="superscript"/>
                <w:lang w:val="en-US"/>
              </w:rPr>
              <w:t>##</w:t>
            </w:r>
          </w:p>
        </w:tc>
      </w:tr>
      <w:tr w:rsidR="00F05F4E" w:rsidRPr="00A50810" w14:paraId="5D43E43A" w14:textId="77777777" w:rsidTr="00A50810">
        <w:trPr>
          <w:trHeight w:val="387"/>
        </w:trPr>
        <w:tc>
          <w:tcPr>
            <w:tcW w:w="526" w:type="dxa"/>
            <w:vAlign w:val="center"/>
          </w:tcPr>
          <w:p w14:paraId="0C07E112"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6</w:t>
            </w:r>
          </w:p>
        </w:tc>
        <w:tc>
          <w:tcPr>
            <w:tcW w:w="1725" w:type="dxa"/>
            <w:vAlign w:val="center"/>
          </w:tcPr>
          <w:p w14:paraId="25521E99"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СК</w:t>
            </w:r>
          </w:p>
        </w:tc>
        <w:tc>
          <w:tcPr>
            <w:tcW w:w="1732" w:type="dxa"/>
            <w:vAlign w:val="center"/>
          </w:tcPr>
          <w:p w14:paraId="5A6C89C1" w14:textId="77777777" w:rsidR="00F05F4E" w:rsidRPr="00A50810" w:rsidRDefault="00F05F4E" w:rsidP="00A50810">
            <w:pPr>
              <w:rPr>
                <w:color w:val="000000"/>
                <w:lang w:val="en-US"/>
              </w:rPr>
            </w:pPr>
            <w:r w:rsidRPr="00A50810">
              <w:rPr>
                <w:color w:val="000000"/>
                <w:lang w:val="uk-UA"/>
              </w:rPr>
              <w:t xml:space="preserve">19,0 </w:t>
            </w:r>
            <w:r w:rsidRPr="00A50810">
              <w:rPr>
                <w:color w:val="000000"/>
              </w:rPr>
              <w:t>± 6,2</w:t>
            </w:r>
            <w:r w:rsidRPr="00A50810">
              <w:rPr>
                <w:color w:val="000000"/>
                <w:lang w:val="en-US"/>
              </w:rPr>
              <w:t>**</w:t>
            </w:r>
          </w:p>
        </w:tc>
        <w:tc>
          <w:tcPr>
            <w:tcW w:w="1827" w:type="dxa"/>
            <w:vAlign w:val="center"/>
          </w:tcPr>
          <w:p w14:paraId="10ED9778" w14:textId="77777777" w:rsidR="00F05F4E" w:rsidRPr="00A50810" w:rsidRDefault="00F05F4E" w:rsidP="00A50810">
            <w:pPr>
              <w:rPr>
                <w:color w:val="000000"/>
                <w:lang w:val="en-US"/>
              </w:rPr>
            </w:pPr>
            <w:r w:rsidRPr="00A50810">
              <w:rPr>
                <w:color w:val="000000"/>
                <w:lang w:val="uk-UA"/>
              </w:rPr>
              <w:t>21,0</w:t>
            </w:r>
            <w:r w:rsidRPr="00A50810">
              <w:rPr>
                <w:color w:val="000000"/>
              </w:rPr>
              <w:t xml:space="preserve"> ± 5,6</w:t>
            </w:r>
            <w:r w:rsidRPr="00A50810">
              <w:rPr>
                <w:color w:val="000000"/>
                <w:lang w:val="uk-UA"/>
              </w:rPr>
              <w:t xml:space="preserve"> </w:t>
            </w:r>
            <w:r w:rsidRPr="00A50810">
              <w:rPr>
                <w:color w:val="000000"/>
                <w:lang w:val="en-US"/>
              </w:rPr>
              <w:t>**</w:t>
            </w:r>
            <w:r w:rsidRPr="00A50810">
              <w:rPr>
                <w:color w:val="000000"/>
                <w:lang w:val="uk-UA"/>
              </w:rPr>
              <w:t>,</w:t>
            </w:r>
            <w:r w:rsidRPr="00A50810">
              <w:rPr>
                <w:color w:val="000000"/>
                <w:lang w:val="en-US"/>
              </w:rPr>
              <w:t xml:space="preserve"> </w:t>
            </w:r>
            <w:r w:rsidRPr="00A50810">
              <w:rPr>
                <w:vertAlign w:val="superscript"/>
                <w:lang w:val="en-US"/>
              </w:rPr>
              <w:t>##</w:t>
            </w:r>
          </w:p>
        </w:tc>
        <w:tc>
          <w:tcPr>
            <w:tcW w:w="1691" w:type="dxa"/>
            <w:vAlign w:val="center"/>
          </w:tcPr>
          <w:p w14:paraId="05D88EB8" w14:textId="77777777" w:rsidR="00F05F4E" w:rsidRPr="00A50810" w:rsidRDefault="00F05F4E" w:rsidP="00A50810">
            <w:pPr>
              <w:widowControl w:val="0"/>
              <w:autoSpaceDE w:val="0"/>
              <w:autoSpaceDN w:val="0"/>
              <w:adjustRightInd w:val="0"/>
              <w:spacing w:line="360" w:lineRule="auto"/>
              <w:rPr>
                <w:lang w:val="en-US"/>
              </w:rPr>
            </w:pPr>
            <w:r w:rsidRPr="00A50810">
              <w:rPr>
                <w:color w:val="000000"/>
                <w:lang w:val="uk-UA"/>
              </w:rPr>
              <w:t>12,5</w:t>
            </w:r>
            <w:r w:rsidRPr="00A50810">
              <w:rPr>
                <w:color w:val="000000"/>
              </w:rPr>
              <w:t xml:space="preserve"> ± 4,4</w:t>
            </w:r>
            <w:r w:rsidRPr="00A50810">
              <w:rPr>
                <w:color w:val="000000"/>
                <w:lang w:val="en-US"/>
              </w:rPr>
              <w:t xml:space="preserve"> **</w:t>
            </w:r>
            <w:r w:rsidRPr="00A50810">
              <w:rPr>
                <w:color w:val="000000"/>
                <w:lang w:val="uk-UA"/>
              </w:rPr>
              <w:t>,</w:t>
            </w:r>
            <w:r w:rsidRPr="00A50810">
              <w:rPr>
                <w:vertAlign w:val="superscript"/>
                <w:lang w:val="en-US"/>
              </w:rPr>
              <w:t>#</w:t>
            </w:r>
          </w:p>
        </w:tc>
        <w:tc>
          <w:tcPr>
            <w:tcW w:w="1807" w:type="dxa"/>
            <w:vAlign w:val="center"/>
          </w:tcPr>
          <w:p w14:paraId="5FE7DE31" w14:textId="77777777" w:rsidR="00F05F4E" w:rsidRPr="00A50810" w:rsidRDefault="00F05F4E" w:rsidP="00A50810">
            <w:pPr>
              <w:widowControl w:val="0"/>
              <w:autoSpaceDE w:val="0"/>
              <w:autoSpaceDN w:val="0"/>
              <w:adjustRightInd w:val="0"/>
              <w:spacing w:line="360" w:lineRule="auto"/>
            </w:pPr>
            <w:r w:rsidRPr="00A50810">
              <w:rPr>
                <w:color w:val="000000"/>
                <w:lang w:val="uk-UA"/>
              </w:rPr>
              <w:t>59,0</w:t>
            </w:r>
            <w:r w:rsidRPr="00A50810">
              <w:rPr>
                <w:color w:val="000000"/>
              </w:rPr>
              <w:t xml:space="preserve"> ± 9,4</w:t>
            </w:r>
          </w:p>
        </w:tc>
      </w:tr>
    </w:tbl>
    <w:p w14:paraId="10976A87" w14:textId="77777777" w:rsidR="00F05F4E" w:rsidRPr="00C57D1F" w:rsidRDefault="00F05F4E" w:rsidP="00352B8A">
      <w:pPr>
        <w:pStyle w:val="a6"/>
        <w:tabs>
          <w:tab w:val="left" w:pos="720"/>
        </w:tabs>
        <w:spacing w:before="0" w:beforeAutospacing="0" w:after="0" w:afterAutospacing="0"/>
        <w:ind w:left="450" w:hanging="450"/>
        <w:jc w:val="both"/>
        <w:rPr>
          <w:lang w:val="uk-UA"/>
        </w:rPr>
      </w:pPr>
      <w:r w:rsidRPr="00C57D1F">
        <w:rPr>
          <w:lang w:val="uk-UA"/>
        </w:rPr>
        <w:t xml:space="preserve">Примітки: </w:t>
      </w:r>
    </w:p>
    <w:p w14:paraId="1BDE6E46" w14:textId="19214944" w:rsidR="00F05F4E" w:rsidRPr="00C57D1F" w:rsidRDefault="00F05F4E" w:rsidP="00352B8A">
      <w:pPr>
        <w:ind w:left="450" w:hanging="450"/>
        <w:jc w:val="both"/>
      </w:pPr>
      <w:r w:rsidRPr="00C57D1F">
        <w:rPr>
          <w:lang w:val="uk-UA"/>
        </w:rPr>
        <w:t>1.</w:t>
      </w:r>
      <w:r w:rsidRPr="00C57D1F">
        <w:rPr>
          <w:lang w:val="uk-UA"/>
        </w:rPr>
        <w:tab/>
      </w:r>
      <w:r w:rsidRPr="00C57D1F">
        <w:t>*</w:t>
      </w:r>
      <w:r w:rsidRPr="00C57D1F">
        <w:rPr>
          <w:lang w:val="uk-UA"/>
        </w:rPr>
        <w:t xml:space="preserve"> </w:t>
      </w:r>
      <w:r w:rsidRPr="00C57D1F">
        <w:t>-</w:t>
      </w:r>
      <w:r w:rsidRPr="00C57D1F">
        <w:rPr>
          <w:lang w:val="uk-UA"/>
        </w:rPr>
        <w:t xml:space="preserve"> </w:t>
      </w:r>
      <w:r w:rsidRPr="00C57D1F">
        <w:rPr>
          <w:lang w:val="en-US"/>
        </w:rPr>
        <w:t>p</w:t>
      </w:r>
      <w:r w:rsidRPr="00C57D1F">
        <w:t xml:space="preserve"> </w:t>
      </w:r>
      <w:r w:rsidRPr="00C57D1F">
        <w:rPr>
          <w:lang w:val="en-US"/>
        </w:rPr>
        <w:sym w:font="Symbol" w:char="F03C"/>
      </w:r>
      <w:r w:rsidRPr="00C57D1F">
        <w:t xml:space="preserve"> 0,05 </w:t>
      </w:r>
      <w:r w:rsidRPr="00C57D1F">
        <w:rPr>
          <w:lang w:val="uk-UA"/>
        </w:rPr>
        <w:t>(статистично значуща різниця у порівнянні з контрольною групою).</w:t>
      </w:r>
      <w:r w:rsidRPr="00C57D1F">
        <w:t xml:space="preserve"> </w:t>
      </w:r>
    </w:p>
    <w:p w14:paraId="3F3933DE" w14:textId="05E7652E" w:rsidR="00F05F4E" w:rsidRPr="00C57D1F" w:rsidRDefault="00F05F4E" w:rsidP="00352B8A">
      <w:pPr>
        <w:ind w:left="450" w:hanging="450"/>
        <w:jc w:val="both"/>
        <w:rPr>
          <w:lang w:val="uk-UA"/>
        </w:rPr>
      </w:pPr>
      <w:r w:rsidRPr="00C57D1F">
        <w:rPr>
          <w:lang w:val="uk-UA"/>
        </w:rPr>
        <w:t>2.</w:t>
      </w:r>
      <w:r w:rsidRPr="00C57D1F">
        <w:rPr>
          <w:lang w:val="uk-UA"/>
        </w:rPr>
        <w:tab/>
      </w:r>
      <w:r w:rsidRPr="00C57D1F">
        <w:t>**</w:t>
      </w:r>
      <w:r w:rsidRPr="00C57D1F">
        <w:rPr>
          <w:lang w:val="uk-UA"/>
        </w:rPr>
        <w:t xml:space="preserve"> - р</w:t>
      </w:r>
      <w:r w:rsidRPr="00C57D1F">
        <w:rPr>
          <w:lang w:val="uk-UA"/>
        </w:rPr>
        <w:sym w:font="Symbol" w:char="F03C"/>
      </w:r>
      <w:r w:rsidRPr="00C57D1F">
        <w:rPr>
          <w:lang w:val="uk-UA"/>
        </w:rPr>
        <w:t>0,01 (статистично значуща різниця у порівнянні з контрольною групою).</w:t>
      </w:r>
    </w:p>
    <w:p w14:paraId="1087AD95" w14:textId="47CB6C72" w:rsidR="00F05F4E" w:rsidRPr="00C57D1F" w:rsidRDefault="00F05F4E" w:rsidP="00352B8A">
      <w:pPr>
        <w:ind w:left="450" w:hanging="450"/>
        <w:jc w:val="both"/>
        <w:rPr>
          <w:lang w:val="uk-UA"/>
        </w:rPr>
      </w:pPr>
      <w:r w:rsidRPr="00C57D1F">
        <w:rPr>
          <w:lang w:val="uk-UA"/>
        </w:rPr>
        <w:t>3.</w:t>
      </w:r>
      <w:r w:rsidRPr="00C57D1F">
        <w:rPr>
          <w:lang w:val="uk-UA"/>
        </w:rPr>
        <w:tab/>
        <w:t xml:space="preserve"># - </w:t>
      </w:r>
      <w:r w:rsidRPr="00C57D1F">
        <w:rPr>
          <w:lang w:val="en-US"/>
        </w:rPr>
        <w:t>p</w:t>
      </w:r>
      <w:r w:rsidRPr="00C57D1F">
        <w:rPr>
          <w:lang w:val="uk-UA"/>
        </w:rPr>
        <w:t xml:space="preserve"> </w:t>
      </w:r>
      <w:r w:rsidRPr="00C57D1F">
        <w:rPr>
          <w:lang w:val="en-US"/>
        </w:rPr>
        <w:sym w:font="Symbol" w:char="F03C"/>
      </w:r>
      <w:r w:rsidRPr="00C57D1F">
        <w:rPr>
          <w:lang w:val="uk-UA"/>
        </w:rPr>
        <w:t xml:space="preserve"> 0,05 (статистично значуща різниця у порівнянні у порівнянні із референс-препаратом Амітріптиліном).</w:t>
      </w:r>
    </w:p>
    <w:p w14:paraId="647A7135" w14:textId="61CAAAFB" w:rsidR="00F05F4E" w:rsidRPr="00C57D1F" w:rsidRDefault="00F05F4E" w:rsidP="00352B8A">
      <w:pPr>
        <w:ind w:left="450" w:hanging="450"/>
        <w:jc w:val="both"/>
        <w:rPr>
          <w:lang w:val="uk-UA"/>
        </w:rPr>
      </w:pPr>
      <w:r w:rsidRPr="00C57D1F">
        <w:rPr>
          <w:lang w:val="uk-UA"/>
        </w:rPr>
        <w:t>4.</w:t>
      </w:r>
      <w:r w:rsidRPr="00C57D1F">
        <w:rPr>
          <w:lang w:val="uk-UA"/>
        </w:rPr>
        <w:tab/>
        <w:t xml:space="preserve">## - </w:t>
      </w:r>
      <w:r w:rsidRPr="00C57D1F">
        <w:rPr>
          <w:lang w:val="en-US"/>
        </w:rPr>
        <w:t>p</w:t>
      </w:r>
      <w:r w:rsidRPr="00C57D1F">
        <w:rPr>
          <w:lang w:val="uk-UA"/>
        </w:rPr>
        <w:t xml:space="preserve"> </w:t>
      </w:r>
      <w:r w:rsidRPr="00C57D1F">
        <w:rPr>
          <w:lang w:val="en-US"/>
        </w:rPr>
        <w:sym w:font="Symbol" w:char="F03C"/>
      </w:r>
      <w:r w:rsidRPr="00C57D1F">
        <w:rPr>
          <w:lang w:val="uk-UA"/>
        </w:rPr>
        <w:t xml:space="preserve"> 0,01 (статистично значуща різниця у порівнянні у порівнянні із референс-препаратом Амітріптиліном).</w:t>
      </w:r>
    </w:p>
    <w:p w14:paraId="24A2909A" w14:textId="003DB2A2" w:rsidR="00F05F4E" w:rsidRPr="008A6B7D" w:rsidRDefault="00F05F4E" w:rsidP="0071066B">
      <w:pPr>
        <w:spacing w:line="360" w:lineRule="auto"/>
        <w:ind w:firstLine="567"/>
        <w:jc w:val="both"/>
        <w:rPr>
          <w:color w:val="000000" w:themeColor="text1"/>
          <w:sz w:val="28"/>
          <w:szCs w:val="28"/>
          <w:lang w:val="uk-UA"/>
        </w:rPr>
      </w:pPr>
      <w:r w:rsidRPr="008A6B7D">
        <w:rPr>
          <w:rFonts w:eastAsia="Calibri"/>
          <w:color w:val="000000" w:themeColor="text1"/>
          <w:sz w:val="28"/>
          <w:szCs w:val="28"/>
          <w:lang w:val="uk-UA"/>
        </w:rPr>
        <w:lastRenderedPageBreak/>
        <w:t xml:space="preserve">Через 24 години після початку експерименту </w:t>
      </w:r>
      <w:r w:rsidRPr="008A6B7D">
        <w:rPr>
          <w:color w:val="000000" w:themeColor="text1"/>
          <w:sz w:val="28"/>
          <w:szCs w:val="28"/>
          <w:lang w:val="uk-UA"/>
        </w:rPr>
        <w:t xml:space="preserve">антидепресивна </w:t>
      </w:r>
      <w:r w:rsidRPr="008A6B7D">
        <w:rPr>
          <w:rFonts w:eastAsia="Calibri"/>
          <w:color w:val="000000" w:themeColor="text1"/>
          <w:sz w:val="28"/>
          <w:szCs w:val="28"/>
          <w:lang w:val="uk-UA"/>
        </w:rPr>
        <w:t>дія комплексу І дещо знизилася, але все одно залишалась на досить високому</w:t>
      </w:r>
      <w:r w:rsidRPr="008A6B7D">
        <w:rPr>
          <w:color w:val="000000" w:themeColor="text1"/>
          <w:sz w:val="28"/>
          <w:szCs w:val="28"/>
          <w:lang w:val="uk-UA"/>
        </w:rPr>
        <w:t xml:space="preserve"> рівні у порівнянні як з контрольною групою, так і з референс-препаратом амітриптиліном. Після введення бензальдегіду та саліцилоїлгідразону бензальдегіду впродовж першої години спостерігалося виражене зменшення часу іммобільності тварин та прояву депресії до 2 сек і 24 сек, відповідно. </w:t>
      </w:r>
    </w:p>
    <w:p w14:paraId="0B922FA0" w14:textId="55A2FB52" w:rsidR="00F05F4E" w:rsidRPr="008A6B7D" w:rsidRDefault="00F05F4E" w:rsidP="00F05F4E">
      <w:pPr>
        <w:widowControl w:val="0"/>
        <w:spacing w:line="360" w:lineRule="auto"/>
        <w:ind w:firstLine="709"/>
        <w:jc w:val="both"/>
        <w:rPr>
          <w:rFonts w:eastAsia="Calibri"/>
          <w:color w:val="000000" w:themeColor="text1"/>
          <w:sz w:val="28"/>
          <w:szCs w:val="28"/>
          <w:lang w:val="uk-UA"/>
        </w:rPr>
      </w:pPr>
      <w:r w:rsidRPr="008A6B7D">
        <w:rPr>
          <w:color w:val="000000" w:themeColor="text1"/>
          <w:sz w:val="28"/>
          <w:szCs w:val="28"/>
          <w:lang w:val="uk-UA"/>
        </w:rPr>
        <w:t xml:space="preserve">Комплексна сполука ІІ (рис. </w:t>
      </w:r>
      <w:r w:rsidRPr="008A6B7D">
        <w:rPr>
          <w:color w:val="000000" w:themeColor="text1"/>
          <w:sz w:val="28"/>
          <w:szCs w:val="28"/>
        </w:rPr>
        <w:t>6</w:t>
      </w:r>
      <w:r w:rsidRPr="008A6B7D">
        <w:rPr>
          <w:color w:val="000000" w:themeColor="text1"/>
          <w:sz w:val="28"/>
          <w:szCs w:val="28"/>
          <w:lang w:val="uk-UA"/>
        </w:rPr>
        <w:t xml:space="preserve">.1.1), що містить у своїй структурі атом брому, проявляла виразний антидепресивний ефект, протягом експерименту час іммобільності тварин не перевищував 10 сек. </w:t>
      </w:r>
    </w:p>
    <w:p w14:paraId="0239D223" w14:textId="77777777" w:rsidR="00F05F4E" w:rsidRPr="00164C26" w:rsidRDefault="00F05F4E" w:rsidP="00F05F4E">
      <w:pPr>
        <w:widowControl w:val="0"/>
        <w:spacing w:line="360" w:lineRule="auto"/>
        <w:jc w:val="center"/>
        <w:rPr>
          <w:rFonts w:eastAsia="Calibri"/>
          <w:sz w:val="28"/>
          <w:szCs w:val="28"/>
          <w:lang w:val="uk-UA"/>
        </w:rPr>
      </w:pPr>
      <w:r w:rsidRPr="00164C26">
        <w:rPr>
          <w:rFonts w:eastAsia="Calibri"/>
          <w:noProof/>
          <w:sz w:val="28"/>
          <w:szCs w:val="28"/>
          <w:lang w:val="en-US" w:eastAsia="en-US"/>
        </w:rPr>
        <w:drawing>
          <wp:inline distT="0" distB="0" distL="0" distR="0" wp14:anchorId="36D18A50" wp14:editId="7CA1A6FE">
            <wp:extent cx="4126832" cy="2184400"/>
            <wp:effectExtent l="0" t="0" r="1270" b="0"/>
            <wp:docPr id="24" name="Рисунок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31070" cy="2186643"/>
                    </a:xfrm>
                    <a:prstGeom prst="rect">
                      <a:avLst/>
                    </a:prstGeom>
                    <a:noFill/>
                    <a:ln>
                      <a:noFill/>
                    </a:ln>
                  </pic:spPr>
                </pic:pic>
              </a:graphicData>
            </a:graphic>
          </wp:inline>
        </w:drawing>
      </w:r>
    </w:p>
    <w:p w14:paraId="7F3F475A" w14:textId="050C2D2A" w:rsidR="00F05F4E" w:rsidRPr="00164C26" w:rsidRDefault="00F05F4E" w:rsidP="00F05F4E">
      <w:pPr>
        <w:spacing w:line="360" w:lineRule="auto"/>
        <w:jc w:val="both"/>
        <w:rPr>
          <w:sz w:val="28"/>
          <w:szCs w:val="28"/>
          <w:lang w:val="uk-UA"/>
        </w:rPr>
      </w:pPr>
      <w:r w:rsidRPr="00164C26">
        <w:rPr>
          <w:sz w:val="28"/>
          <w:szCs w:val="28"/>
          <w:lang w:val="uk-UA"/>
        </w:rPr>
        <w:t xml:space="preserve">Рис. </w:t>
      </w:r>
      <w:r>
        <w:rPr>
          <w:sz w:val="28"/>
          <w:szCs w:val="28"/>
        </w:rPr>
        <w:t>6</w:t>
      </w:r>
      <w:r w:rsidRPr="00164C26">
        <w:rPr>
          <w:sz w:val="28"/>
          <w:szCs w:val="28"/>
          <w:lang w:val="uk-UA"/>
        </w:rPr>
        <w:t>.1.</w:t>
      </w:r>
      <w:r>
        <w:rPr>
          <w:sz w:val="28"/>
          <w:szCs w:val="28"/>
          <w:lang w:val="uk-UA"/>
        </w:rPr>
        <w:t>1</w:t>
      </w:r>
      <w:r w:rsidRPr="00164C26">
        <w:rPr>
          <w:sz w:val="28"/>
          <w:szCs w:val="28"/>
          <w:lang w:val="uk-UA"/>
        </w:rPr>
        <w:t xml:space="preserve"> Антидепрес</w:t>
      </w:r>
      <w:r>
        <w:rPr>
          <w:sz w:val="28"/>
          <w:szCs w:val="28"/>
          <w:lang w:val="uk-UA"/>
        </w:rPr>
        <w:t>антна</w:t>
      </w:r>
      <w:r w:rsidRPr="00164C26">
        <w:rPr>
          <w:sz w:val="28"/>
          <w:szCs w:val="28"/>
          <w:lang w:val="uk-UA"/>
        </w:rPr>
        <w:t xml:space="preserve"> активність комплексу ІІ і досліджуваних сполук п</w:t>
      </w:r>
      <w:r>
        <w:rPr>
          <w:sz w:val="28"/>
          <w:szCs w:val="28"/>
          <w:lang w:val="uk-UA"/>
        </w:rPr>
        <w:t>ри</w:t>
      </w:r>
      <w:r w:rsidRPr="00164C26">
        <w:rPr>
          <w:sz w:val="28"/>
          <w:szCs w:val="28"/>
          <w:lang w:val="uk-UA"/>
        </w:rPr>
        <w:t xml:space="preserve"> перорально</w:t>
      </w:r>
      <w:r>
        <w:rPr>
          <w:sz w:val="28"/>
          <w:szCs w:val="28"/>
          <w:lang w:val="uk-UA"/>
        </w:rPr>
        <w:t>му</w:t>
      </w:r>
      <w:r w:rsidRPr="00164C26">
        <w:rPr>
          <w:sz w:val="28"/>
          <w:szCs w:val="28"/>
          <w:lang w:val="uk-UA"/>
        </w:rPr>
        <w:t xml:space="preserve"> введенн</w:t>
      </w:r>
      <w:r>
        <w:rPr>
          <w:sz w:val="28"/>
          <w:szCs w:val="28"/>
          <w:lang w:val="uk-UA"/>
        </w:rPr>
        <w:t>і</w:t>
      </w:r>
      <w:r w:rsidRPr="00164C26">
        <w:rPr>
          <w:sz w:val="28"/>
          <w:szCs w:val="28"/>
          <w:lang w:val="uk-UA"/>
        </w:rPr>
        <w:t>, тест Порсолта. (М</w:t>
      </w:r>
      <w:r w:rsidRPr="00164C26">
        <w:rPr>
          <w:color w:val="4D5156"/>
          <w:sz w:val="28"/>
          <w:szCs w:val="28"/>
          <w:shd w:val="clear" w:color="auto" w:fill="FFFFFF"/>
          <w:lang w:val="uk-UA"/>
        </w:rPr>
        <w:t>±</w:t>
      </w:r>
      <w:r w:rsidRPr="00164C26">
        <w:rPr>
          <w:sz w:val="28"/>
          <w:szCs w:val="28"/>
          <w:lang w:val="en-US"/>
        </w:rPr>
        <w:t>m</w:t>
      </w:r>
      <w:r w:rsidRPr="00164C26">
        <w:rPr>
          <w:sz w:val="28"/>
          <w:szCs w:val="28"/>
          <w:lang w:val="uk-UA"/>
        </w:rPr>
        <w:t xml:space="preserve">, </w:t>
      </w:r>
      <w:r w:rsidRPr="00164C26">
        <w:rPr>
          <w:sz w:val="28"/>
          <w:szCs w:val="28"/>
          <w:lang w:val="en-US"/>
        </w:rPr>
        <w:t>n</w:t>
      </w:r>
      <w:r w:rsidRPr="00164C26">
        <w:rPr>
          <w:sz w:val="28"/>
          <w:szCs w:val="28"/>
          <w:lang w:val="uk-UA"/>
        </w:rPr>
        <w:t>=</w:t>
      </w:r>
      <w:r w:rsidRPr="00164C26">
        <w:rPr>
          <w:sz w:val="28"/>
          <w:szCs w:val="28"/>
        </w:rPr>
        <w:t>6</w:t>
      </w:r>
      <w:r w:rsidRPr="00164C26">
        <w:rPr>
          <w:sz w:val="28"/>
          <w:szCs w:val="28"/>
          <w:lang w:val="uk-UA"/>
        </w:rPr>
        <w:t xml:space="preserve">) </w:t>
      </w:r>
    </w:p>
    <w:p w14:paraId="39A14235" w14:textId="77777777" w:rsidR="00F05F4E" w:rsidRPr="00F05F4E" w:rsidRDefault="00F05F4E" w:rsidP="00F05F4E">
      <w:pPr>
        <w:pStyle w:val="a6"/>
        <w:tabs>
          <w:tab w:val="left" w:pos="720"/>
        </w:tabs>
        <w:spacing w:before="0" w:beforeAutospacing="0" w:after="0" w:afterAutospacing="0"/>
        <w:ind w:left="270" w:hanging="270"/>
        <w:jc w:val="both"/>
        <w:rPr>
          <w:sz w:val="26"/>
          <w:szCs w:val="26"/>
          <w:lang w:val="uk-UA"/>
        </w:rPr>
      </w:pPr>
      <w:r w:rsidRPr="00F05F4E">
        <w:rPr>
          <w:sz w:val="26"/>
          <w:szCs w:val="26"/>
          <w:lang w:val="uk-UA"/>
        </w:rPr>
        <w:t xml:space="preserve">Примітки: </w:t>
      </w:r>
    </w:p>
    <w:p w14:paraId="7A75B50E" w14:textId="20CF8403" w:rsidR="00F05F4E" w:rsidRPr="00352B8A" w:rsidRDefault="00F05F4E" w:rsidP="00352B8A">
      <w:pPr>
        <w:ind w:left="450" w:hanging="450"/>
        <w:jc w:val="both"/>
      </w:pPr>
      <w:r w:rsidRPr="00352B8A">
        <w:rPr>
          <w:lang w:val="uk-UA"/>
        </w:rPr>
        <w:t xml:space="preserve">1. </w:t>
      </w:r>
      <w:r w:rsidRPr="00352B8A">
        <w:rPr>
          <w:lang w:val="uk-UA"/>
        </w:rPr>
        <w:tab/>
      </w:r>
      <w:r w:rsidRPr="00352B8A">
        <w:t>*</w:t>
      </w:r>
      <w:r w:rsidRPr="00352B8A">
        <w:rPr>
          <w:lang w:val="uk-UA"/>
        </w:rPr>
        <w:t xml:space="preserve"> </w:t>
      </w:r>
      <w:r w:rsidRPr="00352B8A">
        <w:t>-</w:t>
      </w:r>
      <w:r w:rsidRPr="00352B8A">
        <w:rPr>
          <w:lang w:val="uk-UA"/>
        </w:rPr>
        <w:t xml:space="preserve"> </w:t>
      </w:r>
      <w:r w:rsidRPr="00352B8A">
        <w:rPr>
          <w:lang w:val="en-US"/>
        </w:rPr>
        <w:t>p</w:t>
      </w:r>
      <w:r w:rsidRPr="00352B8A">
        <w:t xml:space="preserve"> </w:t>
      </w:r>
      <w:r w:rsidRPr="00352B8A">
        <w:rPr>
          <w:lang w:val="en-US"/>
        </w:rPr>
        <w:sym w:font="Symbol" w:char="F03C"/>
      </w:r>
      <w:r w:rsidRPr="00352B8A">
        <w:t xml:space="preserve"> 0,05 </w:t>
      </w:r>
      <w:r w:rsidRPr="00352B8A">
        <w:rPr>
          <w:lang w:val="uk-UA"/>
        </w:rPr>
        <w:t>(статистично значуща різниця у порівнянні з контрольною групою).</w:t>
      </w:r>
      <w:r w:rsidRPr="00352B8A">
        <w:t xml:space="preserve"> </w:t>
      </w:r>
    </w:p>
    <w:p w14:paraId="10AFD712" w14:textId="540822F5" w:rsidR="00F05F4E" w:rsidRPr="00352B8A" w:rsidRDefault="00F05F4E" w:rsidP="00352B8A">
      <w:pPr>
        <w:ind w:left="450" w:hanging="450"/>
        <w:jc w:val="both"/>
        <w:rPr>
          <w:lang w:val="uk-UA"/>
        </w:rPr>
      </w:pPr>
      <w:r w:rsidRPr="00352B8A">
        <w:rPr>
          <w:lang w:val="uk-UA"/>
        </w:rPr>
        <w:t xml:space="preserve">2. </w:t>
      </w:r>
      <w:r w:rsidRPr="00352B8A">
        <w:rPr>
          <w:lang w:val="uk-UA"/>
        </w:rPr>
        <w:tab/>
      </w:r>
      <w:r w:rsidRPr="00352B8A">
        <w:t>**</w:t>
      </w:r>
      <w:r w:rsidRPr="00352B8A">
        <w:rPr>
          <w:lang w:val="uk-UA"/>
        </w:rPr>
        <w:t xml:space="preserve"> - р</w:t>
      </w:r>
      <w:r w:rsidRPr="00352B8A">
        <w:rPr>
          <w:lang w:val="uk-UA"/>
        </w:rPr>
        <w:sym w:font="Symbol" w:char="F03C"/>
      </w:r>
      <w:r w:rsidRPr="00352B8A">
        <w:rPr>
          <w:lang w:val="uk-UA"/>
        </w:rPr>
        <w:t>0,01 (статистично значуща різниця у порівнянні з контрольною групою).</w:t>
      </w:r>
    </w:p>
    <w:p w14:paraId="44DA801E" w14:textId="5731EFDD" w:rsidR="00F05F4E" w:rsidRPr="00352B8A" w:rsidRDefault="00F05F4E" w:rsidP="00352B8A">
      <w:pPr>
        <w:ind w:left="450" w:hanging="450"/>
        <w:jc w:val="both"/>
        <w:rPr>
          <w:lang w:val="uk-UA"/>
        </w:rPr>
      </w:pPr>
      <w:r w:rsidRPr="00352B8A">
        <w:rPr>
          <w:lang w:val="uk-UA"/>
        </w:rPr>
        <w:t>3.</w:t>
      </w:r>
      <w:r w:rsidRPr="00352B8A">
        <w:rPr>
          <w:lang w:val="uk-UA"/>
        </w:rPr>
        <w:tab/>
        <w:t xml:space="preserve"> # - </w:t>
      </w:r>
      <w:r w:rsidRPr="00352B8A">
        <w:rPr>
          <w:lang w:val="en-US"/>
        </w:rPr>
        <w:t>p</w:t>
      </w:r>
      <w:r w:rsidRPr="00352B8A">
        <w:rPr>
          <w:lang w:val="uk-UA"/>
        </w:rPr>
        <w:t xml:space="preserve"> </w:t>
      </w:r>
      <w:r w:rsidRPr="00352B8A">
        <w:rPr>
          <w:lang w:val="en-US"/>
        </w:rPr>
        <w:sym w:font="Symbol" w:char="F03C"/>
      </w:r>
      <w:r w:rsidRPr="00352B8A">
        <w:rPr>
          <w:lang w:val="uk-UA"/>
        </w:rPr>
        <w:t xml:space="preserve"> 0,05 (статистично значуща різниця у порівнянні у порівнянні із референс-препаратом Амітріптиліном).</w:t>
      </w:r>
    </w:p>
    <w:p w14:paraId="0D71C9AE" w14:textId="31CBC97A" w:rsidR="00F05F4E" w:rsidRPr="00352B8A" w:rsidRDefault="00F05F4E" w:rsidP="00352B8A">
      <w:pPr>
        <w:ind w:left="450" w:hanging="450"/>
        <w:jc w:val="both"/>
        <w:rPr>
          <w:lang w:val="uk-UA"/>
        </w:rPr>
      </w:pPr>
      <w:r w:rsidRPr="00352B8A">
        <w:rPr>
          <w:lang w:val="uk-UA"/>
        </w:rPr>
        <w:t xml:space="preserve">4. </w:t>
      </w:r>
      <w:r w:rsidRPr="00352B8A">
        <w:rPr>
          <w:lang w:val="uk-UA"/>
        </w:rPr>
        <w:tab/>
        <w:t xml:space="preserve">## - </w:t>
      </w:r>
      <w:r w:rsidRPr="00352B8A">
        <w:rPr>
          <w:lang w:val="en-US"/>
        </w:rPr>
        <w:t>p</w:t>
      </w:r>
      <w:r w:rsidRPr="00352B8A">
        <w:rPr>
          <w:lang w:val="uk-UA"/>
        </w:rPr>
        <w:t xml:space="preserve"> </w:t>
      </w:r>
      <w:r w:rsidRPr="00352B8A">
        <w:rPr>
          <w:lang w:val="en-US"/>
        </w:rPr>
        <w:sym w:font="Symbol" w:char="F03C"/>
      </w:r>
      <w:r w:rsidRPr="00352B8A">
        <w:rPr>
          <w:lang w:val="uk-UA"/>
        </w:rPr>
        <w:t xml:space="preserve"> 0,01 (статистично значуща різниця у порівнянні у порівнянні із референс-препаратом Амітріптиліном).</w:t>
      </w:r>
    </w:p>
    <w:p w14:paraId="6152D653" w14:textId="43BAB163" w:rsidR="00F05F4E" w:rsidRDefault="00F05F4E" w:rsidP="00F05F4E">
      <w:pPr>
        <w:ind w:left="1440" w:hanging="360"/>
        <w:jc w:val="both"/>
        <w:rPr>
          <w:lang w:val="uk-UA"/>
        </w:rPr>
      </w:pPr>
    </w:p>
    <w:p w14:paraId="6C33F875" w14:textId="77777777" w:rsidR="00352B8A" w:rsidRPr="00164C26" w:rsidRDefault="00352B8A" w:rsidP="00F05F4E">
      <w:pPr>
        <w:ind w:left="1440" w:hanging="360"/>
        <w:jc w:val="both"/>
        <w:rPr>
          <w:lang w:val="uk-UA"/>
        </w:rPr>
      </w:pPr>
    </w:p>
    <w:p w14:paraId="41F51E3F" w14:textId="7C94CAF9" w:rsidR="00F05F4E" w:rsidRPr="008A6B7D" w:rsidRDefault="00F05F4E" w:rsidP="00F05F4E">
      <w:pPr>
        <w:widowControl w:val="0"/>
        <w:spacing w:line="360" w:lineRule="auto"/>
        <w:ind w:firstLine="720"/>
        <w:jc w:val="both"/>
        <w:rPr>
          <w:color w:val="000000" w:themeColor="text1"/>
          <w:sz w:val="28"/>
          <w:szCs w:val="28"/>
          <w:lang w:val="uk-UA"/>
        </w:rPr>
      </w:pPr>
      <w:r w:rsidRPr="008A6B7D">
        <w:rPr>
          <w:color w:val="000000" w:themeColor="text1"/>
          <w:sz w:val="28"/>
          <w:szCs w:val="28"/>
          <w:lang w:val="uk-UA"/>
        </w:rPr>
        <w:t xml:space="preserve">Це може бути пов’язано з тривалим утриманням сполук у внутрішньому середовищі організму, внаслідок достатньо високої їх ліпофільності (ліпофільність комплексу І – </w:t>
      </w:r>
      <w:r w:rsidRPr="008A6B7D">
        <w:rPr>
          <w:color w:val="000000" w:themeColor="text1"/>
          <w:sz w:val="28"/>
          <w:szCs w:val="28"/>
          <w:lang w:val="en-US"/>
        </w:rPr>
        <w:t>LogP</w:t>
      </w:r>
      <w:r w:rsidRPr="008A6B7D">
        <w:rPr>
          <w:color w:val="000000" w:themeColor="text1"/>
          <w:sz w:val="28"/>
          <w:szCs w:val="28"/>
          <w:lang w:val="uk-UA"/>
        </w:rPr>
        <w:t xml:space="preserve"> 3.71, комлексу ІІ </w:t>
      </w:r>
      <w:r w:rsidRPr="008A6B7D">
        <w:rPr>
          <w:color w:val="000000" w:themeColor="text1"/>
          <w:sz w:val="28"/>
          <w:szCs w:val="28"/>
          <w:lang w:val="en-US"/>
        </w:rPr>
        <w:t>LogP</w:t>
      </w:r>
      <w:r w:rsidRPr="008A6B7D">
        <w:rPr>
          <w:color w:val="000000" w:themeColor="text1"/>
          <w:sz w:val="28"/>
          <w:szCs w:val="28"/>
          <w:lang w:val="uk-UA"/>
        </w:rPr>
        <w:t xml:space="preserve"> 4.64), та за рахунок процесів реабсорбції у кишківнику [</w:t>
      </w:r>
      <w:r w:rsidR="00390008" w:rsidRPr="008A6B7D">
        <w:rPr>
          <w:color w:val="000000" w:themeColor="text1"/>
          <w:sz w:val="28"/>
          <w:szCs w:val="28"/>
          <w:lang w:val="uk-UA"/>
        </w:rPr>
        <w:t>2</w:t>
      </w:r>
      <w:r w:rsidR="00FE60C3" w:rsidRPr="008A6B7D">
        <w:rPr>
          <w:color w:val="000000" w:themeColor="text1"/>
          <w:sz w:val="28"/>
          <w:szCs w:val="28"/>
          <w:lang w:val="uk-UA"/>
        </w:rPr>
        <w:t>34</w:t>
      </w:r>
      <w:r w:rsidRPr="008A6B7D">
        <w:rPr>
          <w:color w:val="000000" w:themeColor="text1"/>
          <w:sz w:val="28"/>
          <w:szCs w:val="28"/>
          <w:lang w:val="uk-UA"/>
        </w:rPr>
        <w:t>].</w:t>
      </w:r>
      <w:r w:rsidRPr="008A6B7D">
        <w:rPr>
          <w:rStyle w:val="a7"/>
          <w:color w:val="000000" w:themeColor="text1"/>
          <w:lang w:val="uk-UA"/>
        </w:rPr>
        <w:t xml:space="preserve"> </w:t>
      </w:r>
      <w:r w:rsidRPr="008A6B7D">
        <w:rPr>
          <w:rFonts w:eastAsia="Calibri"/>
          <w:color w:val="000000" w:themeColor="text1"/>
          <w:sz w:val="28"/>
          <w:szCs w:val="28"/>
          <w:lang w:val="uk-UA"/>
        </w:rPr>
        <w:t xml:space="preserve">Через 24 години експерименту </w:t>
      </w:r>
      <w:r w:rsidRPr="008A6B7D">
        <w:rPr>
          <w:color w:val="000000" w:themeColor="text1"/>
          <w:sz w:val="28"/>
          <w:szCs w:val="28"/>
          <w:lang w:val="uk-UA"/>
        </w:rPr>
        <w:t xml:space="preserve">антидепресантний </w:t>
      </w:r>
      <w:r w:rsidRPr="008A6B7D">
        <w:rPr>
          <w:rFonts w:eastAsia="Calibri"/>
          <w:color w:val="000000" w:themeColor="text1"/>
          <w:sz w:val="28"/>
          <w:szCs w:val="28"/>
          <w:lang w:val="uk-UA"/>
        </w:rPr>
        <w:t>ефект амітриптиліну був практично відсутній.</w:t>
      </w:r>
    </w:p>
    <w:p w14:paraId="73962688" w14:textId="77777777" w:rsidR="00F05F4E" w:rsidRPr="008A6B7D" w:rsidRDefault="00F05F4E" w:rsidP="00F05F4E">
      <w:pPr>
        <w:spacing w:line="360" w:lineRule="auto"/>
        <w:ind w:firstLine="709"/>
        <w:jc w:val="both"/>
        <w:rPr>
          <w:rFonts w:eastAsia="Calibri"/>
          <w:color w:val="000000" w:themeColor="text1"/>
          <w:sz w:val="28"/>
          <w:szCs w:val="28"/>
          <w:lang w:val="uk-UA"/>
        </w:rPr>
      </w:pPr>
      <w:r w:rsidRPr="008A6B7D">
        <w:rPr>
          <w:rFonts w:eastAsia="Calibri"/>
          <w:color w:val="000000" w:themeColor="text1"/>
          <w:sz w:val="28"/>
          <w:szCs w:val="28"/>
          <w:lang w:val="uk-UA"/>
        </w:rPr>
        <w:lastRenderedPageBreak/>
        <w:t xml:space="preserve">Пероральне введення саліцилової кислоти викликало зниженням часу </w:t>
      </w:r>
      <w:r w:rsidRPr="008A6B7D">
        <w:rPr>
          <w:color w:val="000000" w:themeColor="text1"/>
          <w:sz w:val="28"/>
          <w:szCs w:val="28"/>
          <w:lang w:val="uk-UA"/>
        </w:rPr>
        <w:t>іммобільності</w:t>
      </w:r>
      <w:r w:rsidRPr="008A6B7D">
        <w:rPr>
          <w:rFonts w:eastAsia="Calibri"/>
          <w:color w:val="000000" w:themeColor="text1"/>
          <w:sz w:val="28"/>
          <w:szCs w:val="28"/>
          <w:lang w:val="uk-UA"/>
        </w:rPr>
        <w:t xml:space="preserve"> тварин впродовж усього експерименту. Ймовірно, що оптимальна концентрація саліцилової кислоти у організмі піддослідних тварин була досягнута через 5 годин після її перорального введення. Так, через 1 годину після початку експерименту </w:t>
      </w:r>
      <w:r w:rsidRPr="008A6B7D">
        <w:rPr>
          <w:color w:val="000000" w:themeColor="text1"/>
          <w:sz w:val="28"/>
          <w:szCs w:val="28"/>
          <w:lang w:val="uk-UA"/>
        </w:rPr>
        <w:t>антидепресантний ефект</w:t>
      </w:r>
      <w:r w:rsidRPr="008A6B7D">
        <w:rPr>
          <w:rFonts w:eastAsia="Calibri"/>
          <w:color w:val="000000" w:themeColor="text1"/>
          <w:sz w:val="28"/>
          <w:szCs w:val="28"/>
          <w:lang w:val="uk-UA"/>
        </w:rPr>
        <w:t xml:space="preserve"> саліцилової кислоти був співставним із дією референс-препарату амітриптиліну, час </w:t>
      </w:r>
      <w:r w:rsidRPr="008A6B7D">
        <w:rPr>
          <w:color w:val="000000" w:themeColor="text1"/>
          <w:sz w:val="28"/>
          <w:szCs w:val="28"/>
          <w:lang w:val="uk-UA"/>
        </w:rPr>
        <w:t>іммобільності</w:t>
      </w:r>
      <w:r w:rsidRPr="008A6B7D">
        <w:rPr>
          <w:rFonts w:eastAsia="Calibri"/>
          <w:color w:val="000000" w:themeColor="text1"/>
          <w:sz w:val="28"/>
          <w:szCs w:val="28"/>
          <w:lang w:val="uk-UA"/>
        </w:rPr>
        <w:t xml:space="preserve"> складав 19 с, а через 5 годин були нижчими за контроль на 50 с.</w:t>
      </w:r>
    </w:p>
    <w:p w14:paraId="625132D4" w14:textId="51D4EB13" w:rsidR="00F05F4E" w:rsidRPr="008A6B7D" w:rsidRDefault="00F05F4E" w:rsidP="00F05F4E">
      <w:pPr>
        <w:spacing w:line="360" w:lineRule="auto"/>
        <w:ind w:firstLine="708"/>
        <w:jc w:val="both"/>
        <w:rPr>
          <w:rFonts w:eastAsia="Calibri"/>
          <w:color w:val="000000" w:themeColor="text1"/>
          <w:sz w:val="28"/>
          <w:szCs w:val="28"/>
        </w:rPr>
      </w:pPr>
      <w:r w:rsidRPr="008A6B7D">
        <w:rPr>
          <w:rFonts w:eastAsia="Calibri"/>
          <w:color w:val="000000" w:themeColor="text1"/>
          <w:sz w:val="28"/>
          <w:szCs w:val="28"/>
          <w:lang w:val="uk-UA"/>
        </w:rPr>
        <w:t xml:space="preserve">Через 24 години після початку експерименту показники </w:t>
      </w:r>
      <w:r w:rsidRPr="008A6B7D">
        <w:rPr>
          <w:color w:val="000000" w:themeColor="text1"/>
          <w:sz w:val="28"/>
          <w:szCs w:val="28"/>
          <w:lang w:val="uk-UA"/>
        </w:rPr>
        <w:t>іммобільності</w:t>
      </w:r>
      <w:r w:rsidRPr="008A6B7D">
        <w:rPr>
          <w:rFonts w:eastAsia="Calibri"/>
          <w:color w:val="000000" w:themeColor="text1"/>
          <w:sz w:val="28"/>
          <w:szCs w:val="28"/>
          <w:lang w:val="uk-UA"/>
        </w:rPr>
        <w:t xml:space="preserve"> тварин, яким вводили саліцилову кислоту, сягнули показників контрольної групи.</w:t>
      </w:r>
      <w:r w:rsidRPr="008A6B7D">
        <w:rPr>
          <w:color w:val="000000" w:themeColor="text1"/>
          <w:sz w:val="28"/>
          <w:szCs w:val="28"/>
          <w:lang w:val="uk-UA"/>
        </w:rPr>
        <w:t xml:space="preserve"> </w:t>
      </w:r>
      <w:r w:rsidRPr="008A6B7D">
        <w:rPr>
          <w:rFonts w:eastAsia="Calibri"/>
          <w:color w:val="000000" w:themeColor="text1"/>
          <w:sz w:val="28"/>
          <w:szCs w:val="28"/>
          <w:lang w:val="uk-UA"/>
        </w:rPr>
        <w:t xml:space="preserve">Згідно із літературними даними ацетилсаліцилова кислота викликає антидепресантний ефект в умовах сильного стресу </w:t>
      </w:r>
      <w:r w:rsidRPr="008A6B7D">
        <w:rPr>
          <w:rFonts w:eastAsia="Calibri"/>
          <w:color w:val="000000" w:themeColor="text1"/>
          <w:sz w:val="28"/>
          <w:szCs w:val="28"/>
        </w:rPr>
        <w:t>[</w:t>
      </w:r>
      <w:r w:rsidR="00390008" w:rsidRPr="008A6B7D">
        <w:rPr>
          <w:rFonts w:eastAsia="Calibri"/>
          <w:color w:val="000000" w:themeColor="text1"/>
          <w:sz w:val="28"/>
          <w:szCs w:val="28"/>
          <w:lang w:val="uk-UA"/>
        </w:rPr>
        <w:t>2</w:t>
      </w:r>
      <w:r w:rsidR="00FE60C3" w:rsidRPr="008A6B7D">
        <w:rPr>
          <w:rFonts w:eastAsia="Calibri"/>
          <w:color w:val="000000" w:themeColor="text1"/>
          <w:sz w:val="28"/>
          <w:szCs w:val="28"/>
          <w:lang w:val="uk-UA"/>
        </w:rPr>
        <w:t>35</w:t>
      </w:r>
      <w:r w:rsidRPr="008A6B7D">
        <w:rPr>
          <w:rFonts w:eastAsia="Calibri"/>
          <w:color w:val="000000" w:themeColor="text1"/>
          <w:sz w:val="28"/>
          <w:szCs w:val="28"/>
        </w:rPr>
        <w:t>]</w:t>
      </w:r>
      <w:r w:rsidRPr="008A6B7D">
        <w:rPr>
          <w:rFonts w:eastAsia="Calibri"/>
          <w:color w:val="000000" w:themeColor="text1"/>
          <w:sz w:val="28"/>
          <w:szCs w:val="28"/>
          <w:lang w:val="uk-UA"/>
        </w:rPr>
        <w:t>, а дію саліцилатів пов’язують із їх впливом на дофамінергічну систему</w:t>
      </w:r>
      <w:r w:rsidRPr="008A6B7D">
        <w:rPr>
          <w:rFonts w:eastAsia="Calibri"/>
          <w:color w:val="000000" w:themeColor="text1"/>
          <w:sz w:val="28"/>
          <w:szCs w:val="28"/>
        </w:rPr>
        <w:t xml:space="preserve"> [</w:t>
      </w:r>
      <w:r w:rsidR="00390008" w:rsidRPr="008A6B7D">
        <w:rPr>
          <w:rFonts w:eastAsia="Calibri"/>
          <w:color w:val="000000" w:themeColor="text1"/>
          <w:sz w:val="28"/>
          <w:szCs w:val="28"/>
          <w:lang w:val="uk-UA"/>
        </w:rPr>
        <w:t>2</w:t>
      </w:r>
      <w:r w:rsidR="00FE60C3" w:rsidRPr="008A6B7D">
        <w:rPr>
          <w:rFonts w:eastAsia="Calibri"/>
          <w:color w:val="000000" w:themeColor="text1"/>
          <w:sz w:val="28"/>
          <w:szCs w:val="28"/>
          <w:lang w:val="uk-UA"/>
        </w:rPr>
        <w:t>36</w:t>
      </w:r>
      <w:r w:rsidRPr="008A6B7D">
        <w:rPr>
          <w:rFonts w:eastAsia="Calibri"/>
          <w:color w:val="000000" w:themeColor="text1"/>
          <w:sz w:val="28"/>
          <w:szCs w:val="28"/>
        </w:rPr>
        <w:t>].</w:t>
      </w:r>
    </w:p>
    <w:p w14:paraId="6017DFEE" w14:textId="77777777" w:rsidR="00F05F4E" w:rsidRPr="008A6B7D" w:rsidRDefault="00F05F4E" w:rsidP="00F05F4E">
      <w:pPr>
        <w:spacing w:line="360" w:lineRule="auto"/>
        <w:ind w:firstLine="709"/>
        <w:jc w:val="both"/>
        <w:rPr>
          <w:rFonts w:eastAsia="Calibri"/>
          <w:color w:val="000000" w:themeColor="text1"/>
          <w:sz w:val="28"/>
          <w:szCs w:val="28"/>
          <w:lang w:val="uk-UA"/>
        </w:rPr>
      </w:pPr>
      <w:r w:rsidRPr="008A6B7D">
        <w:rPr>
          <w:color w:val="000000" w:themeColor="text1"/>
          <w:sz w:val="28"/>
          <w:szCs w:val="28"/>
          <w:lang w:val="uk-UA"/>
        </w:rPr>
        <w:t>Так, саліцилоїлгідразон бромбензальдегіду, який у своїй будові містить атом брому, зменшував час іммобільності тварин на 44 с і 58 с відносно контрольної групи через 3 та 5 годин після початку експерименту. Через 24 години після перорального введення саліцилоїлгідразону бромбензальдегіду знижував рівень іммобільності до 33 с, що свідчить про його високу антидепресивну активність та пролонгованість дії.</w:t>
      </w:r>
    </w:p>
    <w:p w14:paraId="0EF6A367" w14:textId="77777777" w:rsidR="00F05F4E" w:rsidRPr="008A6B7D" w:rsidRDefault="00F05F4E" w:rsidP="00F05F4E">
      <w:pPr>
        <w:spacing w:line="360" w:lineRule="auto"/>
        <w:ind w:firstLine="709"/>
        <w:jc w:val="both"/>
        <w:rPr>
          <w:rFonts w:eastAsia="Calibri"/>
          <w:color w:val="000000" w:themeColor="text1"/>
          <w:sz w:val="28"/>
          <w:szCs w:val="28"/>
          <w:lang w:val="uk-UA"/>
        </w:rPr>
      </w:pPr>
      <w:r w:rsidRPr="008A6B7D">
        <w:rPr>
          <w:color w:val="000000" w:themeColor="text1"/>
          <w:sz w:val="28"/>
          <w:szCs w:val="28"/>
          <w:lang w:val="uk-UA"/>
        </w:rPr>
        <w:t xml:space="preserve">Ймовірно, що певний внесок у прояв антидепресантної дії досліджуваних сполук надає також центральний атом олова. Пероральне введення хлориду станнуму викликало зменшення часу іммобільності тварин до 34 сек і 26 сек через 3 і 5 годин експерименту, відповідно. </w:t>
      </w:r>
    </w:p>
    <w:p w14:paraId="26E75626" w14:textId="2D4DBDB0" w:rsidR="00F05F4E" w:rsidRPr="008A6B7D" w:rsidRDefault="00F05F4E" w:rsidP="00F05F4E">
      <w:pPr>
        <w:spacing w:line="360" w:lineRule="auto"/>
        <w:ind w:firstLine="709"/>
        <w:jc w:val="both"/>
        <w:rPr>
          <w:rFonts w:eastAsia="Calibri"/>
          <w:color w:val="000000" w:themeColor="text1"/>
          <w:sz w:val="28"/>
          <w:szCs w:val="28"/>
          <w:lang w:val="uk-UA"/>
        </w:rPr>
      </w:pPr>
      <w:r w:rsidRPr="008A6B7D">
        <w:rPr>
          <w:color w:val="000000" w:themeColor="text1"/>
          <w:sz w:val="28"/>
          <w:szCs w:val="28"/>
          <w:lang w:val="uk-UA"/>
        </w:rPr>
        <w:t>Антидепресантна активність комплексів І і ІІ через 24 год перевищувала дію амітриптиліну. Пролонгована дія нових сполук, ймовірно, пов’язана з їх високою ліпофільністю, а введення брому у пара-положення в комплексній сполуці II, ймовірно, приводить до збільшення фармакологічного ефекту [</w:t>
      </w:r>
      <w:r w:rsidR="00390008" w:rsidRPr="008A6B7D">
        <w:rPr>
          <w:color w:val="000000" w:themeColor="text1"/>
          <w:sz w:val="28"/>
          <w:szCs w:val="28"/>
          <w:lang w:val="uk-UA"/>
        </w:rPr>
        <w:t>2</w:t>
      </w:r>
      <w:r w:rsidR="00FE60C3" w:rsidRPr="008A6B7D">
        <w:rPr>
          <w:color w:val="000000" w:themeColor="text1"/>
          <w:sz w:val="28"/>
          <w:szCs w:val="28"/>
          <w:lang w:val="uk-UA"/>
        </w:rPr>
        <w:t>34</w:t>
      </w:r>
      <w:r w:rsidRPr="008A6B7D">
        <w:rPr>
          <w:color w:val="000000" w:themeColor="text1"/>
          <w:sz w:val="28"/>
          <w:szCs w:val="28"/>
          <w:lang w:val="uk-UA"/>
        </w:rPr>
        <w:t xml:space="preserve">]. </w:t>
      </w:r>
    </w:p>
    <w:p w14:paraId="13E0BE55" w14:textId="77777777" w:rsidR="00F05F4E" w:rsidRPr="008A6B7D" w:rsidRDefault="00F05F4E" w:rsidP="00F05F4E">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 xml:space="preserve">Для уявлення можливого механізму антидепресантної дії комплексних сполук було проведене додаткове дослідження локомоторної активності у тесті Відкрите Поле. </w:t>
      </w:r>
    </w:p>
    <w:p w14:paraId="56AECD32" w14:textId="77777777" w:rsidR="00C57D1F" w:rsidRPr="008A6B7D" w:rsidRDefault="00F05F4E" w:rsidP="00C57D1F">
      <w:pPr>
        <w:pStyle w:val="a6"/>
        <w:spacing w:line="360" w:lineRule="auto"/>
        <w:ind w:firstLine="720"/>
        <w:jc w:val="both"/>
        <w:outlineLvl w:val="1"/>
        <w:rPr>
          <w:b/>
          <w:color w:val="000000" w:themeColor="text1"/>
          <w:sz w:val="28"/>
          <w:szCs w:val="28"/>
          <w:lang w:val="uk-UA"/>
        </w:rPr>
      </w:pPr>
      <w:r w:rsidRPr="008A6B7D">
        <w:rPr>
          <w:b/>
          <w:color w:val="000000" w:themeColor="text1"/>
          <w:sz w:val="28"/>
          <w:szCs w:val="28"/>
          <w:lang w:val="uk-UA"/>
        </w:rPr>
        <w:lastRenderedPageBreak/>
        <w:t xml:space="preserve">6.2 Вивчення локомоторної активності у тесті Відкрите Поле </w:t>
      </w:r>
      <w:r w:rsidR="00C57D1F" w:rsidRPr="008A6B7D">
        <w:rPr>
          <w:b/>
          <w:color w:val="000000" w:themeColor="text1"/>
          <w:sz w:val="28"/>
          <w:szCs w:val="28"/>
          <w:lang w:val="uk-UA"/>
        </w:rPr>
        <w:t xml:space="preserve">комплексних сполук </w:t>
      </w:r>
      <w:r w:rsidR="00C57D1F" w:rsidRPr="008A6B7D">
        <w:rPr>
          <w:b/>
          <w:color w:val="000000" w:themeColor="text1"/>
          <w:sz w:val="28"/>
          <w:szCs w:val="28"/>
        </w:rPr>
        <w:t>Sn</w:t>
      </w:r>
      <w:r w:rsidR="00C57D1F" w:rsidRPr="008A6B7D">
        <w:rPr>
          <w:b/>
          <w:color w:val="000000" w:themeColor="text1"/>
          <w:sz w:val="28"/>
          <w:szCs w:val="28"/>
          <w:lang w:val="uk-UA"/>
        </w:rPr>
        <w:t xml:space="preserve"> (</w:t>
      </w:r>
      <w:r w:rsidR="00C57D1F" w:rsidRPr="008A6B7D">
        <w:rPr>
          <w:b/>
          <w:color w:val="000000" w:themeColor="text1"/>
          <w:sz w:val="28"/>
          <w:szCs w:val="28"/>
          <w:lang w:val="en-US"/>
        </w:rPr>
        <w:t>IV</w:t>
      </w:r>
      <w:r w:rsidR="00C57D1F" w:rsidRPr="008A6B7D">
        <w:rPr>
          <w:b/>
          <w:color w:val="000000" w:themeColor="text1"/>
          <w:sz w:val="28"/>
          <w:szCs w:val="28"/>
          <w:lang w:val="uk-UA"/>
        </w:rPr>
        <w:t>) з саліцилоїлгідразонами бензальдегідів</w:t>
      </w:r>
    </w:p>
    <w:p w14:paraId="5415C534" w14:textId="0D1C5EDE" w:rsidR="00F05F4E" w:rsidRPr="008A6B7D" w:rsidRDefault="00F05F4E" w:rsidP="00C57D1F">
      <w:pPr>
        <w:pStyle w:val="a6"/>
        <w:spacing w:line="360" w:lineRule="auto"/>
        <w:ind w:firstLine="720"/>
        <w:jc w:val="both"/>
        <w:outlineLvl w:val="1"/>
        <w:rPr>
          <w:b/>
          <w:color w:val="000000" w:themeColor="text1"/>
          <w:sz w:val="28"/>
          <w:szCs w:val="28"/>
          <w:lang w:val="uk-UA"/>
        </w:rPr>
      </w:pPr>
      <w:r w:rsidRPr="008A6B7D">
        <w:rPr>
          <w:color w:val="000000" w:themeColor="text1"/>
          <w:sz w:val="28"/>
          <w:szCs w:val="28"/>
          <w:lang w:val="uk-UA"/>
        </w:rPr>
        <w:t>Дослідження локомоторної функції у тесті ВП являє собою підрахунок сумарної кількості квадратів, які  перетинала тварина протягом експерименту.</w:t>
      </w:r>
      <w:r w:rsidR="007C0C3C" w:rsidRPr="008A6B7D">
        <w:rPr>
          <w:color w:val="000000" w:themeColor="text1"/>
          <w:sz w:val="28"/>
          <w:szCs w:val="28"/>
          <w:lang w:val="uk-UA"/>
        </w:rPr>
        <w:t xml:space="preserve"> </w:t>
      </w:r>
      <w:r w:rsidRPr="008A6B7D">
        <w:rPr>
          <w:color w:val="000000" w:themeColor="text1"/>
          <w:sz w:val="28"/>
          <w:szCs w:val="28"/>
          <w:lang w:val="uk-UA"/>
        </w:rPr>
        <w:t>Тварини, вилучені з клітин, місця акліматизації, та поміщені в нове середовище, виражають тривогу, страх і стрес, демонструючи зниження показників локомоторної та дослідницької активностей. Зміни цих показників використовуються для оцінки седативного та стимулюючого ефекту фармакологічних засобів [</w:t>
      </w:r>
      <w:r w:rsidRPr="008A6B7D">
        <w:rPr>
          <w:color w:val="000000" w:themeColor="text1"/>
          <w:sz w:val="28"/>
          <w:szCs w:val="28"/>
        </w:rPr>
        <w:t>2</w:t>
      </w:r>
      <w:r w:rsidR="00FE60C3" w:rsidRPr="008A6B7D">
        <w:rPr>
          <w:color w:val="000000" w:themeColor="text1"/>
          <w:sz w:val="28"/>
          <w:szCs w:val="28"/>
          <w:lang w:val="uk-UA"/>
        </w:rPr>
        <w:t>37</w:t>
      </w:r>
      <w:r w:rsidRPr="008A6B7D">
        <w:rPr>
          <w:color w:val="000000" w:themeColor="text1"/>
          <w:sz w:val="28"/>
          <w:szCs w:val="28"/>
          <w:lang w:val="uk-UA"/>
        </w:rPr>
        <w:t>]. Відомо, що протягом перших 4-5 хвилин локомоторна активність пов’язана із стрессогенністю ситуації, а надалі – із бажанням досліджувати новий простір [2</w:t>
      </w:r>
      <w:r w:rsidR="00FE60C3" w:rsidRPr="008A6B7D">
        <w:rPr>
          <w:color w:val="000000" w:themeColor="text1"/>
          <w:sz w:val="28"/>
          <w:szCs w:val="28"/>
          <w:lang w:val="uk-UA"/>
        </w:rPr>
        <w:t>38</w:t>
      </w:r>
      <w:r w:rsidRPr="008A6B7D">
        <w:rPr>
          <w:color w:val="000000" w:themeColor="text1"/>
          <w:sz w:val="28"/>
          <w:szCs w:val="28"/>
          <w:lang w:val="uk-UA"/>
        </w:rPr>
        <w:t xml:space="preserve">]. </w:t>
      </w:r>
    </w:p>
    <w:p w14:paraId="623B48AF" w14:textId="13E0FEB2" w:rsidR="00F05F4E" w:rsidRPr="008A6B7D" w:rsidRDefault="00F05F4E" w:rsidP="00F05F4E">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 xml:space="preserve">Згідно з отриманими даними (рис. </w:t>
      </w:r>
      <w:r w:rsidRPr="008A6B7D">
        <w:rPr>
          <w:color w:val="000000" w:themeColor="text1"/>
          <w:sz w:val="28"/>
          <w:szCs w:val="28"/>
        </w:rPr>
        <w:t>6</w:t>
      </w:r>
      <w:r w:rsidRPr="008A6B7D">
        <w:rPr>
          <w:color w:val="000000" w:themeColor="text1"/>
          <w:sz w:val="28"/>
          <w:szCs w:val="28"/>
          <w:lang w:val="uk-UA"/>
        </w:rPr>
        <w:t xml:space="preserve">.2.1), видно, що поведінка тварин, яким вводили комплексні сполуки І і ІІ статистично не відрізнялась для обох комплексів і була нижчою за контрольні показники. </w:t>
      </w:r>
    </w:p>
    <w:p w14:paraId="176057E4" w14:textId="77777777" w:rsidR="00F05F4E" w:rsidRPr="00164C26" w:rsidRDefault="00F05F4E" w:rsidP="00F05F4E">
      <w:pPr>
        <w:pStyle w:val="a6"/>
        <w:spacing w:before="0" w:beforeAutospacing="0" w:after="0" w:afterAutospacing="0" w:line="360" w:lineRule="auto"/>
        <w:jc w:val="center"/>
        <w:rPr>
          <w:sz w:val="28"/>
          <w:szCs w:val="28"/>
          <w:lang w:val="uk-UA"/>
        </w:rPr>
      </w:pPr>
      <w:r w:rsidRPr="00164C26">
        <w:rPr>
          <w:noProof/>
          <w:sz w:val="28"/>
          <w:szCs w:val="28"/>
          <w:lang w:val="en-US" w:eastAsia="en-US"/>
        </w:rPr>
        <w:drawing>
          <wp:inline distT="0" distB="0" distL="0" distR="0" wp14:anchorId="56636776" wp14:editId="2097F438">
            <wp:extent cx="4908884" cy="2021205"/>
            <wp:effectExtent l="0" t="0" r="6350" b="0"/>
            <wp:docPr id="25"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4226" cy="2027522"/>
                    </a:xfrm>
                    <a:prstGeom prst="rect">
                      <a:avLst/>
                    </a:prstGeom>
                    <a:noFill/>
                    <a:ln>
                      <a:noFill/>
                    </a:ln>
                  </pic:spPr>
                </pic:pic>
              </a:graphicData>
            </a:graphic>
          </wp:inline>
        </w:drawing>
      </w:r>
    </w:p>
    <w:p w14:paraId="66187209" w14:textId="5C9E459C" w:rsidR="00F05F4E" w:rsidRPr="00164C26" w:rsidRDefault="00F05F4E" w:rsidP="0071066B">
      <w:pPr>
        <w:tabs>
          <w:tab w:val="left" w:pos="720"/>
        </w:tabs>
        <w:spacing w:line="360" w:lineRule="auto"/>
        <w:ind w:firstLine="720"/>
        <w:jc w:val="both"/>
        <w:rPr>
          <w:sz w:val="28"/>
          <w:szCs w:val="28"/>
          <w:lang w:val="uk-UA"/>
        </w:rPr>
      </w:pPr>
      <w:r w:rsidRPr="00164C26">
        <w:rPr>
          <w:sz w:val="28"/>
          <w:szCs w:val="28"/>
          <w:lang w:val="uk-UA"/>
        </w:rPr>
        <w:t xml:space="preserve">Рис. </w:t>
      </w:r>
      <w:r>
        <w:rPr>
          <w:sz w:val="28"/>
          <w:szCs w:val="28"/>
        </w:rPr>
        <w:t>6</w:t>
      </w:r>
      <w:r w:rsidRPr="00164C26">
        <w:rPr>
          <w:sz w:val="28"/>
          <w:szCs w:val="28"/>
          <w:lang w:val="uk-UA"/>
        </w:rPr>
        <w:t>.2.1 Локомоторна активність тварин після перорального введення комплексів (кількість пер</w:t>
      </w:r>
      <w:r>
        <w:rPr>
          <w:sz w:val="28"/>
          <w:szCs w:val="28"/>
          <w:lang w:val="uk-UA"/>
        </w:rPr>
        <w:t>есічених</w:t>
      </w:r>
      <w:r w:rsidRPr="00164C26">
        <w:rPr>
          <w:sz w:val="28"/>
          <w:szCs w:val="28"/>
          <w:lang w:val="uk-UA"/>
        </w:rPr>
        <w:t xml:space="preserve"> квадратів у % відносно контролю). </w:t>
      </w:r>
      <w:r w:rsidR="00821BED">
        <w:rPr>
          <w:sz w:val="28"/>
          <w:szCs w:val="28"/>
          <w:lang w:val="uk-UA"/>
        </w:rPr>
        <w:br/>
      </w:r>
      <w:r w:rsidRPr="00164C26">
        <w:rPr>
          <w:sz w:val="28"/>
          <w:szCs w:val="28"/>
          <w:lang w:val="uk-UA"/>
        </w:rPr>
        <w:t>(М</w:t>
      </w:r>
      <w:r w:rsidRPr="00164C26">
        <w:rPr>
          <w:color w:val="4D5156"/>
          <w:sz w:val="28"/>
          <w:szCs w:val="28"/>
          <w:shd w:val="clear" w:color="auto" w:fill="FFFFFF"/>
          <w:lang w:val="uk-UA"/>
        </w:rPr>
        <w:t>±</w:t>
      </w:r>
      <w:r w:rsidRPr="00164C26">
        <w:rPr>
          <w:sz w:val="28"/>
          <w:szCs w:val="28"/>
          <w:lang w:val="en-US"/>
        </w:rPr>
        <w:t>m</w:t>
      </w:r>
      <w:r w:rsidRPr="00164C26">
        <w:rPr>
          <w:sz w:val="28"/>
          <w:szCs w:val="28"/>
          <w:lang w:val="uk-UA"/>
        </w:rPr>
        <w:t xml:space="preserve">, </w:t>
      </w:r>
      <w:r w:rsidRPr="00164C26">
        <w:rPr>
          <w:sz w:val="28"/>
          <w:szCs w:val="28"/>
          <w:lang w:val="en-US"/>
        </w:rPr>
        <w:t>n</w:t>
      </w:r>
      <w:r w:rsidRPr="00164C26">
        <w:rPr>
          <w:sz w:val="28"/>
          <w:szCs w:val="28"/>
          <w:lang w:val="uk-UA"/>
        </w:rPr>
        <w:t>=6)</w:t>
      </w:r>
    </w:p>
    <w:p w14:paraId="52DBA38D" w14:textId="77777777" w:rsidR="00F05F4E" w:rsidRPr="00C57D1F" w:rsidRDefault="00F05F4E" w:rsidP="0071066B">
      <w:pPr>
        <w:pStyle w:val="a6"/>
        <w:tabs>
          <w:tab w:val="left" w:pos="720"/>
        </w:tabs>
        <w:spacing w:before="0" w:beforeAutospacing="0" w:after="0" w:afterAutospacing="0"/>
        <w:ind w:left="270" w:hanging="270"/>
        <w:jc w:val="both"/>
        <w:rPr>
          <w:lang w:val="uk-UA"/>
        </w:rPr>
      </w:pPr>
      <w:r w:rsidRPr="00C57D1F">
        <w:rPr>
          <w:lang w:val="uk-UA"/>
        </w:rPr>
        <w:t xml:space="preserve">Примітки: </w:t>
      </w:r>
    </w:p>
    <w:p w14:paraId="4F1E41B9" w14:textId="07531593" w:rsidR="00F05F4E" w:rsidRPr="00C57D1F" w:rsidRDefault="00F05F4E" w:rsidP="00352B8A">
      <w:pPr>
        <w:ind w:left="450" w:hanging="450"/>
        <w:jc w:val="both"/>
      </w:pPr>
      <w:r w:rsidRPr="00C57D1F">
        <w:rPr>
          <w:lang w:val="uk-UA"/>
        </w:rPr>
        <w:t>1.</w:t>
      </w:r>
      <w:r w:rsidR="00352B8A">
        <w:rPr>
          <w:lang w:val="uk-UA"/>
        </w:rPr>
        <w:t xml:space="preserve">     </w:t>
      </w:r>
      <w:r w:rsidRPr="00C57D1F">
        <w:t>*</w:t>
      </w:r>
      <w:r w:rsidRPr="00C57D1F">
        <w:rPr>
          <w:lang w:val="uk-UA"/>
        </w:rPr>
        <w:t xml:space="preserve"> </w:t>
      </w:r>
      <w:r w:rsidRPr="00C57D1F">
        <w:t>-</w:t>
      </w:r>
      <w:r w:rsidRPr="00C57D1F">
        <w:rPr>
          <w:lang w:val="uk-UA"/>
        </w:rPr>
        <w:t xml:space="preserve"> </w:t>
      </w:r>
      <w:r w:rsidRPr="00C57D1F">
        <w:rPr>
          <w:lang w:val="en-US"/>
        </w:rPr>
        <w:t>p</w:t>
      </w:r>
      <w:r w:rsidRPr="00C57D1F">
        <w:rPr>
          <w:lang w:val="en-US"/>
        </w:rPr>
        <w:sym w:font="Symbol" w:char="F03C"/>
      </w:r>
      <w:r w:rsidRPr="00C57D1F">
        <w:t xml:space="preserve">0,05 </w:t>
      </w:r>
      <w:r w:rsidRPr="00C57D1F">
        <w:rPr>
          <w:lang w:val="uk-UA"/>
        </w:rPr>
        <w:t>(статистично значуща різниця у порівнянні з контрольною групою).</w:t>
      </w:r>
      <w:r w:rsidRPr="00C57D1F">
        <w:t xml:space="preserve"> </w:t>
      </w:r>
    </w:p>
    <w:p w14:paraId="56CC2674" w14:textId="056F2B95" w:rsidR="00F05F4E" w:rsidRPr="00C57D1F" w:rsidRDefault="00F05F4E" w:rsidP="00352B8A">
      <w:pPr>
        <w:ind w:left="450" w:hanging="450"/>
        <w:jc w:val="both"/>
        <w:rPr>
          <w:lang w:val="uk-UA"/>
        </w:rPr>
      </w:pPr>
      <w:r w:rsidRPr="00C57D1F">
        <w:rPr>
          <w:lang w:val="uk-UA"/>
        </w:rPr>
        <w:t>2.</w:t>
      </w:r>
      <w:r w:rsidR="007C0C3C" w:rsidRPr="00C57D1F">
        <w:rPr>
          <w:lang w:val="uk-UA"/>
        </w:rPr>
        <w:tab/>
      </w:r>
      <w:r w:rsidRPr="00C57D1F">
        <w:t>**</w:t>
      </w:r>
      <w:r w:rsidRPr="00C57D1F">
        <w:rPr>
          <w:lang w:val="uk-UA"/>
        </w:rPr>
        <w:t xml:space="preserve"> - р</w:t>
      </w:r>
      <w:r w:rsidRPr="00C57D1F">
        <w:rPr>
          <w:lang w:val="uk-UA"/>
        </w:rPr>
        <w:sym w:font="Symbol" w:char="F03C"/>
      </w:r>
      <w:r w:rsidRPr="00C57D1F">
        <w:rPr>
          <w:lang w:val="uk-UA"/>
        </w:rPr>
        <w:t>0,01 (статистично значуща різниця у порівнянні з контрольною групою).</w:t>
      </w:r>
    </w:p>
    <w:p w14:paraId="70EC1E95" w14:textId="14E7AB2E" w:rsidR="00F05F4E" w:rsidRPr="00C57D1F" w:rsidRDefault="00F05F4E" w:rsidP="00352B8A">
      <w:pPr>
        <w:ind w:left="450" w:hanging="450"/>
        <w:jc w:val="both"/>
        <w:rPr>
          <w:lang w:val="uk-UA"/>
        </w:rPr>
      </w:pPr>
      <w:r w:rsidRPr="00C57D1F">
        <w:rPr>
          <w:lang w:val="uk-UA"/>
        </w:rPr>
        <w:t>3.</w:t>
      </w:r>
      <w:r w:rsidRPr="00C57D1F">
        <w:rPr>
          <w:lang w:val="uk-UA"/>
        </w:rPr>
        <w:tab/>
        <w:t xml:space="preserve"> # - </w:t>
      </w:r>
      <w:r w:rsidRPr="00C57D1F">
        <w:rPr>
          <w:lang w:val="en-US"/>
        </w:rPr>
        <w:t>p</w:t>
      </w:r>
      <w:r w:rsidRPr="00C57D1F">
        <w:rPr>
          <w:lang w:val="uk-UA"/>
        </w:rPr>
        <w:t xml:space="preserve"> </w:t>
      </w:r>
      <w:r w:rsidRPr="00C57D1F">
        <w:rPr>
          <w:lang w:val="en-US"/>
        </w:rPr>
        <w:sym w:font="Symbol" w:char="F03C"/>
      </w:r>
      <w:r w:rsidRPr="00C57D1F">
        <w:rPr>
          <w:lang w:val="uk-UA"/>
        </w:rPr>
        <w:t xml:space="preserve"> 0,05 (статистично значуща різниця у порівнянні у порівнянні із референс-препаратом фабоматізолом).</w:t>
      </w:r>
    </w:p>
    <w:p w14:paraId="2D5E304B" w14:textId="169EB218" w:rsidR="00F05F4E" w:rsidRPr="00C57D1F" w:rsidRDefault="00F05F4E" w:rsidP="00352B8A">
      <w:pPr>
        <w:tabs>
          <w:tab w:val="left" w:pos="450"/>
        </w:tabs>
        <w:ind w:left="450" w:hanging="450"/>
        <w:jc w:val="both"/>
        <w:rPr>
          <w:lang w:val="uk-UA"/>
        </w:rPr>
      </w:pPr>
      <w:r w:rsidRPr="00C57D1F">
        <w:rPr>
          <w:lang w:val="uk-UA"/>
        </w:rPr>
        <w:t>4.</w:t>
      </w:r>
      <w:r w:rsidR="007C0C3C" w:rsidRPr="00C57D1F">
        <w:rPr>
          <w:lang w:val="uk-UA"/>
        </w:rPr>
        <w:tab/>
      </w:r>
      <w:r w:rsidRPr="00C57D1F">
        <w:rPr>
          <w:lang w:val="uk-UA"/>
        </w:rPr>
        <w:t xml:space="preserve">## - </w:t>
      </w:r>
      <w:r w:rsidRPr="00C57D1F">
        <w:rPr>
          <w:lang w:val="en-US"/>
        </w:rPr>
        <w:t>p</w:t>
      </w:r>
      <w:r w:rsidRPr="00C57D1F">
        <w:rPr>
          <w:lang w:val="uk-UA"/>
        </w:rPr>
        <w:t xml:space="preserve"> </w:t>
      </w:r>
      <w:r w:rsidRPr="00C57D1F">
        <w:rPr>
          <w:lang w:val="en-US"/>
        </w:rPr>
        <w:sym w:font="Symbol" w:char="F03C"/>
      </w:r>
      <w:r w:rsidRPr="00C57D1F">
        <w:rPr>
          <w:lang w:val="uk-UA"/>
        </w:rPr>
        <w:t xml:space="preserve"> 0,01 (статистично значуща різниця у порівнянні у порівнянні із референс-препаратом фабоматізолом).</w:t>
      </w:r>
    </w:p>
    <w:p w14:paraId="48F7A1CA" w14:textId="612306E7" w:rsidR="00F05F4E" w:rsidRPr="00C57D1F" w:rsidRDefault="00F05F4E" w:rsidP="00352B8A">
      <w:pPr>
        <w:ind w:left="450" w:hanging="450"/>
        <w:jc w:val="both"/>
        <w:rPr>
          <w:rFonts w:eastAsia="Calibri"/>
        </w:rPr>
      </w:pPr>
      <w:r w:rsidRPr="00C57D1F">
        <w:rPr>
          <w:rFonts w:eastAsia="Calibri"/>
          <w:lang w:val="uk-UA"/>
        </w:rPr>
        <w:t>5.</w:t>
      </w:r>
      <w:r w:rsidR="007C0C3C" w:rsidRPr="00C57D1F">
        <w:rPr>
          <w:rFonts w:eastAsia="Calibri"/>
          <w:lang w:val="uk-UA"/>
        </w:rPr>
        <w:tab/>
      </w:r>
      <w:r w:rsidRPr="00C57D1F">
        <w:rPr>
          <w:rFonts w:eastAsia="Calibri"/>
        </w:rPr>
        <w:t xml:space="preserve">n </w:t>
      </w:r>
      <w:r w:rsidRPr="00C57D1F">
        <w:t>–</w:t>
      </w:r>
      <w:r w:rsidRPr="00C57D1F">
        <w:rPr>
          <w:rFonts w:eastAsia="Calibri"/>
        </w:rPr>
        <w:t xml:space="preserve"> кількість тварин у групі.</w:t>
      </w:r>
    </w:p>
    <w:p w14:paraId="7B738D21" w14:textId="77777777" w:rsidR="00F05F4E" w:rsidRPr="00164C26" w:rsidRDefault="00F05F4E" w:rsidP="00F05F4E">
      <w:pPr>
        <w:pStyle w:val="a6"/>
        <w:spacing w:before="0" w:beforeAutospacing="0" w:after="0" w:afterAutospacing="0" w:line="360" w:lineRule="auto"/>
        <w:ind w:firstLine="720"/>
        <w:jc w:val="both"/>
        <w:rPr>
          <w:sz w:val="28"/>
          <w:szCs w:val="28"/>
          <w:lang w:val="uk-UA"/>
        </w:rPr>
      </w:pPr>
      <w:r>
        <w:rPr>
          <w:color w:val="000000"/>
          <w:sz w:val="28"/>
          <w:szCs w:val="28"/>
          <w:lang w:val="uk-UA"/>
        </w:rPr>
        <w:lastRenderedPageBreak/>
        <w:t xml:space="preserve">Через 1 годину перорального введення комплексних сполук І і ІІ показники кількості </w:t>
      </w:r>
      <w:r w:rsidRPr="00164C26">
        <w:rPr>
          <w:sz w:val="28"/>
          <w:szCs w:val="28"/>
          <w:lang w:val="uk-UA"/>
        </w:rPr>
        <w:t>пер</w:t>
      </w:r>
      <w:r>
        <w:rPr>
          <w:sz w:val="28"/>
          <w:szCs w:val="28"/>
          <w:lang w:val="uk-UA"/>
        </w:rPr>
        <w:t>есічених</w:t>
      </w:r>
      <w:r w:rsidRPr="00164C26">
        <w:rPr>
          <w:sz w:val="28"/>
          <w:szCs w:val="28"/>
          <w:lang w:val="uk-UA"/>
        </w:rPr>
        <w:t xml:space="preserve"> </w:t>
      </w:r>
      <w:r>
        <w:rPr>
          <w:color w:val="000000"/>
          <w:sz w:val="28"/>
          <w:szCs w:val="28"/>
          <w:lang w:val="uk-UA"/>
        </w:rPr>
        <w:t xml:space="preserve">квадратів статистично не відрізнялась від контрольних та групи. </w:t>
      </w:r>
      <w:r>
        <w:rPr>
          <w:sz w:val="28"/>
          <w:szCs w:val="28"/>
          <w:lang w:val="uk-UA"/>
        </w:rPr>
        <w:t xml:space="preserve">Через 3 години після початку експерименту локомоторна активність була нижчою за контрольні показники на 80% для обох комплексів, а через 5 годин вона склала відповідно 8% та 27,3 % для комплексів І та ІІ відносно контролю. </w:t>
      </w:r>
      <w:r>
        <w:rPr>
          <w:color w:val="000000"/>
          <w:sz w:val="28"/>
          <w:szCs w:val="28"/>
          <w:lang w:val="uk-UA"/>
        </w:rPr>
        <w:t>Через 24 години після введення завдяки збільшенню процесів виведення досліджених речовин над їх надходженням, локомоторна активність тварин під їх дією підвищилась, але не досягла контрольних значень, що може  свідчити про пролонгованість дії комплексних сполук І і ІІ.</w:t>
      </w:r>
    </w:p>
    <w:p w14:paraId="0A5F0333" w14:textId="3EE15600" w:rsidR="0071066B" w:rsidRDefault="00F05F4E" w:rsidP="0071066B">
      <w:pPr>
        <w:pStyle w:val="a6"/>
        <w:spacing w:before="0" w:beforeAutospacing="0" w:after="0" w:afterAutospacing="0" w:line="360" w:lineRule="auto"/>
        <w:ind w:firstLine="720"/>
        <w:jc w:val="both"/>
        <w:rPr>
          <w:sz w:val="28"/>
          <w:szCs w:val="28"/>
          <w:lang w:val="uk-UA" w:eastAsia="en-US"/>
        </w:rPr>
      </w:pPr>
      <w:r>
        <w:rPr>
          <w:sz w:val="28"/>
          <w:szCs w:val="28"/>
          <w:lang w:val="uk-UA" w:eastAsia="en-US"/>
        </w:rPr>
        <w:t xml:space="preserve">Згідно з даними, приведеними у табл. 6.2.1 видно, що введення </w:t>
      </w:r>
      <w:r w:rsidR="00821BED">
        <w:rPr>
          <w:sz w:val="28"/>
          <w:szCs w:val="28"/>
          <w:lang w:val="uk-UA" w:eastAsia="en-US"/>
        </w:rPr>
        <w:br/>
      </w:r>
      <w:r>
        <w:rPr>
          <w:sz w:val="28"/>
          <w:szCs w:val="28"/>
          <w:lang w:val="uk-UA" w:eastAsia="en-US"/>
        </w:rPr>
        <w:t xml:space="preserve">4-бромбензальдегіду, саліцилоїлгідразону бензальдегіду та бромбензальдегіду через 1 годину після перорального введення збільшують локомоторну активність. </w:t>
      </w:r>
    </w:p>
    <w:p w14:paraId="0BF5B5EE" w14:textId="35E7279D" w:rsidR="00F05F4E" w:rsidRPr="007C0C3C" w:rsidRDefault="00F05F4E" w:rsidP="00F05F4E">
      <w:pPr>
        <w:spacing w:line="360" w:lineRule="auto"/>
        <w:ind w:left="7080"/>
        <w:rPr>
          <w:rFonts w:eastAsia="Calibri"/>
          <w:i/>
          <w:sz w:val="28"/>
          <w:szCs w:val="28"/>
          <w:lang w:val="uk-UA"/>
        </w:rPr>
      </w:pPr>
      <w:r w:rsidRPr="007C0C3C">
        <w:rPr>
          <w:i/>
          <w:sz w:val="28"/>
          <w:szCs w:val="28"/>
          <w:lang w:val="uk-UA"/>
        </w:rPr>
        <w:t xml:space="preserve">Таблиця </w:t>
      </w:r>
      <w:r w:rsidRPr="007C0C3C">
        <w:rPr>
          <w:i/>
          <w:sz w:val="28"/>
          <w:szCs w:val="28"/>
        </w:rPr>
        <w:t>6</w:t>
      </w:r>
      <w:r w:rsidRPr="007C0C3C">
        <w:rPr>
          <w:i/>
          <w:sz w:val="28"/>
          <w:szCs w:val="28"/>
          <w:lang w:val="uk-UA"/>
        </w:rPr>
        <w:t>.2.1</w:t>
      </w:r>
    </w:p>
    <w:p w14:paraId="6C511378" w14:textId="7FE785A7" w:rsidR="00F05F4E" w:rsidRPr="00164C26" w:rsidRDefault="00F05F4E" w:rsidP="007C0C3C">
      <w:pPr>
        <w:widowControl w:val="0"/>
        <w:autoSpaceDE w:val="0"/>
        <w:autoSpaceDN w:val="0"/>
        <w:adjustRightInd w:val="0"/>
        <w:spacing w:line="360" w:lineRule="auto"/>
        <w:jc w:val="right"/>
        <w:rPr>
          <w:b/>
          <w:sz w:val="28"/>
          <w:szCs w:val="28"/>
          <w:lang w:val="uk-UA"/>
        </w:rPr>
      </w:pPr>
      <w:r w:rsidRPr="00164C26">
        <w:rPr>
          <w:b/>
          <w:sz w:val="28"/>
          <w:szCs w:val="28"/>
          <w:lang w:val="uk-UA"/>
        </w:rPr>
        <w:t>Локомоторна активність досліджуваних сполук при пероральному введенні у тесті ВП (у % відносно контролю) (М</w:t>
      </w:r>
      <w:r w:rsidRPr="00164C26">
        <w:rPr>
          <w:b/>
          <w:color w:val="4D5156"/>
          <w:sz w:val="28"/>
          <w:szCs w:val="28"/>
          <w:shd w:val="clear" w:color="auto" w:fill="FFFFFF"/>
          <w:lang w:val="uk-UA"/>
        </w:rPr>
        <w:t>±</w:t>
      </w:r>
      <w:r w:rsidRPr="00164C26">
        <w:rPr>
          <w:b/>
          <w:sz w:val="28"/>
          <w:szCs w:val="28"/>
          <w:lang w:val="en-US"/>
        </w:rPr>
        <w:t>m</w:t>
      </w:r>
      <w:r w:rsidRPr="00164C26">
        <w:rPr>
          <w:b/>
          <w:sz w:val="28"/>
          <w:szCs w:val="28"/>
          <w:lang w:val="uk-UA"/>
        </w:rPr>
        <w:t xml:space="preserve">, </w:t>
      </w:r>
      <w:r w:rsidRPr="00164C26">
        <w:rPr>
          <w:b/>
          <w:sz w:val="28"/>
          <w:szCs w:val="28"/>
          <w:lang w:val="en-US"/>
        </w:rPr>
        <w:t>n</w:t>
      </w:r>
      <w:r w:rsidRPr="00164C26">
        <w:rPr>
          <w:b/>
          <w:sz w:val="28"/>
          <w:szCs w:val="28"/>
          <w:lang w:val="uk-UA"/>
        </w:rPr>
        <w:t>=6)</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893"/>
        <w:gridCol w:w="1722"/>
        <w:gridCol w:w="1807"/>
        <w:gridCol w:w="1722"/>
        <w:gridCol w:w="1807"/>
      </w:tblGrid>
      <w:tr w:rsidR="00F05F4E" w:rsidRPr="00A50810" w14:paraId="0029B2F2" w14:textId="77777777" w:rsidTr="00A50810">
        <w:trPr>
          <w:trHeight w:val="242"/>
          <w:jc w:val="center"/>
        </w:trPr>
        <w:tc>
          <w:tcPr>
            <w:tcW w:w="542" w:type="dxa"/>
            <w:vMerge w:val="restart"/>
            <w:vAlign w:val="center"/>
          </w:tcPr>
          <w:p w14:paraId="7D64E2A5" w14:textId="77777777" w:rsidR="00F05F4E" w:rsidRPr="00A50810" w:rsidRDefault="00F05F4E" w:rsidP="00A50810">
            <w:pPr>
              <w:widowControl w:val="0"/>
              <w:autoSpaceDE w:val="0"/>
              <w:autoSpaceDN w:val="0"/>
              <w:adjustRightInd w:val="0"/>
              <w:rPr>
                <w:lang w:val="uk-UA"/>
              </w:rPr>
            </w:pPr>
            <w:r w:rsidRPr="00A50810">
              <w:t xml:space="preserve">№ </w:t>
            </w:r>
            <w:r w:rsidRPr="00A50810">
              <w:rPr>
                <w:lang w:val="uk-UA"/>
              </w:rPr>
              <w:t>г</w:t>
            </w:r>
            <w:r w:rsidRPr="00A50810">
              <w:t>р</w:t>
            </w:r>
          </w:p>
        </w:tc>
        <w:tc>
          <w:tcPr>
            <w:tcW w:w="1893" w:type="dxa"/>
            <w:vMerge w:val="restart"/>
            <w:vAlign w:val="center"/>
          </w:tcPr>
          <w:p w14:paraId="2257BE1E" w14:textId="77777777" w:rsidR="00F05F4E" w:rsidRPr="00A50810" w:rsidRDefault="00F05F4E" w:rsidP="00A50810">
            <w:pPr>
              <w:widowControl w:val="0"/>
              <w:autoSpaceDE w:val="0"/>
              <w:autoSpaceDN w:val="0"/>
              <w:adjustRightInd w:val="0"/>
            </w:pPr>
            <w:r w:rsidRPr="00A50810">
              <w:t>Сполука</w:t>
            </w:r>
          </w:p>
        </w:tc>
        <w:tc>
          <w:tcPr>
            <w:tcW w:w="7058" w:type="dxa"/>
            <w:gridSpan w:val="4"/>
            <w:tcBorders>
              <w:right w:val="single" w:sz="4" w:space="0" w:color="auto"/>
            </w:tcBorders>
            <w:vAlign w:val="center"/>
          </w:tcPr>
          <w:p w14:paraId="1B254736" w14:textId="77777777" w:rsidR="00F05F4E" w:rsidRPr="00A50810" w:rsidRDefault="00F05F4E" w:rsidP="00A50810">
            <w:pPr>
              <w:widowControl w:val="0"/>
              <w:autoSpaceDE w:val="0"/>
              <w:autoSpaceDN w:val="0"/>
              <w:adjustRightInd w:val="0"/>
              <w:jc w:val="center"/>
              <w:rPr>
                <w:b/>
                <w:lang w:val="uk-UA"/>
              </w:rPr>
            </w:pPr>
            <w:r w:rsidRPr="00A50810">
              <w:rPr>
                <w:lang w:val="uk-UA"/>
              </w:rPr>
              <w:t>Локомоторна активність, % від контролю</w:t>
            </w:r>
          </w:p>
        </w:tc>
      </w:tr>
      <w:tr w:rsidR="00F05F4E" w:rsidRPr="00A50810" w14:paraId="752BCBD1" w14:textId="77777777" w:rsidTr="00A50810">
        <w:trPr>
          <w:trHeight w:val="224"/>
          <w:jc w:val="center"/>
        </w:trPr>
        <w:tc>
          <w:tcPr>
            <w:tcW w:w="542" w:type="dxa"/>
            <w:vMerge/>
            <w:tcBorders>
              <w:bottom w:val="single" w:sz="4" w:space="0" w:color="auto"/>
            </w:tcBorders>
            <w:vAlign w:val="center"/>
          </w:tcPr>
          <w:p w14:paraId="5AC29699" w14:textId="77777777" w:rsidR="00F05F4E" w:rsidRPr="00A50810" w:rsidRDefault="00F05F4E" w:rsidP="00A50810">
            <w:pPr>
              <w:widowControl w:val="0"/>
              <w:autoSpaceDE w:val="0"/>
              <w:autoSpaceDN w:val="0"/>
              <w:adjustRightInd w:val="0"/>
              <w:spacing w:line="360" w:lineRule="auto"/>
            </w:pPr>
          </w:p>
        </w:tc>
        <w:tc>
          <w:tcPr>
            <w:tcW w:w="1893" w:type="dxa"/>
            <w:vMerge/>
            <w:tcBorders>
              <w:bottom w:val="single" w:sz="4" w:space="0" w:color="auto"/>
            </w:tcBorders>
            <w:vAlign w:val="center"/>
          </w:tcPr>
          <w:p w14:paraId="76185D9F" w14:textId="77777777" w:rsidR="00F05F4E" w:rsidRPr="00A50810" w:rsidRDefault="00F05F4E" w:rsidP="00A50810">
            <w:pPr>
              <w:widowControl w:val="0"/>
              <w:autoSpaceDE w:val="0"/>
              <w:autoSpaceDN w:val="0"/>
              <w:adjustRightInd w:val="0"/>
              <w:spacing w:line="360" w:lineRule="auto"/>
            </w:pPr>
          </w:p>
        </w:tc>
        <w:tc>
          <w:tcPr>
            <w:tcW w:w="1722" w:type="dxa"/>
            <w:tcBorders>
              <w:bottom w:val="single" w:sz="4" w:space="0" w:color="auto"/>
            </w:tcBorders>
            <w:vAlign w:val="center"/>
          </w:tcPr>
          <w:p w14:paraId="1FCC9686" w14:textId="77777777" w:rsidR="00F05F4E" w:rsidRPr="00A50810" w:rsidRDefault="00F05F4E" w:rsidP="00A50810">
            <w:pPr>
              <w:widowControl w:val="0"/>
              <w:autoSpaceDE w:val="0"/>
              <w:autoSpaceDN w:val="0"/>
              <w:adjustRightInd w:val="0"/>
              <w:spacing w:line="360" w:lineRule="auto"/>
              <w:jc w:val="center"/>
              <w:rPr>
                <w:lang w:val="uk-UA"/>
              </w:rPr>
            </w:pPr>
            <w:r w:rsidRPr="00A50810">
              <w:rPr>
                <w:lang w:val="uk-UA"/>
              </w:rPr>
              <w:t>1 год</w:t>
            </w:r>
          </w:p>
        </w:tc>
        <w:tc>
          <w:tcPr>
            <w:tcW w:w="1807" w:type="dxa"/>
            <w:tcBorders>
              <w:bottom w:val="single" w:sz="4" w:space="0" w:color="auto"/>
            </w:tcBorders>
            <w:vAlign w:val="center"/>
          </w:tcPr>
          <w:p w14:paraId="06B74C9A" w14:textId="77777777" w:rsidR="00F05F4E" w:rsidRPr="00A50810" w:rsidRDefault="00F05F4E" w:rsidP="00A50810">
            <w:pPr>
              <w:widowControl w:val="0"/>
              <w:autoSpaceDE w:val="0"/>
              <w:autoSpaceDN w:val="0"/>
              <w:adjustRightInd w:val="0"/>
              <w:spacing w:line="360" w:lineRule="auto"/>
              <w:jc w:val="center"/>
              <w:rPr>
                <w:lang w:val="uk-UA"/>
              </w:rPr>
            </w:pPr>
            <w:r w:rsidRPr="00A50810">
              <w:rPr>
                <w:lang w:val="en-US"/>
              </w:rPr>
              <w:t>3</w:t>
            </w:r>
            <w:r w:rsidRPr="00A50810">
              <w:rPr>
                <w:lang w:val="uk-UA"/>
              </w:rPr>
              <w:t xml:space="preserve"> год</w:t>
            </w:r>
          </w:p>
        </w:tc>
        <w:tc>
          <w:tcPr>
            <w:tcW w:w="1722" w:type="dxa"/>
            <w:tcBorders>
              <w:bottom w:val="single" w:sz="4" w:space="0" w:color="auto"/>
            </w:tcBorders>
            <w:vAlign w:val="center"/>
          </w:tcPr>
          <w:p w14:paraId="41027315" w14:textId="77777777" w:rsidR="00F05F4E" w:rsidRPr="00A50810" w:rsidRDefault="00F05F4E" w:rsidP="00A50810">
            <w:pPr>
              <w:widowControl w:val="0"/>
              <w:autoSpaceDE w:val="0"/>
              <w:autoSpaceDN w:val="0"/>
              <w:adjustRightInd w:val="0"/>
              <w:spacing w:line="360" w:lineRule="auto"/>
              <w:jc w:val="center"/>
              <w:rPr>
                <w:lang w:val="uk-UA"/>
              </w:rPr>
            </w:pPr>
            <w:r w:rsidRPr="00A50810">
              <w:rPr>
                <w:lang w:val="en-US"/>
              </w:rPr>
              <w:t>5</w:t>
            </w:r>
            <w:r w:rsidRPr="00A50810">
              <w:rPr>
                <w:lang w:val="uk-UA"/>
              </w:rPr>
              <w:t xml:space="preserve"> год</w:t>
            </w:r>
          </w:p>
        </w:tc>
        <w:tc>
          <w:tcPr>
            <w:tcW w:w="1807" w:type="dxa"/>
            <w:tcBorders>
              <w:bottom w:val="single" w:sz="4" w:space="0" w:color="auto"/>
            </w:tcBorders>
            <w:vAlign w:val="center"/>
          </w:tcPr>
          <w:p w14:paraId="1605BCE1" w14:textId="77777777" w:rsidR="00F05F4E" w:rsidRPr="00A50810" w:rsidRDefault="00F05F4E" w:rsidP="00A50810">
            <w:pPr>
              <w:widowControl w:val="0"/>
              <w:autoSpaceDE w:val="0"/>
              <w:autoSpaceDN w:val="0"/>
              <w:adjustRightInd w:val="0"/>
              <w:spacing w:line="360" w:lineRule="auto"/>
              <w:jc w:val="center"/>
              <w:rPr>
                <w:lang w:val="uk-UA"/>
              </w:rPr>
            </w:pPr>
            <w:r w:rsidRPr="00A50810">
              <w:rPr>
                <w:lang w:val="uk-UA"/>
              </w:rPr>
              <w:t>24 год</w:t>
            </w:r>
          </w:p>
        </w:tc>
      </w:tr>
      <w:tr w:rsidR="00F05F4E" w:rsidRPr="00A50810" w14:paraId="48CD32AD" w14:textId="77777777" w:rsidTr="00A50810">
        <w:trPr>
          <w:trHeight w:val="77"/>
          <w:jc w:val="center"/>
        </w:trPr>
        <w:tc>
          <w:tcPr>
            <w:tcW w:w="542" w:type="dxa"/>
            <w:vAlign w:val="center"/>
          </w:tcPr>
          <w:p w14:paraId="2C370717"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1</w:t>
            </w:r>
          </w:p>
        </w:tc>
        <w:tc>
          <w:tcPr>
            <w:tcW w:w="1893" w:type="dxa"/>
            <w:vAlign w:val="center"/>
          </w:tcPr>
          <w:p w14:paraId="5617C210"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Контроль</w:t>
            </w:r>
          </w:p>
        </w:tc>
        <w:tc>
          <w:tcPr>
            <w:tcW w:w="1722" w:type="dxa"/>
            <w:vAlign w:val="center"/>
          </w:tcPr>
          <w:p w14:paraId="687CCF4E" w14:textId="77777777" w:rsidR="00F05F4E" w:rsidRPr="00A50810" w:rsidRDefault="00F05F4E" w:rsidP="00A50810">
            <w:pPr>
              <w:rPr>
                <w:color w:val="000000"/>
                <w:lang w:val="uk-UA"/>
              </w:rPr>
            </w:pPr>
            <w:r w:rsidRPr="00A50810">
              <w:rPr>
                <w:color w:val="000000"/>
                <w:lang w:val="uk-UA"/>
              </w:rPr>
              <w:t>100</w:t>
            </w:r>
            <w:r w:rsidRPr="00A50810">
              <w:rPr>
                <w:color w:val="000000"/>
              </w:rPr>
              <w:t xml:space="preserve"> ± </w:t>
            </w:r>
            <w:r w:rsidRPr="00A50810">
              <w:rPr>
                <w:color w:val="000000"/>
                <w:lang w:val="uk-UA"/>
              </w:rPr>
              <w:t>5,2</w:t>
            </w:r>
          </w:p>
        </w:tc>
        <w:tc>
          <w:tcPr>
            <w:tcW w:w="1807" w:type="dxa"/>
            <w:vAlign w:val="center"/>
          </w:tcPr>
          <w:p w14:paraId="1729C7F8" w14:textId="77777777" w:rsidR="00F05F4E" w:rsidRPr="00A50810" w:rsidRDefault="00F05F4E" w:rsidP="00A50810">
            <w:pPr>
              <w:rPr>
                <w:color w:val="000000"/>
                <w:lang w:val="uk-UA"/>
              </w:rPr>
            </w:pPr>
            <w:r w:rsidRPr="00A50810">
              <w:rPr>
                <w:color w:val="000000"/>
                <w:lang w:val="uk-UA"/>
              </w:rPr>
              <w:t>100</w:t>
            </w:r>
            <w:r w:rsidRPr="00A50810">
              <w:rPr>
                <w:color w:val="000000"/>
              </w:rPr>
              <w:t xml:space="preserve"> ± </w:t>
            </w:r>
            <w:r w:rsidRPr="00A50810">
              <w:rPr>
                <w:color w:val="000000"/>
                <w:lang w:val="uk-UA"/>
              </w:rPr>
              <w:t>5,2</w:t>
            </w:r>
          </w:p>
        </w:tc>
        <w:tc>
          <w:tcPr>
            <w:tcW w:w="1722" w:type="dxa"/>
            <w:vAlign w:val="center"/>
          </w:tcPr>
          <w:p w14:paraId="38E92666" w14:textId="77777777" w:rsidR="00F05F4E" w:rsidRPr="00A50810" w:rsidRDefault="00F05F4E" w:rsidP="00A50810">
            <w:pPr>
              <w:rPr>
                <w:color w:val="000000"/>
                <w:lang w:val="uk-UA"/>
              </w:rPr>
            </w:pPr>
            <w:r w:rsidRPr="00A50810">
              <w:rPr>
                <w:color w:val="000000"/>
                <w:lang w:val="uk-UA"/>
              </w:rPr>
              <w:t>100</w:t>
            </w:r>
            <w:r w:rsidRPr="00A50810">
              <w:rPr>
                <w:color w:val="000000"/>
              </w:rPr>
              <w:t xml:space="preserve"> ± </w:t>
            </w:r>
            <w:r w:rsidRPr="00A50810">
              <w:rPr>
                <w:color w:val="000000"/>
                <w:lang w:val="uk-UA"/>
              </w:rPr>
              <w:t>5,2</w:t>
            </w:r>
          </w:p>
        </w:tc>
        <w:tc>
          <w:tcPr>
            <w:tcW w:w="1807" w:type="dxa"/>
            <w:vAlign w:val="center"/>
          </w:tcPr>
          <w:p w14:paraId="6372DE76" w14:textId="77777777" w:rsidR="00F05F4E" w:rsidRPr="00A50810" w:rsidRDefault="00F05F4E" w:rsidP="00A50810">
            <w:pPr>
              <w:rPr>
                <w:color w:val="000000"/>
                <w:lang w:val="uk-UA"/>
              </w:rPr>
            </w:pPr>
            <w:r w:rsidRPr="00A50810">
              <w:rPr>
                <w:color w:val="000000"/>
                <w:lang w:val="uk-UA"/>
              </w:rPr>
              <w:t>100</w:t>
            </w:r>
            <w:r w:rsidRPr="00A50810">
              <w:rPr>
                <w:color w:val="000000"/>
              </w:rPr>
              <w:t xml:space="preserve"> ± </w:t>
            </w:r>
            <w:r w:rsidRPr="00A50810">
              <w:rPr>
                <w:color w:val="000000"/>
                <w:lang w:val="uk-UA"/>
              </w:rPr>
              <w:t>5,2</w:t>
            </w:r>
          </w:p>
        </w:tc>
      </w:tr>
      <w:tr w:rsidR="00F05F4E" w:rsidRPr="00A50810" w14:paraId="7A71D86D" w14:textId="77777777" w:rsidTr="00A50810">
        <w:trPr>
          <w:trHeight w:val="77"/>
          <w:jc w:val="center"/>
        </w:trPr>
        <w:tc>
          <w:tcPr>
            <w:tcW w:w="542" w:type="dxa"/>
            <w:vAlign w:val="center"/>
          </w:tcPr>
          <w:p w14:paraId="031E0093"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2</w:t>
            </w:r>
          </w:p>
        </w:tc>
        <w:tc>
          <w:tcPr>
            <w:tcW w:w="1893" w:type="dxa"/>
            <w:vAlign w:val="center"/>
          </w:tcPr>
          <w:p w14:paraId="3108C632" w14:textId="77777777" w:rsidR="00F05F4E" w:rsidRPr="00A50810" w:rsidRDefault="00F05F4E" w:rsidP="00A50810">
            <w:pPr>
              <w:widowControl w:val="0"/>
              <w:autoSpaceDE w:val="0"/>
              <w:autoSpaceDN w:val="0"/>
              <w:adjustRightInd w:val="0"/>
              <w:spacing w:line="360" w:lineRule="auto"/>
              <w:rPr>
                <w:lang w:val="uk-UA"/>
              </w:rPr>
            </w:pPr>
            <w:r w:rsidRPr="00A50810">
              <w:rPr>
                <w:color w:val="000000"/>
                <w:lang w:val="uk-UA"/>
              </w:rPr>
              <w:t>Ф</w:t>
            </w:r>
            <w:r w:rsidRPr="00A50810">
              <w:rPr>
                <w:color w:val="000000"/>
              </w:rPr>
              <w:t>абомот</w:t>
            </w:r>
            <w:r w:rsidRPr="00A50810">
              <w:rPr>
                <w:color w:val="000000"/>
                <w:lang w:val="uk-UA"/>
              </w:rPr>
              <w:t>і</w:t>
            </w:r>
            <w:r w:rsidRPr="00A50810">
              <w:rPr>
                <w:color w:val="000000"/>
              </w:rPr>
              <w:t>зо</w:t>
            </w:r>
            <w:r w:rsidRPr="00A50810">
              <w:rPr>
                <w:color w:val="000000"/>
                <w:lang w:val="uk-UA"/>
              </w:rPr>
              <w:t>л</w:t>
            </w:r>
          </w:p>
        </w:tc>
        <w:tc>
          <w:tcPr>
            <w:tcW w:w="1722" w:type="dxa"/>
            <w:vAlign w:val="center"/>
          </w:tcPr>
          <w:p w14:paraId="38A827E3" w14:textId="77777777" w:rsidR="00F05F4E" w:rsidRPr="00A50810" w:rsidRDefault="00F05F4E" w:rsidP="00A50810">
            <w:pPr>
              <w:rPr>
                <w:color w:val="000000"/>
                <w:highlight w:val="lightGray"/>
                <w:lang w:val="en-US"/>
              </w:rPr>
            </w:pPr>
            <w:r w:rsidRPr="00A50810">
              <w:rPr>
                <w:color w:val="000000"/>
                <w:lang w:val="uk-UA"/>
              </w:rPr>
              <w:t>80,9</w:t>
            </w:r>
            <w:r w:rsidRPr="00A50810">
              <w:rPr>
                <w:color w:val="000000"/>
                <w:lang w:val="en-US"/>
              </w:rPr>
              <w:t xml:space="preserve"> </w:t>
            </w:r>
            <w:r w:rsidRPr="00A50810">
              <w:rPr>
                <w:color w:val="000000"/>
              </w:rPr>
              <w:t>±</w:t>
            </w:r>
            <w:r w:rsidRPr="00A50810">
              <w:rPr>
                <w:color w:val="000000"/>
                <w:lang w:val="uk-UA"/>
              </w:rPr>
              <w:t xml:space="preserve"> 3,</w:t>
            </w:r>
            <w:r w:rsidRPr="00A50810">
              <w:rPr>
                <w:color w:val="000000"/>
              </w:rPr>
              <w:t>1</w:t>
            </w:r>
          </w:p>
        </w:tc>
        <w:tc>
          <w:tcPr>
            <w:tcW w:w="1807" w:type="dxa"/>
            <w:vAlign w:val="center"/>
          </w:tcPr>
          <w:p w14:paraId="260EF107" w14:textId="77777777" w:rsidR="00F05F4E" w:rsidRPr="00A50810" w:rsidRDefault="00F05F4E" w:rsidP="00A50810">
            <w:pPr>
              <w:widowControl w:val="0"/>
              <w:autoSpaceDE w:val="0"/>
              <w:autoSpaceDN w:val="0"/>
              <w:adjustRightInd w:val="0"/>
              <w:spacing w:line="360" w:lineRule="auto"/>
              <w:rPr>
                <w:color w:val="000000"/>
                <w:lang w:val="en-US"/>
              </w:rPr>
            </w:pPr>
            <w:r w:rsidRPr="00A50810">
              <w:rPr>
                <w:color w:val="000000"/>
                <w:lang w:val="uk-UA"/>
              </w:rPr>
              <w:t xml:space="preserve">108,7 </w:t>
            </w:r>
            <w:r w:rsidRPr="00A50810">
              <w:rPr>
                <w:color w:val="000000"/>
              </w:rPr>
              <w:t>±</w:t>
            </w:r>
            <w:r w:rsidRPr="00A50810">
              <w:rPr>
                <w:color w:val="000000"/>
                <w:lang w:val="uk-UA"/>
              </w:rPr>
              <w:t xml:space="preserve"> 9</w:t>
            </w:r>
            <w:r w:rsidRPr="00A50810">
              <w:rPr>
                <w:color w:val="000000"/>
                <w:lang w:val="en-US"/>
              </w:rPr>
              <w:t>,</w:t>
            </w:r>
            <w:r w:rsidRPr="00A50810">
              <w:rPr>
                <w:color w:val="000000"/>
              </w:rPr>
              <w:t>2</w:t>
            </w:r>
          </w:p>
        </w:tc>
        <w:tc>
          <w:tcPr>
            <w:tcW w:w="1722" w:type="dxa"/>
            <w:vAlign w:val="center"/>
          </w:tcPr>
          <w:p w14:paraId="264170E9" w14:textId="77777777" w:rsidR="00F05F4E" w:rsidRPr="00A50810" w:rsidRDefault="00F05F4E" w:rsidP="00A50810">
            <w:pPr>
              <w:widowControl w:val="0"/>
              <w:autoSpaceDE w:val="0"/>
              <w:autoSpaceDN w:val="0"/>
              <w:adjustRightInd w:val="0"/>
              <w:spacing w:line="360" w:lineRule="auto"/>
              <w:rPr>
                <w:color w:val="000000"/>
                <w:lang w:val="en-US"/>
              </w:rPr>
            </w:pPr>
            <w:r w:rsidRPr="00A50810">
              <w:rPr>
                <w:color w:val="000000"/>
                <w:lang w:val="uk-UA"/>
              </w:rPr>
              <w:t>99,0</w:t>
            </w:r>
            <w:r w:rsidRPr="00A50810">
              <w:rPr>
                <w:color w:val="000000"/>
                <w:lang w:val="en-US"/>
              </w:rPr>
              <w:t xml:space="preserve"> </w:t>
            </w:r>
            <w:r w:rsidRPr="00A50810">
              <w:rPr>
                <w:color w:val="000000"/>
              </w:rPr>
              <w:t>±</w:t>
            </w:r>
            <w:r w:rsidRPr="00A50810">
              <w:rPr>
                <w:color w:val="000000"/>
                <w:lang w:val="uk-UA"/>
              </w:rPr>
              <w:t xml:space="preserve"> 9,</w:t>
            </w:r>
            <w:r w:rsidRPr="00A50810">
              <w:rPr>
                <w:color w:val="000000"/>
              </w:rPr>
              <w:t>4</w:t>
            </w:r>
            <w:r w:rsidRPr="00A50810">
              <w:rPr>
                <w:color w:val="000000"/>
                <w:lang w:val="en-US"/>
              </w:rPr>
              <w:t>**</w:t>
            </w:r>
          </w:p>
        </w:tc>
        <w:tc>
          <w:tcPr>
            <w:tcW w:w="1807" w:type="dxa"/>
            <w:vAlign w:val="center"/>
          </w:tcPr>
          <w:p w14:paraId="37956C8B" w14:textId="77777777" w:rsidR="00F05F4E" w:rsidRPr="00A50810" w:rsidRDefault="00F05F4E" w:rsidP="00A50810">
            <w:pPr>
              <w:widowControl w:val="0"/>
              <w:autoSpaceDE w:val="0"/>
              <w:autoSpaceDN w:val="0"/>
              <w:adjustRightInd w:val="0"/>
              <w:spacing w:line="360" w:lineRule="auto"/>
              <w:rPr>
                <w:color w:val="000000"/>
                <w:lang w:val="en-US"/>
              </w:rPr>
            </w:pPr>
            <w:r w:rsidRPr="00A50810">
              <w:rPr>
                <w:color w:val="000000"/>
                <w:lang w:val="uk-UA"/>
              </w:rPr>
              <w:t>90,0</w:t>
            </w:r>
            <w:r w:rsidRPr="00A50810">
              <w:rPr>
                <w:color w:val="000000"/>
                <w:lang w:val="en-US"/>
              </w:rPr>
              <w:t xml:space="preserve"> </w:t>
            </w:r>
            <w:r w:rsidRPr="00A50810">
              <w:rPr>
                <w:color w:val="000000"/>
              </w:rPr>
              <w:t>±</w:t>
            </w:r>
            <w:r w:rsidRPr="00A50810">
              <w:rPr>
                <w:color w:val="000000"/>
                <w:lang w:val="en-US"/>
              </w:rPr>
              <w:t xml:space="preserve"> </w:t>
            </w:r>
            <w:r w:rsidRPr="00A50810">
              <w:rPr>
                <w:color w:val="000000"/>
                <w:lang w:val="uk-UA"/>
              </w:rPr>
              <w:t>12,0</w:t>
            </w:r>
            <w:r w:rsidRPr="00A50810">
              <w:rPr>
                <w:color w:val="000000"/>
                <w:lang w:val="en-US"/>
              </w:rPr>
              <w:t>*</w:t>
            </w:r>
          </w:p>
        </w:tc>
      </w:tr>
      <w:tr w:rsidR="00F05F4E" w:rsidRPr="00A50810" w14:paraId="38FD9A1D" w14:textId="77777777" w:rsidTr="00A50810">
        <w:trPr>
          <w:trHeight w:val="77"/>
          <w:jc w:val="center"/>
        </w:trPr>
        <w:tc>
          <w:tcPr>
            <w:tcW w:w="542" w:type="dxa"/>
            <w:vAlign w:val="center"/>
          </w:tcPr>
          <w:p w14:paraId="7C88B5D2"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3</w:t>
            </w:r>
          </w:p>
        </w:tc>
        <w:tc>
          <w:tcPr>
            <w:tcW w:w="1893" w:type="dxa"/>
            <w:vAlign w:val="center"/>
          </w:tcPr>
          <w:p w14:paraId="23B42C9B"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БА</w:t>
            </w:r>
          </w:p>
        </w:tc>
        <w:tc>
          <w:tcPr>
            <w:tcW w:w="1722" w:type="dxa"/>
            <w:vAlign w:val="center"/>
          </w:tcPr>
          <w:p w14:paraId="521FFEC3" w14:textId="7AC26702" w:rsidR="00F05F4E" w:rsidRPr="00A50810" w:rsidRDefault="00F05F4E" w:rsidP="00A50810">
            <w:pPr>
              <w:rPr>
                <w:color w:val="000000"/>
                <w:lang w:val="en-US"/>
              </w:rPr>
            </w:pPr>
            <w:r w:rsidRPr="00A50810">
              <w:rPr>
                <w:color w:val="000000"/>
                <w:lang w:val="uk-UA"/>
              </w:rPr>
              <w:t>67,0</w:t>
            </w:r>
            <w:r w:rsidRPr="00A50810">
              <w:rPr>
                <w:color w:val="000000"/>
              </w:rPr>
              <w:t xml:space="preserve"> ± </w:t>
            </w:r>
            <w:r w:rsidRPr="00A50810">
              <w:rPr>
                <w:color w:val="000000"/>
                <w:lang w:val="uk-UA"/>
              </w:rPr>
              <w:t>4</w:t>
            </w:r>
            <w:r w:rsidRPr="00A50810">
              <w:rPr>
                <w:color w:val="000000"/>
                <w:lang w:val="en-US"/>
              </w:rPr>
              <w:t>,0</w:t>
            </w:r>
          </w:p>
        </w:tc>
        <w:tc>
          <w:tcPr>
            <w:tcW w:w="1807" w:type="dxa"/>
            <w:vAlign w:val="center"/>
          </w:tcPr>
          <w:p w14:paraId="307D717B" w14:textId="0EF6C0EC" w:rsidR="00F05F4E" w:rsidRPr="00A50810" w:rsidRDefault="00F05F4E" w:rsidP="00A50810">
            <w:pPr>
              <w:widowControl w:val="0"/>
              <w:autoSpaceDE w:val="0"/>
              <w:autoSpaceDN w:val="0"/>
              <w:adjustRightInd w:val="0"/>
              <w:spacing w:line="360" w:lineRule="auto"/>
              <w:rPr>
                <w:lang w:val="en-US"/>
              </w:rPr>
            </w:pPr>
            <w:r w:rsidRPr="00A50810">
              <w:rPr>
                <w:color w:val="000000"/>
                <w:lang w:val="uk-UA"/>
              </w:rPr>
              <w:t>70</w:t>
            </w:r>
            <w:r w:rsidRPr="00A50810">
              <w:rPr>
                <w:color w:val="000000"/>
              </w:rPr>
              <w:t xml:space="preserve"> ± </w:t>
            </w:r>
            <w:r w:rsidRPr="00A50810">
              <w:rPr>
                <w:color w:val="000000"/>
                <w:lang w:val="en-US"/>
              </w:rPr>
              <w:t>1</w:t>
            </w:r>
            <w:r w:rsidRPr="00A50810">
              <w:rPr>
                <w:color w:val="000000"/>
                <w:lang w:val="uk-UA"/>
              </w:rPr>
              <w:t>4</w:t>
            </w:r>
            <w:r w:rsidRPr="00A50810">
              <w:rPr>
                <w:color w:val="000000"/>
                <w:lang w:val="en-US"/>
              </w:rPr>
              <w:t>,</w:t>
            </w:r>
            <w:r w:rsidRPr="00A50810">
              <w:rPr>
                <w:color w:val="000000"/>
                <w:lang w:val="uk-UA"/>
              </w:rPr>
              <w:t>2</w:t>
            </w:r>
          </w:p>
        </w:tc>
        <w:tc>
          <w:tcPr>
            <w:tcW w:w="1722" w:type="dxa"/>
            <w:vAlign w:val="center"/>
          </w:tcPr>
          <w:p w14:paraId="57775213" w14:textId="77777777" w:rsidR="00F05F4E" w:rsidRPr="00A50810" w:rsidRDefault="00F05F4E" w:rsidP="00A50810">
            <w:pPr>
              <w:widowControl w:val="0"/>
              <w:autoSpaceDE w:val="0"/>
              <w:autoSpaceDN w:val="0"/>
              <w:adjustRightInd w:val="0"/>
              <w:spacing w:line="360" w:lineRule="auto"/>
              <w:rPr>
                <w:lang w:val="uk-UA"/>
              </w:rPr>
            </w:pPr>
            <w:r w:rsidRPr="00A50810">
              <w:rPr>
                <w:color w:val="000000"/>
                <w:lang w:val="uk-UA"/>
              </w:rPr>
              <w:t>95</w:t>
            </w:r>
            <w:r w:rsidRPr="00A50810">
              <w:rPr>
                <w:color w:val="000000"/>
              </w:rPr>
              <w:t xml:space="preserve"> ± </w:t>
            </w:r>
            <w:r w:rsidRPr="00A50810">
              <w:rPr>
                <w:color w:val="000000"/>
                <w:lang w:val="uk-UA"/>
              </w:rPr>
              <w:t>1,2</w:t>
            </w:r>
          </w:p>
        </w:tc>
        <w:tc>
          <w:tcPr>
            <w:tcW w:w="1807" w:type="dxa"/>
            <w:vAlign w:val="center"/>
          </w:tcPr>
          <w:p w14:paraId="17948D4E" w14:textId="2B53E7B1" w:rsidR="00F05F4E" w:rsidRPr="00A50810" w:rsidRDefault="00F05F4E" w:rsidP="00A50810">
            <w:pPr>
              <w:widowControl w:val="0"/>
              <w:autoSpaceDE w:val="0"/>
              <w:autoSpaceDN w:val="0"/>
              <w:adjustRightInd w:val="0"/>
              <w:spacing w:line="360" w:lineRule="auto"/>
              <w:rPr>
                <w:highlight w:val="lightGray"/>
                <w:lang w:val="en-US"/>
              </w:rPr>
            </w:pPr>
            <w:r w:rsidRPr="00A50810">
              <w:rPr>
                <w:color w:val="000000"/>
                <w:lang w:val="uk-UA"/>
              </w:rPr>
              <w:t>99,0</w:t>
            </w:r>
            <w:r w:rsidRPr="00A50810">
              <w:rPr>
                <w:color w:val="000000"/>
                <w:lang w:val="en-US"/>
              </w:rPr>
              <w:t xml:space="preserve">  </w:t>
            </w:r>
            <w:r w:rsidRPr="00A50810">
              <w:rPr>
                <w:color w:val="000000"/>
              </w:rPr>
              <w:t>±</w:t>
            </w:r>
            <w:r w:rsidRPr="00A50810">
              <w:rPr>
                <w:color w:val="000000"/>
                <w:lang w:val="en-US"/>
              </w:rPr>
              <w:t xml:space="preserve"> </w:t>
            </w:r>
            <w:r w:rsidRPr="00A50810">
              <w:rPr>
                <w:color w:val="000000"/>
                <w:lang w:val="uk-UA"/>
              </w:rPr>
              <w:t>11</w:t>
            </w:r>
            <w:r w:rsidRPr="00A50810">
              <w:rPr>
                <w:color w:val="000000"/>
                <w:lang w:val="en-US"/>
              </w:rPr>
              <w:t>,0</w:t>
            </w:r>
          </w:p>
        </w:tc>
      </w:tr>
      <w:tr w:rsidR="00F05F4E" w:rsidRPr="00A50810" w14:paraId="7A8EC09A" w14:textId="77777777" w:rsidTr="00A50810">
        <w:trPr>
          <w:trHeight w:val="77"/>
          <w:jc w:val="center"/>
        </w:trPr>
        <w:tc>
          <w:tcPr>
            <w:tcW w:w="542" w:type="dxa"/>
            <w:vAlign w:val="center"/>
          </w:tcPr>
          <w:p w14:paraId="740E2DE3"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4</w:t>
            </w:r>
          </w:p>
        </w:tc>
        <w:tc>
          <w:tcPr>
            <w:tcW w:w="1893" w:type="dxa"/>
            <w:vAlign w:val="center"/>
          </w:tcPr>
          <w:p w14:paraId="5F03581F"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4-брБА</w:t>
            </w:r>
          </w:p>
        </w:tc>
        <w:tc>
          <w:tcPr>
            <w:tcW w:w="1722" w:type="dxa"/>
            <w:vAlign w:val="center"/>
          </w:tcPr>
          <w:p w14:paraId="1E588471" w14:textId="77777777" w:rsidR="00F05F4E" w:rsidRPr="00A50810" w:rsidRDefault="00F05F4E" w:rsidP="00A50810">
            <w:pPr>
              <w:rPr>
                <w:color w:val="000000"/>
                <w:lang w:val="en-US"/>
              </w:rPr>
            </w:pPr>
            <w:r w:rsidRPr="00A50810">
              <w:rPr>
                <w:color w:val="000000"/>
                <w:lang w:val="uk-UA"/>
              </w:rPr>
              <w:t>1</w:t>
            </w:r>
            <w:r w:rsidRPr="00A50810">
              <w:rPr>
                <w:color w:val="000000"/>
                <w:lang w:val="en-US"/>
              </w:rPr>
              <w:t>5</w:t>
            </w:r>
            <w:r w:rsidRPr="00A50810">
              <w:rPr>
                <w:color w:val="000000"/>
                <w:lang w:val="uk-UA"/>
              </w:rPr>
              <w:t>6</w:t>
            </w:r>
            <w:r w:rsidRPr="00A50810">
              <w:rPr>
                <w:color w:val="000000"/>
                <w:lang w:val="en-US"/>
              </w:rPr>
              <w:t>,</w:t>
            </w:r>
            <w:r w:rsidRPr="00A50810">
              <w:rPr>
                <w:color w:val="000000"/>
                <w:lang w:val="uk-UA"/>
              </w:rPr>
              <w:t>9</w:t>
            </w:r>
            <w:r w:rsidRPr="00A50810">
              <w:rPr>
                <w:color w:val="000000"/>
              </w:rPr>
              <w:t>±</w:t>
            </w:r>
            <w:r w:rsidRPr="00A50810">
              <w:rPr>
                <w:color w:val="000000"/>
                <w:lang w:val="uk-UA"/>
              </w:rPr>
              <w:t>9,6</w:t>
            </w:r>
            <w:r w:rsidRPr="00A50810">
              <w:rPr>
                <w:color w:val="000000"/>
                <w:lang w:val="en-US"/>
              </w:rPr>
              <w:t xml:space="preserve"> **</w:t>
            </w:r>
          </w:p>
        </w:tc>
        <w:tc>
          <w:tcPr>
            <w:tcW w:w="1807" w:type="dxa"/>
            <w:vAlign w:val="center"/>
          </w:tcPr>
          <w:p w14:paraId="44DD9B19" w14:textId="4CEC2F7E" w:rsidR="00F05F4E" w:rsidRPr="00A50810" w:rsidRDefault="00F05F4E" w:rsidP="00A50810">
            <w:pPr>
              <w:rPr>
                <w:color w:val="000000"/>
                <w:lang w:val="en-US"/>
              </w:rPr>
            </w:pPr>
            <w:r w:rsidRPr="00A50810">
              <w:rPr>
                <w:color w:val="000000"/>
                <w:lang w:val="uk-UA"/>
              </w:rPr>
              <w:t>77,7</w:t>
            </w:r>
            <w:r w:rsidRPr="00A50810">
              <w:rPr>
                <w:color w:val="000000"/>
              </w:rPr>
              <w:t xml:space="preserve"> ± </w:t>
            </w:r>
            <w:r w:rsidRPr="00A50810">
              <w:rPr>
                <w:color w:val="000000"/>
                <w:lang w:val="en-US"/>
              </w:rPr>
              <w:t>1</w:t>
            </w:r>
            <w:r w:rsidRPr="00A50810">
              <w:rPr>
                <w:color w:val="000000"/>
                <w:lang w:val="uk-UA"/>
              </w:rPr>
              <w:t>6</w:t>
            </w:r>
            <w:r w:rsidRPr="00A50810">
              <w:rPr>
                <w:color w:val="000000"/>
              </w:rPr>
              <w:t>,</w:t>
            </w:r>
            <w:r w:rsidRPr="00A50810">
              <w:rPr>
                <w:color w:val="000000"/>
                <w:lang w:val="uk-UA"/>
              </w:rPr>
              <w:t>8</w:t>
            </w:r>
          </w:p>
        </w:tc>
        <w:tc>
          <w:tcPr>
            <w:tcW w:w="1722" w:type="dxa"/>
            <w:vAlign w:val="center"/>
          </w:tcPr>
          <w:p w14:paraId="0493E2D4" w14:textId="77777777" w:rsidR="00F05F4E" w:rsidRPr="00A50810" w:rsidRDefault="00F05F4E" w:rsidP="00A50810">
            <w:pPr>
              <w:rPr>
                <w:color w:val="000000"/>
                <w:lang w:val="en-US"/>
              </w:rPr>
            </w:pPr>
            <w:r w:rsidRPr="00A50810">
              <w:rPr>
                <w:color w:val="000000"/>
                <w:lang w:val="uk-UA"/>
              </w:rPr>
              <w:t xml:space="preserve">59,4 </w:t>
            </w:r>
            <w:r w:rsidRPr="00A50810">
              <w:rPr>
                <w:color w:val="000000"/>
              </w:rPr>
              <w:t>±</w:t>
            </w:r>
            <w:r w:rsidRPr="00A50810">
              <w:rPr>
                <w:color w:val="000000"/>
                <w:lang w:val="uk-UA"/>
              </w:rPr>
              <w:t xml:space="preserve"> 2,2</w:t>
            </w:r>
            <w:r w:rsidRPr="00A50810">
              <w:rPr>
                <w:color w:val="000000"/>
                <w:lang w:val="en-US"/>
              </w:rPr>
              <w:t>**</w:t>
            </w:r>
          </w:p>
        </w:tc>
        <w:tc>
          <w:tcPr>
            <w:tcW w:w="1807" w:type="dxa"/>
            <w:vAlign w:val="center"/>
          </w:tcPr>
          <w:p w14:paraId="3871A333" w14:textId="1BE6C579" w:rsidR="00F05F4E" w:rsidRPr="00A50810" w:rsidRDefault="00F05F4E" w:rsidP="00A50810">
            <w:pPr>
              <w:rPr>
                <w:color w:val="000000"/>
                <w:lang w:val="en-US"/>
              </w:rPr>
            </w:pPr>
            <w:r w:rsidRPr="00A50810">
              <w:rPr>
                <w:color w:val="000000"/>
                <w:lang w:val="uk-UA"/>
              </w:rPr>
              <w:t>101,4</w:t>
            </w:r>
            <w:r w:rsidRPr="00A50810">
              <w:rPr>
                <w:color w:val="000000"/>
                <w:lang w:val="en-US"/>
              </w:rPr>
              <w:t xml:space="preserve"> </w:t>
            </w:r>
            <w:r w:rsidRPr="00A50810">
              <w:rPr>
                <w:color w:val="000000"/>
              </w:rPr>
              <w:t xml:space="preserve"> ± </w:t>
            </w:r>
            <w:r w:rsidRPr="00A50810">
              <w:rPr>
                <w:color w:val="000000"/>
                <w:lang w:val="uk-UA"/>
              </w:rPr>
              <w:t>25</w:t>
            </w:r>
            <w:r w:rsidRPr="00A50810">
              <w:rPr>
                <w:color w:val="000000"/>
                <w:lang w:val="en-US"/>
              </w:rPr>
              <w:t>,</w:t>
            </w:r>
            <w:r w:rsidRPr="00A50810">
              <w:rPr>
                <w:color w:val="000000"/>
                <w:lang w:val="uk-UA"/>
              </w:rPr>
              <w:t>1</w:t>
            </w:r>
          </w:p>
        </w:tc>
      </w:tr>
      <w:tr w:rsidR="00F05F4E" w:rsidRPr="00A50810" w14:paraId="29CC6295" w14:textId="77777777" w:rsidTr="00A50810">
        <w:trPr>
          <w:trHeight w:val="77"/>
          <w:jc w:val="center"/>
        </w:trPr>
        <w:tc>
          <w:tcPr>
            <w:tcW w:w="542" w:type="dxa"/>
            <w:vAlign w:val="center"/>
          </w:tcPr>
          <w:p w14:paraId="517FD56C"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5</w:t>
            </w:r>
          </w:p>
        </w:tc>
        <w:tc>
          <w:tcPr>
            <w:tcW w:w="1893" w:type="dxa"/>
            <w:vAlign w:val="center"/>
          </w:tcPr>
          <w:p w14:paraId="302B6547"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СГБА</w:t>
            </w:r>
          </w:p>
        </w:tc>
        <w:tc>
          <w:tcPr>
            <w:tcW w:w="1722" w:type="dxa"/>
            <w:vAlign w:val="center"/>
          </w:tcPr>
          <w:p w14:paraId="0BD934DB" w14:textId="77777777" w:rsidR="00F05F4E" w:rsidRPr="00A50810" w:rsidRDefault="00F05F4E" w:rsidP="00A50810">
            <w:pPr>
              <w:rPr>
                <w:color w:val="000000"/>
                <w:lang w:val="en-US"/>
              </w:rPr>
            </w:pPr>
            <w:r w:rsidRPr="00A50810">
              <w:rPr>
                <w:color w:val="000000"/>
                <w:lang w:val="uk-UA"/>
              </w:rPr>
              <w:t>131,9</w:t>
            </w:r>
            <w:r w:rsidRPr="00A50810">
              <w:rPr>
                <w:color w:val="000000"/>
                <w:lang w:val="en-US"/>
              </w:rPr>
              <w:t xml:space="preserve"> </w:t>
            </w:r>
            <w:r w:rsidRPr="00A50810">
              <w:rPr>
                <w:color w:val="000000"/>
              </w:rPr>
              <w:t>±</w:t>
            </w:r>
            <w:r w:rsidRPr="00A50810">
              <w:rPr>
                <w:color w:val="000000"/>
                <w:lang w:val="en-US"/>
              </w:rPr>
              <w:t xml:space="preserve"> 32</w:t>
            </w:r>
          </w:p>
        </w:tc>
        <w:tc>
          <w:tcPr>
            <w:tcW w:w="1807" w:type="dxa"/>
            <w:vAlign w:val="center"/>
          </w:tcPr>
          <w:p w14:paraId="26CD63CB" w14:textId="77777777" w:rsidR="00F05F4E" w:rsidRPr="00A50810" w:rsidRDefault="00F05F4E" w:rsidP="00A50810">
            <w:pPr>
              <w:rPr>
                <w:color w:val="000000"/>
                <w:lang w:val="en-US"/>
              </w:rPr>
            </w:pPr>
            <w:r w:rsidRPr="00A50810">
              <w:rPr>
                <w:color w:val="000000"/>
                <w:lang w:val="uk-UA"/>
              </w:rPr>
              <w:t>102,2</w:t>
            </w:r>
            <w:r w:rsidRPr="00A50810">
              <w:rPr>
                <w:color w:val="000000"/>
                <w:lang w:val="en-US"/>
              </w:rPr>
              <w:t xml:space="preserve"> </w:t>
            </w:r>
            <w:r w:rsidRPr="00A50810">
              <w:rPr>
                <w:color w:val="000000"/>
              </w:rPr>
              <w:t>±</w:t>
            </w:r>
            <w:r w:rsidRPr="00A50810">
              <w:rPr>
                <w:color w:val="000000"/>
                <w:lang w:val="en-US"/>
              </w:rPr>
              <w:t xml:space="preserve"> </w:t>
            </w:r>
            <w:r w:rsidRPr="00A50810">
              <w:rPr>
                <w:color w:val="000000"/>
                <w:lang w:val="uk-UA"/>
              </w:rPr>
              <w:t>19</w:t>
            </w:r>
            <w:r w:rsidRPr="00A50810">
              <w:rPr>
                <w:color w:val="000000"/>
                <w:lang w:val="en-US"/>
              </w:rPr>
              <w:t>,2</w:t>
            </w:r>
          </w:p>
        </w:tc>
        <w:tc>
          <w:tcPr>
            <w:tcW w:w="1722" w:type="dxa"/>
            <w:vAlign w:val="center"/>
          </w:tcPr>
          <w:p w14:paraId="307A18FF" w14:textId="77777777" w:rsidR="00F05F4E" w:rsidRPr="00A50810" w:rsidRDefault="00F05F4E" w:rsidP="00A50810">
            <w:pPr>
              <w:rPr>
                <w:color w:val="000000"/>
                <w:lang w:val="uk-UA"/>
              </w:rPr>
            </w:pPr>
            <w:r w:rsidRPr="00A50810">
              <w:rPr>
                <w:color w:val="000000"/>
                <w:lang w:val="uk-UA"/>
              </w:rPr>
              <w:t>76,4 ± 2,6</w:t>
            </w:r>
          </w:p>
        </w:tc>
        <w:tc>
          <w:tcPr>
            <w:tcW w:w="1807" w:type="dxa"/>
            <w:vAlign w:val="center"/>
          </w:tcPr>
          <w:p w14:paraId="571DB598" w14:textId="77777777" w:rsidR="00F05F4E" w:rsidRPr="00A50810" w:rsidRDefault="00F05F4E" w:rsidP="00A50810">
            <w:pPr>
              <w:widowControl w:val="0"/>
              <w:autoSpaceDE w:val="0"/>
              <w:autoSpaceDN w:val="0"/>
              <w:adjustRightInd w:val="0"/>
              <w:spacing w:line="360" w:lineRule="auto"/>
              <w:rPr>
                <w:color w:val="000000"/>
                <w:lang w:val="uk-UA"/>
              </w:rPr>
            </w:pPr>
            <w:r w:rsidRPr="00A50810">
              <w:rPr>
                <w:color w:val="000000"/>
                <w:lang w:val="uk-UA"/>
              </w:rPr>
              <w:t>110,3  ±</w:t>
            </w:r>
            <w:r w:rsidRPr="00A50810">
              <w:rPr>
                <w:color w:val="000000"/>
                <w:vertAlign w:val="superscript"/>
                <w:lang w:val="uk-UA"/>
              </w:rPr>
              <w:t xml:space="preserve"> </w:t>
            </w:r>
            <w:r w:rsidRPr="00A50810">
              <w:rPr>
                <w:color w:val="000000"/>
                <w:lang w:val="uk-UA"/>
              </w:rPr>
              <w:t>3,6</w:t>
            </w:r>
          </w:p>
        </w:tc>
      </w:tr>
      <w:tr w:rsidR="00F05F4E" w:rsidRPr="00A50810" w14:paraId="327167E1" w14:textId="77777777" w:rsidTr="00A50810">
        <w:trPr>
          <w:trHeight w:val="77"/>
          <w:jc w:val="center"/>
        </w:trPr>
        <w:tc>
          <w:tcPr>
            <w:tcW w:w="542" w:type="dxa"/>
            <w:vAlign w:val="center"/>
          </w:tcPr>
          <w:p w14:paraId="20EECA38"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6</w:t>
            </w:r>
          </w:p>
        </w:tc>
        <w:tc>
          <w:tcPr>
            <w:tcW w:w="1893" w:type="dxa"/>
            <w:vAlign w:val="center"/>
          </w:tcPr>
          <w:p w14:paraId="03D082E4"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СГбрБА</w:t>
            </w:r>
          </w:p>
        </w:tc>
        <w:tc>
          <w:tcPr>
            <w:tcW w:w="1722" w:type="dxa"/>
            <w:vAlign w:val="center"/>
          </w:tcPr>
          <w:p w14:paraId="713A0F4F" w14:textId="77777777" w:rsidR="00F05F4E" w:rsidRPr="00A50810" w:rsidRDefault="00F05F4E" w:rsidP="00A50810">
            <w:pPr>
              <w:rPr>
                <w:color w:val="000000"/>
                <w:lang w:val="en-US"/>
              </w:rPr>
            </w:pPr>
            <w:r w:rsidRPr="00A50810">
              <w:rPr>
                <w:color w:val="000000"/>
                <w:lang w:val="uk-UA"/>
              </w:rPr>
              <w:t>149</w:t>
            </w:r>
            <w:r w:rsidRPr="00A50810">
              <w:rPr>
                <w:color w:val="000000"/>
              </w:rPr>
              <w:t xml:space="preserve"> ± </w:t>
            </w:r>
            <w:r w:rsidRPr="00A50810">
              <w:rPr>
                <w:color w:val="000000"/>
                <w:lang w:val="uk-UA"/>
              </w:rPr>
              <w:t>9,4</w:t>
            </w:r>
            <w:r w:rsidRPr="00A50810">
              <w:rPr>
                <w:color w:val="000000"/>
                <w:lang w:val="en-US"/>
              </w:rPr>
              <w:t xml:space="preserve"> *</w:t>
            </w:r>
          </w:p>
        </w:tc>
        <w:tc>
          <w:tcPr>
            <w:tcW w:w="1807" w:type="dxa"/>
            <w:vAlign w:val="center"/>
          </w:tcPr>
          <w:p w14:paraId="5B6A4987" w14:textId="7F327E7B" w:rsidR="00F05F4E" w:rsidRPr="00A50810" w:rsidRDefault="00F05F4E" w:rsidP="00A50810">
            <w:pPr>
              <w:rPr>
                <w:color w:val="000000"/>
                <w:lang w:val="en-US"/>
              </w:rPr>
            </w:pPr>
            <w:r w:rsidRPr="00A50810">
              <w:rPr>
                <w:color w:val="000000"/>
                <w:lang w:val="uk-UA"/>
              </w:rPr>
              <w:t>110,4</w:t>
            </w:r>
            <w:r w:rsidRPr="00A50810">
              <w:rPr>
                <w:color w:val="000000"/>
              </w:rPr>
              <w:t xml:space="preserve"> ± </w:t>
            </w:r>
            <w:r w:rsidRPr="00A50810">
              <w:rPr>
                <w:color w:val="000000"/>
                <w:lang w:val="uk-UA"/>
              </w:rPr>
              <w:t>7,5</w:t>
            </w:r>
          </w:p>
        </w:tc>
        <w:tc>
          <w:tcPr>
            <w:tcW w:w="1722" w:type="dxa"/>
            <w:vAlign w:val="center"/>
          </w:tcPr>
          <w:p w14:paraId="17939564" w14:textId="77777777" w:rsidR="00F05F4E" w:rsidRPr="00A50810" w:rsidRDefault="00F05F4E" w:rsidP="00A50810">
            <w:pPr>
              <w:widowControl w:val="0"/>
              <w:autoSpaceDE w:val="0"/>
              <w:autoSpaceDN w:val="0"/>
              <w:adjustRightInd w:val="0"/>
              <w:spacing w:line="360" w:lineRule="auto"/>
              <w:rPr>
                <w:lang w:val="en-US"/>
              </w:rPr>
            </w:pPr>
            <w:r w:rsidRPr="00A50810">
              <w:rPr>
                <w:color w:val="000000"/>
                <w:lang w:val="uk-UA"/>
              </w:rPr>
              <w:t xml:space="preserve">59,4 </w:t>
            </w:r>
            <w:r w:rsidRPr="00A50810">
              <w:rPr>
                <w:color w:val="000000"/>
              </w:rPr>
              <w:t>±</w:t>
            </w:r>
            <w:r w:rsidRPr="00A50810">
              <w:rPr>
                <w:color w:val="000000"/>
                <w:lang w:val="uk-UA"/>
              </w:rPr>
              <w:t xml:space="preserve"> 1,0</w:t>
            </w:r>
            <w:r w:rsidRPr="00A50810">
              <w:rPr>
                <w:color w:val="000000"/>
                <w:lang w:val="en-US"/>
              </w:rPr>
              <w:t>**</w:t>
            </w:r>
          </w:p>
        </w:tc>
        <w:tc>
          <w:tcPr>
            <w:tcW w:w="1807" w:type="dxa"/>
            <w:vAlign w:val="center"/>
          </w:tcPr>
          <w:p w14:paraId="13D6CC89" w14:textId="77777777" w:rsidR="00F05F4E" w:rsidRPr="00A50810" w:rsidRDefault="00F05F4E" w:rsidP="00A50810">
            <w:pPr>
              <w:widowControl w:val="0"/>
              <w:autoSpaceDE w:val="0"/>
              <w:autoSpaceDN w:val="0"/>
              <w:adjustRightInd w:val="0"/>
              <w:spacing w:line="360" w:lineRule="auto"/>
              <w:rPr>
                <w:lang w:val="uk-UA"/>
              </w:rPr>
            </w:pPr>
            <w:r w:rsidRPr="00A50810">
              <w:rPr>
                <w:color w:val="000000"/>
                <w:lang w:val="uk-UA"/>
              </w:rPr>
              <w:t>91,7</w:t>
            </w:r>
            <w:r w:rsidRPr="00A50810">
              <w:rPr>
                <w:color w:val="000000"/>
                <w:lang w:val="en-US"/>
              </w:rPr>
              <w:t xml:space="preserve"> </w:t>
            </w:r>
            <w:r w:rsidRPr="00A50810">
              <w:rPr>
                <w:color w:val="000000"/>
              </w:rPr>
              <w:t>±</w:t>
            </w:r>
            <w:r w:rsidRPr="00A50810">
              <w:rPr>
                <w:color w:val="000000"/>
                <w:lang w:val="en-US"/>
              </w:rPr>
              <w:t xml:space="preserve"> </w:t>
            </w:r>
            <w:r w:rsidRPr="00A50810">
              <w:rPr>
                <w:color w:val="000000"/>
                <w:lang w:val="uk-UA"/>
              </w:rPr>
              <w:t>6,3</w:t>
            </w:r>
          </w:p>
        </w:tc>
      </w:tr>
      <w:tr w:rsidR="00F05F4E" w:rsidRPr="00A50810" w14:paraId="4540BB81" w14:textId="77777777" w:rsidTr="00A50810">
        <w:trPr>
          <w:trHeight w:val="188"/>
          <w:jc w:val="center"/>
        </w:trPr>
        <w:tc>
          <w:tcPr>
            <w:tcW w:w="542" w:type="dxa"/>
            <w:vAlign w:val="center"/>
          </w:tcPr>
          <w:p w14:paraId="43AB00D9"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7</w:t>
            </w:r>
          </w:p>
        </w:tc>
        <w:tc>
          <w:tcPr>
            <w:tcW w:w="1893" w:type="dxa"/>
            <w:vAlign w:val="center"/>
          </w:tcPr>
          <w:p w14:paraId="124C6412"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СК</w:t>
            </w:r>
          </w:p>
        </w:tc>
        <w:tc>
          <w:tcPr>
            <w:tcW w:w="1722" w:type="dxa"/>
            <w:vAlign w:val="center"/>
          </w:tcPr>
          <w:p w14:paraId="17A7B4D9" w14:textId="77777777" w:rsidR="00F05F4E" w:rsidRPr="00A50810" w:rsidRDefault="00F05F4E" w:rsidP="00A50810">
            <w:pPr>
              <w:rPr>
                <w:color w:val="000000"/>
                <w:lang w:val="en-US"/>
              </w:rPr>
            </w:pPr>
            <w:r w:rsidRPr="00A50810">
              <w:rPr>
                <w:color w:val="000000"/>
                <w:lang w:val="en-US"/>
              </w:rPr>
              <w:t>5</w:t>
            </w:r>
            <w:r w:rsidRPr="00A50810">
              <w:rPr>
                <w:color w:val="000000"/>
                <w:lang w:val="uk-UA"/>
              </w:rPr>
              <w:t>2</w:t>
            </w:r>
            <w:r w:rsidRPr="00A50810">
              <w:rPr>
                <w:color w:val="000000"/>
                <w:lang w:val="en-US"/>
              </w:rPr>
              <w:t>,</w:t>
            </w:r>
            <w:r w:rsidRPr="00A50810">
              <w:rPr>
                <w:color w:val="000000"/>
                <w:lang w:val="uk-UA"/>
              </w:rPr>
              <w:t>4</w:t>
            </w:r>
            <w:r w:rsidRPr="00A50810">
              <w:rPr>
                <w:color w:val="000000"/>
              </w:rPr>
              <w:t>±</w:t>
            </w:r>
            <w:r w:rsidRPr="00A50810">
              <w:rPr>
                <w:color w:val="000000"/>
                <w:lang w:val="uk-UA"/>
              </w:rPr>
              <w:t>26</w:t>
            </w:r>
            <w:r w:rsidRPr="00A50810">
              <w:rPr>
                <w:color w:val="000000"/>
                <w:lang w:val="en-US"/>
              </w:rPr>
              <w:t>,</w:t>
            </w:r>
            <w:r w:rsidRPr="00A50810">
              <w:rPr>
                <w:color w:val="000000"/>
                <w:lang w:val="uk-UA"/>
              </w:rPr>
              <w:t>9</w:t>
            </w:r>
            <w:r w:rsidRPr="00A50810">
              <w:rPr>
                <w:color w:val="000000"/>
                <w:lang w:val="en-US"/>
              </w:rPr>
              <w:t xml:space="preserve"> *,</w:t>
            </w:r>
            <w:r w:rsidRPr="00A50810">
              <w:rPr>
                <w:vertAlign w:val="superscript"/>
                <w:lang w:val="en-US"/>
              </w:rPr>
              <w:t>##</w:t>
            </w:r>
          </w:p>
        </w:tc>
        <w:tc>
          <w:tcPr>
            <w:tcW w:w="1807" w:type="dxa"/>
            <w:vAlign w:val="center"/>
          </w:tcPr>
          <w:p w14:paraId="17D1A60D" w14:textId="77777777" w:rsidR="00F05F4E" w:rsidRPr="00A50810" w:rsidRDefault="00F05F4E" w:rsidP="00A50810">
            <w:pPr>
              <w:rPr>
                <w:color w:val="000000"/>
                <w:lang w:val="en-US"/>
              </w:rPr>
            </w:pPr>
            <w:r w:rsidRPr="00A50810">
              <w:rPr>
                <w:color w:val="000000"/>
                <w:lang w:val="uk-UA"/>
              </w:rPr>
              <w:t>7,7</w:t>
            </w:r>
            <w:r w:rsidRPr="00A50810">
              <w:rPr>
                <w:color w:val="000000"/>
                <w:lang w:val="en-US"/>
              </w:rPr>
              <w:t xml:space="preserve"> </w:t>
            </w:r>
            <w:r w:rsidRPr="00A50810">
              <w:rPr>
                <w:color w:val="000000"/>
              </w:rPr>
              <w:t>±</w:t>
            </w:r>
            <w:r w:rsidRPr="00A50810">
              <w:rPr>
                <w:color w:val="000000"/>
                <w:lang w:val="en-US"/>
              </w:rPr>
              <w:t xml:space="preserve"> </w:t>
            </w:r>
            <w:r w:rsidRPr="00A50810">
              <w:rPr>
                <w:color w:val="000000"/>
                <w:lang w:val="uk-UA"/>
              </w:rPr>
              <w:t>1,4</w:t>
            </w:r>
            <w:r w:rsidRPr="00A50810">
              <w:rPr>
                <w:color w:val="000000"/>
                <w:lang w:val="en-US"/>
              </w:rPr>
              <w:t xml:space="preserve">**, </w:t>
            </w:r>
            <w:r w:rsidRPr="00A50810">
              <w:rPr>
                <w:vertAlign w:val="superscript"/>
                <w:lang w:val="en-US"/>
              </w:rPr>
              <w:t>##</w:t>
            </w:r>
          </w:p>
        </w:tc>
        <w:tc>
          <w:tcPr>
            <w:tcW w:w="1722" w:type="dxa"/>
            <w:vAlign w:val="center"/>
          </w:tcPr>
          <w:p w14:paraId="60DC038F" w14:textId="77777777" w:rsidR="00F05F4E" w:rsidRPr="00A50810" w:rsidRDefault="00F05F4E" w:rsidP="00A50810">
            <w:pPr>
              <w:widowControl w:val="0"/>
              <w:autoSpaceDE w:val="0"/>
              <w:autoSpaceDN w:val="0"/>
              <w:adjustRightInd w:val="0"/>
              <w:spacing w:line="360" w:lineRule="auto"/>
              <w:rPr>
                <w:color w:val="000000"/>
                <w:lang w:val="en-US"/>
              </w:rPr>
            </w:pPr>
            <w:r w:rsidRPr="00A50810">
              <w:rPr>
                <w:color w:val="000000"/>
                <w:lang w:val="uk-UA"/>
              </w:rPr>
              <w:t>5</w:t>
            </w:r>
            <w:r w:rsidRPr="00A50810">
              <w:rPr>
                <w:color w:val="000000"/>
                <w:lang w:val="en-US"/>
              </w:rPr>
              <w:t>,</w:t>
            </w:r>
            <w:r w:rsidRPr="00A50810">
              <w:rPr>
                <w:color w:val="000000"/>
                <w:lang w:val="uk-UA"/>
              </w:rPr>
              <w:t>7</w:t>
            </w:r>
            <w:r w:rsidRPr="00A50810">
              <w:rPr>
                <w:color w:val="000000"/>
                <w:lang w:val="en-US"/>
              </w:rPr>
              <w:t xml:space="preserve"> </w:t>
            </w:r>
            <w:r w:rsidRPr="00A50810">
              <w:rPr>
                <w:color w:val="000000"/>
              </w:rPr>
              <w:t>±</w:t>
            </w:r>
            <w:r w:rsidRPr="00A50810">
              <w:rPr>
                <w:color w:val="000000"/>
                <w:lang w:val="en-US"/>
              </w:rPr>
              <w:t>2,</w:t>
            </w:r>
            <w:r w:rsidRPr="00A50810">
              <w:rPr>
                <w:color w:val="000000"/>
                <w:lang w:val="uk-UA"/>
              </w:rPr>
              <w:t>8</w:t>
            </w:r>
            <w:r w:rsidRPr="00A50810">
              <w:rPr>
                <w:color w:val="000000"/>
                <w:lang w:val="en-US"/>
              </w:rPr>
              <w:t>**,</w:t>
            </w:r>
            <w:r w:rsidRPr="00A50810">
              <w:rPr>
                <w:vertAlign w:val="superscript"/>
                <w:lang w:val="en-US"/>
              </w:rPr>
              <w:t>##</w:t>
            </w:r>
          </w:p>
        </w:tc>
        <w:tc>
          <w:tcPr>
            <w:tcW w:w="1807" w:type="dxa"/>
            <w:vAlign w:val="center"/>
          </w:tcPr>
          <w:p w14:paraId="73815FAF" w14:textId="77777777" w:rsidR="00F05F4E" w:rsidRPr="00A50810" w:rsidRDefault="00F05F4E" w:rsidP="00A50810">
            <w:pPr>
              <w:widowControl w:val="0"/>
              <w:autoSpaceDE w:val="0"/>
              <w:autoSpaceDN w:val="0"/>
              <w:adjustRightInd w:val="0"/>
              <w:spacing w:line="360" w:lineRule="auto"/>
              <w:rPr>
                <w:color w:val="000000"/>
                <w:lang w:val="en-US"/>
              </w:rPr>
            </w:pPr>
            <w:r w:rsidRPr="00A50810">
              <w:rPr>
                <w:color w:val="000000"/>
                <w:lang w:val="uk-UA"/>
              </w:rPr>
              <w:t>41,1</w:t>
            </w:r>
            <w:r w:rsidRPr="00A50810">
              <w:rPr>
                <w:color w:val="000000"/>
                <w:lang w:val="en-US"/>
              </w:rPr>
              <w:t xml:space="preserve"> </w:t>
            </w:r>
            <w:r w:rsidRPr="00A50810">
              <w:rPr>
                <w:color w:val="000000"/>
              </w:rPr>
              <w:t>±</w:t>
            </w:r>
            <w:r w:rsidRPr="00A50810">
              <w:rPr>
                <w:color w:val="000000"/>
                <w:lang w:val="en-US"/>
              </w:rPr>
              <w:t xml:space="preserve"> </w:t>
            </w:r>
            <w:r w:rsidRPr="00A50810">
              <w:rPr>
                <w:color w:val="000000"/>
                <w:lang w:val="uk-UA"/>
              </w:rPr>
              <w:t>4,3</w:t>
            </w:r>
            <w:r w:rsidRPr="00A50810">
              <w:rPr>
                <w:color w:val="000000"/>
                <w:lang w:val="en-US"/>
              </w:rPr>
              <w:t>**</w:t>
            </w:r>
          </w:p>
        </w:tc>
      </w:tr>
      <w:tr w:rsidR="00F05F4E" w:rsidRPr="00A50810" w14:paraId="3F22F738" w14:textId="77777777" w:rsidTr="00A50810">
        <w:trPr>
          <w:trHeight w:val="305"/>
          <w:jc w:val="center"/>
        </w:trPr>
        <w:tc>
          <w:tcPr>
            <w:tcW w:w="542" w:type="dxa"/>
            <w:vAlign w:val="center"/>
          </w:tcPr>
          <w:p w14:paraId="5F661250" w14:textId="77777777" w:rsidR="00F05F4E" w:rsidRPr="00A50810" w:rsidRDefault="00F05F4E" w:rsidP="00A50810">
            <w:pPr>
              <w:widowControl w:val="0"/>
              <w:autoSpaceDE w:val="0"/>
              <w:autoSpaceDN w:val="0"/>
              <w:adjustRightInd w:val="0"/>
              <w:spacing w:line="360" w:lineRule="auto"/>
              <w:rPr>
                <w:lang w:val="uk-UA"/>
              </w:rPr>
            </w:pPr>
            <w:r w:rsidRPr="00A50810">
              <w:rPr>
                <w:lang w:val="uk-UA"/>
              </w:rPr>
              <w:t>8</w:t>
            </w:r>
          </w:p>
        </w:tc>
        <w:tc>
          <w:tcPr>
            <w:tcW w:w="1893" w:type="dxa"/>
            <w:vAlign w:val="center"/>
          </w:tcPr>
          <w:p w14:paraId="69D967B8" w14:textId="77777777" w:rsidR="00F05F4E" w:rsidRPr="00A50810" w:rsidRDefault="00F05F4E" w:rsidP="00A50810">
            <w:pPr>
              <w:widowControl w:val="0"/>
              <w:autoSpaceDE w:val="0"/>
              <w:autoSpaceDN w:val="0"/>
              <w:adjustRightInd w:val="0"/>
              <w:spacing w:line="360" w:lineRule="auto"/>
              <w:rPr>
                <w:lang w:val="en-US"/>
              </w:rPr>
            </w:pPr>
            <w:r w:rsidRPr="00A50810">
              <w:rPr>
                <w:lang w:val="en-US"/>
              </w:rPr>
              <w:t>SnCl2</w:t>
            </w:r>
          </w:p>
        </w:tc>
        <w:tc>
          <w:tcPr>
            <w:tcW w:w="1722" w:type="dxa"/>
            <w:vAlign w:val="center"/>
          </w:tcPr>
          <w:p w14:paraId="546CE3D2" w14:textId="4F2B387B" w:rsidR="00F05F4E" w:rsidRPr="00A50810" w:rsidRDefault="00F05F4E" w:rsidP="00A50810">
            <w:pPr>
              <w:rPr>
                <w:color w:val="000000"/>
                <w:lang w:val="en-US"/>
              </w:rPr>
            </w:pPr>
            <w:r w:rsidRPr="00A50810">
              <w:rPr>
                <w:color w:val="000000"/>
                <w:lang w:val="uk-UA"/>
              </w:rPr>
              <w:t>67,6</w:t>
            </w:r>
            <w:r w:rsidRPr="00A50810">
              <w:rPr>
                <w:color w:val="000000"/>
              </w:rPr>
              <w:t xml:space="preserve"> ± </w:t>
            </w:r>
            <w:r w:rsidRPr="00A50810">
              <w:rPr>
                <w:color w:val="000000"/>
                <w:lang w:val="uk-UA"/>
              </w:rPr>
              <w:t>14</w:t>
            </w:r>
          </w:p>
        </w:tc>
        <w:tc>
          <w:tcPr>
            <w:tcW w:w="1807" w:type="dxa"/>
            <w:vAlign w:val="center"/>
          </w:tcPr>
          <w:p w14:paraId="706CD14B" w14:textId="77777777" w:rsidR="00F05F4E" w:rsidRPr="00A50810" w:rsidRDefault="00F05F4E" w:rsidP="00A50810">
            <w:pPr>
              <w:rPr>
                <w:color w:val="000000"/>
                <w:highlight w:val="yellow"/>
                <w:lang w:val="uk-UA"/>
              </w:rPr>
            </w:pPr>
            <w:r w:rsidRPr="00A50810">
              <w:rPr>
                <w:color w:val="000000"/>
                <w:lang w:val="uk-UA"/>
              </w:rPr>
              <w:t>40,3</w:t>
            </w:r>
            <w:r w:rsidRPr="00A50810">
              <w:rPr>
                <w:color w:val="000000"/>
              </w:rPr>
              <w:t xml:space="preserve"> ± </w:t>
            </w:r>
            <w:r w:rsidRPr="00A50810">
              <w:rPr>
                <w:color w:val="000000"/>
                <w:lang w:val="uk-UA"/>
              </w:rPr>
              <w:t>12,5</w:t>
            </w:r>
            <w:r w:rsidRPr="00A50810">
              <w:rPr>
                <w:color w:val="000000"/>
                <w:lang w:val="en-US"/>
              </w:rPr>
              <w:t>**</w:t>
            </w:r>
          </w:p>
        </w:tc>
        <w:tc>
          <w:tcPr>
            <w:tcW w:w="1722" w:type="dxa"/>
            <w:vAlign w:val="center"/>
          </w:tcPr>
          <w:p w14:paraId="19A61A91" w14:textId="77777777" w:rsidR="00F05F4E" w:rsidRPr="00A50810" w:rsidRDefault="00F05F4E" w:rsidP="00A50810">
            <w:pPr>
              <w:widowControl w:val="0"/>
              <w:autoSpaceDE w:val="0"/>
              <w:autoSpaceDN w:val="0"/>
              <w:adjustRightInd w:val="0"/>
              <w:spacing w:line="360" w:lineRule="auto"/>
              <w:rPr>
                <w:color w:val="000000"/>
                <w:lang w:val="en-US"/>
              </w:rPr>
            </w:pPr>
            <w:r w:rsidRPr="00A50810">
              <w:rPr>
                <w:color w:val="000000"/>
                <w:lang w:val="uk-UA"/>
              </w:rPr>
              <w:t>49,4</w:t>
            </w:r>
            <w:r w:rsidRPr="00A50810">
              <w:rPr>
                <w:color w:val="000000"/>
              </w:rPr>
              <w:t xml:space="preserve"> ±</w:t>
            </w:r>
            <w:r w:rsidRPr="00A50810">
              <w:rPr>
                <w:color w:val="000000"/>
                <w:lang w:val="uk-UA"/>
              </w:rPr>
              <w:t>12</w:t>
            </w:r>
            <w:r w:rsidRPr="00A50810">
              <w:rPr>
                <w:color w:val="000000"/>
              </w:rPr>
              <w:t>,3</w:t>
            </w:r>
            <w:r w:rsidRPr="00A50810">
              <w:rPr>
                <w:color w:val="000000"/>
                <w:lang w:val="en-US"/>
              </w:rPr>
              <w:t>**</w:t>
            </w:r>
          </w:p>
        </w:tc>
        <w:tc>
          <w:tcPr>
            <w:tcW w:w="1807" w:type="dxa"/>
            <w:vAlign w:val="center"/>
          </w:tcPr>
          <w:p w14:paraId="1455EAF2" w14:textId="4822B401" w:rsidR="00F05F4E" w:rsidRPr="00A50810" w:rsidRDefault="00F05F4E" w:rsidP="00A50810">
            <w:pPr>
              <w:widowControl w:val="0"/>
              <w:autoSpaceDE w:val="0"/>
              <w:autoSpaceDN w:val="0"/>
              <w:adjustRightInd w:val="0"/>
              <w:spacing w:line="360" w:lineRule="auto"/>
              <w:rPr>
                <w:color w:val="000000"/>
                <w:lang w:val="uk-UA"/>
              </w:rPr>
            </w:pPr>
            <w:r w:rsidRPr="00A50810">
              <w:rPr>
                <w:color w:val="000000"/>
              </w:rPr>
              <w:t>1</w:t>
            </w:r>
            <w:r w:rsidRPr="00A50810">
              <w:rPr>
                <w:color w:val="000000"/>
                <w:lang w:val="uk-UA"/>
              </w:rPr>
              <w:t>01,1</w:t>
            </w:r>
            <w:r w:rsidRPr="00A50810">
              <w:rPr>
                <w:color w:val="000000"/>
              </w:rPr>
              <w:t xml:space="preserve"> ± </w:t>
            </w:r>
            <w:r w:rsidRPr="00A50810">
              <w:rPr>
                <w:color w:val="000000"/>
                <w:lang w:val="uk-UA"/>
              </w:rPr>
              <w:t>14</w:t>
            </w:r>
            <w:r w:rsidRPr="00A50810">
              <w:rPr>
                <w:color w:val="000000"/>
              </w:rPr>
              <w:t>,</w:t>
            </w:r>
            <w:r w:rsidRPr="00A50810">
              <w:rPr>
                <w:color w:val="000000"/>
                <w:lang w:val="uk-UA"/>
              </w:rPr>
              <w:t>6</w:t>
            </w:r>
          </w:p>
        </w:tc>
      </w:tr>
    </w:tbl>
    <w:p w14:paraId="3B72E6C0" w14:textId="6A4F7DBF" w:rsidR="00F05F4E" w:rsidRPr="00C57D1F" w:rsidRDefault="00F05F4E" w:rsidP="00352B8A">
      <w:pPr>
        <w:pStyle w:val="a6"/>
        <w:tabs>
          <w:tab w:val="left" w:pos="720"/>
        </w:tabs>
        <w:spacing w:before="0" w:beforeAutospacing="0" w:after="0" w:afterAutospacing="0"/>
        <w:jc w:val="both"/>
        <w:rPr>
          <w:lang w:val="uk-UA"/>
        </w:rPr>
      </w:pPr>
      <w:r w:rsidRPr="00C57D1F">
        <w:rPr>
          <w:lang w:val="uk-UA"/>
        </w:rPr>
        <w:t xml:space="preserve">Примітки: </w:t>
      </w:r>
      <w:r w:rsidR="00352B8A">
        <w:rPr>
          <w:lang w:val="uk-UA"/>
        </w:rPr>
        <w:t xml:space="preserve"> </w:t>
      </w:r>
      <w:r w:rsidRPr="00C57D1F">
        <w:rPr>
          <w:lang w:val="uk-UA"/>
        </w:rPr>
        <w:t>1.</w:t>
      </w:r>
      <w:r w:rsidR="00352B8A">
        <w:rPr>
          <w:lang w:val="uk-UA"/>
        </w:rPr>
        <w:tab/>
        <w:t xml:space="preserve">    </w:t>
      </w:r>
      <w:r w:rsidRPr="00C57D1F">
        <w:t>*</w:t>
      </w:r>
      <w:r w:rsidRPr="00C57D1F">
        <w:rPr>
          <w:lang w:val="uk-UA"/>
        </w:rPr>
        <w:t xml:space="preserve"> </w:t>
      </w:r>
      <w:r w:rsidRPr="00C57D1F">
        <w:t>-</w:t>
      </w:r>
      <w:r w:rsidRPr="00C57D1F">
        <w:rPr>
          <w:lang w:val="uk-UA"/>
        </w:rPr>
        <w:t xml:space="preserve"> </w:t>
      </w:r>
      <w:r w:rsidRPr="00C57D1F">
        <w:rPr>
          <w:lang w:val="en-US"/>
        </w:rPr>
        <w:t>p</w:t>
      </w:r>
      <w:r w:rsidRPr="00C57D1F">
        <w:t xml:space="preserve"> </w:t>
      </w:r>
      <w:r w:rsidRPr="00C57D1F">
        <w:rPr>
          <w:lang w:val="en-US"/>
        </w:rPr>
        <w:sym w:font="Symbol" w:char="F03C"/>
      </w:r>
      <w:r w:rsidRPr="00C57D1F">
        <w:t xml:space="preserve"> 0,05 </w:t>
      </w:r>
      <w:r w:rsidRPr="00C57D1F">
        <w:rPr>
          <w:lang w:val="uk-UA"/>
        </w:rPr>
        <w:t>(статистично значуща різниця у порівнянні з контролем).</w:t>
      </w:r>
      <w:r w:rsidRPr="00C57D1F">
        <w:t xml:space="preserve"> </w:t>
      </w:r>
    </w:p>
    <w:p w14:paraId="420B318F" w14:textId="4F5CA7E7" w:rsidR="00F05F4E" w:rsidRPr="00C57D1F" w:rsidRDefault="00F05F4E" w:rsidP="00352B8A">
      <w:pPr>
        <w:ind w:left="450" w:hanging="540"/>
        <w:jc w:val="both"/>
        <w:rPr>
          <w:lang w:val="uk-UA"/>
        </w:rPr>
      </w:pPr>
      <w:r w:rsidRPr="00C57D1F">
        <w:rPr>
          <w:lang w:val="uk-UA"/>
        </w:rPr>
        <w:t>2.</w:t>
      </w:r>
      <w:r w:rsidR="007C0C3C" w:rsidRPr="00C57D1F">
        <w:rPr>
          <w:lang w:val="uk-UA"/>
        </w:rPr>
        <w:tab/>
      </w:r>
      <w:r w:rsidRPr="00C57D1F">
        <w:t>**</w:t>
      </w:r>
      <w:r w:rsidRPr="00C57D1F">
        <w:rPr>
          <w:lang w:val="uk-UA"/>
        </w:rPr>
        <w:t xml:space="preserve"> - р</w:t>
      </w:r>
      <w:r w:rsidRPr="00C57D1F">
        <w:rPr>
          <w:lang w:val="uk-UA"/>
        </w:rPr>
        <w:sym w:font="Symbol" w:char="F03C"/>
      </w:r>
      <w:r w:rsidRPr="00C57D1F">
        <w:rPr>
          <w:lang w:val="uk-UA"/>
        </w:rPr>
        <w:t>0,01 (статистично значуща різниця у порівнянні з контролем).</w:t>
      </w:r>
    </w:p>
    <w:p w14:paraId="427924AC" w14:textId="37991F5B" w:rsidR="00F05F4E" w:rsidRPr="00C57D1F" w:rsidRDefault="00F05F4E" w:rsidP="00352B8A">
      <w:pPr>
        <w:ind w:left="450" w:hanging="540"/>
        <w:jc w:val="both"/>
        <w:rPr>
          <w:lang w:val="uk-UA"/>
        </w:rPr>
      </w:pPr>
      <w:r w:rsidRPr="00C57D1F">
        <w:rPr>
          <w:lang w:val="uk-UA"/>
        </w:rPr>
        <w:t>3.</w:t>
      </w:r>
      <w:r w:rsidRPr="00C57D1F">
        <w:rPr>
          <w:lang w:val="uk-UA"/>
        </w:rPr>
        <w:tab/>
        <w:t xml:space="preserve"># - </w:t>
      </w:r>
      <w:r w:rsidRPr="00C57D1F">
        <w:rPr>
          <w:lang w:val="en-US"/>
        </w:rPr>
        <w:t>p</w:t>
      </w:r>
      <w:r w:rsidRPr="00C57D1F">
        <w:rPr>
          <w:lang w:val="uk-UA"/>
        </w:rPr>
        <w:t xml:space="preserve"> </w:t>
      </w:r>
      <w:r w:rsidRPr="00C57D1F">
        <w:rPr>
          <w:lang w:val="en-US"/>
        </w:rPr>
        <w:sym w:font="Symbol" w:char="F03C"/>
      </w:r>
      <w:r w:rsidRPr="00C57D1F">
        <w:rPr>
          <w:lang w:val="uk-UA"/>
        </w:rPr>
        <w:t xml:space="preserve"> 0,05 (статистично значуща різниця у порівнянні у порівнянні із референс-препаратом </w:t>
      </w:r>
      <w:r w:rsidR="00390008">
        <w:rPr>
          <w:lang w:val="uk-UA"/>
        </w:rPr>
        <w:t>ф</w:t>
      </w:r>
      <w:r w:rsidRPr="00C57D1F">
        <w:rPr>
          <w:lang w:val="uk-UA"/>
        </w:rPr>
        <w:t>абоматізолом).</w:t>
      </w:r>
    </w:p>
    <w:p w14:paraId="472867AB" w14:textId="3524D9CF" w:rsidR="00C57D1F" w:rsidRDefault="00F05F4E" w:rsidP="00352B8A">
      <w:pPr>
        <w:ind w:left="450" w:hanging="540"/>
        <w:jc w:val="both"/>
        <w:rPr>
          <w:lang w:val="uk-UA"/>
        </w:rPr>
      </w:pPr>
      <w:r w:rsidRPr="00C57D1F">
        <w:rPr>
          <w:lang w:val="uk-UA"/>
        </w:rPr>
        <w:t xml:space="preserve">4. </w:t>
      </w:r>
      <w:r w:rsidRPr="00C57D1F">
        <w:rPr>
          <w:lang w:val="uk-UA"/>
        </w:rPr>
        <w:tab/>
        <w:t xml:space="preserve">## - </w:t>
      </w:r>
      <w:r w:rsidRPr="00C57D1F">
        <w:rPr>
          <w:lang w:val="en-US"/>
        </w:rPr>
        <w:t>p</w:t>
      </w:r>
      <w:r w:rsidRPr="00C57D1F">
        <w:rPr>
          <w:lang w:val="uk-UA"/>
        </w:rPr>
        <w:t xml:space="preserve"> </w:t>
      </w:r>
      <w:r w:rsidRPr="00C57D1F">
        <w:rPr>
          <w:lang w:val="en-US"/>
        </w:rPr>
        <w:sym w:font="Symbol" w:char="F03C"/>
      </w:r>
      <w:r w:rsidRPr="00C57D1F">
        <w:rPr>
          <w:lang w:val="uk-UA"/>
        </w:rPr>
        <w:t xml:space="preserve"> 0,01 (статистично значуща різниця у порівнянні у порівнянні із референс-препаратом </w:t>
      </w:r>
      <w:r w:rsidR="00390008">
        <w:rPr>
          <w:lang w:val="uk-UA"/>
        </w:rPr>
        <w:t>ф</w:t>
      </w:r>
      <w:r w:rsidRPr="00C57D1F">
        <w:rPr>
          <w:lang w:val="uk-UA"/>
        </w:rPr>
        <w:t>абоматізолом).</w:t>
      </w:r>
      <w:r w:rsidR="00C57D1F">
        <w:rPr>
          <w:lang w:val="uk-UA"/>
        </w:rPr>
        <w:t xml:space="preserve"> </w:t>
      </w:r>
    </w:p>
    <w:p w14:paraId="7AD4A5B3" w14:textId="561D8FF4" w:rsidR="00F05F4E" w:rsidRPr="00C57D1F" w:rsidRDefault="00F05F4E" w:rsidP="00352B8A">
      <w:pPr>
        <w:ind w:left="450" w:hanging="540"/>
        <w:jc w:val="both"/>
        <w:rPr>
          <w:lang w:val="uk-UA"/>
        </w:rPr>
      </w:pPr>
      <w:r w:rsidRPr="00C57D1F">
        <w:rPr>
          <w:rFonts w:eastAsia="Calibri"/>
          <w:lang w:val="uk-UA"/>
        </w:rPr>
        <w:t>5.</w:t>
      </w:r>
      <w:r w:rsidRPr="00C57D1F">
        <w:rPr>
          <w:rFonts w:eastAsia="Calibri"/>
          <w:lang w:val="uk-UA"/>
        </w:rPr>
        <w:tab/>
      </w:r>
      <w:r w:rsidRPr="00C57D1F">
        <w:rPr>
          <w:rFonts w:eastAsia="Calibri"/>
        </w:rPr>
        <w:t xml:space="preserve">n </w:t>
      </w:r>
      <w:r w:rsidRPr="00C57D1F">
        <w:t>–</w:t>
      </w:r>
      <w:r w:rsidRPr="00C57D1F">
        <w:rPr>
          <w:rFonts w:eastAsia="Calibri"/>
        </w:rPr>
        <w:t xml:space="preserve"> кількість тварин у групі.</w:t>
      </w:r>
    </w:p>
    <w:p w14:paraId="57D4F499" w14:textId="77777777" w:rsidR="00C57D1F" w:rsidRPr="008A6B7D" w:rsidRDefault="00C57D1F" w:rsidP="00C57D1F">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eastAsia="en-US"/>
        </w:rPr>
        <w:lastRenderedPageBreak/>
        <w:t>Протягом наступних 24 години експерименту, спостерігалося поступове зниження локомоторної активності, що свідчить про наростання антидепресантного ефекту даних сполук. Найбільш виразний антидепресантний ефект спостерігався після перорального введення даних сполук через 5 годин після початку експерименту, але їх ефективність не була тривалою і вже через 24 години експерименту показники сягнули контрольних.</w:t>
      </w:r>
    </w:p>
    <w:p w14:paraId="7973501A" w14:textId="02680F9E" w:rsidR="00C57D1F" w:rsidRPr="008A6B7D" w:rsidRDefault="00C57D1F" w:rsidP="00C57D1F">
      <w:pPr>
        <w:spacing w:line="360" w:lineRule="auto"/>
        <w:ind w:firstLine="720"/>
        <w:jc w:val="both"/>
        <w:rPr>
          <w:rFonts w:eastAsia="Calibri"/>
          <w:color w:val="000000" w:themeColor="text1"/>
          <w:sz w:val="28"/>
          <w:szCs w:val="28"/>
          <w:lang w:val="uk-UA"/>
        </w:rPr>
      </w:pPr>
      <w:r w:rsidRPr="008A6B7D">
        <w:rPr>
          <w:rFonts w:eastAsia="Calibri"/>
          <w:color w:val="000000" w:themeColor="text1"/>
          <w:sz w:val="28"/>
          <w:szCs w:val="28"/>
          <w:lang w:val="uk-UA"/>
        </w:rPr>
        <w:t xml:space="preserve">Пероральне введення саліцилової кислоти викликало значне зниження локомоторної активності починаючи з першої години спостереження, що може бути обумовлено її швидким всмоктуванням з шлунково-кишкового тракту. Через 24 години після початку експерименту, у групі, що отримувала емульсійний розчин саліцилової кислоти показники іммобільності були нижчими за контрольні на 58,9%. </w:t>
      </w:r>
    </w:p>
    <w:p w14:paraId="32B3F42E" w14:textId="14702C37" w:rsidR="00F05F4E" w:rsidRPr="008A6B7D" w:rsidRDefault="00F05F4E" w:rsidP="00F05F4E">
      <w:pPr>
        <w:spacing w:line="360" w:lineRule="auto"/>
        <w:ind w:firstLine="720"/>
        <w:jc w:val="both"/>
        <w:rPr>
          <w:rFonts w:eastAsia="Calibri"/>
          <w:color w:val="000000" w:themeColor="text1"/>
          <w:sz w:val="28"/>
          <w:szCs w:val="28"/>
          <w:lang w:val="uk-UA"/>
        </w:rPr>
      </w:pPr>
      <w:r w:rsidRPr="008A6B7D">
        <w:rPr>
          <w:rFonts w:eastAsia="Calibri"/>
          <w:color w:val="000000" w:themeColor="text1"/>
          <w:sz w:val="28"/>
          <w:szCs w:val="28"/>
          <w:lang w:val="uk-UA"/>
        </w:rPr>
        <w:t>Результати проведеного тесту показали, що у тварин, яким попередньо вводили хлорид олова, спостерігалося достовірне зниження рухової активності у 2 рази впродовж 5 годин експерименту. Через 24 години спостерігали деяке збільшення рухової активності тварин, що може бути викликано процесами виведення речовини з організму і, відповідно, зниженням концентрації іонів олова в крові піддослідних тварин [2</w:t>
      </w:r>
      <w:r w:rsidR="00FE60C3" w:rsidRPr="008A6B7D">
        <w:rPr>
          <w:rFonts w:eastAsia="Calibri"/>
          <w:color w:val="000000" w:themeColor="text1"/>
          <w:sz w:val="28"/>
          <w:szCs w:val="28"/>
          <w:lang w:val="uk-UA"/>
        </w:rPr>
        <w:t>39</w:t>
      </w:r>
      <w:r w:rsidRPr="008A6B7D">
        <w:rPr>
          <w:rFonts w:eastAsia="Calibri"/>
          <w:color w:val="000000" w:themeColor="text1"/>
          <w:sz w:val="28"/>
          <w:szCs w:val="28"/>
          <w:lang w:val="uk-UA"/>
        </w:rPr>
        <w:t>].</w:t>
      </w:r>
    </w:p>
    <w:p w14:paraId="3CAB50B8" w14:textId="2E5CEAFC" w:rsidR="00F05F4E" w:rsidRPr="008A6B7D" w:rsidRDefault="00F05F4E" w:rsidP="00F05F4E">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На тлі зниження горизонтальної активності спостерігалося також зниження вертикальної активності</w:t>
      </w:r>
      <w:r w:rsidR="0086476C" w:rsidRPr="008A6B7D">
        <w:rPr>
          <w:color w:val="000000" w:themeColor="text1"/>
          <w:sz w:val="28"/>
          <w:szCs w:val="28"/>
          <w:lang w:val="uk-UA"/>
        </w:rPr>
        <w:t>.</w:t>
      </w:r>
      <w:r w:rsidRPr="008A6B7D">
        <w:rPr>
          <w:color w:val="000000" w:themeColor="text1"/>
          <w:sz w:val="28"/>
          <w:szCs w:val="28"/>
          <w:lang w:val="uk-UA"/>
        </w:rPr>
        <w:t xml:space="preserve"> Вертикальна активність, а саме реєстрація стойок характеризує бажання досліджувати новий простір, домінувати у популяції та деяку ступінь агресивності тварини [2</w:t>
      </w:r>
      <w:r w:rsidR="00FE60C3" w:rsidRPr="008A6B7D">
        <w:rPr>
          <w:color w:val="000000" w:themeColor="text1"/>
          <w:sz w:val="28"/>
          <w:szCs w:val="28"/>
          <w:lang w:val="uk-UA"/>
        </w:rPr>
        <w:t>40</w:t>
      </w:r>
      <w:r w:rsidRPr="008A6B7D">
        <w:rPr>
          <w:color w:val="000000" w:themeColor="text1"/>
          <w:sz w:val="28"/>
          <w:szCs w:val="28"/>
          <w:lang w:val="uk-UA"/>
        </w:rPr>
        <w:t>].</w:t>
      </w:r>
    </w:p>
    <w:p w14:paraId="42E3949A" w14:textId="6FF01048" w:rsidR="00F05F4E" w:rsidRPr="008A6B7D" w:rsidRDefault="00F05F4E" w:rsidP="00F05F4E">
      <w:pPr>
        <w:pStyle w:val="a6"/>
        <w:spacing w:before="0" w:beforeAutospacing="0" w:after="0" w:afterAutospacing="0" w:line="360" w:lineRule="auto"/>
        <w:ind w:firstLine="567"/>
        <w:jc w:val="both"/>
        <w:rPr>
          <w:color w:val="000000" w:themeColor="text1"/>
          <w:sz w:val="28"/>
          <w:szCs w:val="28"/>
          <w:lang w:val="uk-UA"/>
        </w:rPr>
      </w:pPr>
      <w:r w:rsidRPr="008A6B7D">
        <w:rPr>
          <w:color w:val="000000" w:themeColor="text1"/>
          <w:sz w:val="28"/>
          <w:szCs w:val="28"/>
          <w:lang w:val="uk-UA"/>
        </w:rPr>
        <w:t>Пероральне введення комплексної сполуки ІІ викликало достовірний анксиолітичний ефект</w:t>
      </w:r>
      <w:r w:rsidRPr="008A6B7D">
        <w:rPr>
          <w:color w:val="000000" w:themeColor="text1"/>
          <w:sz w:val="28"/>
          <w:szCs w:val="28"/>
        </w:rPr>
        <w:t>.</w:t>
      </w:r>
      <w:r w:rsidRPr="008A6B7D">
        <w:rPr>
          <w:color w:val="000000" w:themeColor="text1"/>
          <w:sz w:val="28"/>
          <w:szCs w:val="28"/>
          <w:lang w:val="uk-UA"/>
        </w:rPr>
        <w:t xml:space="preserve"> Протягом першої години експерименту дані були нижчими контрольних на 49,4%, наступні 3 і 5 години експерименту анксиолітичний ефект комплексу посилювався (табл </w:t>
      </w:r>
      <w:r w:rsidRPr="008A6B7D">
        <w:rPr>
          <w:color w:val="000000" w:themeColor="text1"/>
          <w:sz w:val="28"/>
          <w:szCs w:val="28"/>
        </w:rPr>
        <w:t>6</w:t>
      </w:r>
      <w:r w:rsidRPr="008A6B7D">
        <w:rPr>
          <w:color w:val="000000" w:themeColor="text1"/>
          <w:sz w:val="28"/>
          <w:szCs w:val="28"/>
          <w:lang w:val="uk-UA"/>
        </w:rPr>
        <w:t xml:space="preserve">.2.2). </w:t>
      </w:r>
    </w:p>
    <w:p w14:paraId="67AD8CDF" w14:textId="08022473" w:rsidR="00C57D1F" w:rsidRPr="008A6B7D" w:rsidRDefault="00C57D1F" w:rsidP="00F05F4E">
      <w:pPr>
        <w:pStyle w:val="a6"/>
        <w:spacing w:before="0" w:beforeAutospacing="0" w:after="0" w:afterAutospacing="0" w:line="360" w:lineRule="auto"/>
        <w:ind w:firstLine="567"/>
        <w:jc w:val="both"/>
        <w:rPr>
          <w:color w:val="000000" w:themeColor="text1"/>
          <w:sz w:val="28"/>
          <w:szCs w:val="28"/>
          <w:lang w:val="uk-UA"/>
        </w:rPr>
      </w:pPr>
      <w:r w:rsidRPr="008A6B7D">
        <w:rPr>
          <w:color w:val="000000" w:themeColor="text1"/>
          <w:sz w:val="28"/>
          <w:szCs w:val="28"/>
          <w:lang w:val="uk-UA"/>
        </w:rPr>
        <w:t xml:space="preserve">Анксиолітичний ефект комплексу І спостерігався через 3 години після початку експерименту, та сягнув максимального ефекту через 5 годин. </w:t>
      </w:r>
      <w:r w:rsidRPr="008A6B7D">
        <w:rPr>
          <w:color w:val="000000" w:themeColor="text1"/>
          <w:sz w:val="28"/>
          <w:szCs w:val="28"/>
          <w:lang w:val="uk-UA"/>
        </w:rPr>
        <w:lastRenderedPageBreak/>
        <w:t>Бензальдегід і саліцилоїлгідразон бензальдегіду також проявляли анксиолітичну дію протягом 3 та 5 години експерименту.</w:t>
      </w:r>
    </w:p>
    <w:p w14:paraId="2FC8C019" w14:textId="18AE4B9E" w:rsidR="00F05F4E" w:rsidRPr="007C0C3C" w:rsidRDefault="00F05F4E" w:rsidP="007C0C3C">
      <w:pPr>
        <w:widowControl w:val="0"/>
        <w:autoSpaceDE w:val="0"/>
        <w:autoSpaceDN w:val="0"/>
        <w:adjustRightInd w:val="0"/>
        <w:spacing w:line="360" w:lineRule="auto"/>
        <w:ind w:left="6372" w:firstLine="708"/>
        <w:jc w:val="right"/>
        <w:rPr>
          <w:i/>
          <w:sz w:val="28"/>
          <w:szCs w:val="28"/>
          <w:lang w:val="uk-UA"/>
        </w:rPr>
      </w:pPr>
      <w:r w:rsidRPr="007C0C3C">
        <w:rPr>
          <w:i/>
          <w:sz w:val="28"/>
          <w:szCs w:val="28"/>
          <w:lang w:val="uk-UA"/>
        </w:rPr>
        <w:t>Таблиця</w:t>
      </w:r>
      <w:r w:rsidRPr="007C0C3C">
        <w:rPr>
          <w:i/>
          <w:sz w:val="28"/>
          <w:szCs w:val="28"/>
        </w:rPr>
        <w:t xml:space="preserve"> 6</w:t>
      </w:r>
      <w:r w:rsidRPr="007C0C3C">
        <w:rPr>
          <w:i/>
          <w:sz w:val="28"/>
          <w:szCs w:val="28"/>
          <w:lang w:val="uk-UA"/>
        </w:rPr>
        <w:t>.2.2</w:t>
      </w:r>
    </w:p>
    <w:p w14:paraId="437E44FE" w14:textId="77777777" w:rsidR="00F05F4E" w:rsidRPr="00164C26" w:rsidRDefault="00F05F4E" w:rsidP="007C0C3C">
      <w:pPr>
        <w:widowControl w:val="0"/>
        <w:autoSpaceDE w:val="0"/>
        <w:autoSpaceDN w:val="0"/>
        <w:adjustRightInd w:val="0"/>
        <w:spacing w:line="360" w:lineRule="auto"/>
        <w:jc w:val="right"/>
        <w:rPr>
          <w:sz w:val="28"/>
          <w:szCs w:val="28"/>
          <w:lang w:val="uk-UA"/>
        </w:rPr>
      </w:pPr>
      <w:r w:rsidRPr="00164C26">
        <w:rPr>
          <w:b/>
          <w:sz w:val="28"/>
          <w:szCs w:val="28"/>
          <w:lang w:val="uk-UA"/>
        </w:rPr>
        <w:t>Вертикальна активність досліджуваних сполук при пероральному  введенні у тесті ВП (М</w:t>
      </w:r>
      <w:r w:rsidRPr="00164C26">
        <w:rPr>
          <w:b/>
          <w:color w:val="4D5156"/>
          <w:sz w:val="28"/>
          <w:szCs w:val="28"/>
          <w:shd w:val="clear" w:color="auto" w:fill="FFFFFF"/>
          <w:lang w:val="uk-UA"/>
        </w:rPr>
        <w:t>±</w:t>
      </w:r>
      <w:r w:rsidRPr="00164C26">
        <w:rPr>
          <w:b/>
          <w:sz w:val="28"/>
          <w:szCs w:val="28"/>
          <w:lang w:val="en-US"/>
        </w:rPr>
        <w:t>m</w:t>
      </w:r>
      <w:r w:rsidRPr="00164C26">
        <w:rPr>
          <w:b/>
          <w:sz w:val="28"/>
          <w:szCs w:val="28"/>
          <w:lang w:val="uk-UA"/>
        </w:rPr>
        <w:t xml:space="preserve">, </w:t>
      </w:r>
      <w:r w:rsidRPr="00164C26">
        <w:rPr>
          <w:b/>
          <w:sz w:val="28"/>
          <w:szCs w:val="28"/>
          <w:lang w:val="en-US"/>
        </w:rPr>
        <w:t>n</w:t>
      </w:r>
      <w:r w:rsidRPr="00164C26">
        <w:rPr>
          <w:b/>
          <w:sz w:val="28"/>
          <w:szCs w:val="28"/>
          <w:lang w:val="uk-UA"/>
        </w:rPr>
        <w:t>=6)</w:t>
      </w:r>
    </w:p>
    <w:tbl>
      <w:tblPr>
        <w:tblW w:w="9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55"/>
        <w:gridCol w:w="1909"/>
        <w:gridCol w:w="1636"/>
        <w:gridCol w:w="1712"/>
        <w:gridCol w:w="1973"/>
      </w:tblGrid>
      <w:tr w:rsidR="00F05F4E" w:rsidRPr="00164C26" w14:paraId="60A2135D" w14:textId="77777777" w:rsidTr="00A50810">
        <w:trPr>
          <w:trHeight w:val="341"/>
          <w:jc w:val="center"/>
        </w:trPr>
        <w:tc>
          <w:tcPr>
            <w:tcW w:w="540" w:type="dxa"/>
            <w:vMerge w:val="restart"/>
            <w:vAlign w:val="center"/>
          </w:tcPr>
          <w:p w14:paraId="5E2989CE" w14:textId="77777777" w:rsidR="00F05F4E" w:rsidRPr="00164C26" w:rsidRDefault="00F05F4E" w:rsidP="00A50810">
            <w:pPr>
              <w:widowControl w:val="0"/>
              <w:autoSpaceDE w:val="0"/>
              <w:autoSpaceDN w:val="0"/>
              <w:adjustRightInd w:val="0"/>
              <w:spacing w:line="360" w:lineRule="auto"/>
            </w:pPr>
            <w:r w:rsidRPr="00164C26">
              <w:t>№ гр</w:t>
            </w:r>
          </w:p>
        </w:tc>
        <w:tc>
          <w:tcPr>
            <w:tcW w:w="1555" w:type="dxa"/>
            <w:vMerge w:val="restart"/>
            <w:vAlign w:val="center"/>
          </w:tcPr>
          <w:p w14:paraId="7A989340" w14:textId="77777777" w:rsidR="00F05F4E" w:rsidRPr="00164C26" w:rsidRDefault="00F05F4E" w:rsidP="00A50810">
            <w:pPr>
              <w:widowControl w:val="0"/>
              <w:autoSpaceDE w:val="0"/>
              <w:autoSpaceDN w:val="0"/>
              <w:adjustRightInd w:val="0"/>
              <w:spacing w:line="360" w:lineRule="auto"/>
            </w:pPr>
            <w:r w:rsidRPr="00164C26">
              <w:t>Сполука</w:t>
            </w:r>
          </w:p>
        </w:tc>
        <w:tc>
          <w:tcPr>
            <w:tcW w:w="7230" w:type="dxa"/>
            <w:gridSpan w:val="4"/>
            <w:tcBorders>
              <w:right w:val="single" w:sz="4" w:space="0" w:color="auto"/>
            </w:tcBorders>
            <w:vAlign w:val="center"/>
          </w:tcPr>
          <w:p w14:paraId="4A560246" w14:textId="77777777" w:rsidR="00F05F4E" w:rsidRPr="00164C26" w:rsidRDefault="00F05F4E" w:rsidP="00A50810">
            <w:pPr>
              <w:widowControl w:val="0"/>
              <w:autoSpaceDE w:val="0"/>
              <w:autoSpaceDN w:val="0"/>
              <w:adjustRightInd w:val="0"/>
              <w:spacing w:line="360" w:lineRule="auto"/>
              <w:jc w:val="center"/>
            </w:pPr>
            <w:r w:rsidRPr="00164C26">
              <w:rPr>
                <w:lang w:val="uk-UA"/>
              </w:rPr>
              <w:t>Вертикальна активність, % від контролю</w:t>
            </w:r>
          </w:p>
        </w:tc>
      </w:tr>
      <w:tr w:rsidR="00F05F4E" w:rsidRPr="00164C26" w14:paraId="2FC6CCEA" w14:textId="77777777" w:rsidTr="00A50810">
        <w:trPr>
          <w:trHeight w:val="447"/>
          <w:jc w:val="center"/>
        </w:trPr>
        <w:tc>
          <w:tcPr>
            <w:tcW w:w="540" w:type="dxa"/>
            <w:vMerge/>
            <w:tcBorders>
              <w:bottom w:val="single" w:sz="4" w:space="0" w:color="auto"/>
            </w:tcBorders>
            <w:vAlign w:val="center"/>
          </w:tcPr>
          <w:p w14:paraId="44CDD21E" w14:textId="77777777" w:rsidR="00F05F4E" w:rsidRPr="00164C26" w:rsidRDefault="00F05F4E" w:rsidP="00A50810">
            <w:pPr>
              <w:widowControl w:val="0"/>
              <w:autoSpaceDE w:val="0"/>
              <w:autoSpaceDN w:val="0"/>
              <w:adjustRightInd w:val="0"/>
              <w:spacing w:line="360" w:lineRule="auto"/>
            </w:pPr>
          </w:p>
        </w:tc>
        <w:tc>
          <w:tcPr>
            <w:tcW w:w="1555" w:type="dxa"/>
            <w:vMerge/>
            <w:tcBorders>
              <w:bottom w:val="single" w:sz="4" w:space="0" w:color="auto"/>
            </w:tcBorders>
            <w:vAlign w:val="center"/>
          </w:tcPr>
          <w:p w14:paraId="2702A1FD" w14:textId="77777777" w:rsidR="00F05F4E" w:rsidRPr="00164C26" w:rsidRDefault="00F05F4E" w:rsidP="00A50810">
            <w:pPr>
              <w:widowControl w:val="0"/>
              <w:autoSpaceDE w:val="0"/>
              <w:autoSpaceDN w:val="0"/>
              <w:adjustRightInd w:val="0"/>
              <w:spacing w:line="360" w:lineRule="auto"/>
            </w:pPr>
          </w:p>
        </w:tc>
        <w:tc>
          <w:tcPr>
            <w:tcW w:w="1909" w:type="dxa"/>
            <w:tcBorders>
              <w:bottom w:val="single" w:sz="4" w:space="0" w:color="auto"/>
            </w:tcBorders>
            <w:vAlign w:val="center"/>
          </w:tcPr>
          <w:p w14:paraId="2B0D3FA0" w14:textId="77777777" w:rsidR="00F05F4E" w:rsidRPr="00164C26" w:rsidRDefault="00F05F4E" w:rsidP="00A50810">
            <w:pPr>
              <w:widowControl w:val="0"/>
              <w:autoSpaceDE w:val="0"/>
              <w:autoSpaceDN w:val="0"/>
              <w:adjustRightInd w:val="0"/>
              <w:spacing w:line="360" w:lineRule="auto"/>
              <w:jc w:val="center"/>
              <w:rPr>
                <w:lang w:val="uk-UA"/>
              </w:rPr>
            </w:pPr>
            <w:r w:rsidRPr="00164C26">
              <w:rPr>
                <w:lang w:val="uk-UA"/>
              </w:rPr>
              <w:t>1 год</w:t>
            </w:r>
          </w:p>
        </w:tc>
        <w:tc>
          <w:tcPr>
            <w:tcW w:w="1636" w:type="dxa"/>
            <w:tcBorders>
              <w:bottom w:val="single" w:sz="4" w:space="0" w:color="auto"/>
            </w:tcBorders>
            <w:vAlign w:val="center"/>
          </w:tcPr>
          <w:p w14:paraId="364EB95D" w14:textId="77777777" w:rsidR="00F05F4E" w:rsidRPr="00164C26" w:rsidRDefault="00F05F4E" w:rsidP="00A50810">
            <w:pPr>
              <w:widowControl w:val="0"/>
              <w:autoSpaceDE w:val="0"/>
              <w:autoSpaceDN w:val="0"/>
              <w:adjustRightInd w:val="0"/>
              <w:spacing w:line="360" w:lineRule="auto"/>
              <w:jc w:val="center"/>
              <w:rPr>
                <w:lang w:val="uk-UA"/>
              </w:rPr>
            </w:pPr>
            <w:r w:rsidRPr="00164C26">
              <w:rPr>
                <w:lang w:val="en-US"/>
              </w:rPr>
              <w:t>3</w:t>
            </w:r>
            <w:r w:rsidRPr="00164C26">
              <w:rPr>
                <w:lang w:val="uk-UA"/>
              </w:rPr>
              <w:t xml:space="preserve"> год</w:t>
            </w:r>
          </w:p>
        </w:tc>
        <w:tc>
          <w:tcPr>
            <w:tcW w:w="1712" w:type="dxa"/>
            <w:tcBorders>
              <w:bottom w:val="single" w:sz="4" w:space="0" w:color="auto"/>
            </w:tcBorders>
            <w:vAlign w:val="center"/>
          </w:tcPr>
          <w:p w14:paraId="0529EF45" w14:textId="77777777" w:rsidR="00F05F4E" w:rsidRPr="00164C26" w:rsidRDefault="00F05F4E" w:rsidP="00A50810">
            <w:pPr>
              <w:widowControl w:val="0"/>
              <w:autoSpaceDE w:val="0"/>
              <w:autoSpaceDN w:val="0"/>
              <w:adjustRightInd w:val="0"/>
              <w:spacing w:line="360" w:lineRule="auto"/>
              <w:jc w:val="center"/>
              <w:rPr>
                <w:lang w:val="uk-UA"/>
              </w:rPr>
            </w:pPr>
            <w:r w:rsidRPr="00164C26">
              <w:rPr>
                <w:lang w:val="en-US"/>
              </w:rPr>
              <w:t>5</w:t>
            </w:r>
            <w:r w:rsidRPr="00164C26">
              <w:rPr>
                <w:lang w:val="uk-UA"/>
              </w:rPr>
              <w:t xml:space="preserve"> год</w:t>
            </w:r>
          </w:p>
        </w:tc>
        <w:tc>
          <w:tcPr>
            <w:tcW w:w="1970" w:type="dxa"/>
            <w:tcBorders>
              <w:bottom w:val="single" w:sz="4" w:space="0" w:color="auto"/>
            </w:tcBorders>
            <w:vAlign w:val="center"/>
          </w:tcPr>
          <w:p w14:paraId="34CCCC4F" w14:textId="77777777" w:rsidR="00F05F4E" w:rsidRPr="00164C26" w:rsidRDefault="00F05F4E" w:rsidP="00A50810">
            <w:pPr>
              <w:widowControl w:val="0"/>
              <w:autoSpaceDE w:val="0"/>
              <w:autoSpaceDN w:val="0"/>
              <w:adjustRightInd w:val="0"/>
              <w:spacing w:line="360" w:lineRule="auto"/>
              <w:jc w:val="center"/>
              <w:rPr>
                <w:lang w:val="uk-UA"/>
              </w:rPr>
            </w:pPr>
            <w:r w:rsidRPr="00164C26">
              <w:rPr>
                <w:lang w:val="en-US"/>
              </w:rPr>
              <w:t>2</w:t>
            </w:r>
            <w:r w:rsidRPr="00164C26">
              <w:rPr>
                <w:lang w:val="uk-UA"/>
              </w:rPr>
              <w:t>4 год</w:t>
            </w:r>
          </w:p>
        </w:tc>
      </w:tr>
      <w:tr w:rsidR="00F05F4E" w:rsidRPr="00164C26" w14:paraId="01ED9A15" w14:textId="77777777" w:rsidTr="00A50810">
        <w:trPr>
          <w:trHeight w:val="184"/>
          <w:jc w:val="center"/>
        </w:trPr>
        <w:tc>
          <w:tcPr>
            <w:tcW w:w="540" w:type="dxa"/>
            <w:vAlign w:val="center"/>
          </w:tcPr>
          <w:p w14:paraId="78AFFB28"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1</w:t>
            </w:r>
          </w:p>
        </w:tc>
        <w:tc>
          <w:tcPr>
            <w:tcW w:w="1555" w:type="dxa"/>
            <w:vAlign w:val="center"/>
          </w:tcPr>
          <w:p w14:paraId="124318AF"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Контроль</w:t>
            </w:r>
          </w:p>
        </w:tc>
        <w:tc>
          <w:tcPr>
            <w:tcW w:w="1909" w:type="dxa"/>
            <w:vAlign w:val="center"/>
          </w:tcPr>
          <w:p w14:paraId="33169B76" w14:textId="77777777" w:rsidR="00F05F4E" w:rsidRPr="00164C26" w:rsidRDefault="00F05F4E" w:rsidP="00A50810">
            <w:pPr>
              <w:rPr>
                <w:color w:val="000000"/>
                <w:lang w:val="en-US"/>
              </w:rPr>
            </w:pPr>
            <w:r w:rsidRPr="00164C26">
              <w:rPr>
                <w:color w:val="000000"/>
                <w:lang w:val="uk-UA"/>
              </w:rPr>
              <w:t xml:space="preserve">100 </w:t>
            </w:r>
            <w:r w:rsidRPr="00164C26">
              <w:rPr>
                <w:color w:val="000000"/>
              </w:rPr>
              <w:t>±</w:t>
            </w:r>
            <w:r w:rsidRPr="00164C26">
              <w:rPr>
                <w:color w:val="000000"/>
                <w:lang w:val="uk-UA"/>
              </w:rPr>
              <w:t xml:space="preserve"> 10</w:t>
            </w:r>
            <w:r w:rsidRPr="00164C26">
              <w:rPr>
                <w:color w:val="000000"/>
                <w:lang w:val="en-US"/>
              </w:rPr>
              <w:t>,9</w:t>
            </w:r>
          </w:p>
        </w:tc>
        <w:tc>
          <w:tcPr>
            <w:tcW w:w="1636" w:type="dxa"/>
            <w:vAlign w:val="center"/>
          </w:tcPr>
          <w:p w14:paraId="0556C5F4" w14:textId="77777777" w:rsidR="00F05F4E" w:rsidRPr="00164C26" w:rsidRDefault="00F05F4E" w:rsidP="00A50810">
            <w:r w:rsidRPr="00164C26">
              <w:rPr>
                <w:color w:val="000000"/>
                <w:lang w:val="uk-UA"/>
              </w:rPr>
              <w:t xml:space="preserve">100 </w:t>
            </w:r>
            <w:r w:rsidRPr="00164C26">
              <w:rPr>
                <w:color w:val="000000"/>
              </w:rPr>
              <w:t>±</w:t>
            </w:r>
            <w:r w:rsidRPr="00164C26">
              <w:rPr>
                <w:color w:val="000000"/>
                <w:lang w:val="uk-UA"/>
              </w:rPr>
              <w:t xml:space="preserve"> 10</w:t>
            </w:r>
            <w:r w:rsidRPr="00164C26">
              <w:rPr>
                <w:color w:val="000000"/>
                <w:lang w:val="en-US"/>
              </w:rPr>
              <w:t>,9</w:t>
            </w:r>
          </w:p>
        </w:tc>
        <w:tc>
          <w:tcPr>
            <w:tcW w:w="1712" w:type="dxa"/>
            <w:vAlign w:val="center"/>
          </w:tcPr>
          <w:p w14:paraId="6CF4CB13" w14:textId="77777777" w:rsidR="00F05F4E" w:rsidRPr="00164C26" w:rsidRDefault="00F05F4E" w:rsidP="00A50810">
            <w:r w:rsidRPr="00164C26">
              <w:rPr>
                <w:color w:val="000000"/>
                <w:lang w:val="uk-UA"/>
              </w:rPr>
              <w:t xml:space="preserve">100 </w:t>
            </w:r>
            <w:r w:rsidRPr="00164C26">
              <w:rPr>
                <w:color w:val="000000"/>
              </w:rPr>
              <w:t>±</w:t>
            </w:r>
            <w:r w:rsidRPr="00164C26">
              <w:rPr>
                <w:color w:val="000000"/>
                <w:lang w:val="uk-UA"/>
              </w:rPr>
              <w:t xml:space="preserve"> 10</w:t>
            </w:r>
            <w:r w:rsidRPr="00164C26">
              <w:rPr>
                <w:color w:val="000000"/>
                <w:lang w:val="en-US"/>
              </w:rPr>
              <w:t>,9</w:t>
            </w:r>
          </w:p>
        </w:tc>
        <w:tc>
          <w:tcPr>
            <w:tcW w:w="1970" w:type="dxa"/>
            <w:vAlign w:val="center"/>
          </w:tcPr>
          <w:p w14:paraId="061F82E7" w14:textId="77777777" w:rsidR="00F05F4E" w:rsidRPr="00164C26" w:rsidRDefault="00F05F4E" w:rsidP="00A50810">
            <w:r w:rsidRPr="00164C26">
              <w:rPr>
                <w:color w:val="000000"/>
                <w:lang w:val="uk-UA"/>
              </w:rPr>
              <w:t xml:space="preserve">100 </w:t>
            </w:r>
            <w:r w:rsidRPr="00164C26">
              <w:rPr>
                <w:color w:val="000000"/>
              </w:rPr>
              <w:t>±</w:t>
            </w:r>
            <w:r w:rsidRPr="00164C26">
              <w:rPr>
                <w:color w:val="000000"/>
                <w:lang w:val="uk-UA"/>
              </w:rPr>
              <w:t xml:space="preserve"> 10</w:t>
            </w:r>
            <w:r w:rsidRPr="00164C26">
              <w:rPr>
                <w:color w:val="000000"/>
                <w:lang w:val="en-US"/>
              </w:rPr>
              <w:t>,9</w:t>
            </w:r>
          </w:p>
        </w:tc>
      </w:tr>
      <w:tr w:rsidR="00F05F4E" w:rsidRPr="00164C26" w14:paraId="1AD652C6" w14:textId="77777777" w:rsidTr="00A50810">
        <w:trPr>
          <w:trHeight w:val="79"/>
          <w:jc w:val="center"/>
        </w:trPr>
        <w:tc>
          <w:tcPr>
            <w:tcW w:w="540" w:type="dxa"/>
            <w:vAlign w:val="center"/>
          </w:tcPr>
          <w:p w14:paraId="133CDA05"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2</w:t>
            </w:r>
          </w:p>
        </w:tc>
        <w:tc>
          <w:tcPr>
            <w:tcW w:w="1555" w:type="dxa"/>
            <w:vAlign w:val="center"/>
          </w:tcPr>
          <w:p w14:paraId="2084A2C0" w14:textId="77777777" w:rsidR="00F05F4E" w:rsidRPr="00164C26" w:rsidRDefault="00F05F4E" w:rsidP="00A50810">
            <w:pPr>
              <w:widowControl w:val="0"/>
              <w:autoSpaceDE w:val="0"/>
              <w:autoSpaceDN w:val="0"/>
              <w:adjustRightInd w:val="0"/>
              <w:spacing w:line="360" w:lineRule="auto"/>
            </w:pPr>
            <w:r w:rsidRPr="00164C26">
              <w:rPr>
                <w:color w:val="000000"/>
                <w:lang w:val="uk-UA"/>
              </w:rPr>
              <w:t>Ф</w:t>
            </w:r>
            <w:r w:rsidRPr="00164C26">
              <w:rPr>
                <w:color w:val="000000"/>
              </w:rPr>
              <w:t>абомот</w:t>
            </w:r>
            <w:r w:rsidRPr="00164C26">
              <w:rPr>
                <w:color w:val="000000"/>
                <w:lang w:val="uk-UA"/>
              </w:rPr>
              <w:t>і</w:t>
            </w:r>
            <w:r w:rsidRPr="00164C26">
              <w:rPr>
                <w:color w:val="000000"/>
              </w:rPr>
              <w:t>зо</w:t>
            </w:r>
            <w:r w:rsidRPr="00164C26">
              <w:rPr>
                <w:color w:val="000000"/>
                <w:lang w:val="uk-UA"/>
              </w:rPr>
              <w:t>л</w:t>
            </w:r>
          </w:p>
        </w:tc>
        <w:tc>
          <w:tcPr>
            <w:tcW w:w="1909" w:type="dxa"/>
            <w:vAlign w:val="center"/>
          </w:tcPr>
          <w:p w14:paraId="1B645B52" w14:textId="77777777" w:rsidR="00F05F4E" w:rsidRPr="00164C26" w:rsidRDefault="00F05F4E" w:rsidP="00A50810">
            <w:pPr>
              <w:rPr>
                <w:color w:val="000000"/>
                <w:lang w:val="en-US"/>
              </w:rPr>
            </w:pPr>
            <w:r w:rsidRPr="00164C26">
              <w:rPr>
                <w:color w:val="000000"/>
                <w:lang w:val="en-US"/>
              </w:rPr>
              <w:t xml:space="preserve">63.1 </w:t>
            </w:r>
            <w:r w:rsidRPr="00164C26">
              <w:rPr>
                <w:color w:val="000000"/>
              </w:rPr>
              <w:t>±</w:t>
            </w:r>
            <w:r w:rsidRPr="00164C26">
              <w:rPr>
                <w:color w:val="000000"/>
                <w:lang w:val="en-US"/>
              </w:rPr>
              <w:t xml:space="preserve"> 9,0</w:t>
            </w:r>
            <w:r w:rsidRPr="00164C26">
              <w:rPr>
                <w:color w:val="000000"/>
                <w:vertAlign w:val="superscript"/>
                <w:lang w:val="en-US"/>
              </w:rPr>
              <w:t>**,</w:t>
            </w:r>
          </w:p>
        </w:tc>
        <w:tc>
          <w:tcPr>
            <w:tcW w:w="1636" w:type="dxa"/>
            <w:vAlign w:val="center"/>
          </w:tcPr>
          <w:p w14:paraId="74101BC6" w14:textId="77777777" w:rsidR="00F05F4E" w:rsidRPr="00164C26" w:rsidRDefault="00F05F4E" w:rsidP="00A50810">
            <w:pPr>
              <w:widowControl w:val="0"/>
              <w:autoSpaceDE w:val="0"/>
              <w:autoSpaceDN w:val="0"/>
              <w:adjustRightInd w:val="0"/>
              <w:spacing w:line="360" w:lineRule="auto"/>
              <w:rPr>
                <w:color w:val="000000"/>
                <w:lang w:val="en-US"/>
              </w:rPr>
            </w:pPr>
            <w:r w:rsidRPr="00164C26">
              <w:rPr>
                <w:color w:val="000000"/>
                <w:lang w:val="en-US"/>
              </w:rPr>
              <w:t xml:space="preserve">89,2 </w:t>
            </w:r>
            <w:r w:rsidRPr="00164C26">
              <w:rPr>
                <w:color w:val="000000"/>
              </w:rPr>
              <w:t>±</w:t>
            </w:r>
            <w:r w:rsidRPr="00164C26">
              <w:rPr>
                <w:color w:val="000000"/>
                <w:lang w:val="en-US"/>
              </w:rPr>
              <w:t xml:space="preserve"> 2,2</w:t>
            </w:r>
          </w:p>
        </w:tc>
        <w:tc>
          <w:tcPr>
            <w:tcW w:w="1712" w:type="dxa"/>
            <w:vAlign w:val="center"/>
          </w:tcPr>
          <w:p w14:paraId="2906639B" w14:textId="77777777" w:rsidR="00F05F4E" w:rsidRPr="00164C26" w:rsidRDefault="00F05F4E" w:rsidP="00A50810">
            <w:pPr>
              <w:widowControl w:val="0"/>
              <w:autoSpaceDE w:val="0"/>
              <w:autoSpaceDN w:val="0"/>
              <w:adjustRightInd w:val="0"/>
              <w:spacing w:line="360" w:lineRule="auto"/>
              <w:rPr>
                <w:color w:val="000000"/>
                <w:lang w:val="en-US"/>
              </w:rPr>
            </w:pPr>
            <w:r w:rsidRPr="00164C26">
              <w:rPr>
                <w:color w:val="000000"/>
                <w:lang w:val="en-US"/>
              </w:rPr>
              <w:t xml:space="preserve">91,9 </w:t>
            </w:r>
            <w:r w:rsidRPr="00164C26">
              <w:rPr>
                <w:color w:val="000000"/>
              </w:rPr>
              <w:t>±</w:t>
            </w:r>
            <w:r w:rsidRPr="00164C26">
              <w:rPr>
                <w:color w:val="000000"/>
                <w:lang w:val="en-US"/>
              </w:rPr>
              <w:t xml:space="preserve"> 3,8</w:t>
            </w:r>
          </w:p>
        </w:tc>
        <w:tc>
          <w:tcPr>
            <w:tcW w:w="1970" w:type="dxa"/>
            <w:vAlign w:val="center"/>
          </w:tcPr>
          <w:p w14:paraId="752801B4" w14:textId="77777777" w:rsidR="00F05F4E" w:rsidRPr="00164C26" w:rsidRDefault="00F05F4E" w:rsidP="00A50810">
            <w:pPr>
              <w:widowControl w:val="0"/>
              <w:autoSpaceDE w:val="0"/>
              <w:autoSpaceDN w:val="0"/>
              <w:adjustRightInd w:val="0"/>
              <w:spacing w:line="360" w:lineRule="auto"/>
              <w:rPr>
                <w:b/>
                <w:color w:val="000000"/>
                <w:lang w:val="en-US"/>
              </w:rPr>
            </w:pPr>
            <w:r w:rsidRPr="00164C26">
              <w:rPr>
                <w:color w:val="000000"/>
                <w:lang w:val="en-US"/>
              </w:rPr>
              <w:t xml:space="preserve">98,5 </w:t>
            </w:r>
            <w:r w:rsidRPr="00164C26">
              <w:rPr>
                <w:color w:val="000000"/>
              </w:rPr>
              <w:t>±</w:t>
            </w:r>
            <w:r w:rsidRPr="00164C26">
              <w:rPr>
                <w:color w:val="000000"/>
                <w:lang w:val="en-US"/>
              </w:rPr>
              <w:t xml:space="preserve"> 11,3</w:t>
            </w:r>
          </w:p>
        </w:tc>
      </w:tr>
      <w:tr w:rsidR="00F05F4E" w:rsidRPr="00164C26" w14:paraId="621EBCCB" w14:textId="77777777" w:rsidTr="00A50810">
        <w:trPr>
          <w:trHeight w:val="79"/>
          <w:jc w:val="center"/>
        </w:trPr>
        <w:tc>
          <w:tcPr>
            <w:tcW w:w="540" w:type="dxa"/>
            <w:vAlign w:val="center"/>
          </w:tcPr>
          <w:p w14:paraId="2B323D7D"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3</w:t>
            </w:r>
          </w:p>
        </w:tc>
        <w:tc>
          <w:tcPr>
            <w:tcW w:w="1555" w:type="dxa"/>
            <w:vAlign w:val="center"/>
          </w:tcPr>
          <w:p w14:paraId="416DA9CB"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Комплекс І</w:t>
            </w:r>
          </w:p>
        </w:tc>
        <w:tc>
          <w:tcPr>
            <w:tcW w:w="1909" w:type="dxa"/>
            <w:vAlign w:val="center"/>
          </w:tcPr>
          <w:p w14:paraId="2717B23B" w14:textId="77777777" w:rsidR="00F05F4E" w:rsidRPr="00164C26" w:rsidRDefault="00F05F4E" w:rsidP="00A50810">
            <w:pPr>
              <w:rPr>
                <w:color w:val="000000"/>
                <w:lang w:val="en-US"/>
              </w:rPr>
            </w:pPr>
            <w:r w:rsidRPr="00164C26">
              <w:rPr>
                <w:color w:val="000000"/>
                <w:lang w:val="en-US"/>
              </w:rPr>
              <w:t xml:space="preserve">104,1 </w:t>
            </w:r>
            <w:r w:rsidRPr="00164C26">
              <w:rPr>
                <w:color w:val="000000"/>
              </w:rPr>
              <w:t>±</w:t>
            </w:r>
            <w:r w:rsidRPr="00164C26">
              <w:rPr>
                <w:color w:val="000000"/>
                <w:lang w:val="en-US"/>
              </w:rPr>
              <w:t xml:space="preserve"> 7,2</w:t>
            </w:r>
            <w:r w:rsidRPr="00164C26">
              <w:rPr>
                <w:vertAlign w:val="superscript"/>
                <w:lang w:val="en-US"/>
              </w:rPr>
              <w:t>##</w:t>
            </w:r>
          </w:p>
        </w:tc>
        <w:tc>
          <w:tcPr>
            <w:tcW w:w="1636" w:type="dxa"/>
            <w:vAlign w:val="center"/>
          </w:tcPr>
          <w:p w14:paraId="531D40F9" w14:textId="77777777" w:rsidR="00F05F4E" w:rsidRPr="00164C26" w:rsidRDefault="00F05F4E" w:rsidP="00A50810">
            <w:pPr>
              <w:widowControl w:val="0"/>
              <w:autoSpaceDE w:val="0"/>
              <w:autoSpaceDN w:val="0"/>
              <w:adjustRightInd w:val="0"/>
              <w:spacing w:line="360" w:lineRule="auto"/>
              <w:rPr>
                <w:color w:val="000000"/>
                <w:lang w:val="en-US"/>
              </w:rPr>
            </w:pPr>
            <w:r w:rsidRPr="00164C26">
              <w:rPr>
                <w:color w:val="000000"/>
                <w:lang w:val="en-US"/>
              </w:rPr>
              <w:t xml:space="preserve">39 </w:t>
            </w:r>
            <w:r w:rsidRPr="00164C26">
              <w:rPr>
                <w:color w:val="000000"/>
              </w:rPr>
              <w:t>±</w:t>
            </w:r>
            <w:r w:rsidRPr="00164C26">
              <w:rPr>
                <w:color w:val="000000"/>
                <w:lang w:val="en-US"/>
              </w:rPr>
              <w:t xml:space="preserve"> 6,3</w:t>
            </w:r>
            <w:r w:rsidRPr="00164C26">
              <w:rPr>
                <w:color w:val="000000"/>
                <w:vertAlign w:val="superscript"/>
                <w:lang w:val="en-US"/>
              </w:rPr>
              <w:t>**</w:t>
            </w:r>
          </w:p>
        </w:tc>
        <w:tc>
          <w:tcPr>
            <w:tcW w:w="1712" w:type="dxa"/>
            <w:vAlign w:val="center"/>
          </w:tcPr>
          <w:p w14:paraId="24526B7F" w14:textId="77777777" w:rsidR="00F05F4E" w:rsidRPr="00164C26" w:rsidRDefault="00F05F4E" w:rsidP="00A50810">
            <w:pPr>
              <w:widowControl w:val="0"/>
              <w:autoSpaceDE w:val="0"/>
              <w:autoSpaceDN w:val="0"/>
              <w:adjustRightInd w:val="0"/>
              <w:spacing w:line="360" w:lineRule="auto"/>
              <w:rPr>
                <w:color w:val="000000"/>
                <w:lang w:val="en-US"/>
              </w:rPr>
            </w:pPr>
            <w:r w:rsidRPr="00164C26">
              <w:rPr>
                <w:color w:val="000000"/>
                <w:lang w:val="en-US"/>
              </w:rPr>
              <w:t xml:space="preserve">4,2 </w:t>
            </w:r>
            <w:r w:rsidRPr="00164C26">
              <w:rPr>
                <w:color w:val="000000"/>
              </w:rPr>
              <w:t>±</w:t>
            </w:r>
            <w:r w:rsidRPr="00164C26">
              <w:rPr>
                <w:color w:val="000000"/>
                <w:lang w:val="en-US"/>
              </w:rPr>
              <w:t xml:space="preserve"> 1,7</w:t>
            </w:r>
            <w:r w:rsidRPr="00164C26">
              <w:rPr>
                <w:color w:val="000000"/>
                <w:vertAlign w:val="superscript"/>
                <w:lang w:val="en-US"/>
              </w:rPr>
              <w:t>**,##</w:t>
            </w:r>
          </w:p>
        </w:tc>
        <w:tc>
          <w:tcPr>
            <w:tcW w:w="1970" w:type="dxa"/>
            <w:vAlign w:val="center"/>
          </w:tcPr>
          <w:p w14:paraId="08F2B537" w14:textId="77777777" w:rsidR="00F05F4E" w:rsidRPr="00164C26" w:rsidRDefault="00F05F4E" w:rsidP="00A50810">
            <w:pPr>
              <w:widowControl w:val="0"/>
              <w:autoSpaceDE w:val="0"/>
              <w:autoSpaceDN w:val="0"/>
              <w:adjustRightInd w:val="0"/>
              <w:spacing w:line="360" w:lineRule="auto"/>
              <w:rPr>
                <w:color w:val="000000"/>
                <w:lang w:val="en-US"/>
              </w:rPr>
            </w:pPr>
            <w:r w:rsidRPr="00164C26">
              <w:rPr>
                <w:color w:val="000000"/>
                <w:lang w:val="en-US"/>
              </w:rPr>
              <w:t xml:space="preserve">44,3 </w:t>
            </w:r>
            <w:r w:rsidRPr="00164C26">
              <w:rPr>
                <w:color w:val="000000"/>
              </w:rPr>
              <w:t>±</w:t>
            </w:r>
            <w:r w:rsidRPr="00164C26">
              <w:rPr>
                <w:color w:val="000000"/>
                <w:lang w:val="en-US"/>
              </w:rPr>
              <w:t xml:space="preserve"> 7,2*</w:t>
            </w:r>
          </w:p>
        </w:tc>
      </w:tr>
      <w:tr w:rsidR="00F05F4E" w:rsidRPr="00164C26" w14:paraId="4D7A2364" w14:textId="77777777" w:rsidTr="00A50810">
        <w:trPr>
          <w:trHeight w:val="82"/>
          <w:jc w:val="center"/>
        </w:trPr>
        <w:tc>
          <w:tcPr>
            <w:tcW w:w="540" w:type="dxa"/>
            <w:vAlign w:val="center"/>
          </w:tcPr>
          <w:p w14:paraId="503DB254"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4</w:t>
            </w:r>
          </w:p>
        </w:tc>
        <w:tc>
          <w:tcPr>
            <w:tcW w:w="1555" w:type="dxa"/>
            <w:vAlign w:val="center"/>
          </w:tcPr>
          <w:p w14:paraId="69EF20A5"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Комплекс ІІ</w:t>
            </w:r>
          </w:p>
        </w:tc>
        <w:tc>
          <w:tcPr>
            <w:tcW w:w="1909" w:type="dxa"/>
            <w:vAlign w:val="center"/>
          </w:tcPr>
          <w:p w14:paraId="15C45BDF" w14:textId="77777777" w:rsidR="00F05F4E" w:rsidRPr="00164C26" w:rsidRDefault="00F05F4E" w:rsidP="00A50810">
            <w:pPr>
              <w:rPr>
                <w:color w:val="000000"/>
                <w:lang w:val="en-US"/>
              </w:rPr>
            </w:pPr>
            <w:r w:rsidRPr="00164C26">
              <w:rPr>
                <w:color w:val="000000"/>
                <w:lang w:val="en-US"/>
              </w:rPr>
              <w:t xml:space="preserve">50,6 </w:t>
            </w:r>
            <w:r w:rsidRPr="00164C26">
              <w:rPr>
                <w:color w:val="000000"/>
              </w:rPr>
              <w:t>±</w:t>
            </w:r>
            <w:r w:rsidRPr="00164C26">
              <w:rPr>
                <w:color w:val="000000"/>
                <w:lang w:val="en-US"/>
              </w:rPr>
              <w:t xml:space="preserve"> 20,3</w:t>
            </w:r>
            <w:r w:rsidRPr="00164C26">
              <w:rPr>
                <w:color w:val="000000"/>
                <w:vertAlign w:val="superscript"/>
                <w:lang w:val="en-US"/>
              </w:rPr>
              <w:t>*</w:t>
            </w:r>
          </w:p>
        </w:tc>
        <w:tc>
          <w:tcPr>
            <w:tcW w:w="1636" w:type="dxa"/>
            <w:vAlign w:val="center"/>
          </w:tcPr>
          <w:p w14:paraId="29052C24" w14:textId="77777777" w:rsidR="00F05F4E" w:rsidRPr="00164C26" w:rsidRDefault="00F05F4E" w:rsidP="00A50810">
            <w:pPr>
              <w:widowControl w:val="0"/>
              <w:autoSpaceDE w:val="0"/>
              <w:autoSpaceDN w:val="0"/>
              <w:adjustRightInd w:val="0"/>
              <w:spacing w:line="360" w:lineRule="auto"/>
              <w:rPr>
                <w:color w:val="000000"/>
                <w:lang w:val="en-US"/>
              </w:rPr>
            </w:pPr>
            <w:r w:rsidRPr="00164C26">
              <w:rPr>
                <w:color w:val="000000"/>
                <w:lang w:val="en-US"/>
              </w:rPr>
              <w:t xml:space="preserve">45,1 </w:t>
            </w:r>
            <w:r w:rsidRPr="00164C26">
              <w:rPr>
                <w:color w:val="000000"/>
              </w:rPr>
              <w:t>±</w:t>
            </w:r>
            <w:r w:rsidRPr="00164C26">
              <w:rPr>
                <w:color w:val="000000"/>
                <w:lang w:val="en-US"/>
              </w:rPr>
              <w:t>6</w:t>
            </w:r>
            <w:r w:rsidRPr="00164C26">
              <w:rPr>
                <w:color w:val="000000"/>
                <w:vertAlign w:val="superscript"/>
                <w:lang w:val="en-US"/>
              </w:rPr>
              <w:t>**</w:t>
            </w:r>
          </w:p>
        </w:tc>
        <w:tc>
          <w:tcPr>
            <w:tcW w:w="1712" w:type="dxa"/>
            <w:vAlign w:val="center"/>
          </w:tcPr>
          <w:p w14:paraId="467B2869" w14:textId="77777777" w:rsidR="00F05F4E" w:rsidRPr="00164C26" w:rsidRDefault="00F05F4E" w:rsidP="00A50810">
            <w:pPr>
              <w:widowControl w:val="0"/>
              <w:autoSpaceDE w:val="0"/>
              <w:autoSpaceDN w:val="0"/>
              <w:adjustRightInd w:val="0"/>
              <w:spacing w:line="360" w:lineRule="auto"/>
              <w:rPr>
                <w:color w:val="000000"/>
                <w:lang w:val="en-US"/>
              </w:rPr>
            </w:pPr>
            <w:r w:rsidRPr="00164C26">
              <w:rPr>
                <w:color w:val="000000"/>
                <w:lang w:val="en-US"/>
              </w:rPr>
              <w:t xml:space="preserve">19 </w:t>
            </w:r>
            <w:r w:rsidRPr="00164C26">
              <w:rPr>
                <w:color w:val="000000"/>
              </w:rPr>
              <w:t>±</w:t>
            </w:r>
            <w:r w:rsidRPr="00164C26">
              <w:rPr>
                <w:color w:val="000000"/>
                <w:lang w:val="en-US"/>
              </w:rPr>
              <w:t xml:space="preserve"> 5,6</w:t>
            </w:r>
            <w:r w:rsidRPr="00164C26">
              <w:rPr>
                <w:color w:val="000000"/>
                <w:vertAlign w:val="superscript"/>
                <w:lang w:val="en-US"/>
              </w:rPr>
              <w:t>**.##</w:t>
            </w:r>
          </w:p>
        </w:tc>
        <w:tc>
          <w:tcPr>
            <w:tcW w:w="1970" w:type="dxa"/>
            <w:vAlign w:val="center"/>
          </w:tcPr>
          <w:p w14:paraId="7DCA1AFC" w14:textId="77777777" w:rsidR="00F05F4E" w:rsidRPr="00164C26" w:rsidRDefault="00F05F4E" w:rsidP="00A50810">
            <w:pPr>
              <w:widowControl w:val="0"/>
              <w:autoSpaceDE w:val="0"/>
              <w:autoSpaceDN w:val="0"/>
              <w:adjustRightInd w:val="0"/>
              <w:spacing w:line="360" w:lineRule="auto"/>
              <w:rPr>
                <w:color w:val="000000"/>
                <w:lang w:val="en-US"/>
              </w:rPr>
            </w:pPr>
            <w:r w:rsidRPr="00164C26">
              <w:rPr>
                <w:color w:val="000000"/>
                <w:lang w:val="en-US"/>
              </w:rPr>
              <w:t xml:space="preserve">78,1 </w:t>
            </w:r>
            <w:r w:rsidRPr="00164C26">
              <w:rPr>
                <w:color w:val="000000"/>
              </w:rPr>
              <w:t>±</w:t>
            </w:r>
            <w:r w:rsidRPr="00164C26">
              <w:rPr>
                <w:color w:val="000000"/>
                <w:lang w:val="en-US"/>
              </w:rPr>
              <w:t xml:space="preserve"> 9,4</w:t>
            </w:r>
          </w:p>
        </w:tc>
      </w:tr>
      <w:tr w:rsidR="00F05F4E" w:rsidRPr="00164C26" w14:paraId="2BB5D84E" w14:textId="77777777" w:rsidTr="00A50810">
        <w:trPr>
          <w:trHeight w:val="193"/>
          <w:jc w:val="center"/>
        </w:trPr>
        <w:tc>
          <w:tcPr>
            <w:tcW w:w="540" w:type="dxa"/>
            <w:vAlign w:val="center"/>
          </w:tcPr>
          <w:p w14:paraId="61AC9841"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5</w:t>
            </w:r>
          </w:p>
        </w:tc>
        <w:tc>
          <w:tcPr>
            <w:tcW w:w="1555" w:type="dxa"/>
            <w:vAlign w:val="center"/>
          </w:tcPr>
          <w:p w14:paraId="3559E927"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БА</w:t>
            </w:r>
          </w:p>
        </w:tc>
        <w:tc>
          <w:tcPr>
            <w:tcW w:w="1909" w:type="dxa"/>
            <w:vAlign w:val="center"/>
          </w:tcPr>
          <w:p w14:paraId="55525A74" w14:textId="77777777" w:rsidR="00F05F4E" w:rsidRPr="00164C26" w:rsidRDefault="00F05F4E" w:rsidP="00A50810">
            <w:pPr>
              <w:rPr>
                <w:color w:val="000000"/>
                <w:lang w:val="en-US"/>
              </w:rPr>
            </w:pPr>
            <w:r w:rsidRPr="00164C26">
              <w:rPr>
                <w:lang w:val="en-US"/>
              </w:rPr>
              <w:t xml:space="preserve">101 </w:t>
            </w:r>
            <w:r w:rsidRPr="00164C26">
              <w:rPr>
                <w:color w:val="000000"/>
              </w:rPr>
              <w:t>±</w:t>
            </w:r>
            <w:r w:rsidRPr="00164C26">
              <w:rPr>
                <w:color w:val="000000"/>
                <w:lang w:val="en-US"/>
              </w:rPr>
              <w:t xml:space="preserve"> 17</w:t>
            </w:r>
          </w:p>
        </w:tc>
        <w:tc>
          <w:tcPr>
            <w:tcW w:w="1636" w:type="dxa"/>
            <w:vAlign w:val="center"/>
          </w:tcPr>
          <w:p w14:paraId="5364F373" w14:textId="77777777" w:rsidR="00F05F4E" w:rsidRPr="00164C26" w:rsidRDefault="00F05F4E" w:rsidP="00A50810">
            <w:pPr>
              <w:widowControl w:val="0"/>
              <w:autoSpaceDE w:val="0"/>
              <w:autoSpaceDN w:val="0"/>
              <w:adjustRightInd w:val="0"/>
              <w:spacing w:line="360" w:lineRule="auto"/>
              <w:rPr>
                <w:lang w:val="en-US"/>
              </w:rPr>
            </w:pPr>
            <w:r w:rsidRPr="00164C26">
              <w:rPr>
                <w:lang w:val="en-US"/>
              </w:rPr>
              <w:t xml:space="preserve">86 </w:t>
            </w:r>
            <w:r w:rsidRPr="00164C26">
              <w:rPr>
                <w:color w:val="000000"/>
              </w:rPr>
              <w:t>±</w:t>
            </w:r>
            <w:r w:rsidRPr="00164C26">
              <w:rPr>
                <w:color w:val="000000"/>
                <w:lang w:val="en-US"/>
              </w:rPr>
              <w:t xml:space="preserve"> 11,6</w:t>
            </w:r>
          </w:p>
        </w:tc>
        <w:tc>
          <w:tcPr>
            <w:tcW w:w="1712" w:type="dxa"/>
            <w:vAlign w:val="center"/>
          </w:tcPr>
          <w:p w14:paraId="62DC5E6A" w14:textId="77777777" w:rsidR="00F05F4E" w:rsidRPr="00164C26" w:rsidRDefault="00F05F4E" w:rsidP="00A50810">
            <w:pPr>
              <w:widowControl w:val="0"/>
              <w:autoSpaceDE w:val="0"/>
              <w:autoSpaceDN w:val="0"/>
              <w:adjustRightInd w:val="0"/>
              <w:spacing w:line="360" w:lineRule="auto"/>
              <w:rPr>
                <w:lang w:val="en-US"/>
              </w:rPr>
            </w:pPr>
            <w:r w:rsidRPr="00164C26">
              <w:rPr>
                <w:lang w:val="en-US"/>
              </w:rPr>
              <w:t xml:space="preserve">62 </w:t>
            </w:r>
            <w:r w:rsidRPr="00164C26">
              <w:rPr>
                <w:color w:val="000000"/>
              </w:rPr>
              <w:t>±</w:t>
            </w:r>
            <w:r w:rsidRPr="00164C26">
              <w:rPr>
                <w:color w:val="000000"/>
                <w:lang w:val="en-US"/>
              </w:rPr>
              <w:t xml:space="preserve"> 6</w:t>
            </w:r>
          </w:p>
        </w:tc>
        <w:tc>
          <w:tcPr>
            <w:tcW w:w="1970" w:type="dxa"/>
            <w:vAlign w:val="center"/>
          </w:tcPr>
          <w:p w14:paraId="3B1EE7F8" w14:textId="77777777" w:rsidR="00F05F4E" w:rsidRPr="00164C26" w:rsidRDefault="00F05F4E" w:rsidP="00A50810">
            <w:pPr>
              <w:widowControl w:val="0"/>
              <w:autoSpaceDE w:val="0"/>
              <w:autoSpaceDN w:val="0"/>
              <w:adjustRightInd w:val="0"/>
              <w:spacing w:line="360" w:lineRule="auto"/>
              <w:rPr>
                <w:lang w:val="en-US"/>
              </w:rPr>
            </w:pPr>
            <w:r w:rsidRPr="00164C26">
              <w:rPr>
                <w:lang w:val="en-US"/>
              </w:rPr>
              <w:t xml:space="preserve">45 </w:t>
            </w:r>
            <w:r w:rsidRPr="00164C26">
              <w:rPr>
                <w:color w:val="000000"/>
              </w:rPr>
              <w:t>±</w:t>
            </w:r>
            <w:r w:rsidRPr="00164C26">
              <w:rPr>
                <w:color w:val="000000"/>
                <w:lang w:val="en-US"/>
              </w:rPr>
              <w:t xml:space="preserve"> 11*</w:t>
            </w:r>
          </w:p>
        </w:tc>
      </w:tr>
      <w:tr w:rsidR="00F05F4E" w:rsidRPr="00164C26" w14:paraId="4D3E4079" w14:textId="77777777" w:rsidTr="00A50810">
        <w:trPr>
          <w:trHeight w:val="100"/>
          <w:jc w:val="center"/>
        </w:trPr>
        <w:tc>
          <w:tcPr>
            <w:tcW w:w="540" w:type="dxa"/>
            <w:vAlign w:val="center"/>
          </w:tcPr>
          <w:p w14:paraId="7A37FF8D"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6</w:t>
            </w:r>
          </w:p>
        </w:tc>
        <w:tc>
          <w:tcPr>
            <w:tcW w:w="1555" w:type="dxa"/>
            <w:vAlign w:val="center"/>
          </w:tcPr>
          <w:p w14:paraId="5153AE8C"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4-брБА</w:t>
            </w:r>
          </w:p>
        </w:tc>
        <w:tc>
          <w:tcPr>
            <w:tcW w:w="1909" w:type="dxa"/>
            <w:vAlign w:val="center"/>
          </w:tcPr>
          <w:p w14:paraId="125C011C" w14:textId="77777777" w:rsidR="00F05F4E" w:rsidRPr="00164C26" w:rsidRDefault="00F05F4E" w:rsidP="00A50810">
            <w:pPr>
              <w:rPr>
                <w:color w:val="000000"/>
                <w:lang w:val="en-US"/>
              </w:rPr>
            </w:pPr>
            <w:r w:rsidRPr="00164C26">
              <w:rPr>
                <w:color w:val="000000"/>
                <w:lang w:val="en-US"/>
              </w:rPr>
              <w:t xml:space="preserve">175 </w:t>
            </w:r>
            <w:r w:rsidRPr="00164C26">
              <w:rPr>
                <w:color w:val="000000"/>
              </w:rPr>
              <w:t>±</w:t>
            </w:r>
            <w:r w:rsidRPr="00164C26">
              <w:rPr>
                <w:color w:val="000000"/>
                <w:lang w:val="en-US"/>
              </w:rPr>
              <w:t xml:space="preserve"> </w:t>
            </w:r>
            <w:r w:rsidRPr="00164C26">
              <w:rPr>
                <w:color w:val="000000"/>
                <w:lang w:val="uk-UA"/>
              </w:rPr>
              <w:t>1</w:t>
            </w:r>
            <w:r w:rsidRPr="00164C26">
              <w:rPr>
                <w:color w:val="000000"/>
                <w:lang w:val="en-US"/>
              </w:rPr>
              <w:t>1,7</w:t>
            </w:r>
            <w:r w:rsidRPr="00164C26">
              <w:rPr>
                <w:color w:val="000000"/>
                <w:vertAlign w:val="superscript"/>
                <w:lang w:val="en-US"/>
              </w:rPr>
              <w:t>**,</w:t>
            </w:r>
            <w:r w:rsidRPr="00164C26">
              <w:rPr>
                <w:vertAlign w:val="superscript"/>
                <w:lang w:val="en-US"/>
              </w:rPr>
              <w:t>##</w:t>
            </w:r>
          </w:p>
        </w:tc>
        <w:tc>
          <w:tcPr>
            <w:tcW w:w="1636" w:type="dxa"/>
            <w:vAlign w:val="center"/>
          </w:tcPr>
          <w:p w14:paraId="6EA35740" w14:textId="77777777" w:rsidR="00F05F4E" w:rsidRPr="00164C26" w:rsidRDefault="00F05F4E" w:rsidP="00A50810">
            <w:pPr>
              <w:rPr>
                <w:color w:val="000000"/>
                <w:lang w:val="en-US"/>
              </w:rPr>
            </w:pPr>
            <w:r w:rsidRPr="00164C26">
              <w:rPr>
                <w:color w:val="000000"/>
                <w:lang w:val="en-US"/>
              </w:rPr>
              <w:t xml:space="preserve">92,4 </w:t>
            </w:r>
            <w:r w:rsidRPr="00164C26">
              <w:rPr>
                <w:color w:val="000000"/>
              </w:rPr>
              <w:t>±</w:t>
            </w:r>
            <w:r w:rsidRPr="00164C26">
              <w:rPr>
                <w:color w:val="000000"/>
                <w:lang w:val="en-US"/>
              </w:rPr>
              <w:t xml:space="preserve"> </w:t>
            </w:r>
            <w:r w:rsidRPr="00164C26">
              <w:rPr>
                <w:color w:val="000000"/>
                <w:lang w:val="uk-UA"/>
              </w:rPr>
              <w:t>1</w:t>
            </w:r>
            <w:r w:rsidRPr="00164C26">
              <w:rPr>
                <w:color w:val="000000"/>
                <w:lang w:val="en-US"/>
              </w:rPr>
              <w:t>2,5</w:t>
            </w:r>
          </w:p>
        </w:tc>
        <w:tc>
          <w:tcPr>
            <w:tcW w:w="1712" w:type="dxa"/>
            <w:vAlign w:val="center"/>
          </w:tcPr>
          <w:p w14:paraId="0B57286A" w14:textId="77777777" w:rsidR="00F05F4E" w:rsidRPr="00164C26" w:rsidRDefault="00F05F4E" w:rsidP="00A50810">
            <w:pPr>
              <w:rPr>
                <w:color w:val="000000"/>
                <w:lang w:val="en-US"/>
              </w:rPr>
            </w:pPr>
            <w:r w:rsidRPr="00164C26">
              <w:rPr>
                <w:color w:val="000000"/>
                <w:lang w:val="en-US"/>
              </w:rPr>
              <w:t>1</w:t>
            </w:r>
            <w:r w:rsidRPr="00164C26">
              <w:rPr>
                <w:color w:val="000000"/>
                <w:lang w:val="uk-UA"/>
              </w:rPr>
              <w:t>2</w:t>
            </w:r>
            <w:r w:rsidRPr="00164C26">
              <w:rPr>
                <w:color w:val="000000"/>
                <w:lang w:val="en-US"/>
              </w:rPr>
              <w:t xml:space="preserve">4,2 </w:t>
            </w:r>
            <w:r w:rsidRPr="00164C26">
              <w:rPr>
                <w:color w:val="000000"/>
              </w:rPr>
              <w:t>±</w:t>
            </w:r>
            <w:r w:rsidRPr="00164C26">
              <w:rPr>
                <w:color w:val="000000"/>
                <w:lang w:val="en-US"/>
              </w:rPr>
              <w:t xml:space="preserve"> 4,2</w:t>
            </w:r>
          </w:p>
        </w:tc>
        <w:tc>
          <w:tcPr>
            <w:tcW w:w="1970" w:type="dxa"/>
            <w:vAlign w:val="center"/>
          </w:tcPr>
          <w:p w14:paraId="29B62F38" w14:textId="77777777" w:rsidR="00F05F4E" w:rsidRPr="00164C26" w:rsidRDefault="00F05F4E" w:rsidP="00A50810">
            <w:pPr>
              <w:rPr>
                <w:color w:val="000000"/>
                <w:lang w:val="en-US"/>
              </w:rPr>
            </w:pPr>
            <w:r w:rsidRPr="00164C26">
              <w:rPr>
                <w:color w:val="000000"/>
                <w:lang w:val="en-US"/>
              </w:rPr>
              <w:t xml:space="preserve">111,3 </w:t>
            </w:r>
            <w:r w:rsidRPr="00164C26">
              <w:rPr>
                <w:color w:val="000000"/>
              </w:rPr>
              <w:t>±</w:t>
            </w:r>
            <w:r w:rsidRPr="00164C26">
              <w:rPr>
                <w:color w:val="000000"/>
                <w:lang w:val="en-US"/>
              </w:rPr>
              <w:t xml:space="preserve"> 9,8</w:t>
            </w:r>
          </w:p>
        </w:tc>
      </w:tr>
      <w:tr w:rsidR="00F05F4E" w:rsidRPr="00164C26" w14:paraId="2A3F059D" w14:textId="77777777" w:rsidTr="00A50810">
        <w:trPr>
          <w:trHeight w:val="110"/>
          <w:jc w:val="center"/>
        </w:trPr>
        <w:tc>
          <w:tcPr>
            <w:tcW w:w="540" w:type="dxa"/>
            <w:vAlign w:val="center"/>
          </w:tcPr>
          <w:p w14:paraId="683C4695"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7</w:t>
            </w:r>
          </w:p>
        </w:tc>
        <w:tc>
          <w:tcPr>
            <w:tcW w:w="1555" w:type="dxa"/>
            <w:vAlign w:val="center"/>
          </w:tcPr>
          <w:p w14:paraId="6B6CC028"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СГБА</w:t>
            </w:r>
          </w:p>
        </w:tc>
        <w:tc>
          <w:tcPr>
            <w:tcW w:w="1909" w:type="dxa"/>
            <w:vAlign w:val="center"/>
          </w:tcPr>
          <w:p w14:paraId="4614AC4D" w14:textId="77777777" w:rsidR="00F05F4E" w:rsidRPr="00164C26" w:rsidRDefault="00F05F4E" w:rsidP="00A50810">
            <w:pPr>
              <w:rPr>
                <w:color w:val="000000"/>
                <w:lang w:val="en-US"/>
              </w:rPr>
            </w:pPr>
            <w:r w:rsidRPr="00164C26">
              <w:rPr>
                <w:color w:val="000000"/>
                <w:lang w:val="en-US"/>
              </w:rPr>
              <w:t xml:space="preserve">257,1 </w:t>
            </w:r>
            <w:r w:rsidRPr="00164C26">
              <w:rPr>
                <w:color w:val="000000"/>
              </w:rPr>
              <w:t>±</w:t>
            </w:r>
            <w:r w:rsidRPr="00164C26">
              <w:rPr>
                <w:color w:val="000000"/>
                <w:lang w:val="en-US"/>
              </w:rPr>
              <w:t xml:space="preserve"> 14,3</w:t>
            </w:r>
            <w:r w:rsidRPr="00164C26">
              <w:rPr>
                <w:color w:val="000000"/>
                <w:vertAlign w:val="superscript"/>
                <w:lang w:val="en-US"/>
              </w:rPr>
              <w:t>**</w:t>
            </w:r>
          </w:p>
        </w:tc>
        <w:tc>
          <w:tcPr>
            <w:tcW w:w="1636" w:type="dxa"/>
            <w:vAlign w:val="center"/>
          </w:tcPr>
          <w:p w14:paraId="2222E3DC" w14:textId="77777777" w:rsidR="00F05F4E" w:rsidRPr="00164C26" w:rsidRDefault="00F05F4E" w:rsidP="00A50810">
            <w:pPr>
              <w:rPr>
                <w:color w:val="000000"/>
                <w:lang w:val="en-US"/>
              </w:rPr>
            </w:pPr>
            <w:r w:rsidRPr="00164C26">
              <w:rPr>
                <w:color w:val="000000"/>
                <w:lang w:val="en-US"/>
              </w:rPr>
              <w:t xml:space="preserve">64,3 </w:t>
            </w:r>
            <w:r w:rsidRPr="00164C26">
              <w:rPr>
                <w:color w:val="000000"/>
              </w:rPr>
              <w:t>±</w:t>
            </w:r>
            <w:r w:rsidRPr="00164C26">
              <w:rPr>
                <w:color w:val="000000"/>
                <w:lang w:val="en-US"/>
              </w:rPr>
              <w:t xml:space="preserve"> 21,4</w:t>
            </w:r>
            <w:r w:rsidRPr="00164C26">
              <w:rPr>
                <w:color w:val="000000"/>
                <w:vertAlign w:val="superscript"/>
                <w:lang w:val="en-US"/>
              </w:rPr>
              <w:t>*</w:t>
            </w:r>
          </w:p>
        </w:tc>
        <w:tc>
          <w:tcPr>
            <w:tcW w:w="1712" w:type="dxa"/>
            <w:vAlign w:val="center"/>
          </w:tcPr>
          <w:p w14:paraId="2F8C3941" w14:textId="77777777" w:rsidR="00F05F4E" w:rsidRPr="00164C26" w:rsidRDefault="00F05F4E" w:rsidP="00A50810">
            <w:pPr>
              <w:rPr>
                <w:color w:val="000000"/>
                <w:lang w:val="uk-UA"/>
              </w:rPr>
            </w:pPr>
            <w:r w:rsidRPr="00164C26">
              <w:rPr>
                <w:color w:val="000000"/>
                <w:lang w:val="uk-UA"/>
              </w:rPr>
              <w:t>58,6 ± 11,5</w:t>
            </w:r>
          </w:p>
        </w:tc>
        <w:tc>
          <w:tcPr>
            <w:tcW w:w="1970" w:type="dxa"/>
            <w:vAlign w:val="center"/>
          </w:tcPr>
          <w:p w14:paraId="317D2D49" w14:textId="77777777" w:rsidR="00F05F4E" w:rsidRPr="00164C26" w:rsidRDefault="00F05F4E" w:rsidP="00A50810">
            <w:pPr>
              <w:widowControl w:val="0"/>
              <w:autoSpaceDE w:val="0"/>
              <w:autoSpaceDN w:val="0"/>
              <w:adjustRightInd w:val="0"/>
              <w:spacing w:line="360" w:lineRule="auto"/>
              <w:rPr>
                <w:lang w:val="en-US"/>
              </w:rPr>
            </w:pPr>
            <w:r w:rsidRPr="00164C26">
              <w:rPr>
                <w:lang w:val="en-US"/>
              </w:rPr>
              <w:t>128,6</w:t>
            </w:r>
            <w:r w:rsidRPr="00164C26">
              <w:rPr>
                <w:color w:val="000000"/>
              </w:rPr>
              <w:t>±</w:t>
            </w:r>
            <w:r w:rsidRPr="00164C26">
              <w:rPr>
                <w:color w:val="000000"/>
                <w:lang w:val="en-US"/>
              </w:rPr>
              <w:t>1</w:t>
            </w:r>
            <w:r w:rsidRPr="00164C26">
              <w:rPr>
                <w:color w:val="000000"/>
                <w:lang w:val="uk-UA"/>
              </w:rPr>
              <w:t>1</w:t>
            </w:r>
            <w:r w:rsidRPr="00164C26">
              <w:rPr>
                <w:color w:val="000000"/>
                <w:lang w:val="en-US"/>
              </w:rPr>
              <w:t>,5</w:t>
            </w:r>
            <w:r w:rsidRPr="00164C26">
              <w:rPr>
                <w:color w:val="000000"/>
                <w:vertAlign w:val="superscript"/>
                <w:lang w:val="en-US"/>
              </w:rPr>
              <w:t>**,</w:t>
            </w:r>
          </w:p>
        </w:tc>
      </w:tr>
      <w:tr w:rsidR="00F05F4E" w:rsidRPr="00164C26" w14:paraId="4FBB2D6D" w14:textId="77777777" w:rsidTr="00A50810">
        <w:trPr>
          <w:trHeight w:val="79"/>
          <w:jc w:val="center"/>
        </w:trPr>
        <w:tc>
          <w:tcPr>
            <w:tcW w:w="540" w:type="dxa"/>
            <w:vAlign w:val="center"/>
          </w:tcPr>
          <w:p w14:paraId="4EC7256F"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8</w:t>
            </w:r>
          </w:p>
        </w:tc>
        <w:tc>
          <w:tcPr>
            <w:tcW w:w="1555" w:type="dxa"/>
            <w:vAlign w:val="center"/>
          </w:tcPr>
          <w:p w14:paraId="48F40584"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СГбрБА</w:t>
            </w:r>
          </w:p>
        </w:tc>
        <w:tc>
          <w:tcPr>
            <w:tcW w:w="1909" w:type="dxa"/>
            <w:vAlign w:val="center"/>
          </w:tcPr>
          <w:p w14:paraId="54846BE6" w14:textId="77777777" w:rsidR="00F05F4E" w:rsidRPr="00164C26" w:rsidRDefault="00F05F4E" w:rsidP="00A50810">
            <w:pPr>
              <w:rPr>
                <w:color w:val="000000"/>
                <w:lang w:val="en-US"/>
              </w:rPr>
            </w:pPr>
            <w:r w:rsidRPr="00164C26">
              <w:rPr>
                <w:color w:val="000000"/>
                <w:lang w:val="en-US"/>
              </w:rPr>
              <w:t xml:space="preserve">175 </w:t>
            </w:r>
            <w:r w:rsidRPr="00164C26">
              <w:rPr>
                <w:color w:val="000000"/>
              </w:rPr>
              <w:t>±</w:t>
            </w:r>
            <w:r w:rsidRPr="00164C26">
              <w:rPr>
                <w:color w:val="000000"/>
                <w:lang w:val="en-US"/>
              </w:rPr>
              <w:t xml:space="preserve"> 21,7</w:t>
            </w:r>
            <w:r w:rsidRPr="00164C26">
              <w:rPr>
                <w:color w:val="000000"/>
                <w:vertAlign w:val="superscript"/>
                <w:lang w:val="en-US"/>
              </w:rPr>
              <w:t>**,</w:t>
            </w:r>
            <w:r w:rsidRPr="00164C26">
              <w:rPr>
                <w:vertAlign w:val="superscript"/>
                <w:lang w:val="en-US"/>
              </w:rPr>
              <w:t>##</w:t>
            </w:r>
          </w:p>
        </w:tc>
        <w:tc>
          <w:tcPr>
            <w:tcW w:w="1636" w:type="dxa"/>
            <w:vAlign w:val="center"/>
          </w:tcPr>
          <w:p w14:paraId="772C3350" w14:textId="77777777" w:rsidR="00F05F4E" w:rsidRPr="00164C26" w:rsidRDefault="00F05F4E" w:rsidP="00A50810">
            <w:pPr>
              <w:rPr>
                <w:color w:val="000000"/>
                <w:lang w:val="en-US"/>
              </w:rPr>
            </w:pPr>
            <w:r w:rsidRPr="00164C26">
              <w:rPr>
                <w:color w:val="000000"/>
                <w:lang w:val="en-US"/>
              </w:rPr>
              <w:t xml:space="preserve">106,3 </w:t>
            </w:r>
            <w:r w:rsidRPr="00164C26">
              <w:rPr>
                <w:color w:val="000000"/>
              </w:rPr>
              <w:t>±</w:t>
            </w:r>
            <w:r w:rsidRPr="00164C26">
              <w:rPr>
                <w:color w:val="000000"/>
                <w:lang w:val="en-US"/>
              </w:rPr>
              <w:t xml:space="preserve"> 8,8</w:t>
            </w:r>
          </w:p>
        </w:tc>
        <w:tc>
          <w:tcPr>
            <w:tcW w:w="1712" w:type="dxa"/>
            <w:vAlign w:val="center"/>
          </w:tcPr>
          <w:p w14:paraId="75B97F51" w14:textId="77777777" w:rsidR="00F05F4E" w:rsidRPr="00164C26" w:rsidRDefault="00F05F4E" w:rsidP="00A50810">
            <w:pPr>
              <w:widowControl w:val="0"/>
              <w:autoSpaceDE w:val="0"/>
              <w:autoSpaceDN w:val="0"/>
              <w:adjustRightInd w:val="0"/>
              <w:spacing w:line="360" w:lineRule="auto"/>
              <w:rPr>
                <w:lang w:val="en-US"/>
              </w:rPr>
            </w:pPr>
            <w:r w:rsidRPr="00164C26">
              <w:rPr>
                <w:lang w:val="en-US"/>
              </w:rPr>
              <w:t xml:space="preserve">68,8 </w:t>
            </w:r>
            <w:r w:rsidRPr="00164C26">
              <w:rPr>
                <w:color w:val="000000"/>
              </w:rPr>
              <w:t>±</w:t>
            </w:r>
            <w:r w:rsidRPr="00164C26">
              <w:rPr>
                <w:color w:val="000000"/>
                <w:lang w:val="en-US"/>
              </w:rPr>
              <w:t xml:space="preserve"> </w:t>
            </w:r>
            <w:r w:rsidRPr="00164C26">
              <w:rPr>
                <w:color w:val="000000"/>
                <w:lang w:val="uk-UA"/>
              </w:rPr>
              <w:t>1</w:t>
            </w:r>
            <w:r w:rsidRPr="00164C26">
              <w:rPr>
                <w:color w:val="000000"/>
                <w:lang w:val="en-US"/>
              </w:rPr>
              <w:t>1,3</w:t>
            </w:r>
          </w:p>
        </w:tc>
        <w:tc>
          <w:tcPr>
            <w:tcW w:w="1970" w:type="dxa"/>
            <w:vAlign w:val="center"/>
          </w:tcPr>
          <w:p w14:paraId="68563EFC" w14:textId="77777777" w:rsidR="00F05F4E" w:rsidRPr="00164C26" w:rsidRDefault="00F05F4E" w:rsidP="00A50810">
            <w:pPr>
              <w:widowControl w:val="0"/>
              <w:autoSpaceDE w:val="0"/>
              <w:autoSpaceDN w:val="0"/>
              <w:adjustRightInd w:val="0"/>
              <w:spacing w:line="360" w:lineRule="auto"/>
              <w:rPr>
                <w:lang w:val="en-US"/>
              </w:rPr>
            </w:pPr>
            <w:r w:rsidRPr="00164C26">
              <w:rPr>
                <w:lang w:val="en-US"/>
              </w:rPr>
              <w:t xml:space="preserve">200 </w:t>
            </w:r>
            <w:r w:rsidRPr="00164C26">
              <w:rPr>
                <w:color w:val="000000"/>
              </w:rPr>
              <w:t>±</w:t>
            </w:r>
            <w:r w:rsidRPr="00164C26">
              <w:rPr>
                <w:color w:val="000000"/>
                <w:lang w:val="en-US"/>
              </w:rPr>
              <w:t xml:space="preserve"> 12,5</w:t>
            </w:r>
            <w:r w:rsidRPr="00164C26">
              <w:rPr>
                <w:color w:val="000000"/>
                <w:vertAlign w:val="superscript"/>
                <w:lang w:val="en-US"/>
              </w:rPr>
              <w:t>**,</w:t>
            </w:r>
            <w:r w:rsidRPr="00164C26">
              <w:rPr>
                <w:vertAlign w:val="superscript"/>
                <w:lang w:val="en-US"/>
              </w:rPr>
              <w:t>##</w:t>
            </w:r>
          </w:p>
        </w:tc>
      </w:tr>
      <w:tr w:rsidR="00F05F4E" w:rsidRPr="00164C26" w14:paraId="7AEA2538" w14:textId="77777777" w:rsidTr="00A50810">
        <w:trPr>
          <w:trHeight w:val="128"/>
          <w:jc w:val="center"/>
        </w:trPr>
        <w:tc>
          <w:tcPr>
            <w:tcW w:w="540" w:type="dxa"/>
            <w:vAlign w:val="center"/>
          </w:tcPr>
          <w:p w14:paraId="5ACA8D4E"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9</w:t>
            </w:r>
          </w:p>
        </w:tc>
        <w:tc>
          <w:tcPr>
            <w:tcW w:w="1555" w:type="dxa"/>
            <w:vAlign w:val="center"/>
          </w:tcPr>
          <w:p w14:paraId="279BD9F4"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СК</w:t>
            </w:r>
          </w:p>
        </w:tc>
        <w:tc>
          <w:tcPr>
            <w:tcW w:w="1909" w:type="dxa"/>
            <w:vAlign w:val="center"/>
          </w:tcPr>
          <w:p w14:paraId="21053FB5" w14:textId="77777777" w:rsidR="00F05F4E" w:rsidRPr="00164C26" w:rsidRDefault="00F05F4E" w:rsidP="00A50810">
            <w:pPr>
              <w:rPr>
                <w:color w:val="000000"/>
                <w:lang w:val="en-US"/>
              </w:rPr>
            </w:pPr>
            <w:r w:rsidRPr="00164C26">
              <w:rPr>
                <w:color w:val="000000"/>
                <w:lang w:val="en-US"/>
              </w:rPr>
              <w:t xml:space="preserve">8,4 </w:t>
            </w:r>
            <w:r w:rsidRPr="00164C26">
              <w:rPr>
                <w:color w:val="000000"/>
              </w:rPr>
              <w:t>±</w:t>
            </w:r>
            <w:r w:rsidRPr="00164C26">
              <w:rPr>
                <w:color w:val="000000"/>
                <w:lang w:val="en-US"/>
              </w:rPr>
              <w:t xml:space="preserve"> 2,5</w:t>
            </w:r>
            <w:r w:rsidRPr="00164C26">
              <w:rPr>
                <w:color w:val="000000"/>
                <w:vertAlign w:val="superscript"/>
                <w:lang w:val="en-US"/>
              </w:rPr>
              <w:t>**,</w:t>
            </w:r>
            <w:r w:rsidRPr="00164C26">
              <w:rPr>
                <w:vertAlign w:val="superscript"/>
                <w:lang w:val="en-US"/>
              </w:rPr>
              <w:t>##</w:t>
            </w:r>
          </w:p>
        </w:tc>
        <w:tc>
          <w:tcPr>
            <w:tcW w:w="1636" w:type="dxa"/>
            <w:vAlign w:val="center"/>
          </w:tcPr>
          <w:p w14:paraId="6169C2F7" w14:textId="77777777" w:rsidR="00F05F4E" w:rsidRPr="00164C26" w:rsidRDefault="00F05F4E" w:rsidP="00A50810">
            <w:pPr>
              <w:rPr>
                <w:color w:val="000000"/>
              </w:rPr>
            </w:pPr>
            <w:r w:rsidRPr="00164C26">
              <w:rPr>
                <w:color w:val="000000"/>
                <w:lang w:val="en-US"/>
              </w:rPr>
              <w:t>4,2</w:t>
            </w:r>
            <w:r w:rsidRPr="00164C26">
              <w:rPr>
                <w:color w:val="000000"/>
              </w:rPr>
              <w:t>±</w:t>
            </w:r>
            <w:r w:rsidRPr="00164C26">
              <w:rPr>
                <w:color w:val="000000"/>
                <w:lang w:val="en-US"/>
              </w:rPr>
              <w:t xml:space="preserve"> 4,2</w:t>
            </w:r>
            <w:r w:rsidRPr="00164C26">
              <w:rPr>
                <w:color w:val="000000"/>
                <w:vertAlign w:val="superscript"/>
                <w:lang w:val="en-US"/>
              </w:rPr>
              <w:t>**,</w:t>
            </w:r>
            <w:r w:rsidRPr="00164C26">
              <w:rPr>
                <w:vertAlign w:val="superscript"/>
                <w:lang w:val="en-US"/>
              </w:rPr>
              <w:t>##</w:t>
            </w:r>
          </w:p>
        </w:tc>
        <w:tc>
          <w:tcPr>
            <w:tcW w:w="1712" w:type="dxa"/>
            <w:vAlign w:val="center"/>
          </w:tcPr>
          <w:p w14:paraId="3169711F" w14:textId="77777777" w:rsidR="00F05F4E" w:rsidRPr="00164C26" w:rsidRDefault="00F05F4E" w:rsidP="00A50810">
            <w:pPr>
              <w:widowControl w:val="0"/>
              <w:autoSpaceDE w:val="0"/>
              <w:autoSpaceDN w:val="0"/>
              <w:adjustRightInd w:val="0"/>
              <w:spacing w:line="360" w:lineRule="auto"/>
              <w:rPr>
                <w:color w:val="000000"/>
                <w:lang w:val="en-US"/>
              </w:rPr>
            </w:pPr>
            <w:r w:rsidRPr="00164C26">
              <w:rPr>
                <w:color w:val="000000"/>
                <w:lang w:val="en-US"/>
              </w:rPr>
              <w:t xml:space="preserve">2,5 </w:t>
            </w:r>
            <w:r w:rsidRPr="00164C26">
              <w:rPr>
                <w:color w:val="000000"/>
              </w:rPr>
              <w:t>±</w:t>
            </w:r>
            <w:r w:rsidRPr="00164C26">
              <w:rPr>
                <w:color w:val="000000"/>
                <w:lang w:val="en-US"/>
              </w:rPr>
              <w:t xml:space="preserve"> 1,7</w:t>
            </w:r>
            <w:r w:rsidRPr="00164C26">
              <w:rPr>
                <w:color w:val="000000"/>
                <w:vertAlign w:val="superscript"/>
                <w:lang w:val="en-US"/>
              </w:rPr>
              <w:t>**,##</w:t>
            </w:r>
          </w:p>
        </w:tc>
        <w:tc>
          <w:tcPr>
            <w:tcW w:w="1970" w:type="dxa"/>
            <w:vAlign w:val="center"/>
          </w:tcPr>
          <w:p w14:paraId="3525819D" w14:textId="77777777" w:rsidR="00F05F4E" w:rsidRPr="00164C26" w:rsidRDefault="00F05F4E" w:rsidP="00A50810">
            <w:pPr>
              <w:widowControl w:val="0"/>
              <w:autoSpaceDE w:val="0"/>
              <w:autoSpaceDN w:val="0"/>
              <w:adjustRightInd w:val="0"/>
              <w:spacing w:line="360" w:lineRule="auto"/>
              <w:rPr>
                <w:color w:val="000000"/>
                <w:lang w:val="en-US"/>
              </w:rPr>
            </w:pPr>
            <w:r w:rsidRPr="00164C26">
              <w:rPr>
                <w:color w:val="000000"/>
                <w:lang w:val="en-US"/>
              </w:rPr>
              <w:t xml:space="preserve">21,1 </w:t>
            </w:r>
            <w:r w:rsidRPr="00164C26">
              <w:rPr>
                <w:color w:val="000000"/>
              </w:rPr>
              <w:t>±</w:t>
            </w:r>
            <w:r w:rsidRPr="00164C26">
              <w:rPr>
                <w:color w:val="000000"/>
                <w:lang w:val="en-US"/>
              </w:rPr>
              <w:t xml:space="preserve"> 12,7</w:t>
            </w:r>
          </w:p>
        </w:tc>
      </w:tr>
      <w:tr w:rsidR="00F05F4E" w:rsidRPr="00164C26" w14:paraId="47C6D1E0" w14:textId="77777777" w:rsidTr="00A50810">
        <w:trPr>
          <w:trHeight w:val="147"/>
          <w:jc w:val="center"/>
        </w:trPr>
        <w:tc>
          <w:tcPr>
            <w:tcW w:w="540" w:type="dxa"/>
            <w:vAlign w:val="center"/>
          </w:tcPr>
          <w:p w14:paraId="03A2D699"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10</w:t>
            </w:r>
          </w:p>
        </w:tc>
        <w:tc>
          <w:tcPr>
            <w:tcW w:w="1555" w:type="dxa"/>
            <w:vAlign w:val="center"/>
          </w:tcPr>
          <w:p w14:paraId="190F6BCC" w14:textId="77777777" w:rsidR="00F05F4E" w:rsidRPr="00164C26" w:rsidRDefault="00F05F4E" w:rsidP="00A50810">
            <w:pPr>
              <w:widowControl w:val="0"/>
              <w:autoSpaceDE w:val="0"/>
              <w:autoSpaceDN w:val="0"/>
              <w:adjustRightInd w:val="0"/>
              <w:spacing w:line="360" w:lineRule="auto"/>
              <w:rPr>
                <w:lang w:val="en-US"/>
              </w:rPr>
            </w:pPr>
            <w:r w:rsidRPr="00164C26">
              <w:rPr>
                <w:lang w:val="en-US"/>
              </w:rPr>
              <w:t>SnCl</w:t>
            </w:r>
            <w:r w:rsidRPr="00164C26">
              <w:rPr>
                <w:vertAlign w:val="subscript"/>
                <w:lang w:val="en-US"/>
              </w:rPr>
              <w:t>2</w:t>
            </w:r>
          </w:p>
        </w:tc>
        <w:tc>
          <w:tcPr>
            <w:tcW w:w="1909" w:type="dxa"/>
            <w:vAlign w:val="center"/>
          </w:tcPr>
          <w:p w14:paraId="7FA73E22" w14:textId="77777777" w:rsidR="00F05F4E" w:rsidRPr="00164C26" w:rsidRDefault="00F05F4E" w:rsidP="00A50810">
            <w:pPr>
              <w:rPr>
                <w:color w:val="000000"/>
                <w:lang w:val="en-US"/>
              </w:rPr>
            </w:pPr>
            <w:r w:rsidRPr="00164C26">
              <w:rPr>
                <w:color w:val="000000"/>
              </w:rPr>
              <w:t>58,3</w:t>
            </w:r>
            <w:r w:rsidRPr="00164C26">
              <w:rPr>
                <w:color w:val="000000"/>
                <w:lang w:val="en-US"/>
              </w:rPr>
              <w:t xml:space="preserve"> </w:t>
            </w:r>
            <w:r w:rsidRPr="00164C26">
              <w:rPr>
                <w:color w:val="000000"/>
              </w:rPr>
              <w:t>±</w:t>
            </w:r>
            <w:r w:rsidRPr="00164C26">
              <w:rPr>
                <w:color w:val="000000"/>
                <w:lang w:val="en-US"/>
              </w:rPr>
              <w:t xml:space="preserve"> </w:t>
            </w:r>
            <w:r w:rsidRPr="00164C26">
              <w:rPr>
                <w:color w:val="000000"/>
                <w:lang w:val="uk-UA"/>
              </w:rPr>
              <w:t>11,</w:t>
            </w:r>
            <w:r w:rsidRPr="00164C26">
              <w:rPr>
                <w:color w:val="000000"/>
                <w:lang w:val="en-US"/>
              </w:rPr>
              <w:t>2</w:t>
            </w:r>
          </w:p>
        </w:tc>
        <w:tc>
          <w:tcPr>
            <w:tcW w:w="1636" w:type="dxa"/>
            <w:vAlign w:val="center"/>
          </w:tcPr>
          <w:p w14:paraId="4E079410" w14:textId="77777777" w:rsidR="00F05F4E" w:rsidRPr="00164C26" w:rsidRDefault="00F05F4E" w:rsidP="00A50810">
            <w:pPr>
              <w:rPr>
                <w:color w:val="000000"/>
                <w:lang w:val="en-US"/>
              </w:rPr>
            </w:pPr>
            <w:r w:rsidRPr="00164C26">
              <w:rPr>
                <w:color w:val="000000"/>
                <w:lang w:val="en-US"/>
              </w:rPr>
              <w:t xml:space="preserve">55,6 </w:t>
            </w:r>
            <w:r w:rsidRPr="00164C26">
              <w:rPr>
                <w:color w:val="000000"/>
              </w:rPr>
              <w:t>±</w:t>
            </w:r>
            <w:r w:rsidRPr="00164C26">
              <w:rPr>
                <w:color w:val="000000"/>
                <w:lang w:val="en-US"/>
              </w:rPr>
              <w:t xml:space="preserve"> 16,7</w:t>
            </w:r>
            <w:r w:rsidRPr="00164C26">
              <w:rPr>
                <w:color w:val="000000"/>
                <w:vertAlign w:val="superscript"/>
                <w:lang w:val="en-US"/>
              </w:rPr>
              <w:t>*</w:t>
            </w:r>
          </w:p>
        </w:tc>
        <w:tc>
          <w:tcPr>
            <w:tcW w:w="1712" w:type="dxa"/>
            <w:vAlign w:val="center"/>
          </w:tcPr>
          <w:p w14:paraId="13C81171" w14:textId="77777777" w:rsidR="00F05F4E" w:rsidRPr="00164C26" w:rsidRDefault="00F05F4E" w:rsidP="00A50810">
            <w:pPr>
              <w:widowControl w:val="0"/>
              <w:autoSpaceDE w:val="0"/>
              <w:autoSpaceDN w:val="0"/>
              <w:adjustRightInd w:val="0"/>
              <w:spacing w:line="360" w:lineRule="auto"/>
              <w:rPr>
                <w:color w:val="000000"/>
                <w:lang w:val="en-US"/>
              </w:rPr>
            </w:pPr>
            <w:r w:rsidRPr="00164C26">
              <w:rPr>
                <w:color w:val="000000"/>
                <w:lang w:val="en-US"/>
              </w:rPr>
              <w:t xml:space="preserve">62,5 </w:t>
            </w:r>
            <w:r w:rsidRPr="00164C26">
              <w:rPr>
                <w:color w:val="000000"/>
              </w:rPr>
              <w:t>±</w:t>
            </w:r>
            <w:r w:rsidRPr="00164C26">
              <w:rPr>
                <w:color w:val="000000"/>
                <w:lang w:val="en-US"/>
              </w:rPr>
              <w:t xml:space="preserve"> 2,0</w:t>
            </w:r>
          </w:p>
        </w:tc>
        <w:tc>
          <w:tcPr>
            <w:tcW w:w="1970" w:type="dxa"/>
            <w:vAlign w:val="center"/>
          </w:tcPr>
          <w:p w14:paraId="7D51D78A" w14:textId="77777777" w:rsidR="00F05F4E" w:rsidRPr="00164C26" w:rsidRDefault="00F05F4E" w:rsidP="00A50810">
            <w:pPr>
              <w:widowControl w:val="0"/>
              <w:autoSpaceDE w:val="0"/>
              <w:autoSpaceDN w:val="0"/>
              <w:adjustRightInd w:val="0"/>
              <w:spacing w:line="360" w:lineRule="auto"/>
              <w:rPr>
                <w:color w:val="000000"/>
                <w:lang w:val="en-US"/>
              </w:rPr>
            </w:pPr>
            <w:r w:rsidRPr="00164C26">
              <w:rPr>
                <w:color w:val="000000"/>
                <w:lang w:val="en-US"/>
              </w:rPr>
              <w:t xml:space="preserve">179,2 </w:t>
            </w:r>
            <w:r w:rsidRPr="00164C26">
              <w:rPr>
                <w:color w:val="000000"/>
              </w:rPr>
              <w:t>±</w:t>
            </w:r>
            <w:r w:rsidRPr="00164C26">
              <w:rPr>
                <w:color w:val="000000"/>
                <w:lang w:val="en-US"/>
              </w:rPr>
              <w:t xml:space="preserve"> 7,3</w:t>
            </w:r>
            <w:r w:rsidRPr="00164C26">
              <w:rPr>
                <w:color w:val="000000"/>
                <w:vertAlign w:val="superscript"/>
                <w:lang w:val="en-US"/>
              </w:rPr>
              <w:t>**,</w:t>
            </w:r>
            <w:r w:rsidRPr="00164C26">
              <w:rPr>
                <w:vertAlign w:val="superscript"/>
                <w:lang w:val="en-US"/>
              </w:rPr>
              <w:t>##</w:t>
            </w:r>
          </w:p>
        </w:tc>
      </w:tr>
    </w:tbl>
    <w:p w14:paraId="316E6B3F" w14:textId="77777777" w:rsidR="00F05F4E" w:rsidRPr="001759D5" w:rsidRDefault="00F05F4E" w:rsidP="007C0C3C">
      <w:pPr>
        <w:pStyle w:val="a6"/>
        <w:tabs>
          <w:tab w:val="left" w:pos="720"/>
        </w:tabs>
        <w:spacing w:before="0" w:beforeAutospacing="0" w:after="0" w:afterAutospacing="0"/>
        <w:ind w:left="540" w:hanging="540"/>
        <w:jc w:val="both"/>
        <w:rPr>
          <w:lang w:val="uk-UA"/>
        </w:rPr>
      </w:pPr>
      <w:r w:rsidRPr="001759D5">
        <w:rPr>
          <w:lang w:val="uk-UA"/>
        </w:rPr>
        <w:t xml:space="preserve">Примітки: </w:t>
      </w:r>
    </w:p>
    <w:p w14:paraId="741526CD" w14:textId="3805EB34" w:rsidR="00F05F4E" w:rsidRPr="001759D5" w:rsidRDefault="00F05F4E" w:rsidP="007C0C3C">
      <w:pPr>
        <w:ind w:left="540" w:hanging="540"/>
        <w:jc w:val="both"/>
      </w:pPr>
      <w:r w:rsidRPr="001759D5">
        <w:rPr>
          <w:lang w:val="uk-UA"/>
        </w:rPr>
        <w:t>1.</w:t>
      </w:r>
      <w:r w:rsidRPr="001759D5">
        <w:rPr>
          <w:lang w:val="uk-UA"/>
        </w:rPr>
        <w:tab/>
      </w:r>
      <w:r w:rsidRPr="001759D5">
        <w:t>*</w:t>
      </w:r>
      <w:r w:rsidRPr="001759D5">
        <w:rPr>
          <w:lang w:val="uk-UA"/>
        </w:rPr>
        <w:t xml:space="preserve"> </w:t>
      </w:r>
      <w:r w:rsidRPr="001759D5">
        <w:t>-</w:t>
      </w:r>
      <w:r w:rsidRPr="001759D5">
        <w:rPr>
          <w:lang w:val="uk-UA"/>
        </w:rPr>
        <w:t xml:space="preserve"> </w:t>
      </w:r>
      <w:r w:rsidRPr="001759D5">
        <w:rPr>
          <w:lang w:val="en-US"/>
        </w:rPr>
        <w:t>p</w:t>
      </w:r>
      <w:r w:rsidRPr="001759D5">
        <w:t xml:space="preserve"> </w:t>
      </w:r>
      <w:r w:rsidRPr="001759D5">
        <w:rPr>
          <w:lang w:val="en-US"/>
        </w:rPr>
        <w:sym w:font="Symbol" w:char="F03C"/>
      </w:r>
      <w:r w:rsidRPr="001759D5">
        <w:t xml:space="preserve"> 0,05 </w:t>
      </w:r>
      <w:r w:rsidRPr="001759D5">
        <w:rPr>
          <w:lang w:val="uk-UA"/>
        </w:rPr>
        <w:t>(статистично значуща різниця у порівнянні з контрольною групою).</w:t>
      </w:r>
      <w:r w:rsidRPr="001759D5">
        <w:t xml:space="preserve"> </w:t>
      </w:r>
    </w:p>
    <w:p w14:paraId="6A7E7B49" w14:textId="561CEB87" w:rsidR="00F05F4E" w:rsidRPr="001759D5" w:rsidRDefault="00F05F4E" w:rsidP="007C0C3C">
      <w:pPr>
        <w:ind w:left="540" w:hanging="540"/>
        <w:jc w:val="both"/>
        <w:rPr>
          <w:lang w:val="uk-UA"/>
        </w:rPr>
      </w:pPr>
      <w:r w:rsidRPr="001759D5">
        <w:rPr>
          <w:lang w:val="uk-UA"/>
        </w:rPr>
        <w:t>2.</w:t>
      </w:r>
      <w:r w:rsidRPr="001759D5">
        <w:rPr>
          <w:lang w:val="uk-UA"/>
        </w:rPr>
        <w:tab/>
      </w:r>
      <w:r w:rsidRPr="001759D5">
        <w:t>**</w:t>
      </w:r>
      <w:r w:rsidRPr="001759D5">
        <w:rPr>
          <w:lang w:val="uk-UA"/>
        </w:rPr>
        <w:t xml:space="preserve"> - р</w:t>
      </w:r>
      <w:r w:rsidRPr="001759D5">
        <w:rPr>
          <w:lang w:val="uk-UA"/>
        </w:rPr>
        <w:sym w:font="Symbol" w:char="F03C"/>
      </w:r>
      <w:r w:rsidRPr="001759D5">
        <w:rPr>
          <w:lang w:val="uk-UA"/>
        </w:rPr>
        <w:t>0,01 (статистично значуща різниця у порівнянні з контрольною групою).</w:t>
      </w:r>
    </w:p>
    <w:p w14:paraId="114C8041" w14:textId="4E05C5CD" w:rsidR="00F05F4E" w:rsidRPr="001759D5" w:rsidRDefault="00F05F4E" w:rsidP="007C0C3C">
      <w:pPr>
        <w:ind w:left="540" w:hanging="540"/>
        <w:jc w:val="both"/>
        <w:rPr>
          <w:lang w:val="uk-UA"/>
        </w:rPr>
      </w:pPr>
      <w:r w:rsidRPr="001759D5">
        <w:rPr>
          <w:lang w:val="uk-UA"/>
        </w:rPr>
        <w:t>3.</w:t>
      </w:r>
      <w:r w:rsidRPr="001759D5">
        <w:rPr>
          <w:lang w:val="uk-UA"/>
        </w:rPr>
        <w:tab/>
        <w:t xml:space="preserve"># - </w:t>
      </w:r>
      <w:r w:rsidRPr="001759D5">
        <w:rPr>
          <w:lang w:val="en-US"/>
        </w:rPr>
        <w:t>p</w:t>
      </w:r>
      <w:r w:rsidRPr="001759D5">
        <w:rPr>
          <w:lang w:val="uk-UA"/>
        </w:rPr>
        <w:t xml:space="preserve"> </w:t>
      </w:r>
      <w:r w:rsidRPr="001759D5">
        <w:rPr>
          <w:lang w:val="en-US"/>
        </w:rPr>
        <w:sym w:font="Symbol" w:char="F03C"/>
      </w:r>
      <w:r w:rsidRPr="001759D5">
        <w:rPr>
          <w:lang w:val="uk-UA"/>
        </w:rPr>
        <w:t xml:space="preserve"> 0,05 (статистично значуща різниця у порівнянні у порівнянні із референс-препаратом </w:t>
      </w:r>
      <w:r w:rsidR="00390008" w:rsidRPr="001759D5">
        <w:rPr>
          <w:lang w:val="uk-UA"/>
        </w:rPr>
        <w:t>ф</w:t>
      </w:r>
      <w:r w:rsidRPr="001759D5">
        <w:rPr>
          <w:lang w:val="uk-UA"/>
        </w:rPr>
        <w:t>абоматізолом).</w:t>
      </w:r>
    </w:p>
    <w:p w14:paraId="3EE10432" w14:textId="732113C1" w:rsidR="00F05F4E" w:rsidRPr="001759D5" w:rsidRDefault="00F05F4E" w:rsidP="007C0C3C">
      <w:pPr>
        <w:ind w:left="540" w:hanging="540"/>
        <w:jc w:val="both"/>
        <w:rPr>
          <w:lang w:val="uk-UA"/>
        </w:rPr>
      </w:pPr>
      <w:r w:rsidRPr="001759D5">
        <w:rPr>
          <w:lang w:val="uk-UA"/>
        </w:rPr>
        <w:t>4.</w:t>
      </w:r>
      <w:r w:rsidRPr="001759D5">
        <w:rPr>
          <w:lang w:val="uk-UA"/>
        </w:rPr>
        <w:tab/>
        <w:t xml:space="preserve">## - </w:t>
      </w:r>
      <w:r w:rsidRPr="001759D5">
        <w:rPr>
          <w:lang w:val="en-US"/>
        </w:rPr>
        <w:t>p</w:t>
      </w:r>
      <w:r w:rsidRPr="001759D5">
        <w:rPr>
          <w:lang w:val="uk-UA"/>
        </w:rPr>
        <w:t xml:space="preserve"> </w:t>
      </w:r>
      <w:r w:rsidRPr="001759D5">
        <w:rPr>
          <w:lang w:val="en-US"/>
        </w:rPr>
        <w:sym w:font="Symbol" w:char="F03C"/>
      </w:r>
      <w:r w:rsidRPr="001759D5">
        <w:rPr>
          <w:lang w:val="uk-UA"/>
        </w:rPr>
        <w:t xml:space="preserve"> 0,01 (статистично значуща різниця у порівнянні у порівнянні із референс-препаратом </w:t>
      </w:r>
      <w:r w:rsidR="00390008" w:rsidRPr="001759D5">
        <w:rPr>
          <w:lang w:val="uk-UA"/>
        </w:rPr>
        <w:t>ф</w:t>
      </w:r>
      <w:r w:rsidRPr="001759D5">
        <w:rPr>
          <w:lang w:val="uk-UA"/>
        </w:rPr>
        <w:t>абоматізолом).</w:t>
      </w:r>
    </w:p>
    <w:p w14:paraId="596AD00C" w14:textId="5D8034C2" w:rsidR="00F05F4E" w:rsidRPr="001759D5" w:rsidRDefault="00F05F4E" w:rsidP="007C0C3C">
      <w:pPr>
        <w:ind w:left="540" w:hanging="540"/>
        <w:jc w:val="both"/>
        <w:rPr>
          <w:rFonts w:eastAsia="Calibri"/>
        </w:rPr>
      </w:pPr>
      <w:r w:rsidRPr="001759D5">
        <w:rPr>
          <w:rFonts w:eastAsia="Calibri"/>
          <w:lang w:val="uk-UA"/>
        </w:rPr>
        <w:t>5.</w:t>
      </w:r>
      <w:r w:rsidRPr="001759D5">
        <w:rPr>
          <w:rFonts w:eastAsia="Calibri"/>
          <w:lang w:val="uk-UA"/>
        </w:rPr>
        <w:tab/>
      </w:r>
      <w:r w:rsidRPr="001759D5">
        <w:rPr>
          <w:rFonts w:eastAsia="Calibri"/>
        </w:rPr>
        <w:t xml:space="preserve">n </w:t>
      </w:r>
      <w:r w:rsidRPr="001759D5">
        <w:t>–</w:t>
      </w:r>
      <w:r w:rsidRPr="001759D5">
        <w:rPr>
          <w:rFonts w:eastAsia="Calibri"/>
        </w:rPr>
        <w:t xml:space="preserve"> кількість тварин у групі.</w:t>
      </w:r>
    </w:p>
    <w:p w14:paraId="71BC4D0C" w14:textId="77777777" w:rsidR="00F05F4E" w:rsidRPr="00164C26" w:rsidRDefault="00F05F4E" w:rsidP="00F05F4E">
      <w:pPr>
        <w:ind w:left="1440" w:hanging="360"/>
        <w:jc w:val="both"/>
        <w:rPr>
          <w:rFonts w:eastAsia="Calibri"/>
          <w:sz w:val="28"/>
          <w:szCs w:val="28"/>
        </w:rPr>
      </w:pPr>
    </w:p>
    <w:p w14:paraId="1F3F97B8" w14:textId="7303B2D2" w:rsidR="0071066B" w:rsidRPr="008A6B7D" w:rsidRDefault="0071066B" w:rsidP="0071066B">
      <w:pPr>
        <w:pStyle w:val="a6"/>
        <w:spacing w:before="0" w:beforeAutospacing="0" w:after="0" w:afterAutospacing="0" w:line="360" w:lineRule="auto"/>
        <w:ind w:firstLine="567"/>
        <w:jc w:val="both"/>
        <w:rPr>
          <w:color w:val="000000" w:themeColor="text1"/>
          <w:sz w:val="28"/>
          <w:szCs w:val="28"/>
          <w:lang w:val="uk-UA"/>
        </w:rPr>
      </w:pPr>
      <w:r w:rsidRPr="008A6B7D">
        <w:rPr>
          <w:color w:val="000000" w:themeColor="text1"/>
          <w:sz w:val="28"/>
          <w:szCs w:val="28"/>
          <w:lang w:val="uk-UA"/>
        </w:rPr>
        <w:t>У свою чергу, дані отримані в результаті дослідження вертикальної активності 4-бромбензальдегіду та саліцилоїлгідразону бромбензальдегіду не відрізнялись від контрольних.</w:t>
      </w:r>
    </w:p>
    <w:p w14:paraId="5FE4CCC1" w14:textId="4CEF9BFA" w:rsidR="00F05F4E" w:rsidRPr="008A6B7D" w:rsidRDefault="00F05F4E" w:rsidP="00F05F4E">
      <w:pPr>
        <w:pStyle w:val="a6"/>
        <w:spacing w:before="0" w:beforeAutospacing="0" w:after="0" w:afterAutospacing="0" w:line="360" w:lineRule="auto"/>
        <w:ind w:firstLine="567"/>
        <w:jc w:val="both"/>
        <w:rPr>
          <w:color w:val="000000" w:themeColor="text1"/>
          <w:sz w:val="28"/>
          <w:szCs w:val="28"/>
        </w:rPr>
      </w:pPr>
      <w:r w:rsidRPr="008A6B7D">
        <w:rPr>
          <w:color w:val="000000" w:themeColor="text1"/>
          <w:sz w:val="28"/>
          <w:szCs w:val="28"/>
          <w:lang w:val="uk-UA"/>
        </w:rPr>
        <w:t>Також, було встановлено, що пероральне введення хлориду олова (ІІ) та саліцилової, викликало зниження вертикальної активності протягом 5 годин експерименту, що, ймовірно, свідчить про їх анксиолітичну дію.</w:t>
      </w:r>
    </w:p>
    <w:p w14:paraId="678FEAA4" w14:textId="77777777" w:rsidR="00F05F4E" w:rsidRPr="008A6B7D" w:rsidRDefault="00F05F4E" w:rsidP="00F05F4E">
      <w:pPr>
        <w:spacing w:line="360" w:lineRule="auto"/>
        <w:ind w:firstLine="720"/>
        <w:jc w:val="both"/>
        <w:rPr>
          <w:color w:val="000000" w:themeColor="text1"/>
          <w:sz w:val="28"/>
          <w:szCs w:val="28"/>
          <w:lang w:val="uk-UA"/>
        </w:rPr>
      </w:pPr>
      <w:r w:rsidRPr="008A6B7D">
        <w:rPr>
          <w:color w:val="000000" w:themeColor="text1"/>
          <w:sz w:val="28"/>
          <w:szCs w:val="28"/>
          <w:lang w:val="uk-UA"/>
        </w:rPr>
        <w:t xml:space="preserve">Стимулюючі препарати можуть зменшувати час іммобільності у тесті Порсолта, що призводить до помилково позитивного результату, який відрізняється від анксиолітичного зниження нерухомості шляхом оцінки </w:t>
      </w:r>
      <w:r w:rsidRPr="008A6B7D">
        <w:rPr>
          <w:color w:val="000000" w:themeColor="text1"/>
          <w:sz w:val="28"/>
          <w:szCs w:val="28"/>
          <w:lang w:val="uk-UA"/>
        </w:rPr>
        <w:lastRenderedPageBreak/>
        <w:t>локомоторної активності в тесті Відкрите Поле. Комплексні сполуки І і ІІ істотно знижували локомотивну активність у тесті ВП. Підвищення активної поведінки (плавання) та зниження іммобільності, що спостерігалися у тесті Порсолта, не було обумовлено збільшенням рухової активності (як показано в тесті ВП). Отже, антидепресантний ефект комплексних сполук не пов’язаний з психостимулюючим ефектом.</w:t>
      </w:r>
    </w:p>
    <w:p w14:paraId="17299050" w14:textId="3DAF9772" w:rsidR="00F05F4E" w:rsidRPr="008A6B7D" w:rsidRDefault="00F05F4E" w:rsidP="00F05F4E">
      <w:pPr>
        <w:spacing w:line="360" w:lineRule="auto"/>
        <w:ind w:firstLine="720"/>
        <w:jc w:val="both"/>
        <w:rPr>
          <w:color w:val="000000" w:themeColor="text1"/>
          <w:sz w:val="28"/>
          <w:szCs w:val="28"/>
          <w:lang w:val="uk-UA"/>
        </w:rPr>
      </w:pPr>
      <w:r w:rsidRPr="008A6B7D">
        <w:rPr>
          <w:color w:val="000000" w:themeColor="text1"/>
          <w:sz w:val="28"/>
          <w:szCs w:val="28"/>
          <w:lang w:val="uk-UA"/>
        </w:rPr>
        <w:t>Оскільки результати аналізу поведінки піддослідних тварин у тесті ВП показали, що введення комплексних сполук І і ІІ зменшує тривожність, було вирішено підтвердити ці дані за допомогою додаткових тестів: «темно/світла камера» (ТСК) і «піднесений хрестоподібний лабіринт» (ПХЛ). Обидва ці тести є найбільш широко перевіреними для визначення анксиолітичних та антидепресантних препаратів, такі як бенздіазепіни та інгібітори МАО [2</w:t>
      </w:r>
      <w:r w:rsidR="00FE60C3" w:rsidRPr="008A6B7D">
        <w:rPr>
          <w:color w:val="000000" w:themeColor="text1"/>
          <w:sz w:val="28"/>
          <w:szCs w:val="28"/>
          <w:lang w:val="uk-UA"/>
        </w:rPr>
        <w:t>41</w:t>
      </w:r>
      <w:r w:rsidRPr="008A6B7D">
        <w:rPr>
          <w:color w:val="000000" w:themeColor="text1"/>
          <w:sz w:val="28"/>
          <w:szCs w:val="28"/>
          <w:lang w:val="uk-UA"/>
        </w:rPr>
        <w:t>].</w:t>
      </w:r>
    </w:p>
    <w:p w14:paraId="309214C5" w14:textId="77777777" w:rsidR="00F05F4E" w:rsidRPr="008A6B7D" w:rsidRDefault="00F05F4E" w:rsidP="00F05F4E">
      <w:pPr>
        <w:spacing w:line="360" w:lineRule="auto"/>
        <w:ind w:firstLine="720"/>
        <w:jc w:val="both"/>
        <w:rPr>
          <w:color w:val="000000" w:themeColor="text1"/>
          <w:sz w:val="28"/>
          <w:szCs w:val="28"/>
          <w:lang w:val="uk-UA"/>
        </w:rPr>
      </w:pPr>
    </w:p>
    <w:p w14:paraId="6F339CE2" w14:textId="19FA2811" w:rsidR="00F05F4E" w:rsidRPr="008A6B7D" w:rsidRDefault="00F05F4E" w:rsidP="00F05F4E">
      <w:pPr>
        <w:pStyle w:val="a6"/>
        <w:spacing w:before="0" w:beforeAutospacing="0" w:after="0" w:afterAutospacing="0" w:line="360" w:lineRule="auto"/>
        <w:ind w:firstLine="720"/>
        <w:jc w:val="both"/>
        <w:outlineLvl w:val="1"/>
        <w:rPr>
          <w:b/>
          <w:color w:val="000000" w:themeColor="text1"/>
          <w:sz w:val="28"/>
          <w:szCs w:val="28"/>
          <w:lang w:val="uk-UA"/>
        </w:rPr>
      </w:pPr>
      <w:r w:rsidRPr="008A6B7D">
        <w:rPr>
          <w:b/>
          <w:color w:val="000000" w:themeColor="text1"/>
          <w:sz w:val="28"/>
          <w:szCs w:val="28"/>
          <w:lang w:val="uk-UA"/>
        </w:rPr>
        <w:t xml:space="preserve">6.3 Дослідження комплексних сполук </w:t>
      </w:r>
      <w:r w:rsidRPr="008A6B7D">
        <w:rPr>
          <w:b/>
          <w:color w:val="000000" w:themeColor="text1"/>
          <w:sz w:val="28"/>
          <w:szCs w:val="28"/>
        </w:rPr>
        <w:t>Sn</w:t>
      </w:r>
      <w:r w:rsidR="00C57D1F" w:rsidRPr="008A6B7D">
        <w:rPr>
          <w:b/>
          <w:color w:val="000000" w:themeColor="text1"/>
          <w:sz w:val="28"/>
          <w:szCs w:val="28"/>
          <w:lang w:val="uk-UA"/>
        </w:rPr>
        <w:t xml:space="preserve"> (</w:t>
      </w:r>
      <w:r w:rsidR="00C57D1F" w:rsidRPr="008A6B7D">
        <w:rPr>
          <w:b/>
          <w:color w:val="000000" w:themeColor="text1"/>
          <w:sz w:val="28"/>
          <w:szCs w:val="28"/>
          <w:lang w:val="en-US"/>
        </w:rPr>
        <w:t>IV</w:t>
      </w:r>
      <w:r w:rsidR="00C57D1F" w:rsidRPr="008A6B7D">
        <w:rPr>
          <w:b/>
          <w:color w:val="000000" w:themeColor="text1"/>
          <w:sz w:val="28"/>
          <w:szCs w:val="28"/>
          <w:lang w:val="uk-UA"/>
        </w:rPr>
        <w:t>)</w:t>
      </w:r>
      <w:r w:rsidRPr="008A6B7D">
        <w:rPr>
          <w:b/>
          <w:color w:val="000000" w:themeColor="text1"/>
          <w:sz w:val="28"/>
          <w:szCs w:val="28"/>
          <w:lang w:val="uk-UA"/>
        </w:rPr>
        <w:t xml:space="preserve"> з саліцилоїлгідразонами бензальдегід</w:t>
      </w:r>
      <w:r w:rsidR="00C57D1F" w:rsidRPr="008A6B7D">
        <w:rPr>
          <w:b/>
          <w:color w:val="000000" w:themeColor="text1"/>
          <w:sz w:val="28"/>
          <w:szCs w:val="28"/>
          <w:lang w:val="uk-UA"/>
        </w:rPr>
        <w:t>ів</w:t>
      </w:r>
      <w:r w:rsidRPr="008A6B7D">
        <w:rPr>
          <w:b/>
          <w:color w:val="000000" w:themeColor="text1"/>
          <w:sz w:val="28"/>
          <w:szCs w:val="28"/>
          <w:lang w:val="uk-UA"/>
        </w:rPr>
        <w:t xml:space="preserve"> у тесті «темно-світла» камера </w:t>
      </w:r>
    </w:p>
    <w:p w14:paraId="2A1689B5" w14:textId="1451B859" w:rsidR="00F05F4E" w:rsidRPr="008A6B7D" w:rsidRDefault="00F05F4E" w:rsidP="00F05F4E">
      <w:pPr>
        <w:pStyle w:val="a6"/>
        <w:spacing w:before="0" w:beforeAutospacing="0" w:after="0" w:afterAutospacing="0" w:line="360" w:lineRule="auto"/>
        <w:ind w:firstLine="720"/>
        <w:jc w:val="both"/>
        <w:rPr>
          <w:b/>
          <w:color w:val="000000" w:themeColor="text1"/>
          <w:sz w:val="28"/>
          <w:szCs w:val="28"/>
          <w:lang w:val="uk-UA"/>
        </w:rPr>
      </w:pPr>
      <w:r w:rsidRPr="008A6B7D">
        <w:rPr>
          <w:color w:val="000000" w:themeColor="text1"/>
          <w:sz w:val="28"/>
          <w:szCs w:val="28"/>
          <w:lang w:val="uk-UA"/>
        </w:rPr>
        <w:t>Гризуни надають перевагу темним областям над світлим. Однак, коли гризуни опиняються в новому середовищі, вони схильні досліджувати новий простір. Ці дві суперечливі емоції викликають інтерес до вивчення рівня тривоги як симптому [2</w:t>
      </w:r>
      <w:r w:rsidR="00FE60C3" w:rsidRPr="008A6B7D">
        <w:rPr>
          <w:color w:val="000000" w:themeColor="text1"/>
          <w:sz w:val="28"/>
          <w:szCs w:val="28"/>
          <w:lang w:val="uk-UA"/>
        </w:rPr>
        <w:t>42</w:t>
      </w:r>
      <w:r w:rsidRPr="008A6B7D">
        <w:rPr>
          <w:color w:val="000000" w:themeColor="text1"/>
          <w:sz w:val="28"/>
          <w:szCs w:val="28"/>
          <w:lang w:val="uk-UA"/>
        </w:rPr>
        <w:t>]. Гризуни зазвичай проводять більше часу в темній частині камери, ніж у світлому відсіку. Якщо гризуни перебувають під дією анксиолітичних препаратів, відсоток часу, проведеного у «світлій» камері збільшується. Збільшення разів, коли гризуни стають на задні лапи є ознакою дослідження, а підвищення локомоторної активності є ознакою дії анксиолітичного препарату. У разі, коли ці показники знижуються, а тварини перебувають більшу частину часу у темній камері свідчить про седативний ефект препаратів [</w:t>
      </w:r>
      <w:r w:rsidRPr="008A6B7D">
        <w:rPr>
          <w:color w:val="000000" w:themeColor="text1"/>
          <w:sz w:val="28"/>
          <w:szCs w:val="28"/>
        </w:rPr>
        <w:t>2</w:t>
      </w:r>
      <w:r w:rsidR="00FE60C3" w:rsidRPr="008A6B7D">
        <w:rPr>
          <w:color w:val="000000" w:themeColor="text1"/>
          <w:sz w:val="28"/>
          <w:szCs w:val="28"/>
          <w:lang w:val="uk-UA"/>
        </w:rPr>
        <w:t>42</w:t>
      </w:r>
      <w:r w:rsidRPr="008A6B7D">
        <w:rPr>
          <w:color w:val="000000" w:themeColor="text1"/>
          <w:sz w:val="28"/>
          <w:szCs w:val="28"/>
          <w:lang w:val="uk-UA"/>
        </w:rPr>
        <w:t>].</w:t>
      </w:r>
    </w:p>
    <w:p w14:paraId="3DADA51E" w14:textId="1F89798F" w:rsidR="00F05F4E" w:rsidRDefault="00F05F4E" w:rsidP="00F05F4E">
      <w:pPr>
        <w:pStyle w:val="a6"/>
        <w:spacing w:before="0" w:beforeAutospacing="0" w:after="0" w:afterAutospacing="0" w:line="360" w:lineRule="auto"/>
        <w:ind w:firstLine="562"/>
        <w:jc w:val="both"/>
        <w:rPr>
          <w:sz w:val="28"/>
          <w:szCs w:val="28"/>
          <w:lang w:val="uk-UA"/>
        </w:rPr>
      </w:pPr>
      <w:r w:rsidRPr="008A6B7D">
        <w:rPr>
          <w:color w:val="000000" w:themeColor="text1"/>
          <w:sz w:val="28"/>
          <w:szCs w:val="28"/>
          <w:lang w:val="uk-UA"/>
        </w:rPr>
        <w:t xml:space="preserve">Дані, що приведені на рис. </w:t>
      </w:r>
      <w:r w:rsidRPr="008A6B7D">
        <w:rPr>
          <w:color w:val="000000" w:themeColor="text1"/>
          <w:sz w:val="28"/>
          <w:szCs w:val="28"/>
        </w:rPr>
        <w:t>5</w:t>
      </w:r>
      <w:r w:rsidRPr="008A6B7D">
        <w:rPr>
          <w:color w:val="000000" w:themeColor="text1"/>
          <w:sz w:val="28"/>
          <w:szCs w:val="28"/>
          <w:lang w:val="uk-UA"/>
        </w:rPr>
        <w:t xml:space="preserve">.3.1. свідчать про те, що комплексні сполуки І і ІІ проявляють аксиолітичну дію. Так, вже через годину після початку експерименту обидві комплексні сполуки були більш ефективними у </w:t>
      </w:r>
      <w:r w:rsidRPr="008A6B7D">
        <w:rPr>
          <w:color w:val="000000" w:themeColor="text1"/>
          <w:sz w:val="28"/>
          <w:szCs w:val="28"/>
          <w:lang w:val="uk-UA"/>
        </w:rPr>
        <w:lastRenderedPageBreak/>
        <w:t xml:space="preserve">порівнянні не тільки </w:t>
      </w:r>
      <w:r>
        <w:rPr>
          <w:sz w:val="28"/>
          <w:szCs w:val="28"/>
          <w:lang w:val="uk-UA"/>
        </w:rPr>
        <w:t>із контрольною групою, а із референс-</w:t>
      </w:r>
      <w:r w:rsidRPr="003312F0">
        <w:rPr>
          <w:sz w:val="28"/>
          <w:szCs w:val="28"/>
          <w:lang w:val="uk-UA"/>
        </w:rPr>
        <w:t xml:space="preserve">препаратом </w:t>
      </w:r>
      <w:r w:rsidRPr="00E97985">
        <w:rPr>
          <w:color w:val="000000"/>
          <w:sz w:val="28"/>
          <w:szCs w:val="28"/>
          <w:lang w:val="uk-UA"/>
        </w:rPr>
        <w:t>ф</w:t>
      </w:r>
      <w:r w:rsidRPr="00E97985">
        <w:rPr>
          <w:color w:val="000000"/>
          <w:sz w:val="28"/>
          <w:szCs w:val="28"/>
        </w:rPr>
        <w:t>абомот</w:t>
      </w:r>
      <w:r w:rsidRPr="00E97985">
        <w:rPr>
          <w:color w:val="000000"/>
          <w:sz w:val="28"/>
          <w:szCs w:val="28"/>
          <w:lang w:val="uk-UA"/>
        </w:rPr>
        <w:t>і</w:t>
      </w:r>
      <w:r w:rsidRPr="00E97985">
        <w:rPr>
          <w:color w:val="000000"/>
          <w:sz w:val="28"/>
          <w:szCs w:val="28"/>
        </w:rPr>
        <w:t>зо</w:t>
      </w:r>
      <w:r w:rsidRPr="00E97985">
        <w:rPr>
          <w:color w:val="000000"/>
          <w:sz w:val="28"/>
          <w:szCs w:val="28"/>
          <w:lang w:val="uk-UA"/>
        </w:rPr>
        <w:t>лом</w:t>
      </w:r>
      <w:r w:rsidRPr="003312F0">
        <w:rPr>
          <w:sz w:val="28"/>
          <w:szCs w:val="28"/>
          <w:lang w:val="uk-UA"/>
        </w:rPr>
        <w:t xml:space="preserve">. </w:t>
      </w:r>
    </w:p>
    <w:p w14:paraId="49A44ADC" w14:textId="77777777" w:rsidR="00F05F4E" w:rsidRDefault="00F05F4E" w:rsidP="00F05F4E">
      <w:pPr>
        <w:pStyle w:val="a6"/>
        <w:spacing w:before="0" w:beforeAutospacing="0" w:line="360" w:lineRule="auto"/>
        <w:jc w:val="center"/>
        <w:rPr>
          <w:sz w:val="28"/>
          <w:szCs w:val="28"/>
          <w:lang w:val="uk-UA"/>
        </w:rPr>
      </w:pPr>
      <w:r w:rsidRPr="005E7312">
        <w:rPr>
          <w:noProof/>
          <w:sz w:val="28"/>
          <w:szCs w:val="28"/>
          <w:lang w:val="en-US" w:eastAsia="en-US"/>
        </w:rPr>
        <w:drawing>
          <wp:inline distT="0" distB="0" distL="0" distR="0" wp14:anchorId="0CD6E051" wp14:editId="4872CCF4">
            <wp:extent cx="4692015" cy="1840832"/>
            <wp:effectExtent l="0" t="0" r="0" b="1270"/>
            <wp:docPr id="26"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02637" cy="1844999"/>
                    </a:xfrm>
                    <a:prstGeom prst="rect">
                      <a:avLst/>
                    </a:prstGeom>
                    <a:noFill/>
                    <a:ln>
                      <a:noFill/>
                    </a:ln>
                  </pic:spPr>
                </pic:pic>
              </a:graphicData>
            </a:graphic>
          </wp:inline>
        </w:drawing>
      </w:r>
    </w:p>
    <w:p w14:paraId="3ED8C764" w14:textId="07F486BD" w:rsidR="00F05F4E" w:rsidRPr="00164C26" w:rsidRDefault="00F05F4E" w:rsidP="00F05F4E">
      <w:pPr>
        <w:tabs>
          <w:tab w:val="left" w:pos="720"/>
        </w:tabs>
        <w:spacing w:line="360" w:lineRule="auto"/>
        <w:ind w:firstLine="720"/>
        <w:jc w:val="both"/>
        <w:rPr>
          <w:sz w:val="28"/>
          <w:szCs w:val="28"/>
          <w:lang w:val="uk-UA"/>
        </w:rPr>
      </w:pPr>
      <w:r w:rsidRPr="00164C26">
        <w:rPr>
          <w:lang w:val="uk-UA"/>
        </w:rPr>
        <w:t xml:space="preserve"> </w:t>
      </w:r>
      <w:r w:rsidRPr="00164C26">
        <w:rPr>
          <w:sz w:val="28"/>
          <w:szCs w:val="28"/>
          <w:lang w:val="uk-UA"/>
        </w:rPr>
        <w:t xml:space="preserve">Рис. </w:t>
      </w:r>
      <w:r>
        <w:rPr>
          <w:sz w:val="28"/>
          <w:szCs w:val="28"/>
        </w:rPr>
        <w:t>6</w:t>
      </w:r>
      <w:r w:rsidRPr="00164C26">
        <w:rPr>
          <w:sz w:val="28"/>
          <w:szCs w:val="28"/>
          <w:lang w:val="uk-UA"/>
        </w:rPr>
        <w:t>.3.1 Анксиолітична активність комплексів І та ІІ після перорального введення, ТСК, час проведений у світлому відсіку камери. (М</w:t>
      </w:r>
      <w:r w:rsidRPr="00164C26">
        <w:rPr>
          <w:color w:val="4D5156"/>
          <w:sz w:val="28"/>
          <w:szCs w:val="28"/>
          <w:shd w:val="clear" w:color="auto" w:fill="FFFFFF"/>
          <w:lang w:val="uk-UA"/>
        </w:rPr>
        <w:t>±</w:t>
      </w:r>
      <w:r w:rsidRPr="00164C26">
        <w:rPr>
          <w:sz w:val="28"/>
          <w:szCs w:val="28"/>
          <w:lang w:val="en-US"/>
        </w:rPr>
        <w:t>m</w:t>
      </w:r>
      <w:r w:rsidRPr="00164C26">
        <w:rPr>
          <w:sz w:val="28"/>
          <w:szCs w:val="28"/>
          <w:lang w:val="uk-UA"/>
        </w:rPr>
        <w:t xml:space="preserve">, </w:t>
      </w:r>
      <w:r w:rsidRPr="00164C26">
        <w:rPr>
          <w:sz w:val="28"/>
          <w:szCs w:val="28"/>
          <w:lang w:val="en-US"/>
        </w:rPr>
        <w:t>n</w:t>
      </w:r>
      <w:r w:rsidRPr="00164C26">
        <w:rPr>
          <w:sz w:val="28"/>
          <w:szCs w:val="28"/>
          <w:lang w:val="uk-UA"/>
        </w:rPr>
        <w:t>=</w:t>
      </w:r>
      <w:r w:rsidRPr="00164C26">
        <w:rPr>
          <w:sz w:val="28"/>
          <w:szCs w:val="28"/>
        </w:rPr>
        <w:t>6</w:t>
      </w:r>
      <w:r w:rsidRPr="00164C26">
        <w:rPr>
          <w:sz w:val="28"/>
          <w:szCs w:val="28"/>
          <w:lang w:val="uk-UA"/>
        </w:rPr>
        <w:t>)</w:t>
      </w:r>
    </w:p>
    <w:p w14:paraId="1D662FA1" w14:textId="77777777" w:rsidR="00F05F4E" w:rsidRPr="00C57D1F" w:rsidRDefault="00F05F4E" w:rsidP="00352B8A">
      <w:pPr>
        <w:pStyle w:val="a6"/>
        <w:tabs>
          <w:tab w:val="left" w:pos="720"/>
        </w:tabs>
        <w:spacing w:before="0" w:beforeAutospacing="0" w:after="0" w:afterAutospacing="0"/>
        <w:jc w:val="both"/>
        <w:rPr>
          <w:lang w:val="uk-UA"/>
        </w:rPr>
      </w:pPr>
      <w:r w:rsidRPr="00C57D1F">
        <w:rPr>
          <w:lang w:val="uk-UA"/>
        </w:rPr>
        <w:t xml:space="preserve">Примітки: </w:t>
      </w:r>
    </w:p>
    <w:p w14:paraId="743E0755" w14:textId="3A809A48" w:rsidR="00F05F4E" w:rsidRPr="00C57D1F" w:rsidRDefault="00F05F4E" w:rsidP="00352B8A">
      <w:pPr>
        <w:ind w:left="450" w:hanging="450"/>
        <w:jc w:val="both"/>
      </w:pPr>
      <w:r w:rsidRPr="00C57D1F">
        <w:rPr>
          <w:lang w:val="uk-UA"/>
        </w:rPr>
        <w:t>1.</w:t>
      </w:r>
      <w:r w:rsidRPr="00C57D1F">
        <w:rPr>
          <w:lang w:val="uk-UA"/>
        </w:rPr>
        <w:tab/>
      </w:r>
      <w:r w:rsidRPr="00C57D1F">
        <w:t>*</w:t>
      </w:r>
      <w:r w:rsidRPr="00C57D1F">
        <w:rPr>
          <w:lang w:val="uk-UA"/>
        </w:rPr>
        <w:t xml:space="preserve"> </w:t>
      </w:r>
      <w:r w:rsidRPr="00C57D1F">
        <w:t>-</w:t>
      </w:r>
      <w:r w:rsidRPr="00C57D1F">
        <w:rPr>
          <w:lang w:val="uk-UA"/>
        </w:rPr>
        <w:t xml:space="preserve"> </w:t>
      </w:r>
      <w:r w:rsidRPr="00C57D1F">
        <w:rPr>
          <w:lang w:val="en-US"/>
        </w:rPr>
        <w:t>p</w:t>
      </w:r>
      <w:r w:rsidRPr="00C57D1F">
        <w:t xml:space="preserve"> </w:t>
      </w:r>
      <w:r w:rsidRPr="00C57D1F">
        <w:rPr>
          <w:lang w:val="en-US"/>
        </w:rPr>
        <w:sym w:font="Symbol" w:char="F03C"/>
      </w:r>
      <w:r w:rsidRPr="00C57D1F">
        <w:t xml:space="preserve"> 0,05 </w:t>
      </w:r>
      <w:r w:rsidRPr="00C57D1F">
        <w:rPr>
          <w:lang w:val="uk-UA"/>
        </w:rPr>
        <w:t>(статистично значуща різниця у порівнянні з контрольною групою).</w:t>
      </w:r>
      <w:r w:rsidRPr="00C57D1F">
        <w:t xml:space="preserve"> </w:t>
      </w:r>
    </w:p>
    <w:p w14:paraId="0AAC2B8A" w14:textId="60FA3D4B" w:rsidR="00F05F4E" w:rsidRPr="00C57D1F" w:rsidRDefault="00F05F4E" w:rsidP="00352B8A">
      <w:pPr>
        <w:ind w:left="450" w:hanging="450"/>
        <w:jc w:val="both"/>
        <w:rPr>
          <w:lang w:val="uk-UA"/>
        </w:rPr>
      </w:pPr>
      <w:r w:rsidRPr="00C57D1F">
        <w:rPr>
          <w:lang w:val="uk-UA"/>
        </w:rPr>
        <w:t>2.</w:t>
      </w:r>
      <w:r w:rsidR="00352B8A">
        <w:rPr>
          <w:lang w:val="uk-UA"/>
        </w:rPr>
        <w:tab/>
      </w:r>
      <w:r w:rsidRPr="00C57D1F">
        <w:t>**</w:t>
      </w:r>
      <w:r w:rsidRPr="00C57D1F">
        <w:rPr>
          <w:lang w:val="uk-UA"/>
        </w:rPr>
        <w:t xml:space="preserve"> - р</w:t>
      </w:r>
      <w:r w:rsidRPr="00C57D1F">
        <w:rPr>
          <w:lang w:val="uk-UA"/>
        </w:rPr>
        <w:sym w:font="Symbol" w:char="F03C"/>
      </w:r>
      <w:r w:rsidRPr="00C57D1F">
        <w:rPr>
          <w:lang w:val="uk-UA"/>
        </w:rPr>
        <w:t>0,01 (статистично значуща різниця у порівнянні з контрольною групою).</w:t>
      </w:r>
    </w:p>
    <w:p w14:paraId="0A0EF0BA" w14:textId="49085D90" w:rsidR="00F05F4E" w:rsidRPr="00C57D1F" w:rsidRDefault="00F05F4E" w:rsidP="00352B8A">
      <w:pPr>
        <w:ind w:left="450" w:hanging="450"/>
        <w:jc w:val="both"/>
        <w:rPr>
          <w:lang w:val="uk-UA"/>
        </w:rPr>
      </w:pPr>
      <w:r w:rsidRPr="00C57D1F">
        <w:rPr>
          <w:lang w:val="uk-UA"/>
        </w:rPr>
        <w:t>3.</w:t>
      </w:r>
      <w:r w:rsidR="00352B8A">
        <w:rPr>
          <w:lang w:val="uk-UA"/>
        </w:rPr>
        <w:tab/>
      </w:r>
      <w:r w:rsidRPr="00C57D1F">
        <w:rPr>
          <w:lang w:val="uk-UA"/>
        </w:rPr>
        <w:t xml:space="preserve"># - </w:t>
      </w:r>
      <w:r w:rsidRPr="00C57D1F">
        <w:rPr>
          <w:lang w:val="en-US"/>
        </w:rPr>
        <w:t>p</w:t>
      </w:r>
      <w:r w:rsidRPr="00C57D1F">
        <w:rPr>
          <w:lang w:val="uk-UA"/>
        </w:rPr>
        <w:t xml:space="preserve"> </w:t>
      </w:r>
      <w:r w:rsidRPr="00C57D1F">
        <w:rPr>
          <w:lang w:val="en-US"/>
        </w:rPr>
        <w:sym w:font="Symbol" w:char="F03C"/>
      </w:r>
      <w:r w:rsidRPr="00C57D1F">
        <w:rPr>
          <w:lang w:val="uk-UA"/>
        </w:rPr>
        <w:t xml:space="preserve"> 0,05 (статистично значуща різниця у порівнянні у порівнянні із референс-препаратом </w:t>
      </w:r>
      <w:r w:rsidR="00390008">
        <w:rPr>
          <w:lang w:val="uk-UA"/>
        </w:rPr>
        <w:t>ф</w:t>
      </w:r>
      <w:r w:rsidRPr="00C57D1F">
        <w:rPr>
          <w:lang w:val="uk-UA"/>
        </w:rPr>
        <w:t>абоматізолом).</w:t>
      </w:r>
    </w:p>
    <w:p w14:paraId="7A35CDC2" w14:textId="1F4F875A" w:rsidR="00F05F4E" w:rsidRPr="00C57D1F" w:rsidRDefault="00F05F4E" w:rsidP="00352B8A">
      <w:pPr>
        <w:ind w:left="450" w:hanging="450"/>
        <w:jc w:val="both"/>
        <w:rPr>
          <w:lang w:val="uk-UA"/>
        </w:rPr>
      </w:pPr>
      <w:r w:rsidRPr="00C57D1F">
        <w:rPr>
          <w:lang w:val="uk-UA"/>
        </w:rPr>
        <w:t>4.</w:t>
      </w:r>
      <w:r w:rsidR="00352B8A">
        <w:rPr>
          <w:lang w:val="uk-UA"/>
        </w:rPr>
        <w:tab/>
      </w:r>
      <w:r w:rsidRPr="00C57D1F">
        <w:rPr>
          <w:lang w:val="uk-UA"/>
        </w:rPr>
        <w:t xml:space="preserve">## - </w:t>
      </w:r>
      <w:r w:rsidRPr="00C57D1F">
        <w:rPr>
          <w:lang w:val="en-US"/>
        </w:rPr>
        <w:t>p</w:t>
      </w:r>
      <w:r w:rsidRPr="00C57D1F">
        <w:rPr>
          <w:lang w:val="uk-UA"/>
        </w:rPr>
        <w:t xml:space="preserve"> </w:t>
      </w:r>
      <w:r w:rsidRPr="00C57D1F">
        <w:rPr>
          <w:lang w:val="en-US"/>
        </w:rPr>
        <w:sym w:font="Symbol" w:char="F03C"/>
      </w:r>
      <w:r w:rsidRPr="00C57D1F">
        <w:rPr>
          <w:lang w:val="uk-UA"/>
        </w:rPr>
        <w:t xml:space="preserve"> 0,01 (статистично значуща різниця у порівнянні у порівнянні із референс-препаратом </w:t>
      </w:r>
      <w:r w:rsidR="00390008">
        <w:rPr>
          <w:lang w:val="uk-UA"/>
        </w:rPr>
        <w:t>ф</w:t>
      </w:r>
      <w:r w:rsidRPr="00C57D1F">
        <w:rPr>
          <w:lang w:val="uk-UA"/>
        </w:rPr>
        <w:t>абоматізолом).</w:t>
      </w:r>
    </w:p>
    <w:p w14:paraId="7D238289" w14:textId="4DE9D9A6" w:rsidR="00F05F4E" w:rsidRPr="00C57D1F" w:rsidRDefault="00F05F4E" w:rsidP="00352B8A">
      <w:pPr>
        <w:ind w:left="450" w:hanging="450"/>
        <w:jc w:val="both"/>
        <w:rPr>
          <w:rFonts w:eastAsia="Calibri"/>
        </w:rPr>
      </w:pPr>
      <w:r w:rsidRPr="00C57D1F">
        <w:rPr>
          <w:rFonts w:eastAsia="Calibri"/>
          <w:lang w:val="uk-UA"/>
        </w:rPr>
        <w:t>5.</w:t>
      </w:r>
      <w:r w:rsidR="00352B8A">
        <w:rPr>
          <w:rFonts w:eastAsia="Calibri"/>
          <w:lang w:val="uk-UA"/>
        </w:rPr>
        <w:tab/>
      </w:r>
      <w:r w:rsidRPr="00C57D1F">
        <w:rPr>
          <w:rFonts w:eastAsia="Calibri"/>
        </w:rPr>
        <w:t xml:space="preserve">n </w:t>
      </w:r>
      <w:r w:rsidRPr="00C57D1F">
        <w:t>–</w:t>
      </w:r>
      <w:r w:rsidRPr="00C57D1F">
        <w:rPr>
          <w:rFonts w:eastAsia="Calibri"/>
        </w:rPr>
        <w:t xml:space="preserve"> кількість тварин у групі.</w:t>
      </w:r>
    </w:p>
    <w:p w14:paraId="5653B3BC" w14:textId="78092C60" w:rsidR="00F05F4E" w:rsidRDefault="00F05F4E" w:rsidP="00352B8A">
      <w:pPr>
        <w:ind w:hanging="360"/>
        <w:jc w:val="both"/>
        <w:rPr>
          <w:rFonts w:eastAsia="Calibri"/>
        </w:rPr>
      </w:pPr>
    </w:p>
    <w:p w14:paraId="12F85F61" w14:textId="5D6FD37E" w:rsidR="0071066B" w:rsidRPr="008A6B7D" w:rsidRDefault="0071066B" w:rsidP="0071066B">
      <w:pPr>
        <w:spacing w:line="360" w:lineRule="auto"/>
        <w:ind w:firstLine="562"/>
        <w:jc w:val="both"/>
        <w:rPr>
          <w:rFonts w:eastAsia="Calibri"/>
          <w:color w:val="000000" w:themeColor="text1"/>
        </w:rPr>
      </w:pPr>
      <w:r w:rsidRPr="008A6B7D">
        <w:rPr>
          <w:color w:val="000000" w:themeColor="text1"/>
          <w:sz w:val="28"/>
          <w:szCs w:val="28"/>
          <w:lang w:val="uk-UA"/>
        </w:rPr>
        <w:t>Так, для комплексу ІІ вже через годину після початку тесту “ТСК” спостерігається різке збільшення часу перебування тварин у світлому відсіку камери, а саме на 47 с в порівнянні з контрольною групою, а для комплексу І на 30 с, відповідно.</w:t>
      </w:r>
    </w:p>
    <w:p w14:paraId="642317C6" w14:textId="67DC85DC" w:rsidR="00F05F4E" w:rsidRPr="008A6B7D" w:rsidRDefault="00F05F4E" w:rsidP="00F05F4E">
      <w:pPr>
        <w:pStyle w:val="a6"/>
        <w:spacing w:before="0" w:beforeAutospacing="0" w:after="0" w:afterAutospacing="0" w:line="360" w:lineRule="auto"/>
        <w:ind w:firstLine="562"/>
        <w:jc w:val="both"/>
        <w:rPr>
          <w:color w:val="000000" w:themeColor="text1"/>
          <w:sz w:val="28"/>
          <w:szCs w:val="28"/>
          <w:lang w:val="uk-UA"/>
        </w:rPr>
      </w:pPr>
      <w:r w:rsidRPr="008A6B7D">
        <w:rPr>
          <w:color w:val="000000" w:themeColor="text1"/>
          <w:sz w:val="28"/>
          <w:szCs w:val="28"/>
          <w:lang w:val="uk-UA"/>
        </w:rPr>
        <w:t>Анксиолітична активність комплексних сполук І і ІІ через три години після початку експерименту була співвставною із референс-препаратом фабоматізолом. Так, показники часу перебування у світлому відсіку становили 126 с для комплексу ІІ і 97 с для комплексу І. Тварини перебували у світлому відсіку камери і не проявляли тривожності, що свідчить про високу анксиолітичну активність комплексних сполук</w:t>
      </w:r>
      <w:r w:rsidRPr="008A6B7D">
        <w:rPr>
          <w:color w:val="000000" w:themeColor="text1"/>
          <w:sz w:val="28"/>
          <w:szCs w:val="28"/>
        </w:rPr>
        <w:t xml:space="preserve"> [</w:t>
      </w:r>
      <w:r w:rsidR="00112A09" w:rsidRPr="008A6B7D">
        <w:rPr>
          <w:color w:val="000000" w:themeColor="text1"/>
          <w:sz w:val="28"/>
          <w:szCs w:val="28"/>
        </w:rPr>
        <w:t>17</w:t>
      </w:r>
      <w:r w:rsidR="00B85935" w:rsidRPr="008A6B7D">
        <w:rPr>
          <w:color w:val="000000" w:themeColor="text1"/>
          <w:sz w:val="28"/>
          <w:szCs w:val="28"/>
        </w:rPr>
        <w:t>6</w:t>
      </w:r>
      <w:r w:rsidRPr="008A6B7D">
        <w:rPr>
          <w:color w:val="000000" w:themeColor="text1"/>
          <w:sz w:val="28"/>
          <w:szCs w:val="28"/>
        </w:rPr>
        <w:t>]</w:t>
      </w:r>
      <w:r w:rsidRPr="008A6B7D">
        <w:rPr>
          <w:color w:val="000000" w:themeColor="text1"/>
          <w:sz w:val="28"/>
          <w:szCs w:val="28"/>
          <w:lang w:val="uk-UA"/>
        </w:rPr>
        <w:t xml:space="preserve">. </w:t>
      </w:r>
    </w:p>
    <w:p w14:paraId="794D5213" w14:textId="65AD2027" w:rsidR="00F05F4E" w:rsidRPr="008A6B7D" w:rsidRDefault="00F05F4E" w:rsidP="00F05F4E">
      <w:pPr>
        <w:pStyle w:val="a6"/>
        <w:spacing w:before="0" w:beforeAutospacing="0" w:after="0" w:afterAutospacing="0" w:line="360" w:lineRule="auto"/>
        <w:ind w:firstLine="567"/>
        <w:jc w:val="both"/>
        <w:rPr>
          <w:color w:val="000000" w:themeColor="text1"/>
          <w:sz w:val="28"/>
          <w:szCs w:val="28"/>
          <w:lang w:val="uk-UA"/>
        </w:rPr>
      </w:pPr>
      <w:r w:rsidRPr="008A6B7D">
        <w:rPr>
          <w:color w:val="000000" w:themeColor="text1"/>
          <w:sz w:val="28"/>
          <w:szCs w:val="28"/>
          <w:lang w:val="uk-UA"/>
        </w:rPr>
        <w:t xml:space="preserve">Через 5 годин після початку експерименту тварини, яким вводили досліджувані комплексні сполуки, обирали темну камеру та практично не відвідували світлу. Дана реакція може бути пов’язана із накладенням ефектів </w:t>
      </w:r>
      <w:r w:rsidRPr="008A6B7D">
        <w:rPr>
          <w:color w:val="000000" w:themeColor="text1"/>
          <w:sz w:val="28"/>
          <w:szCs w:val="28"/>
          <w:lang w:val="uk-UA"/>
        </w:rPr>
        <w:lastRenderedPageBreak/>
        <w:t>комплексних сполук, а саме із проявом седації, яку можна було спостерігати у тварин</w:t>
      </w:r>
      <w:r w:rsidRPr="008A6B7D">
        <w:rPr>
          <w:color w:val="000000" w:themeColor="text1"/>
          <w:sz w:val="28"/>
          <w:szCs w:val="28"/>
        </w:rPr>
        <w:t xml:space="preserve"> [2</w:t>
      </w:r>
      <w:r w:rsidR="00FE60C3" w:rsidRPr="008A6B7D">
        <w:rPr>
          <w:color w:val="000000" w:themeColor="text1"/>
          <w:sz w:val="28"/>
          <w:szCs w:val="28"/>
          <w:lang w:val="uk-UA"/>
        </w:rPr>
        <w:t>43</w:t>
      </w:r>
      <w:r w:rsidRPr="008A6B7D">
        <w:rPr>
          <w:color w:val="000000" w:themeColor="text1"/>
          <w:sz w:val="28"/>
          <w:szCs w:val="28"/>
        </w:rPr>
        <w:t>]</w:t>
      </w:r>
      <w:r w:rsidRPr="008A6B7D">
        <w:rPr>
          <w:color w:val="000000" w:themeColor="text1"/>
          <w:sz w:val="28"/>
          <w:szCs w:val="28"/>
          <w:lang w:val="uk-UA"/>
        </w:rPr>
        <w:t xml:space="preserve">. Через 24 години після початку експерименту спостерігалась відсутність анксиолітичної активності референс-препарату. У той самий час обидві комплексні сполуки проявляли високу протитривожну активність, дані перевищували контрольні на 8 с та 27 с для комплексу І та ІІ, відповідно, що може свідчити про пролонгованість дії даних сполук. Примітно, що, вийшовши в світлий відсік тварини дуже пасивно досліджували простір і не демонстрували страху. Для виявлення внеску у анксиолітичну активність комплексних сполук І і ІІ лігандів, що входять до їх структури, було досліджено анксиолітичну дію таких сполук: саліцилова кислота, бензальдегід, 4-бромбензальдегид, саліцилоїлгідразони бензальдегіду і </w:t>
      </w:r>
      <w:r w:rsidR="00821BED">
        <w:rPr>
          <w:color w:val="000000" w:themeColor="text1"/>
          <w:sz w:val="28"/>
          <w:szCs w:val="28"/>
          <w:lang w:val="uk-UA"/>
        </w:rPr>
        <w:br/>
      </w:r>
      <w:r w:rsidRPr="008A6B7D">
        <w:rPr>
          <w:color w:val="000000" w:themeColor="text1"/>
          <w:sz w:val="28"/>
          <w:szCs w:val="28"/>
          <w:lang w:val="uk-UA"/>
        </w:rPr>
        <w:t xml:space="preserve">4-бромбензальдегіду та хлорид олова (ІІ) (табл. 6.3.1). </w:t>
      </w:r>
    </w:p>
    <w:p w14:paraId="265293D2" w14:textId="47439852" w:rsidR="00F05F4E" w:rsidRPr="00164C26" w:rsidRDefault="00F05F4E" w:rsidP="00F05F4E">
      <w:pPr>
        <w:widowControl w:val="0"/>
        <w:autoSpaceDE w:val="0"/>
        <w:autoSpaceDN w:val="0"/>
        <w:adjustRightInd w:val="0"/>
        <w:spacing w:line="360" w:lineRule="auto"/>
        <w:ind w:left="4956" w:firstLine="708"/>
        <w:jc w:val="right"/>
        <w:rPr>
          <w:sz w:val="28"/>
          <w:szCs w:val="28"/>
          <w:lang w:val="uk-UA"/>
        </w:rPr>
      </w:pPr>
      <w:r w:rsidRPr="00164C26">
        <w:rPr>
          <w:sz w:val="28"/>
          <w:szCs w:val="28"/>
          <w:lang w:val="uk-UA"/>
        </w:rPr>
        <w:t xml:space="preserve">Таблиця </w:t>
      </w:r>
      <w:r>
        <w:rPr>
          <w:sz w:val="28"/>
          <w:szCs w:val="28"/>
        </w:rPr>
        <w:t>6</w:t>
      </w:r>
      <w:r w:rsidRPr="00164C26">
        <w:rPr>
          <w:sz w:val="28"/>
          <w:szCs w:val="28"/>
          <w:lang w:val="uk-UA"/>
        </w:rPr>
        <w:t>.3.1</w:t>
      </w:r>
    </w:p>
    <w:p w14:paraId="48FDAEF0" w14:textId="1CA84055" w:rsidR="00F05F4E" w:rsidRPr="00164C26" w:rsidRDefault="00F05F4E" w:rsidP="00F05F4E">
      <w:pPr>
        <w:widowControl w:val="0"/>
        <w:autoSpaceDE w:val="0"/>
        <w:autoSpaceDN w:val="0"/>
        <w:adjustRightInd w:val="0"/>
        <w:spacing w:line="360" w:lineRule="auto"/>
        <w:jc w:val="center"/>
        <w:rPr>
          <w:b/>
          <w:sz w:val="28"/>
          <w:szCs w:val="28"/>
          <w:lang w:val="uk-UA"/>
        </w:rPr>
      </w:pPr>
      <w:r w:rsidRPr="00164C26">
        <w:rPr>
          <w:b/>
          <w:sz w:val="28"/>
          <w:szCs w:val="28"/>
          <w:lang w:val="uk-UA"/>
        </w:rPr>
        <w:t>Анксиолітична активність досліджуваних сполук при пероральному введенні у тесті ТСК, (М</w:t>
      </w:r>
      <w:r w:rsidRPr="00164C26">
        <w:rPr>
          <w:b/>
          <w:color w:val="4D5156"/>
          <w:sz w:val="28"/>
          <w:szCs w:val="28"/>
          <w:shd w:val="clear" w:color="auto" w:fill="FFFFFF"/>
          <w:lang w:val="uk-UA"/>
        </w:rPr>
        <w:t>±</w:t>
      </w:r>
      <w:r w:rsidRPr="00164C26">
        <w:rPr>
          <w:b/>
          <w:sz w:val="28"/>
          <w:szCs w:val="28"/>
          <w:lang w:val="en-US"/>
        </w:rPr>
        <w:t>m</w:t>
      </w:r>
      <w:r w:rsidRPr="00164C26">
        <w:rPr>
          <w:b/>
          <w:sz w:val="28"/>
          <w:szCs w:val="28"/>
          <w:lang w:val="uk-UA"/>
        </w:rPr>
        <w:t xml:space="preserve">, </w:t>
      </w:r>
      <w:r w:rsidRPr="00164C26">
        <w:rPr>
          <w:b/>
          <w:sz w:val="28"/>
          <w:szCs w:val="28"/>
          <w:lang w:val="en-US"/>
        </w:rPr>
        <w:t>n</w:t>
      </w:r>
      <w:r w:rsidRPr="00164C26">
        <w:rPr>
          <w:b/>
          <w:sz w:val="28"/>
          <w:szCs w:val="28"/>
          <w:lang w:val="uk-UA"/>
        </w:rPr>
        <w:t>=</w:t>
      </w:r>
      <w:r w:rsidRPr="00164C26">
        <w:rPr>
          <w:b/>
          <w:sz w:val="28"/>
          <w:szCs w:val="28"/>
        </w:rPr>
        <w:t>6</w:t>
      </w:r>
      <w:r w:rsidRPr="00164C26">
        <w:rPr>
          <w:b/>
          <w:sz w:val="28"/>
          <w:szCs w:val="28"/>
          <w:lang w:val="uk-UA"/>
        </w:rPr>
        <w:t>)</w:t>
      </w:r>
    </w:p>
    <w:tbl>
      <w:tblPr>
        <w:tblW w:w="93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618"/>
        <w:gridCol w:w="1661"/>
        <w:gridCol w:w="1861"/>
        <w:gridCol w:w="1840"/>
        <w:gridCol w:w="1878"/>
      </w:tblGrid>
      <w:tr w:rsidR="00F05F4E" w:rsidRPr="00F05F4E" w14:paraId="14224F75" w14:textId="77777777" w:rsidTr="00A50810">
        <w:trPr>
          <w:trHeight w:val="100"/>
        </w:trPr>
        <w:tc>
          <w:tcPr>
            <w:tcW w:w="540" w:type="dxa"/>
            <w:vMerge w:val="restart"/>
            <w:shd w:val="clear" w:color="auto" w:fill="auto"/>
            <w:vAlign w:val="center"/>
          </w:tcPr>
          <w:p w14:paraId="472D0A40" w14:textId="77777777" w:rsidR="00F05F4E" w:rsidRPr="00F05F4E" w:rsidRDefault="00F05F4E" w:rsidP="00A50810">
            <w:pPr>
              <w:widowControl w:val="0"/>
              <w:autoSpaceDE w:val="0"/>
              <w:autoSpaceDN w:val="0"/>
              <w:adjustRightInd w:val="0"/>
            </w:pPr>
            <w:r w:rsidRPr="00F05F4E">
              <w:t>№ гр</w:t>
            </w:r>
          </w:p>
        </w:tc>
        <w:tc>
          <w:tcPr>
            <w:tcW w:w="1618" w:type="dxa"/>
            <w:vMerge w:val="restart"/>
            <w:shd w:val="clear" w:color="auto" w:fill="auto"/>
            <w:vAlign w:val="center"/>
          </w:tcPr>
          <w:p w14:paraId="25EF03A8" w14:textId="77777777" w:rsidR="00F05F4E" w:rsidRPr="00F05F4E" w:rsidRDefault="00F05F4E" w:rsidP="00A50810">
            <w:pPr>
              <w:widowControl w:val="0"/>
              <w:autoSpaceDE w:val="0"/>
              <w:autoSpaceDN w:val="0"/>
              <w:adjustRightInd w:val="0"/>
              <w:spacing w:line="360" w:lineRule="auto"/>
            </w:pPr>
            <w:r w:rsidRPr="00F05F4E">
              <w:t>Сполука</w:t>
            </w:r>
          </w:p>
        </w:tc>
        <w:tc>
          <w:tcPr>
            <w:tcW w:w="7240" w:type="dxa"/>
            <w:gridSpan w:val="4"/>
            <w:shd w:val="clear" w:color="auto" w:fill="auto"/>
            <w:vAlign w:val="center"/>
          </w:tcPr>
          <w:p w14:paraId="5D6C05AB" w14:textId="7CA5ABF2" w:rsidR="00F05F4E" w:rsidRPr="00F05F4E" w:rsidRDefault="00F05F4E" w:rsidP="00A50810">
            <w:pPr>
              <w:widowControl w:val="0"/>
              <w:autoSpaceDE w:val="0"/>
              <w:autoSpaceDN w:val="0"/>
              <w:adjustRightInd w:val="0"/>
              <w:spacing w:line="360" w:lineRule="auto"/>
              <w:jc w:val="center"/>
              <w:rPr>
                <w:lang w:val="uk-UA"/>
              </w:rPr>
            </w:pPr>
            <w:r w:rsidRPr="00F05F4E">
              <w:rPr>
                <w:lang w:val="uk-UA"/>
              </w:rPr>
              <w:t>Час, проведений у світлому відсіку камери, с</w:t>
            </w:r>
          </w:p>
        </w:tc>
      </w:tr>
      <w:tr w:rsidR="00F05F4E" w:rsidRPr="00F05F4E" w14:paraId="4070C67F" w14:textId="77777777" w:rsidTr="00A50810">
        <w:trPr>
          <w:trHeight w:val="66"/>
        </w:trPr>
        <w:tc>
          <w:tcPr>
            <w:tcW w:w="540" w:type="dxa"/>
            <w:vMerge/>
            <w:shd w:val="clear" w:color="auto" w:fill="auto"/>
            <w:vAlign w:val="center"/>
          </w:tcPr>
          <w:p w14:paraId="034F0949" w14:textId="77777777" w:rsidR="00F05F4E" w:rsidRPr="00F05F4E" w:rsidRDefault="00F05F4E" w:rsidP="00A50810">
            <w:pPr>
              <w:widowControl w:val="0"/>
              <w:autoSpaceDE w:val="0"/>
              <w:autoSpaceDN w:val="0"/>
              <w:adjustRightInd w:val="0"/>
              <w:spacing w:line="360" w:lineRule="auto"/>
            </w:pPr>
          </w:p>
        </w:tc>
        <w:tc>
          <w:tcPr>
            <w:tcW w:w="1618" w:type="dxa"/>
            <w:vMerge/>
            <w:shd w:val="clear" w:color="auto" w:fill="auto"/>
            <w:vAlign w:val="center"/>
          </w:tcPr>
          <w:p w14:paraId="0A23D777" w14:textId="77777777" w:rsidR="00F05F4E" w:rsidRPr="00F05F4E" w:rsidRDefault="00F05F4E" w:rsidP="00A50810">
            <w:pPr>
              <w:widowControl w:val="0"/>
              <w:autoSpaceDE w:val="0"/>
              <w:autoSpaceDN w:val="0"/>
              <w:adjustRightInd w:val="0"/>
              <w:spacing w:line="360" w:lineRule="auto"/>
            </w:pPr>
          </w:p>
        </w:tc>
        <w:tc>
          <w:tcPr>
            <w:tcW w:w="1661" w:type="dxa"/>
            <w:shd w:val="clear" w:color="auto" w:fill="auto"/>
            <w:vAlign w:val="center"/>
          </w:tcPr>
          <w:p w14:paraId="1C0DAE93" w14:textId="77777777" w:rsidR="00F05F4E" w:rsidRPr="00F05F4E" w:rsidRDefault="00F05F4E" w:rsidP="00A50810">
            <w:pPr>
              <w:widowControl w:val="0"/>
              <w:autoSpaceDE w:val="0"/>
              <w:autoSpaceDN w:val="0"/>
              <w:adjustRightInd w:val="0"/>
              <w:spacing w:line="360" w:lineRule="auto"/>
              <w:jc w:val="center"/>
              <w:rPr>
                <w:lang w:val="uk-UA"/>
              </w:rPr>
            </w:pPr>
            <w:r w:rsidRPr="00F05F4E">
              <w:rPr>
                <w:lang w:val="uk-UA"/>
              </w:rPr>
              <w:t>1 год</w:t>
            </w:r>
          </w:p>
        </w:tc>
        <w:tc>
          <w:tcPr>
            <w:tcW w:w="1861" w:type="dxa"/>
            <w:shd w:val="clear" w:color="auto" w:fill="auto"/>
            <w:vAlign w:val="center"/>
          </w:tcPr>
          <w:p w14:paraId="53EF0CAB" w14:textId="77777777" w:rsidR="00F05F4E" w:rsidRPr="00F05F4E" w:rsidRDefault="00F05F4E" w:rsidP="00A50810">
            <w:pPr>
              <w:widowControl w:val="0"/>
              <w:autoSpaceDE w:val="0"/>
              <w:autoSpaceDN w:val="0"/>
              <w:adjustRightInd w:val="0"/>
              <w:spacing w:line="360" w:lineRule="auto"/>
              <w:jc w:val="center"/>
              <w:rPr>
                <w:lang w:val="uk-UA"/>
              </w:rPr>
            </w:pPr>
            <w:r w:rsidRPr="00F05F4E">
              <w:rPr>
                <w:lang w:val="en-US"/>
              </w:rPr>
              <w:t>3</w:t>
            </w:r>
            <w:r w:rsidRPr="00F05F4E">
              <w:rPr>
                <w:lang w:val="uk-UA"/>
              </w:rPr>
              <w:t xml:space="preserve"> год</w:t>
            </w:r>
          </w:p>
        </w:tc>
        <w:tc>
          <w:tcPr>
            <w:tcW w:w="1840" w:type="dxa"/>
            <w:shd w:val="clear" w:color="auto" w:fill="auto"/>
            <w:vAlign w:val="center"/>
          </w:tcPr>
          <w:p w14:paraId="14C5CD75" w14:textId="77777777" w:rsidR="00F05F4E" w:rsidRPr="00F05F4E" w:rsidRDefault="00F05F4E" w:rsidP="00A50810">
            <w:pPr>
              <w:widowControl w:val="0"/>
              <w:autoSpaceDE w:val="0"/>
              <w:autoSpaceDN w:val="0"/>
              <w:adjustRightInd w:val="0"/>
              <w:spacing w:line="360" w:lineRule="auto"/>
              <w:jc w:val="center"/>
              <w:rPr>
                <w:lang w:val="uk-UA"/>
              </w:rPr>
            </w:pPr>
            <w:r w:rsidRPr="00F05F4E">
              <w:rPr>
                <w:lang w:val="en-US"/>
              </w:rPr>
              <w:t>5</w:t>
            </w:r>
            <w:r w:rsidRPr="00F05F4E">
              <w:rPr>
                <w:lang w:val="uk-UA"/>
              </w:rPr>
              <w:t xml:space="preserve"> год</w:t>
            </w:r>
          </w:p>
        </w:tc>
        <w:tc>
          <w:tcPr>
            <w:tcW w:w="1878" w:type="dxa"/>
            <w:shd w:val="clear" w:color="auto" w:fill="auto"/>
            <w:vAlign w:val="center"/>
          </w:tcPr>
          <w:p w14:paraId="0367CEAF" w14:textId="77777777" w:rsidR="00F05F4E" w:rsidRPr="00F05F4E" w:rsidRDefault="00F05F4E" w:rsidP="00A50810">
            <w:pPr>
              <w:widowControl w:val="0"/>
              <w:autoSpaceDE w:val="0"/>
              <w:autoSpaceDN w:val="0"/>
              <w:adjustRightInd w:val="0"/>
              <w:spacing w:line="360" w:lineRule="auto"/>
              <w:jc w:val="center"/>
              <w:rPr>
                <w:lang w:val="uk-UA"/>
              </w:rPr>
            </w:pPr>
            <w:r w:rsidRPr="00F05F4E">
              <w:rPr>
                <w:lang w:val="en-US"/>
              </w:rPr>
              <w:t>2</w:t>
            </w:r>
            <w:r w:rsidRPr="00F05F4E">
              <w:rPr>
                <w:lang w:val="uk-UA"/>
              </w:rPr>
              <w:t>4 год</w:t>
            </w:r>
          </w:p>
        </w:tc>
      </w:tr>
      <w:tr w:rsidR="00F05F4E" w:rsidRPr="00F05F4E" w14:paraId="07B242F0" w14:textId="77777777" w:rsidTr="00A50810">
        <w:trPr>
          <w:trHeight w:val="169"/>
        </w:trPr>
        <w:tc>
          <w:tcPr>
            <w:tcW w:w="540" w:type="dxa"/>
            <w:shd w:val="clear" w:color="auto" w:fill="auto"/>
            <w:vAlign w:val="center"/>
          </w:tcPr>
          <w:p w14:paraId="417BD572"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1</w:t>
            </w:r>
          </w:p>
        </w:tc>
        <w:tc>
          <w:tcPr>
            <w:tcW w:w="1618" w:type="dxa"/>
            <w:shd w:val="clear" w:color="auto" w:fill="auto"/>
            <w:vAlign w:val="center"/>
          </w:tcPr>
          <w:p w14:paraId="46B8520D"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Контроль</w:t>
            </w:r>
          </w:p>
        </w:tc>
        <w:tc>
          <w:tcPr>
            <w:tcW w:w="1661" w:type="dxa"/>
            <w:shd w:val="clear" w:color="auto" w:fill="auto"/>
            <w:vAlign w:val="center"/>
          </w:tcPr>
          <w:p w14:paraId="28309C2F" w14:textId="77777777" w:rsidR="00F05F4E" w:rsidRPr="00F05F4E" w:rsidRDefault="00F05F4E" w:rsidP="00A50810">
            <w:pPr>
              <w:rPr>
                <w:color w:val="000000"/>
                <w:lang w:val="en-US"/>
              </w:rPr>
            </w:pPr>
            <w:r w:rsidRPr="00F05F4E">
              <w:rPr>
                <w:color w:val="000000"/>
                <w:lang w:val="uk-UA"/>
              </w:rPr>
              <w:t>58,1</w:t>
            </w:r>
            <w:r w:rsidRPr="00F05F4E">
              <w:rPr>
                <w:color w:val="000000"/>
              </w:rPr>
              <w:t xml:space="preserve"> ± 5,4</w:t>
            </w:r>
          </w:p>
        </w:tc>
        <w:tc>
          <w:tcPr>
            <w:tcW w:w="1861" w:type="dxa"/>
            <w:shd w:val="clear" w:color="auto" w:fill="auto"/>
            <w:vAlign w:val="center"/>
          </w:tcPr>
          <w:p w14:paraId="6BE47A48" w14:textId="77777777" w:rsidR="00F05F4E" w:rsidRPr="00F05F4E" w:rsidRDefault="00F05F4E" w:rsidP="00A50810">
            <w:pPr>
              <w:rPr>
                <w:color w:val="000000"/>
              </w:rPr>
            </w:pPr>
            <w:r w:rsidRPr="00F05F4E">
              <w:rPr>
                <w:color w:val="000000"/>
                <w:lang w:val="uk-UA"/>
              </w:rPr>
              <w:t>58,1</w:t>
            </w:r>
            <w:r w:rsidRPr="00F05F4E">
              <w:rPr>
                <w:color w:val="000000"/>
              </w:rPr>
              <w:t xml:space="preserve"> ± 5,4</w:t>
            </w:r>
          </w:p>
        </w:tc>
        <w:tc>
          <w:tcPr>
            <w:tcW w:w="1840" w:type="dxa"/>
            <w:shd w:val="clear" w:color="auto" w:fill="auto"/>
            <w:vAlign w:val="center"/>
          </w:tcPr>
          <w:p w14:paraId="373419BD" w14:textId="77777777" w:rsidR="00F05F4E" w:rsidRPr="00F05F4E" w:rsidRDefault="00F05F4E" w:rsidP="00A50810">
            <w:pPr>
              <w:rPr>
                <w:color w:val="000000"/>
              </w:rPr>
            </w:pPr>
            <w:r w:rsidRPr="00F05F4E">
              <w:rPr>
                <w:color w:val="000000"/>
                <w:lang w:val="uk-UA"/>
              </w:rPr>
              <w:t>58,1</w:t>
            </w:r>
            <w:r w:rsidRPr="00F05F4E">
              <w:rPr>
                <w:color w:val="000000"/>
              </w:rPr>
              <w:t>± 5,4</w:t>
            </w:r>
          </w:p>
        </w:tc>
        <w:tc>
          <w:tcPr>
            <w:tcW w:w="1878" w:type="dxa"/>
            <w:shd w:val="clear" w:color="auto" w:fill="auto"/>
            <w:vAlign w:val="center"/>
          </w:tcPr>
          <w:p w14:paraId="64CC2B9E" w14:textId="77777777" w:rsidR="00F05F4E" w:rsidRPr="00F05F4E" w:rsidRDefault="00F05F4E" w:rsidP="00A50810">
            <w:pPr>
              <w:rPr>
                <w:color w:val="000000"/>
              </w:rPr>
            </w:pPr>
            <w:r w:rsidRPr="00F05F4E">
              <w:rPr>
                <w:color w:val="000000"/>
                <w:lang w:val="uk-UA"/>
              </w:rPr>
              <w:t>58,1</w:t>
            </w:r>
            <w:r w:rsidRPr="00F05F4E">
              <w:rPr>
                <w:color w:val="000000"/>
              </w:rPr>
              <w:t xml:space="preserve"> ± 5,4</w:t>
            </w:r>
          </w:p>
        </w:tc>
      </w:tr>
      <w:tr w:rsidR="00F05F4E" w:rsidRPr="00F05F4E" w14:paraId="01DAACBE" w14:textId="77777777" w:rsidTr="00A50810">
        <w:trPr>
          <w:trHeight w:val="100"/>
        </w:trPr>
        <w:tc>
          <w:tcPr>
            <w:tcW w:w="540" w:type="dxa"/>
            <w:shd w:val="clear" w:color="auto" w:fill="auto"/>
            <w:vAlign w:val="center"/>
          </w:tcPr>
          <w:p w14:paraId="5CBEB24C"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2</w:t>
            </w:r>
          </w:p>
        </w:tc>
        <w:tc>
          <w:tcPr>
            <w:tcW w:w="1618" w:type="dxa"/>
            <w:shd w:val="clear" w:color="auto" w:fill="auto"/>
            <w:vAlign w:val="center"/>
          </w:tcPr>
          <w:p w14:paraId="1ACB07E5" w14:textId="77777777" w:rsidR="00F05F4E" w:rsidRPr="00F05F4E" w:rsidRDefault="00F05F4E" w:rsidP="00A50810">
            <w:pPr>
              <w:widowControl w:val="0"/>
              <w:autoSpaceDE w:val="0"/>
              <w:autoSpaceDN w:val="0"/>
              <w:adjustRightInd w:val="0"/>
              <w:spacing w:line="360" w:lineRule="auto"/>
              <w:rPr>
                <w:lang w:val="uk-UA"/>
              </w:rPr>
            </w:pPr>
            <w:r w:rsidRPr="00F05F4E">
              <w:rPr>
                <w:color w:val="000000"/>
                <w:lang w:val="uk-UA"/>
              </w:rPr>
              <w:t>Ф</w:t>
            </w:r>
            <w:r w:rsidRPr="00F05F4E">
              <w:rPr>
                <w:color w:val="000000"/>
              </w:rPr>
              <w:t>абомот</w:t>
            </w:r>
            <w:r w:rsidRPr="00F05F4E">
              <w:rPr>
                <w:color w:val="000000"/>
                <w:lang w:val="uk-UA"/>
              </w:rPr>
              <w:t>і</w:t>
            </w:r>
            <w:r w:rsidRPr="00F05F4E">
              <w:rPr>
                <w:color w:val="000000"/>
              </w:rPr>
              <w:t>зо</w:t>
            </w:r>
            <w:r w:rsidRPr="00F05F4E">
              <w:rPr>
                <w:color w:val="000000"/>
                <w:lang w:val="uk-UA"/>
              </w:rPr>
              <w:t>л</w:t>
            </w:r>
          </w:p>
        </w:tc>
        <w:tc>
          <w:tcPr>
            <w:tcW w:w="1661" w:type="dxa"/>
            <w:shd w:val="clear" w:color="auto" w:fill="auto"/>
            <w:vAlign w:val="center"/>
          </w:tcPr>
          <w:p w14:paraId="79FAA073" w14:textId="77777777" w:rsidR="00F05F4E" w:rsidRPr="00F05F4E" w:rsidRDefault="00F05F4E" w:rsidP="00A50810">
            <w:pPr>
              <w:rPr>
                <w:color w:val="000000"/>
                <w:lang w:val="en-US"/>
              </w:rPr>
            </w:pPr>
            <w:r w:rsidRPr="00F05F4E">
              <w:rPr>
                <w:color w:val="000000"/>
                <w:lang w:val="uk-UA"/>
              </w:rPr>
              <w:t xml:space="preserve">68,2 </w:t>
            </w:r>
            <w:r w:rsidRPr="00F05F4E">
              <w:rPr>
                <w:color w:val="000000"/>
              </w:rPr>
              <w:t>± 3</w:t>
            </w:r>
            <w:r w:rsidRPr="00F05F4E">
              <w:rPr>
                <w:color w:val="000000"/>
                <w:lang w:val="en-US"/>
              </w:rPr>
              <w:t>,</w:t>
            </w:r>
            <w:r w:rsidRPr="00F05F4E">
              <w:rPr>
                <w:color w:val="000000"/>
              </w:rPr>
              <w:t>8</w:t>
            </w:r>
          </w:p>
        </w:tc>
        <w:tc>
          <w:tcPr>
            <w:tcW w:w="1861" w:type="dxa"/>
            <w:shd w:val="clear" w:color="auto" w:fill="auto"/>
            <w:vAlign w:val="center"/>
          </w:tcPr>
          <w:p w14:paraId="1EEA47D4" w14:textId="77777777" w:rsidR="00F05F4E" w:rsidRPr="00F05F4E" w:rsidRDefault="00F05F4E" w:rsidP="00A50810">
            <w:pPr>
              <w:widowControl w:val="0"/>
              <w:autoSpaceDE w:val="0"/>
              <w:autoSpaceDN w:val="0"/>
              <w:adjustRightInd w:val="0"/>
              <w:spacing w:line="360" w:lineRule="auto"/>
              <w:rPr>
                <w:color w:val="000000"/>
              </w:rPr>
            </w:pPr>
            <w:r w:rsidRPr="00F05F4E">
              <w:rPr>
                <w:color w:val="000000"/>
              </w:rPr>
              <w:t>90,2</w:t>
            </w:r>
            <w:r w:rsidRPr="00F05F4E">
              <w:rPr>
                <w:color w:val="000000"/>
                <w:lang w:val="uk-UA"/>
              </w:rPr>
              <w:t xml:space="preserve"> </w:t>
            </w:r>
            <w:r w:rsidRPr="00F05F4E">
              <w:rPr>
                <w:color w:val="000000"/>
              </w:rPr>
              <w:t>±</w:t>
            </w:r>
            <w:r w:rsidRPr="00F05F4E">
              <w:rPr>
                <w:color w:val="000000"/>
                <w:lang w:val="uk-UA"/>
              </w:rPr>
              <w:t xml:space="preserve"> 1</w:t>
            </w:r>
            <w:r w:rsidRPr="00F05F4E">
              <w:rPr>
                <w:color w:val="000000"/>
              </w:rPr>
              <w:t>1</w:t>
            </w:r>
            <w:r w:rsidRPr="00F05F4E">
              <w:rPr>
                <w:color w:val="000000"/>
                <w:lang w:val="en-US"/>
              </w:rPr>
              <w:t>,</w:t>
            </w:r>
            <w:r w:rsidRPr="00F05F4E">
              <w:rPr>
                <w:color w:val="000000"/>
              </w:rPr>
              <w:t>5</w:t>
            </w:r>
          </w:p>
        </w:tc>
        <w:tc>
          <w:tcPr>
            <w:tcW w:w="1840" w:type="dxa"/>
            <w:shd w:val="clear" w:color="auto" w:fill="auto"/>
            <w:vAlign w:val="center"/>
          </w:tcPr>
          <w:p w14:paraId="1CD240CC" w14:textId="77777777" w:rsidR="00F05F4E" w:rsidRPr="00F05F4E" w:rsidRDefault="00F05F4E" w:rsidP="00A50810">
            <w:pPr>
              <w:widowControl w:val="0"/>
              <w:autoSpaceDE w:val="0"/>
              <w:autoSpaceDN w:val="0"/>
              <w:adjustRightInd w:val="0"/>
              <w:spacing w:line="360" w:lineRule="auto"/>
              <w:rPr>
                <w:color w:val="000000"/>
                <w:lang w:val="en-US"/>
              </w:rPr>
            </w:pPr>
            <w:r w:rsidRPr="00F05F4E">
              <w:rPr>
                <w:color w:val="000000"/>
                <w:lang w:val="en-US"/>
              </w:rPr>
              <w:t>1</w:t>
            </w:r>
            <w:r w:rsidRPr="00F05F4E">
              <w:rPr>
                <w:color w:val="000000"/>
              </w:rPr>
              <w:t>14,0±</w:t>
            </w:r>
            <w:r w:rsidRPr="00F05F4E">
              <w:rPr>
                <w:color w:val="000000"/>
                <w:lang w:val="en-US"/>
              </w:rPr>
              <w:t>1</w:t>
            </w:r>
            <w:r w:rsidRPr="00F05F4E">
              <w:rPr>
                <w:color w:val="000000"/>
              </w:rPr>
              <w:t>2</w:t>
            </w:r>
            <w:r w:rsidRPr="00F05F4E">
              <w:rPr>
                <w:color w:val="000000"/>
                <w:lang w:val="en-US"/>
              </w:rPr>
              <w:t>,</w:t>
            </w:r>
            <w:r w:rsidRPr="00F05F4E">
              <w:rPr>
                <w:color w:val="000000"/>
              </w:rPr>
              <w:t>7</w:t>
            </w:r>
            <w:r w:rsidRPr="00F05F4E">
              <w:rPr>
                <w:color w:val="000000"/>
                <w:lang w:val="en-US"/>
              </w:rPr>
              <w:t xml:space="preserve"> **</w:t>
            </w:r>
          </w:p>
        </w:tc>
        <w:tc>
          <w:tcPr>
            <w:tcW w:w="1878" w:type="dxa"/>
            <w:shd w:val="clear" w:color="auto" w:fill="auto"/>
            <w:vAlign w:val="center"/>
          </w:tcPr>
          <w:p w14:paraId="490C8F1A" w14:textId="77777777" w:rsidR="00F05F4E" w:rsidRPr="00F05F4E" w:rsidRDefault="00F05F4E" w:rsidP="00A50810">
            <w:pPr>
              <w:widowControl w:val="0"/>
              <w:autoSpaceDE w:val="0"/>
              <w:autoSpaceDN w:val="0"/>
              <w:adjustRightInd w:val="0"/>
              <w:spacing w:line="360" w:lineRule="auto"/>
              <w:rPr>
                <w:color w:val="000000"/>
                <w:lang w:val="en-US"/>
              </w:rPr>
            </w:pPr>
            <w:r w:rsidRPr="00F05F4E">
              <w:rPr>
                <w:color w:val="000000"/>
              </w:rPr>
              <w:t>50,8</w:t>
            </w:r>
            <w:r w:rsidRPr="00F05F4E">
              <w:rPr>
                <w:color w:val="000000"/>
                <w:lang w:val="en-US"/>
              </w:rPr>
              <w:t xml:space="preserve"> </w:t>
            </w:r>
            <w:r w:rsidRPr="00F05F4E">
              <w:rPr>
                <w:color w:val="000000"/>
              </w:rPr>
              <w:t>±</w:t>
            </w:r>
            <w:r w:rsidRPr="00F05F4E">
              <w:rPr>
                <w:color w:val="000000"/>
                <w:lang w:val="en-US"/>
              </w:rPr>
              <w:t xml:space="preserve"> </w:t>
            </w:r>
            <w:r w:rsidRPr="00F05F4E">
              <w:rPr>
                <w:color w:val="000000"/>
              </w:rPr>
              <w:t>8</w:t>
            </w:r>
            <w:r w:rsidRPr="00F05F4E">
              <w:rPr>
                <w:color w:val="000000"/>
                <w:lang w:val="en-US"/>
              </w:rPr>
              <w:t>,</w:t>
            </w:r>
            <w:r w:rsidRPr="00F05F4E">
              <w:rPr>
                <w:color w:val="000000"/>
              </w:rPr>
              <w:t>0</w:t>
            </w:r>
          </w:p>
        </w:tc>
      </w:tr>
      <w:tr w:rsidR="00F05F4E" w:rsidRPr="00F05F4E" w14:paraId="13BFACC1" w14:textId="77777777" w:rsidTr="00A50810">
        <w:trPr>
          <w:trHeight w:val="333"/>
        </w:trPr>
        <w:tc>
          <w:tcPr>
            <w:tcW w:w="540" w:type="dxa"/>
            <w:shd w:val="clear" w:color="auto" w:fill="auto"/>
            <w:vAlign w:val="center"/>
          </w:tcPr>
          <w:p w14:paraId="3D21B5C3"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3</w:t>
            </w:r>
          </w:p>
        </w:tc>
        <w:tc>
          <w:tcPr>
            <w:tcW w:w="1618" w:type="dxa"/>
            <w:shd w:val="clear" w:color="auto" w:fill="auto"/>
            <w:vAlign w:val="center"/>
          </w:tcPr>
          <w:p w14:paraId="5146D148"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БА</w:t>
            </w:r>
          </w:p>
        </w:tc>
        <w:tc>
          <w:tcPr>
            <w:tcW w:w="1661" w:type="dxa"/>
            <w:shd w:val="clear" w:color="auto" w:fill="auto"/>
            <w:vAlign w:val="center"/>
          </w:tcPr>
          <w:p w14:paraId="24D7A707" w14:textId="77777777" w:rsidR="00F05F4E" w:rsidRPr="00F05F4E" w:rsidRDefault="00F05F4E" w:rsidP="00A50810">
            <w:pPr>
              <w:rPr>
                <w:color w:val="000000"/>
                <w:lang w:val="en-US"/>
              </w:rPr>
            </w:pPr>
            <w:r w:rsidRPr="00F05F4E">
              <w:rPr>
                <w:color w:val="000000"/>
              </w:rPr>
              <w:t>47,0 ± 1,7</w:t>
            </w:r>
            <w:r w:rsidRPr="00F05F4E">
              <w:rPr>
                <w:vertAlign w:val="superscript"/>
                <w:lang w:val="en-US"/>
              </w:rPr>
              <w:t>#</w:t>
            </w:r>
          </w:p>
        </w:tc>
        <w:tc>
          <w:tcPr>
            <w:tcW w:w="1861" w:type="dxa"/>
            <w:shd w:val="clear" w:color="auto" w:fill="auto"/>
            <w:vAlign w:val="center"/>
          </w:tcPr>
          <w:p w14:paraId="002F724A" w14:textId="77777777" w:rsidR="00F05F4E" w:rsidRPr="00F05F4E" w:rsidRDefault="00F05F4E" w:rsidP="00A50810">
            <w:pPr>
              <w:widowControl w:val="0"/>
              <w:autoSpaceDE w:val="0"/>
              <w:autoSpaceDN w:val="0"/>
              <w:adjustRightInd w:val="0"/>
              <w:spacing w:line="360" w:lineRule="auto"/>
              <w:rPr>
                <w:lang w:val="en-US"/>
              </w:rPr>
            </w:pPr>
            <w:r w:rsidRPr="00F05F4E">
              <w:rPr>
                <w:color w:val="000000"/>
              </w:rPr>
              <w:t>23,5 ± 3,1</w:t>
            </w:r>
            <w:r w:rsidRPr="00F05F4E">
              <w:rPr>
                <w:vertAlign w:val="superscript"/>
                <w:lang w:val="en-US"/>
              </w:rPr>
              <w:t>##</w:t>
            </w:r>
          </w:p>
        </w:tc>
        <w:tc>
          <w:tcPr>
            <w:tcW w:w="1840" w:type="dxa"/>
            <w:shd w:val="clear" w:color="auto" w:fill="auto"/>
            <w:vAlign w:val="center"/>
          </w:tcPr>
          <w:p w14:paraId="374043F2" w14:textId="77777777" w:rsidR="00F05F4E" w:rsidRPr="00F05F4E" w:rsidRDefault="00F05F4E" w:rsidP="00A50810">
            <w:pPr>
              <w:widowControl w:val="0"/>
              <w:autoSpaceDE w:val="0"/>
              <w:autoSpaceDN w:val="0"/>
              <w:adjustRightInd w:val="0"/>
              <w:spacing w:line="360" w:lineRule="auto"/>
            </w:pPr>
            <w:r w:rsidRPr="00F05F4E">
              <w:rPr>
                <w:color w:val="000000"/>
              </w:rPr>
              <w:t>71,4 ± 5,4</w:t>
            </w:r>
          </w:p>
        </w:tc>
        <w:tc>
          <w:tcPr>
            <w:tcW w:w="1878" w:type="dxa"/>
            <w:shd w:val="clear" w:color="auto" w:fill="auto"/>
            <w:vAlign w:val="center"/>
          </w:tcPr>
          <w:p w14:paraId="377B6432" w14:textId="77777777" w:rsidR="00F05F4E" w:rsidRPr="00F05F4E" w:rsidRDefault="00F05F4E" w:rsidP="00A50810">
            <w:pPr>
              <w:widowControl w:val="0"/>
              <w:autoSpaceDE w:val="0"/>
              <w:autoSpaceDN w:val="0"/>
              <w:adjustRightInd w:val="0"/>
              <w:spacing w:line="360" w:lineRule="auto"/>
              <w:rPr>
                <w:lang w:val="en-US"/>
              </w:rPr>
            </w:pPr>
            <w:r w:rsidRPr="00F05F4E">
              <w:rPr>
                <w:color w:val="000000"/>
              </w:rPr>
              <w:t>74,4 ± 3,5</w:t>
            </w:r>
            <w:r w:rsidRPr="00F05F4E">
              <w:rPr>
                <w:vertAlign w:val="superscript"/>
                <w:lang w:val="en-US"/>
              </w:rPr>
              <w:t>#</w:t>
            </w:r>
          </w:p>
        </w:tc>
      </w:tr>
      <w:tr w:rsidR="00F05F4E" w:rsidRPr="00F05F4E" w14:paraId="754B5626" w14:textId="77777777" w:rsidTr="00A50810">
        <w:trPr>
          <w:trHeight w:val="333"/>
        </w:trPr>
        <w:tc>
          <w:tcPr>
            <w:tcW w:w="540" w:type="dxa"/>
            <w:shd w:val="clear" w:color="auto" w:fill="auto"/>
            <w:vAlign w:val="center"/>
          </w:tcPr>
          <w:p w14:paraId="3B5332BE"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4</w:t>
            </w:r>
          </w:p>
        </w:tc>
        <w:tc>
          <w:tcPr>
            <w:tcW w:w="1618" w:type="dxa"/>
            <w:shd w:val="clear" w:color="auto" w:fill="auto"/>
            <w:vAlign w:val="center"/>
          </w:tcPr>
          <w:p w14:paraId="01CE7992"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4-брБА</w:t>
            </w:r>
          </w:p>
        </w:tc>
        <w:tc>
          <w:tcPr>
            <w:tcW w:w="1661" w:type="dxa"/>
            <w:shd w:val="clear" w:color="auto" w:fill="auto"/>
            <w:vAlign w:val="center"/>
          </w:tcPr>
          <w:p w14:paraId="691A81A5" w14:textId="77777777" w:rsidR="00F05F4E" w:rsidRPr="00F05F4E" w:rsidRDefault="00F05F4E" w:rsidP="00A50810">
            <w:pPr>
              <w:rPr>
                <w:color w:val="000000"/>
              </w:rPr>
            </w:pPr>
            <w:r w:rsidRPr="00F05F4E">
              <w:rPr>
                <w:color w:val="000000"/>
              </w:rPr>
              <w:t>93,3 ± 3,1</w:t>
            </w:r>
            <w:r w:rsidRPr="00F05F4E">
              <w:rPr>
                <w:vertAlign w:val="superscript"/>
              </w:rPr>
              <w:sym w:font="Symbol" w:char="F0B7"/>
            </w:r>
            <w:r w:rsidRPr="00F05F4E">
              <w:rPr>
                <w:vertAlign w:val="superscript"/>
              </w:rPr>
              <w:sym w:font="Symbol" w:char="F0B7"/>
            </w:r>
          </w:p>
        </w:tc>
        <w:tc>
          <w:tcPr>
            <w:tcW w:w="1861" w:type="dxa"/>
            <w:shd w:val="clear" w:color="auto" w:fill="auto"/>
            <w:vAlign w:val="center"/>
          </w:tcPr>
          <w:p w14:paraId="38EC8C35" w14:textId="77777777" w:rsidR="00F05F4E" w:rsidRPr="00F05F4E" w:rsidRDefault="00F05F4E" w:rsidP="00A50810">
            <w:pPr>
              <w:rPr>
                <w:color w:val="000000"/>
              </w:rPr>
            </w:pPr>
            <w:r w:rsidRPr="00F05F4E">
              <w:rPr>
                <w:color w:val="000000"/>
              </w:rPr>
              <w:t>67,4 ± 0,5</w:t>
            </w:r>
            <w:r w:rsidRPr="00F05F4E">
              <w:rPr>
                <w:color w:val="000000"/>
                <w:lang w:val="en-US"/>
              </w:rPr>
              <w:t>*,</w:t>
            </w:r>
            <w:r w:rsidRPr="00F05F4E">
              <w:rPr>
                <w:vertAlign w:val="superscript"/>
                <w:lang w:val="en-US"/>
              </w:rPr>
              <w:t>#</w:t>
            </w:r>
          </w:p>
        </w:tc>
        <w:tc>
          <w:tcPr>
            <w:tcW w:w="1840" w:type="dxa"/>
            <w:shd w:val="clear" w:color="auto" w:fill="auto"/>
            <w:vAlign w:val="center"/>
          </w:tcPr>
          <w:p w14:paraId="65CBA1FF" w14:textId="77777777" w:rsidR="00F05F4E" w:rsidRPr="00F05F4E" w:rsidRDefault="00F05F4E" w:rsidP="00A50810">
            <w:pPr>
              <w:rPr>
                <w:color w:val="000000"/>
              </w:rPr>
            </w:pPr>
            <w:r w:rsidRPr="00F05F4E">
              <w:rPr>
                <w:color w:val="000000"/>
              </w:rPr>
              <w:t>67,4 ± 0,6</w:t>
            </w:r>
            <w:r w:rsidRPr="00F05F4E">
              <w:rPr>
                <w:color w:val="000000"/>
                <w:lang w:val="en-US"/>
              </w:rPr>
              <w:t>*,</w:t>
            </w:r>
            <w:r w:rsidRPr="00F05F4E">
              <w:rPr>
                <w:vertAlign w:val="superscript"/>
                <w:lang w:val="en-US"/>
              </w:rPr>
              <w:t>##</w:t>
            </w:r>
          </w:p>
        </w:tc>
        <w:tc>
          <w:tcPr>
            <w:tcW w:w="1878" w:type="dxa"/>
            <w:shd w:val="clear" w:color="auto" w:fill="auto"/>
            <w:vAlign w:val="center"/>
          </w:tcPr>
          <w:p w14:paraId="50129E2F" w14:textId="77777777" w:rsidR="00F05F4E" w:rsidRPr="00F05F4E" w:rsidRDefault="00F05F4E" w:rsidP="00A50810">
            <w:pPr>
              <w:rPr>
                <w:color w:val="000000"/>
                <w:lang w:val="en-US"/>
              </w:rPr>
            </w:pPr>
            <w:r w:rsidRPr="00F05F4E">
              <w:rPr>
                <w:color w:val="000000"/>
              </w:rPr>
              <w:t>156 ± 4,0</w:t>
            </w:r>
            <w:r w:rsidRPr="00F05F4E">
              <w:rPr>
                <w:color w:val="000000"/>
                <w:lang w:val="en-US"/>
              </w:rPr>
              <w:t>**,</w:t>
            </w:r>
            <w:r w:rsidRPr="00F05F4E">
              <w:rPr>
                <w:vertAlign w:val="superscript"/>
                <w:lang w:val="en-US"/>
              </w:rPr>
              <w:t>##</w:t>
            </w:r>
          </w:p>
        </w:tc>
      </w:tr>
      <w:tr w:rsidR="00F05F4E" w:rsidRPr="00F05F4E" w14:paraId="1F6ADB12" w14:textId="77777777" w:rsidTr="00A50810">
        <w:trPr>
          <w:trHeight w:val="290"/>
        </w:trPr>
        <w:tc>
          <w:tcPr>
            <w:tcW w:w="540" w:type="dxa"/>
            <w:shd w:val="clear" w:color="auto" w:fill="auto"/>
            <w:vAlign w:val="center"/>
          </w:tcPr>
          <w:p w14:paraId="6634F147"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5</w:t>
            </w:r>
          </w:p>
        </w:tc>
        <w:tc>
          <w:tcPr>
            <w:tcW w:w="1618" w:type="dxa"/>
            <w:shd w:val="clear" w:color="auto" w:fill="auto"/>
            <w:vAlign w:val="center"/>
          </w:tcPr>
          <w:p w14:paraId="18192C34"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СГбрБА</w:t>
            </w:r>
          </w:p>
        </w:tc>
        <w:tc>
          <w:tcPr>
            <w:tcW w:w="1661" w:type="dxa"/>
            <w:shd w:val="clear" w:color="auto" w:fill="auto"/>
            <w:vAlign w:val="center"/>
          </w:tcPr>
          <w:p w14:paraId="18C18097" w14:textId="77777777" w:rsidR="00F05F4E" w:rsidRPr="00F05F4E" w:rsidRDefault="00F05F4E" w:rsidP="00A50810">
            <w:pPr>
              <w:rPr>
                <w:color w:val="000000"/>
              </w:rPr>
            </w:pPr>
            <w:r w:rsidRPr="00F05F4E">
              <w:rPr>
                <w:color w:val="000000"/>
              </w:rPr>
              <w:t>162 ± 4,3</w:t>
            </w:r>
            <w:r w:rsidRPr="00F05F4E">
              <w:rPr>
                <w:color w:val="000000"/>
                <w:vertAlign w:val="superscript"/>
                <w:lang w:val="en-US"/>
              </w:rPr>
              <w:t>**,</w:t>
            </w:r>
            <w:r w:rsidRPr="00F05F4E">
              <w:rPr>
                <w:vertAlign w:val="superscript"/>
                <w:lang w:val="en-US"/>
              </w:rPr>
              <w:t>##</w:t>
            </w:r>
          </w:p>
        </w:tc>
        <w:tc>
          <w:tcPr>
            <w:tcW w:w="1861" w:type="dxa"/>
            <w:shd w:val="clear" w:color="auto" w:fill="auto"/>
            <w:vAlign w:val="center"/>
          </w:tcPr>
          <w:p w14:paraId="526ECF16" w14:textId="77777777" w:rsidR="00F05F4E" w:rsidRPr="00F05F4E" w:rsidRDefault="00F05F4E" w:rsidP="00A50810">
            <w:pPr>
              <w:rPr>
                <w:color w:val="000000"/>
              </w:rPr>
            </w:pPr>
            <w:r w:rsidRPr="00F05F4E">
              <w:rPr>
                <w:color w:val="000000"/>
              </w:rPr>
              <w:t>132 ± 4,3</w:t>
            </w:r>
            <w:r w:rsidRPr="00F05F4E">
              <w:rPr>
                <w:color w:val="000000"/>
                <w:lang w:val="en-US"/>
              </w:rPr>
              <w:t xml:space="preserve">** </w:t>
            </w:r>
          </w:p>
        </w:tc>
        <w:tc>
          <w:tcPr>
            <w:tcW w:w="1840" w:type="dxa"/>
            <w:shd w:val="clear" w:color="auto" w:fill="auto"/>
            <w:vAlign w:val="center"/>
          </w:tcPr>
          <w:p w14:paraId="000B5B9C" w14:textId="77777777" w:rsidR="00F05F4E" w:rsidRPr="00F05F4E" w:rsidRDefault="00F05F4E" w:rsidP="00A50810">
            <w:pPr>
              <w:rPr>
                <w:color w:val="000000"/>
              </w:rPr>
            </w:pPr>
            <w:r w:rsidRPr="00F05F4E">
              <w:rPr>
                <w:color w:val="000000"/>
              </w:rPr>
              <w:t xml:space="preserve">129,0 ± 4,0 </w:t>
            </w:r>
            <w:r w:rsidRPr="00F05F4E">
              <w:rPr>
                <w:color w:val="000000"/>
                <w:vertAlign w:val="superscript"/>
                <w:lang w:val="en-US"/>
              </w:rPr>
              <w:t>**,</w:t>
            </w:r>
            <w:r w:rsidRPr="00F05F4E">
              <w:rPr>
                <w:vertAlign w:val="superscript"/>
                <w:lang w:val="en-US"/>
              </w:rPr>
              <w:t>##</w:t>
            </w:r>
          </w:p>
        </w:tc>
        <w:tc>
          <w:tcPr>
            <w:tcW w:w="1878" w:type="dxa"/>
            <w:shd w:val="clear" w:color="auto" w:fill="auto"/>
            <w:vAlign w:val="center"/>
          </w:tcPr>
          <w:p w14:paraId="4EC61044" w14:textId="77777777" w:rsidR="00F05F4E" w:rsidRPr="00F05F4E" w:rsidRDefault="00F05F4E" w:rsidP="00A50810">
            <w:pPr>
              <w:widowControl w:val="0"/>
              <w:autoSpaceDE w:val="0"/>
              <w:autoSpaceDN w:val="0"/>
              <w:adjustRightInd w:val="0"/>
              <w:spacing w:line="360" w:lineRule="auto"/>
            </w:pPr>
            <w:r w:rsidRPr="00F05F4E">
              <w:t>133,0</w:t>
            </w:r>
            <w:r w:rsidRPr="00F05F4E">
              <w:rPr>
                <w:color w:val="000000"/>
              </w:rPr>
              <w:t xml:space="preserve"> ± 4,3</w:t>
            </w:r>
            <w:r w:rsidRPr="00F05F4E">
              <w:rPr>
                <w:color w:val="000000"/>
                <w:lang w:val="en-US"/>
              </w:rPr>
              <w:t>**,</w:t>
            </w:r>
            <w:r w:rsidRPr="00F05F4E">
              <w:rPr>
                <w:vertAlign w:val="superscript"/>
                <w:lang w:val="en-US"/>
              </w:rPr>
              <w:t>##</w:t>
            </w:r>
          </w:p>
        </w:tc>
      </w:tr>
      <w:tr w:rsidR="00F05F4E" w:rsidRPr="00F05F4E" w14:paraId="7DD35687" w14:textId="77777777" w:rsidTr="00A50810">
        <w:trPr>
          <w:trHeight w:val="320"/>
        </w:trPr>
        <w:tc>
          <w:tcPr>
            <w:tcW w:w="540" w:type="dxa"/>
            <w:shd w:val="clear" w:color="auto" w:fill="auto"/>
            <w:vAlign w:val="center"/>
          </w:tcPr>
          <w:p w14:paraId="616304E6"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6</w:t>
            </w:r>
          </w:p>
        </w:tc>
        <w:tc>
          <w:tcPr>
            <w:tcW w:w="1618" w:type="dxa"/>
            <w:shd w:val="clear" w:color="auto" w:fill="auto"/>
            <w:vAlign w:val="center"/>
          </w:tcPr>
          <w:p w14:paraId="2EBFD0B6"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СГБА</w:t>
            </w:r>
          </w:p>
        </w:tc>
        <w:tc>
          <w:tcPr>
            <w:tcW w:w="1661" w:type="dxa"/>
            <w:shd w:val="clear" w:color="auto" w:fill="auto"/>
            <w:vAlign w:val="center"/>
          </w:tcPr>
          <w:p w14:paraId="0FB691D7" w14:textId="77777777" w:rsidR="00F05F4E" w:rsidRPr="00F05F4E" w:rsidRDefault="00F05F4E" w:rsidP="00A50810">
            <w:pPr>
              <w:rPr>
                <w:color w:val="000000"/>
              </w:rPr>
            </w:pPr>
            <w:r w:rsidRPr="00F05F4E">
              <w:rPr>
                <w:color w:val="000000"/>
              </w:rPr>
              <w:t>39 ± 5,7</w:t>
            </w:r>
          </w:p>
        </w:tc>
        <w:tc>
          <w:tcPr>
            <w:tcW w:w="1861" w:type="dxa"/>
            <w:shd w:val="clear" w:color="auto" w:fill="auto"/>
            <w:vAlign w:val="center"/>
          </w:tcPr>
          <w:p w14:paraId="6A058FAA" w14:textId="77777777" w:rsidR="00F05F4E" w:rsidRPr="00F05F4E" w:rsidRDefault="00F05F4E" w:rsidP="00A50810">
            <w:pPr>
              <w:rPr>
                <w:color w:val="000000"/>
              </w:rPr>
            </w:pPr>
            <w:r w:rsidRPr="00F05F4E">
              <w:rPr>
                <w:color w:val="000000"/>
              </w:rPr>
              <w:t>19,0 ± 0,4</w:t>
            </w:r>
            <w:r w:rsidRPr="00F05F4E">
              <w:rPr>
                <w:color w:val="000000"/>
                <w:lang w:val="en-US"/>
              </w:rPr>
              <w:t>**</w:t>
            </w:r>
            <w:r w:rsidRPr="00F05F4E">
              <w:rPr>
                <w:color w:val="000000"/>
                <w:lang w:val="uk-UA"/>
              </w:rPr>
              <w:t>,</w:t>
            </w:r>
            <w:r w:rsidRPr="00F05F4E">
              <w:rPr>
                <w:vertAlign w:val="superscript"/>
                <w:lang w:val="en-US"/>
              </w:rPr>
              <w:t>##</w:t>
            </w:r>
          </w:p>
        </w:tc>
        <w:tc>
          <w:tcPr>
            <w:tcW w:w="1840" w:type="dxa"/>
            <w:shd w:val="clear" w:color="auto" w:fill="auto"/>
            <w:vAlign w:val="center"/>
          </w:tcPr>
          <w:p w14:paraId="72654D30" w14:textId="77777777" w:rsidR="00F05F4E" w:rsidRPr="00F05F4E" w:rsidRDefault="00F05F4E" w:rsidP="00A50810">
            <w:pPr>
              <w:widowControl w:val="0"/>
              <w:autoSpaceDE w:val="0"/>
              <w:autoSpaceDN w:val="0"/>
              <w:adjustRightInd w:val="0"/>
              <w:spacing w:line="360" w:lineRule="auto"/>
            </w:pPr>
            <w:r w:rsidRPr="00F05F4E">
              <w:t>27,0</w:t>
            </w:r>
            <w:r w:rsidRPr="00F05F4E">
              <w:rPr>
                <w:color w:val="000000"/>
              </w:rPr>
              <w:t xml:space="preserve"> ± 3,6</w:t>
            </w:r>
          </w:p>
        </w:tc>
        <w:tc>
          <w:tcPr>
            <w:tcW w:w="1878" w:type="dxa"/>
            <w:shd w:val="clear" w:color="auto" w:fill="auto"/>
            <w:vAlign w:val="center"/>
          </w:tcPr>
          <w:p w14:paraId="334F21E0" w14:textId="77777777" w:rsidR="00F05F4E" w:rsidRPr="00F05F4E" w:rsidRDefault="00F05F4E" w:rsidP="00A50810">
            <w:pPr>
              <w:widowControl w:val="0"/>
              <w:autoSpaceDE w:val="0"/>
              <w:autoSpaceDN w:val="0"/>
              <w:adjustRightInd w:val="0"/>
              <w:spacing w:line="360" w:lineRule="auto"/>
              <w:rPr>
                <w:color w:val="000000"/>
              </w:rPr>
            </w:pPr>
            <w:r w:rsidRPr="00F05F4E">
              <w:rPr>
                <w:color w:val="000000"/>
              </w:rPr>
              <w:t>25,5 ± 2,8</w:t>
            </w:r>
          </w:p>
        </w:tc>
      </w:tr>
      <w:tr w:rsidR="00F05F4E" w:rsidRPr="00F05F4E" w14:paraId="3249CEE1" w14:textId="77777777" w:rsidTr="00A50810">
        <w:trPr>
          <w:trHeight w:val="193"/>
        </w:trPr>
        <w:tc>
          <w:tcPr>
            <w:tcW w:w="540" w:type="dxa"/>
            <w:shd w:val="clear" w:color="auto" w:fill="auto"/>
            <w:vAlign w:val="center"/>
          </w:tcPr>
          <w:p w14:paraId="2FAB762D"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7</w:t>
            </w:r>
          </w:p>
        </w:tc>
        <w:tc>
          <w:tcPr>
            <w:tcW w:w="1618" w:type="dxa"/>
            <w:shd w:val="clear" w:color="auto" w:fill="auto"/>
            <w:vAlign w:val="center"/>
          </w:tcPr>
          <w:p w14:paraId="5FE15D02"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СК</w:t>
            </w:r>
          </w:p>
        </w:tc>
        <w:tc>
          <w:tcPr>
            <w:tcW w:w="1661" w:type="dxa"/>
            <w:shd w:val="clear" w:color="auto" w:fill="auto"/>
            <w:vAlign w:val="center"/>
          </w:tcPr>
          <w:p w14:paraId="63BA0C90" w14:textId="77777777" w:rsidR="00F05F4E" w:rsidRPr="00F05F4E" w:rsidRDefault="00F05F4E" w:rsidP="00A50810">
            <w:pPr>
              <w:rPr>
                <w:color w:val="000000"/>
              </w:rPr>
            </w:pPr>
            <w:r w:rsidRPr="00F05F4E">
              <w:rPr>
                <w:color w:val="000000"/>
              </w:rPr>
              <w:t>21,9 ± 3,9</w:t>
            </w:r>
          </w:p>
        </w:tc>
        <w:tc>
          <w:tcPr>
            <w:tcW w:w="1861" w:type="dxa"/>
            <w:shd w:val="clear" w:color="auto" w:fill="auto"/>
            <w:vAlign w:val="center"/>
          </w:tcPr>
          <w:p w14:paraId="7380CD4C" w14:textId="77777777" w:rsidR="00F05F4E" w:rsidRPr="00F05F4E" w:rsidRDefault="00F05F4E" w:rsidP="00A50810">
            <w:pPr>
              <w:rPr>
                <w:color w:val="000000"/>
                <w:lang w:val="uk-UA"/>
              </w:rPr>
            </w:pPr>
            <w:r w:rsidRPr="00F05F4E">
              <w:rPr>
                <w:color w:val="000000"/>
                <w:lang w:val="uk-UA"/>
              </w:rPr>
              <w:t>10,0</w:t>
            </w:r>
            <w:r w:rsidRPr="00F05F4E">
              <w:rPr>
                <w:color w:val="000000"/>
              </w:rPr>
              <w:t xml:space="preserve"> ± 1,5</w:t>
            </w:r>
            <w:r w:rsidRPr="00F05F4E">
              <w:rPr>
                <w:color w:val="000000"/>
                <w:lang w:val="en-US"/>
              </w:rPr>
              <w:t>**,</w:t>
            </w:r>
            <w:r w:rsidRPr="00F05F4E">
              <w:rPr>
                <w:vertAlign w:val="superscript"/>
                <w:lang w:val="en-US"/>
              </w:rPr>
              <w:t>##</w:t>
            </w:r>
          </w:p>
        </w:tc>
        <w:tc>
          <w:tcPr>
            <w:tcW w:w="1840" w:type="dxa"/>
            <w:shd w:val="clear" w:color="auto" w:fill="auto"/>
            <w:vAlign w:val="center"/>
          </w:tcPr>
          <w:p w14:paraId="2F50C669" w14:textId="77777777" w:rsidR="00F05F4E" w:rsidRPr="00F05F4E" w:rsidRDefault="00F05F4E" w:rsidP="00A50810">
            <w:pPr>
              <w:widowControl w:val="0"/>
              <w:autoSpaceDE w:val="0"/>
              <w:autoSpaceDN w:val="0"/>
              <w:adjustRightInd w:val="0"/>
              <w:spacing w:line="360" w:lineRule="auto"/>
              <w:rPr>
                <w:color w:val="000000"/>
              </w:rPr>
            </w:pPr>
            <w:r w:rsidRPr="00F05F4E">
              <w:rPr>
                <w:color w:val="000000"/>
              </w:rPr>
              <w:t>13,0 ± 3,2</w:t>
            </w:r>
            <w:r w:rsidRPr="00F05F4E">
              <w:rPr>
                <w:color w:val="000000"/>
                <w:lang w:val="en-US"/>
              </w:rPr>
              <w:t>**,</w:t>
            </w:r>
            <w:r w:rsidRPr="00F05F4E">
              <w:rPr>
                <w:vertAlign w:val="superscript"/>
                <w:lang w:val="en-US"/>
              </w:rPr>
              <w:t>##</w:t>
            </w:r>
          </w:p>
        </w:tc>
        <w:tc>
          <w:tcPr>
            <w:tcW w:w="1878" w:type="dxa"/>
            <w:shd w:val="clear" w:color="auto" w:fill="auto"/>
            <w:vAlign w:val="center"/>
          </w:tcPr>
          <w:p w14:paraId="48D86FE7" w14:textId="77777777" w:rsidR="00F05F4E" w:rsidRPr="00F05F4E" w:rsidRDefault="00F05F4E" w:rsidP="00A50810">
            <w:pPr>
              <w:widowControl w:val="0"/>
              <w:autoSpaceDE w:val="0"/>
              <w:autoSpaceDN w:val="0"/>
              <w:adjustRightInd w:val="0"/>
              <w:spacing w:line="360" w:lineRule="auto"/>
              <w:rPr>
                <w:color w:val="000000"/>
              </w:rPr>
            </w:pPr>
            <w:r w:rsidRPr="00F05F4E">
              <w:rPr>
                <w:color w:val="000000"/>
              </w:rPr>
              <w:t>28,0  ± 3,0</w:t>
            </w:r>
          </w:p>
        </w:tc>
      </w:tr>
      <w:tr w:rsidR="00F05F4E" w:rsidRPr="00F05F4E" w14:paraId="52EDD417" w14:textId="77777777" w:rsidTr="00A50810">
        <w:trPr>
          <w:trHeight w:val="90"/>
        </w:trPr>
        <w:tc>
          <w:tcPr>
            <w:tcW w:w="540" w:type="dxa"/>
            <w:shd w:val="clear" w:color="auto" w:fill="auto"/>
            <w:vAlign w:val="center"/>
          </w:tcPr>
          <w:p w14:paraId="54925F09" w14:textId="77777777" w:rsidR="00F05F4E" w:rsidRPr="00F05F4E" w:rsidRDefault="00F05F4E" w:rsidP="00A50810">
            <w:pPr>
              <w:widowControl w:val="0"/>
              <w:autoSpaceDE w:val="0"/>
              <w:autoSpaceDN w:val="0"/>
              <w:adjustRightInd w:val="0"/>
              <w:spacing w:line="360" w:lineRule="auto"/>
              <w:rPr>
                <w:lang w:val="uk-UA"/>
              </w:rPr>
            </w:pPr>
            <w:r w:rsidRPr="00F05F4E">
              <w:rPr>
                <w:lang w:val="uk-UA"/>
              </w:rPr>
              <w:t>8</w:t>
            </w:r>
          </w:p>
        </w:tc>
        <w:tc>
          <w:tcPr>
            <w:tcW w:w="1618" w:type="dxa"/>
            <w:shd w:val="clear" w:color="auto" w:fill="auto"/>
            <w:vAlign w:val="center"/>
          </w:tcPr>
          <w:p w14:paraId="0E54B92F" w14:textId="77777777" w:rsidR="00F05F4E" w:rsidRPr="00F05F4E" w:rsidRDefault="00F05F4E" w:rsidP="00A50810">
            <w:pPr>
              <w:widowControl w:val="0"/>
              <w:autoSpaceDE w:val="0"/>
              <w:autoSpaceDN w:val="0"/>
              <w:adjustRightInd w:val="0"/>
              <w:spacing w:line="360" w:lineRule="auto"/>
              <w:rPr>
                <w:lang w:val="en-US"/>
              </w:rPr>
            </w:pPr>
            <w:r w:rsidRPr="00F05F4E">
              <w:rPr>
                <w:lang w:val="en-US"/>
              </w:rPr>
              <w:t>SnCl2</w:t>
            </w:r>
          </w:p>
        </w:tc>
        <w:tc>
          <w:tcPr>
            <w:tcW w:w="1661" w:type="dxa"/>
            <w:shd w:val="clear" w:color="auto" w:fill="auto"/>
            <w:vAlign w:val="center"/>
          </w:tcPr>
          <w:p w14:paraId="6350FC8A" w14:textId="77777777" w:rsidR="00F05F4E" w:rsidRPr="00F05F4E" w:rsidRDefault="00F05F4E" w:rsidP="00A50810">
            <w:pPr>
              <w:rPr>
                <w:color w:val="000000"/>
              </w:rPr>
            </w:pPr>
            <w:r w:rsidRPr="00F05F4E">
              <w:rPr>
                <w:color w:val="000000"/>
              </w:rPr>
              <w:t>25,2 ± 3,4</w:t>
            </w:r>
          </w:p>
        </w:tc>
        <w:tc>
          <w:tcPr>
            <w:tcW w:w="1861" w:type="dxa"/>
            <w:shd w:val="clear" w:color="auto" w:fill="auto"/>
            <w:vAlign w:val="center"/>
          </w:tcPr>
          <w:p w14:paraId="34F52A60" w14:textId="77777777" w:rsidR="00F05F4E" w:rsidRPr="00F05F4E" w:rsidRDefault="00F05F4E" w:rsidP="00A50810">
            <w:pPr>
              <w:rPr>
                <w:color w:val="000000"/>
                <w:highlight w:val="yellow"/>
                <w:lang w:val="uk-UA"/>
              </w:rPr>
            </w:pPr>
            <w:r w:rsidRPr="00F05F4E">
              <w:rPr>
                <w:color w:val="000000"/>
                <w:lang w:val="uk-UA"/>
              </w:rPr>
              <w:t>28,0</w:t>
            </w:r>
            <w:r w:rsidRPr="00F05F4E">
              <w:rPr>
                <w:color w:val="000000"/>
              </w:rPr>
              <w:t xml:space="preserve"> ± 0,4</w:t>
            </w:r>
            <w:r w:rsidRPr="00F05F4E">
              <w:rPr>
                <w:color w:val="000000"/>
                <w:lang w:val="en-US"/>
              </w:rPr>
              <w:t>**,</w:t>
            </w:r>
            <w:r w:rsidRPr="00F05F4E">
              <w:rPr>
                <w:vertAlign w:val="superscript"/>
                <w:lang w:val="en-US"/>
              </w:rPr>
              <w:t>##</w:t>
            </w:r>
          </w:p>
        </w:tc>
        <w:tc>
          <w:tcPr>
            <w:tcW w:w="1840" w:type="dxa"/>
            <w:shd w:val="clear" w:color="auto" w:fill="auto"/>
            <w:vAlign w:val="center"/>
          </w:tcPr>
          <w:p w14:paraId="3C678276" w14:textId="77777777" w:rsidR="00F05F4E" w:rsidRPr="00F05F4E" w:rsidRDefault="00F05F4E" w:rsidP="00A50810">
            <w:pPr>
              <w:widowControl w:val="0"/>
              <w:autoSpaceDE w:val="0"/>
              <w:autoSpaceDN w:val="0"/>
              <w:adjustRightInd w:val="0"/>
              <w:spacing w:line="360" w:lineRule="auto"/>
              <w:rPr>
                <w:color w:val="000000"/>
                <w:lang w:val="uk-UA"/>
              </w:rPr>
            </w:pPr>
            <w:r w:rsidRPr="00F05F4E">
              <w:rPr>
                <w:color w:val="000000"/>
                <w:lang w:val="uk-UA"/>
              </w:rPr>
              <w:t xml:space="preserve">67,0 </w:t>
            </w:r>
            <w:r w:rsidRPr="00F05F4E">
              <w:rPr>
                <w:color w:val="000000"/>
              </w:rPr>
              <w:t xml:space="preserve"> ± 3,8</w:t>
            </w:r>
            <w:r w:rsidRPr="00F05F4E">
              <w:rPr>
                <w:color w:val="000000"/>
                <w:lang w:val="en-US"/>
              </w:rPr>
              <w:t>**,</w:t>
            </w:r>
            <w:r w:rsidRPr="00F05F4E">
              <w:rPr>
                <w:color w:val="000000"/>
                <w:vertAlign w:val="superscript"/>
                <w:lang w:val="en-US"/>
              </w:rPr>
              <w:t>#</w:t>
            </w:r>
          </w:p>
        </w:tc>
        <w:tc>
          <w:tcPr>
            <w:tcW w:w="1878" w:type="dxa"/>
            <w:shd w:val="clear" w:color="auto" w:fill="auto"/>
            <w:vAlign w:val="center"/>
          </w:tcPr>
          <w:p w14:paraId="6A04BDAF" w14:textId="77777777" w:rsidR="00F05F4E" w:rsidRPr="00F05F4E" w:rsidRDefault="00F05F4E" w:rsidP="00A50810">
            <w:pPr>
              <w:widowControl w:val="0"/>
              <w:autoSpaceDE w:val="0"/>
              <w:autoSpaceDN w:val="0"/>
              <w:adjustRightInd w:val="0"/>
              <w:spacing w:line="360" w:lineRule="auto"/>
              <w:rPr>
                <w:color w:val="000000"/>
              </w:rPr>
            </w:pPr>
            <w:r w:rsidRPr="00F05F4E">
              <w:rPr>
                <w:color w:val="000000"/>
              </w:rPr>
              <w:t>50,0 ± 1,4</w:t>
            </w:r>
          </w:p>
        </w:tc>
      </w:tr>
    </w:tbl>
    <w:p w14:paraId="08EE5751" w14:textId="77777777" w:rsidR="00F05F4E" w:rsidRPr="00F05F4E" w:rsidRDefault="00F05F4E" w:rsidP="00F05F4E">
      <w:pPr>
        <w:pStyle w:val="a6"/>
        <w:spacing w:before="0" w:beforeAutospacing="0" w:after="0" w:afterAutospacing="0"/>
        <w:jc w:val="both"/>
        <w:rPr>
          <w:sz w:val="26"/>
          <w:szCs w:val="26"/>
          <w:lang w:val="uk-UA"/>
        </w:rPr>
      </w:pPr>
      <w:r w:rsidRPr="00F05F4E">
        <w:rPr>
          <w:sz w:val="26"/>
          <w:szCs w:val="26"/>
          <w:lang w:val="uk-UA"/>
        </w:rPr>
        <w:t xml:space="preserve">Примітки: </w:t>
      </w:r>
    </w:p>
    <w:p w14:paraId="3A98738D" w14:textId="6DEF2DC7" w:rsidR="00F05F4E" w:rsidRPr="00C57D1F" w:rsidRDefault="00F05F4E" w:rsidP="00352B8A">
      <w:pPr>
        <w:ind w:left="450" w:hanging="450"/>
        <w:jc w:val="both"/>
      </w:pPr>
      <w:r w:rsidRPr="00C57D1F">
        <w:rPr>
          <w:lang w:val="uk-UA"/>
        </w:rPr>
        <w:t>1.</w:t>
      </w:r>
      <w:r w:rsidR="0071066B" w:rsidRPr="00C57D1F">
        <w:rPr>
          <w:lang w:val="uk-UA"/>
        </w:rPr>
        <w:tab/>
      </w:r>
      <w:r w:rsidRPr="00C57D1F">
        <w:t>*</w:t>
      </w:r>
      <w:r w:rsidRPr="00C57D1F">
        <w:rPr>
          <w:lang w:val="uk-UA"/>
        </w:rPr>
        <w:t xml:space="preserve"> </w:t>
      </w:r>
      <w:r w:rsidRPr="00C57D1F">
        <w:t>-</w:t>
      </w:r>
      <w:r w:rsidRPr="00C57D1F">
        <w:rPr>
          <w:lang w:val="uk-UA"/>
        </w:rPr>
        <w:t xml:space="preserve"> </w:t>
      </w:r>
      <w:r w:rsidRPr="00C57D1F">
        <w:rPr>
          <w:lang w:val="en-US"/>
        </w:rPr>
        <w:t>p</w:t>
      </w:r>
      <w:r w:rsidRPr="00C57D1F">
        <w:t xml:space="preserve"> </w:t>
      </w:r>
      <w:r w:rsidRPr="00C57D1F">
        <w:rPr>
          <w:lang w:val="en-US"/>
        </w:rPr>
        <w:sym w:font="Symbol" w:char="F03C"/>
      </w:r>
      <w:r w:rsidRPr="00C57D1F">
        <w:t xml:space="preserve"> 0,05 </w:t>
      </w:r>
      <w:r w:rsidRPr="00C57D1F">
        <w:rPr>
          <w:lang w:val="uk-UA"/>
        </w:rPr>
        <w:t>(статистично значуща різниця у порівнянні з контрольною групою).</w:t>
      </w:r>
      <w:r w:rsidRPr="00C57D1F">
        <w:t xml:space="preserve"> </w:t>
      </w:r>
    </w:p>
    <w:p w14:paraId="0595B9C0" w14:textId="05588146" w:rsidR="00F05F4E" w:rsidRPr="00C57D1F" w:rsidRDefault="00F05F4E" w:rsidP="00352B8A">
      <w:pPr>
        <w:ind w:left="450" w:hanging="450"/>
        <w:jc w:val="both"/>
        <w:rPr>
          <w:lang w:val="uk-UA"/>
        </w:rPr>
      </w:pPr>
      <w:r w:rsidRPr="00C57D1F">
        <w:rPr>
          <w:lang w:val="uk-UA"/>
        </w:rPr>
        <w:t>2.</w:t>
      </w:r>
      <w:r w:rsidR="0071066B" w:rsidRPr="00C57D1F">
        <w:rPr>
          <w:lang w:val="uk-UA"/>
        </w:rPr>
        <w:tab/>
      </w:r>
      <w:r w:rsidRPr="00C57D1F">
        <w:t>**</w:t>
      </w:r>
      <w:r w:rsidRPr="00C57D1F">
        <w:rPr>
          <w:lang w:val="uk-UA"/>
        </w:rPr>
        <w:t xml:space="preserve"> - р</w:t>
      </w:r>
      <w:r w:rsidRPr="00C57D1F">
        <w:rPr>
          <w:lang w:val="uk-UA"/>
        </w:rPr>
        <w:sym w:font="Symbol" w:char="F03C"/>
      </w:r>
      <w:r w:rsidRPr="00C57D1F">
        <w:rPr>
          <w:lang w:val="uk-UA"/>
        </w:rPr>
        <w:t>0,01 (статистично значуща різниця у порівнянні з контрольною групою).</w:t>
      </w:r>
    </w:p>
    <w:p w14:paraId="5C039FD7" w14:textId="2D05A748" w:rsidR="00F05F4E" w:rsidRPr="00C57D1F" w:rsidRDefault="00F05F4E" w:rsidP="00352B8A">
      <w:pPr>
        <w:ind w:left="450" w:hanging="450"/>
        <w:jc w:val="both"/>
        <w:rPr>
          <w:lang w:val="uk-UA"/>
        </w:rPr>
      </w:pPr>
      <w:r w:rsidRPr="00C57D1F">
        <w:rPr>
          <w:lang w:val="uk-UA"/>
        </w:rPr>
        <w:t>3.</w:t>
      </w:r>
      <w:r w:rsidR="0071066B" w:rsidRPr="00C57D1F">
        <w:rPr>
          <w:lang w:val="uk-UA"/>
        </w:rPr>
        <w:tab/>
      </w:r>
      <w:r w:rsidRPr="00C57D1F">
        <w:rPr>
          <w:lang w:val="uk-UA"/>
        </w:rPr>
        <w:t xml:space="preserve"># - </w:t>
      </w:r>
      <w:r w:rsidRPr="00C57D1F">
        <w:rPr>
          <w:lang w:val="en-US"/>
        </w:rPr>
        <w:t>p</w:t>
      </w:r>
      <w:r w:rsidRPr="00C57D1F">
        <w:rPr>
          <w:lang w:val="uk-UA"/>
        </w:rPr>
        <w:t xml:space="preserve"> </w:t>
      </w:r>
      <w:r w:rsidRPr="00C57D1F">
        <w:rPr>
          <w:lang w:val="en-US"/>
        </w:rPr>
        <w:sym w:font="Symbol" w:char="F03C"/>
      </w:r>
      <w:r w:rsidRPr="00C57D1F">
        <w:rPr>
          <w:lang w:val="uk-UA"/>
        </w:rPr>
        <w:t xml:space="preserve"> 0,05 (статистично значуща різниця у порівнянні у порівнянні із референс-препаратом </w:t>
      </w:r>
      <w:r w:rsidR="00390008">
        <w:rPr>
          <w:lang w:val="uk-UA"/>
        </w:rPr>
        <w:t>ф</w:t>
      </w:r>
      <w:r w:rsidRPr="00C57D1F">
        <w:rPr>
          <w:lang w:val="uk-UA"/>
        </w:rPr>
        <w:t>абоматізолом).</w:t>
      </w:r>
    </w:p>
    <w:p w14:paraId="1217D193" w14:textId="11692676" w:rsidR="00F05F4E" w:rsidRPr="00C57D1F" w:rsidRDefault="00F05F4E" w:rsidP="00352B8A">
      <w:pPr>
        <w:ind w:left="450" w:hanging="450"/>
        <w:jc w:val="both"/>
        <w:rPr>
          <w:lang w:val="uk-UA"/>
        </w:rPr>
      </w:pPr>
      <w:r w:rsidRPr="00C57D1F">
        <w:rPr>
          <w:lang w:val="uk-UA"/>
        </w:rPr>
        <w:t>4.</w:t>
      </w:r>
      <w:r w:rsidR="0071066B" w:rsidRPr="00C57D1F">
        <w:rPr>
          <w:lang w:val="uk-UA"/>
        </w:rPr>
        <w:tab/>
      </w:r>
      <w:r w:rsidRPr="00C57D1F">
        <w:rPr>
          <w:lang w:val="uk-UA"/>
        </w:rPr>
        <w:t xml:space="preserve">## - </w:t>
      </w:r>
      <w:r w:rsidRPr="00C57D1F">
        <w:rPr>
          <w:lang w:val="en-US"/>
        </w:rPr>
        <w:t>p</w:t>
      </w:r>
      <w:r w:rsidRPr="00C57D1F">
        <w:rPr>
          <w:lang w:val="uk-UA"/>
        </w:rPr>
        <w:t xml:space="preserve"> </w:t>
      </w:r>
      <w:r w:rsidRPr="00C57D1F">
        <w:rPr>
          <w:lang w:val="en-US"/>
        </w:rPr>
        <w:sym w:font="Symbol" w:char="F03C"/>
      </w:r>
      <w:r w:rsidRPr="00C57D1F">
        <w:rPr>
          <w:lang w:val="uk-UA"/>
        </w:rPr>
        <w:t xml:space="preserve"> 0,01 (статистично значуща різниця у порівнянні у порівнянні із референс-препаратом </w:t>
      </w:r>
      <w:r w:rsidR="00390008">
        <w:rPr>
          <w:lang w:val="uk-UA"/>
        </w:rPr>
        <w:t>ф</w:t>
      </w:r>
      <w:r w:rsidRPr="00C57D1F">
        <w:rPr>
          <w:lang w:val="uk-UA"/>
        </w:rPr>
        <w:t>абоматізолом).</w:t>
      </w:r>
    </w:p>
    <w:p w14:paraId="5AEECBCD" w14:textId="7CB483E9" w:rsidR="00F05F4E" w:rsidRPr="00C57D1F" w:rsidRDefault="00F05F4E" w:rsidP="00352B8A">
      <w:pPr>
        <w:ind w:left="450" w:hanging="450"/>
        <w:jc w:val="both"/>
        <w:rPr>
          <w:rFonts w:eastAsia="Calibri"/>
        </w:rPr>
      </w:pPr>
      <w:r w:rsidRPr="00C57D1F">
        <w:rPr>
          <w:rFonts w:eastAsia="Calibri"/>
          <w:lang w:val="uk-UA"/>
        </w:rPr>
        <w:t>5.</w:t>
      </w:r>
      <w:r w:rsidR="0071066B" w:rsidRPr="00C57D1F">
        <w:rPr>
          <w:rFonts w:eastAsia="Calibri"/>
          <w:lang w:val="uk-UA"/>
        </w:rPr>
        <w:tab/>
      </w:r>
      <w:r w:rsidRPr="00C57D1F">
        <w:rPr>
          <w:rFonts w:eastAsia="Calibri"/>
        </w:rPr>
        <w:t xml:space="preserve">n </w:t>
      </w:r>
      <w:r w:rsidRPr="00C57D1F">
        <w:t>–</w:t>
      </w:r>
      <w:r w:rsidRPr="00C57D1F">
        <w:rPr>
          <w:rFonts w:eastAsia="Calibri"/>
        </w:rPr>
        <w:t xml:space="preserve"> кількість тварин у групі.</w:t>
      </w:r>
    </w:p>
    <w:p w14:paraId="0E5AC259" w14:textId="77777777" w:rsidR="00C57D1F" w:rsidRDefault="00C57D1F" w:rsidP="00C57D1F">
      <w:pPr>
        <w:widowControl w:val="0"/>
        <w:spacing w:line="360" w:lineRule="auto"/>
        <w:ind w:firstLine="708"/>
        <w:jc w:val="both"/>
        <w:rPr>
          <w:sz w:val="28"/>
          <w:szCs w:val="28"/>
          <w:lang w:val="uk-UA"/>
        </w:rPr>
      </w:pPr>
    </w:p>
    <w:p w14:paraId="7E4D27E3" w14:textId="398DC210" w:rsidR="00C57D1F" w:rsidRPr="008A6B7D" w:rsidRDefault="00C57D1F" w:rsidP="00C57D1F">
      <w:pPr>
        <w:widowControl w:val="0"/>
        <w:spacing w:line="360" w:lineRule="auto"/>
        <w:ind w:firstLine="708"/>
        <w:jc w:val="both"/>
        <w:rPr>
          <w:color w:val="000000" w:themeColor="text1"/>
          <w:sz w:val="28"/>
          <w:szCs w:val="28"/>
          <w:lang w:val="uk-UA"/>
        </w:rPr>
      </w:pPr>
      <w:r w:rsidRPr="008A6B7D">
        <w:rPr>
          <w:color w:val="000000" w:themeColor="text1"/>
          <w:sz w:val="28"/>
          <w:szCs w:val="28"/>
          <w:lang w:val="uk-UA"/>
        </w:rPr>
        <w:lastRenderedPageBreak/>
        <w:t>Показано, що група тварин, якій перорально вводили саліцилоїлгідразон бензальдегіду (СГБ) проявляла виразну протитривожну активність, яка  статистично достовірно відрізнялася від активності групи, якій вводили референс-препарат.</w:t>
      </w:r>
    </w:p>
    <w:p w14:paraId="01351E03" w14:textId="4BAEF508" w:rsidR="0071066B" w:rsidRPr="008A6B7D" w:rsidRDefault="00C57D1F" w:rsidP="00C57D1F">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Так, через годину після перорального введення, показники  групи, яка отримувала СГбрБА, перевищували контрольні на 104 с. Наступні 3 та 5 годин після введення анксиолітичній ефект зберігався і через 24 години залишався на досить високому рівні, тому можна вважати, що ліганд цієї сполуки надає значний внесок у анксиолітичну активність комплексних сполук.</w:t>
      </w:r>
    </w:p>
    <w:p w14:paraId="12500E42" w14:textId="357A714F" w:rsidR="00F05F4E" w:rsidRPr="008A6B7D" w:rsidRDefault="00F05F4E" w:rsidP="00F05F4E">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 xml:space="preserve">Саліцилоїлгідразон бензальдегіду на відміну від саліцилоїлгідразона бромбензальдегіду викликав виразну седативну дію у тварин після перорального введення, дані були нижчими за контрольні в середньому </w:t>
      </w:r>
      <w:r w:rsidR="00821BED">
        <w:rPr>
          <w:color w:val="000000" w:themeColor="text1"/>
          <w:sz w:val="28"/>
          <w:szCs w:val="28"/>
          <w:lang w:val="uk-UA"/>
        </w:rPr>
        <w:br/>
      </w:r>
      <w:r w:rsidRPr="008A6B7D">
        <w:rPr>
          <w:color w:val="000000" w:themeColor="text1"/>
          <w:sz w:val="28"/>
          <w:szCs w:val="28"/>
          <w:lang w:val="uk-UA"/>
        </w:rPr>
        <w:t xml:space="preserve">на 19 – 39 с. Результати, які були отримані після введення бензальдегіду піддослідним статистично не відрізнялись від контрольних показників. </w:t>
      </w:r>
    </w:p>
    <w:p w14:paraId="243FACEE" w14:textId="77777777" w:rsidR="00F05F4E" w:rsidRPr="008A6B7D" w:rsidRDefault="00F05F4E" w:rsidP="00F05F4E">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 xml:space="preserve">Введення хлориду олова (ІІ) призвело до «модуляції» фармакологічних ефектів, через три години після початку експерименту спостерігався виразний седативний ефект, але вже через 5 годин після введення реєструвався незначний анксиолітичний ефект. </w:t>
      </w:r>
    </w:p>
    <w:p w14:paraId="39D9EDB8" w14:textId="34457626" w:rsidR="00F05F4E" w:rsidRPr="008A6B7D" w:rsidRDefault="00F05F4E" w:rsidP="00F05F4E">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Також на моделі поведінкового тесту “ТСК” було вивчено дослідницьку активність мишей після введення сполук, що досліджувались. Тварину поміщали у темний відсік камери та реєстрували кількість виглядань у світлу частину камери. Саме кількість виглядань є найбільш адекватним та надійним індексом тривожності у даному поведінковому тесті</w:t>
      </w:r>
      <w:r w:rsidRPr="008A6B7D">
        <w:rPr>
          <w:color w:val="000000" w:themeColor="text1"/>
          <w:sz w:val="28"/>
          <w:szCs w:val="28"/>
        </w:rPr>
        <w:t xml:space="preserve"> [</w:t>
      </w:r>
      <w:r w:rsidR="00B85935" w:rsidRPr="008A6B7D">
        <w:rPr>
          <w:color w:val="000000" w:themeColor="text1"/>
          <w:sz w:val="28"/>
          <w:szCs w:val="28"/>
          <w:lang w:val="uk-UA"/>
        </w:rPr>
        <w:t>17</w:t>
      </w:r>
      <w:r w:rsidR="00B85935" w:rsidRPr="008A6B7D">
        <w:rPr>
          <w:color w:val="000000" w:themeColor="text1"/>
          <w:sz w:val="28"/>
          <w:szCs w:val="28"/>
        </w:rPr>
        <w:t>5</w:t>
      </w:r>
      <w:r w:rsidRPr="008A6B7D">
        <w:rPr>
          <w:color w:val="000000" w:themeColor="text1"/>
          <w:sz w:val="28"/>
          <w:szCs w:val="28"/>
        </w:rPr>
        <w:t>]</w:t>
      </w:r>
      <w:r w:rsidRPr="008A6B7D">
        <w:rPr>
          <w:color w:val="000000" w:themeColor="text1"/>
          <w:sz w:val="28"/>
          <w:szCs w:val="28"/>
          <w:lang w:val="uk-UA"/>
        </w:rPr>
        <w:t xml:space="preserve">. Слід зазначити, що після початку експерименту отримані показники (рис. </w:t>
      </w:r>
      <w:r w:rsidRPr="008A6B7D">
        <w:rPr>
          <w:color w:val="000000" w:themeColor="text1"/>
          <w:sz w:val="28"/>
          <w:szCs w:val="28"/>
        </w:rPr>
        <w:t>6</w:t>
      </w:r>
      <w:r w:rsidRPr="008A6B7D">
        <w:rPr>
          <w:color w:val="000000" w:themeColor="text1"/>
          <w:sz w:val="28"/>
          <w:szCs w:val="28"/>
          <w:lang w:val="uk-UA"/>
        </w:rPr>
        <w:t xml:space="preserve">.3.2.) для обох комплексних сполук, були нижчі за  контрольні, що може бути пов’язане із накладенням ефектів, а саме - седацією. </w:t>
      </w:r>
    </w:p>
    <w:p w14:paraId="05354C8F" w14:textId="68C6BE3F" w:rsidR="00C57D1F" w:rsidRPr="008A6B7D" w:rsidRDefault="00C57D1F" w:rsidP="00F05F4E">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Так, вже через три години після введення комплексних сполук І та ІІ відбувалося вкрай виражене, практично до нуля, зниження кількості виглядань у світлий відсік камери.</w:t>
      </w:r>
    </w:p>
    <w:p w14:paraId="78817BB7" w14:textId="77777777" w:rsidR="00F05F4E" w:rsidRDefault="00F05F4E" w:rsidP="00F05F4E">
      <w:pPr>
        <w:pStyle w:val="a6"/>
        <w:spacing w:before="0" w:beforeAutospacing="0" w:after="0" w:afterAutospacing="0" w:line="360" w:lineRule="auto"/>
        <w:jc w:val="center"/>
        <w:rPr>
          <w:sz w:val="28"/>
          <w:szCs w:val="28"/>
          <w:lang w:val="uk-UA"/>
        </w:rPr>
      </w:pPr>
      <w:r w:rsidRPr="005E7312">
        <w:rPr>
          <w:noProof/>
          <w:sz w:val="28"/>
          <w:szCs w:val="28"/>
          <w:lang w:val="en-US" w:eastAsia="en-US"/>
        </w:rPr>
        <w:lastRenderedPageBreak/>
        <w:drawing>
          <wp:inline distT="0" distB="0" distL="0" distR="0" wp14:anchorId="7E2B49C3" wp14:editId="3D91197A">
            <wp:extent cx="4403558" cy="2213810"/>
            <wp:effectExtent l="0" t="0" r="3810" b="0"/>
            <wp:docPr id="2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34907" cy="2229570"/>
                    </a:xfrm>
                    <a:prstGeom prst="rect">
                      <a:avLst/>
                    </a:prstGeom>
                    <a:noFill/>
                    <a:ln>
                      <a:noFill/>
                    </a:ln>
                  </pic:spPr>
                </pic:pic>
              </a:graphicData>
            </a:graphic>
          </wp:inline>
        </w:drawing>
      </w:r>
    </w:p>
    <w:p w14:paraId="1A740D73" w14:textId="25377B34" w:rsidR="00F05F4E" w:rsidRPr="00164C26" w:rsidRDefault="00F05F4E" w:rsidP="00F05F4E">
      <w:pPr>
        <w:spacing w:line="360" w:lineRule="auto"/>
        <w:ind w:firstLine="720"/>
        <w:rPr>
          <w:sz w:val="28"/>
          <w:szCs w:val="28"/>
          <w:lang w:val="uk-UA"/>
        </w:rPr>
      </w:pPr>
      <w:r w:rsidRPr="00164C26">
        <w:rPr>
          <w:sz w:val="28"/>
          <w:szCs w:val="28"/>
          <w:lang w:val="uk-UA"/>
        </w:rPr>
        <w:t xml:space="preserve">Рис. </w:t>
      </w:r>
      <w:r>
        <w:rPr>
          <w:sz w:val="28"/>
          <w:szCs w:val="28"/>
          <w:lang w:val="uk-UA"/>
        </w:rPr>
        <w:t>6</w:t>
      </w:r>
      <w:r w:rsidRPr="00164C26">
        <w:rPr>
          <w:sz w:val="28"/>
          <w:szCs w:val="28"/>
          <w:lang w:val="uk-UA"/>
        </w:rPr>
        <w:t xml:space="preserve">.3.2. Анксиолітична активність комплексних сполук І та ІІ після перорального введення (кількість «виглядань» із темної частини камери у світлу). </w:t>
      </w:r>
    </w:p>
    <w:p w14:paraId="7134B2E4" w14:textId="77777777" w:rsidR="00F05F4E" w:rsidRPr="00C57D1F" w:rsidRDefault="00F05F4E" w:rsidP="00352B8A">
      <w:pPr>
        <w:pStyle w:val="a6"/>
        <w:spacing w:before="0" w:beforeAutospacing="0" w:after="0" w:afterAutospacing="0"/>
        <w:jc w:val="both"/>
        <w:rPr>
          <w:lang w:val="uk-UA"/>
        </w:rPr>
      </w:pPr>
      <w:r w:rsidRPr="00C57D1F">
        <w:rPr>
          <w:lang w:val="uk-UA"/>
        </w:rPr>
        <w:t xml:space="preserve">Примітки: </w:t>
      </w:r>
    </w:p>
    <w:p w14:paraId="0DBFC4ED" w14:textId="022061EA" w:rsidR="00F05F4E" w:rsidRPr="00C57D1F" w:rsidRDefault="00F05F4E" w:rsidP="00352B8A">
      <w:pPr>
        <w:ind w:left="450" w:hanging="450"/>
        <w:jc w:val="both"/>
      </w:pPr>
      <w:r w:rsidRPr="00C57D1F">
        <w:rPr>
          <w:lang w:val="uk-UA"/>
        </w:rPr>
        <w:t>1.</w:t>
      </w:r>
      <w:r w:rsidRPr="00C57D1F">
        <w:rPr>
          <w:lang w:val="uk-UA"/>
        </w:rPr>
        <w:tab/>
      </w:r>
      <w:r w:rsidRPr="00C57D1F">
        <w:t>*</w:t>
      </w:r>
      <w:r w:rsidRPr="00C57D1F">
        <w:rPr>
          <w:lang w:val="uk-UA"/>
        </w:rPr>
        <w:t xml:space="preserve"> </w:t>
      </w:r>
      <w:r w:rsidRPr="00C57D1F">
        <w:t>-</w:t>
      </w:r>
      <w:r w:rsidRPr="00C57D1F">
        <w:rPr>
          <w:lang w:val="uk-UA"/>
        </w:rPr>
        <w:t xml:space="preserve"> </w:t>
      </w:r>
      <w:r w:rsidRPr="00C57D1F">
        <w:rPr>
          <w:lang w:val="en-US"/>
        </w:rPr>
        <w:t>p</w:t>
      </w:r>
      <w:r w:rsidRPr="00C57D1F">
        <w:t xml:space="preserve"> </w:t>
      </w:r>
      <w:r w:rsidRPr="00C57D1F">
        <w:rPr>
          <w:lang w:val="en-US"/>
        </w:rPr>
        <w:sym w:font="Symbol" w:char="F03C"/>
      </w:r>
      <w:r w:rsidRPr="00C57D1F">
        <w:t xml:space="preserve"> 0,05 </w:t>
      </w:r>
      <w:r w:rsidRPr="00C57D1F">
        <w:rPr>
          <w:lang w:val="uk-UA"/>
        </w:rPr>
        <w:t>(статистично значуща різниця у порівнянні з контрольною групою).</w:t>
      </w:r>
      <w:r w:rsidRPr="00C57D1F">
        <w:t xml:space="preserve"> </w:t>
      </w:r>
    </w:p>
    <w:p w14:paraId="10F26163" w14:textId="2F590E26" w:rsidR="00F05F4E" w:rsidRPr="00C57D1F" w:rsidRDefault="00F05F4E" w:rsidP="00352B8A">
      <w:pPr>
        <w:ind w:left="450" w:hanging="450"/>
        <w:jc w:val="both"/>
        <w:rPr>
          <w:lang w:val="uk-UA"/>
        </w:rPr>
      </w:pPr>
      <w:r w:rsidRPr="00C57D1F">
        <w:rPr>
          <w:lang w:val="uk-UA"/>
        </w:rPr>
        <w:t>2.</w:t>
      </w:r>
      <w:r w:rsidRPr="00C57D1F">
        <w:rPr>
          <w:lang w:val="uk-UA"/>
        </w:rPr>
        <w:tab/>
      </w:r>
      <w:r w:rsidRPr="00C57D1F">
        <w:t>**</w:t>
      </w:r>
      <w:r w:rsidRPr="00C57D1F">
        <w:rPr>
          <w:lang w:val="uk-UA"/>
        </w:rPr>
        <w:t xml:space="preserve"> - р</w:t>
      </w:r>
      <w:r w:rsidRPr="00C57D1F">
        <w:rPr>
          <w:lang w:val="uk-UA"/>
        </w:rPr>
        <w:sym w:font="Symbol" w:char="F03C"/>
      </w:r>
      <w:r w:rsidRPr="00C57D1F">
        <w:rPr>
          <w:lang w:val="uk-UA"/>
        </w:rPr>
        <w:t>0,01 (статистично значуща різниця у порівнянні з контрольною групою).</w:t>
      </w:r>
    </w:p>
    <w:p w14:paraId="3D8EC9AA" w14:textId="1EB10D1E" w:rsidR="00F05F4E" w:rsidRPr="00C57D1F" w:rsidRDefault="00F05F4E" w:rsidP="00352B8A">
      <w:pPr>
        <w:ind w:left="450" w:hanging="450"/>
        <w:jc w:val="both"/>
        <w:rPr>
          <w:lang w:val="uk-UA"/>
        </w:rPr>
      </w:pPr>
      <w:r w:rsidRPr="00C57D1F">
        <w:rPr>
          <w:lang w:val="uk-UA"/>
        </w:rPr>
        <w:t>3.</w:t>
      </w:r>
      <w:r w:rsidRPr="00C57D1F">
        <w:rPr>
          <w:lang w:val="uk-UA"/>
        </w:rPr>
        <w:tab/>
        <w:t xml:space="preserve"># - </w:t>
      </w:r>
      <w:r w:rsidRPr="00C57D1F">
        <w:rPr>
          <w:lang w:val="en-US"/>
        </w:rPr>
        <w:t>p</w:t>
      </w:r>
      <w:r w:rsidRPr="00C57D1F">
        <w:rPr>
          <w:lang w:val="uk-UA"/>
        </w:rPr>
        <w:t xml:space="preserve"> </w:t>
      </w:r>
      <w:r w:rsidRPr="00C57D1F">
        <w:rPr>
          <w:lang w:val="en-US"/>
        </w:rPr>
        <w:sym w:font="Symbol" w:char="F03C"/>
      </w:r>
      <w:r w:rsidRPr="00C57D1F">
        <w:rPr>
          <w:lang w:val="uk-UA"/>
        </w:rPr>
        <w:t xml:space="preserve"> 0,05 (статистично значуща різниця у порівнянні у порівнянні із референс-препаратом </w:t>
      </w:r>
      <w:r w:rsidR="00390008">
        <w:rPr>
          <w:lang w:val="uk-UA"/>
        </w:rPr>
        <w:t>ф</w:t>
      </w:r>
      <w:r w:rsidRPr="00C57D1F">
        <w:rPr>
          <w:lang w:val="uk-UA"/>
        </w:rPr>
        <w:t>абоматізолом).</w:t>
      </w:r>
    </w:p>
    <w:p w14:paraId="29DB492A" w14:textId="01B2E46B" w:rsidR="00F05F4E" w:rsidRPr="00C57D1F" w:rsidRDefault="00F05F4E" w:rsidP="00352B8A">
      <w:pPr>
        <w:ind w:left="450" w:hanging="450"/>
        <w:jc w:val="both"/>
        <w:rPr>
          <w:lang w:val="uk-UA"/>
        </w:rPr>
      </w:pPr>
      <w:r w:rsidRPr="00C57D1F">
        <w:rPr>
          <w:lang w:val="uk-UA"/>
        </w:rPr>
        <w:t>4.</w:t>
      </w:r>
      <w:r w:rsidRPr="00C57D1F">
        <w:rPr>
          <w:lang w:val="uk-UA"/>
        </w:rPr>
        <w:tab/>
        <w:t xml:space="preserve">## - </w:t>
      </w:r>
      <w:r w:rsidRPr="00C57D1F">
        <w:rPr>
          <w:lang w:val="en-US"/>
        </w:rPr>
        <w:t>p</w:t>
      </w:r>
      <w:r w:rsidRPr="00C57D1F">
        <w:rPr>
          <w:lang w:val="uk-UA"/>
        </w:rPr>
        <w:t xml:space="preserve"> </w:t>
      </w:r>
      <w:r w:rsidRPr="00C57D1F">
        <w:rPr>
          <w:lang w:val="en-US"/>
        </w:rPr>
        <w:sym w:font="Symbol" w:char="F03C"/>
      </w:r>
      <w:r w:rsidRPr="00C57D1F">
        <w:rPr>
          <w:lang w:val="uk-UA"/>
        </w:rPr>
        <w:t xml:space="preserve"> 0,01 (статистично значуща різниця у порівнянні у порівнянні із референс-препаратом </w:t>
      </w:r>
      <w:r w:rsidR="00390008">
        <w:rPr>
          <w:lang w:val="uk-UA"/>
        </w:rPr>
        <w:t>ф</w:t>
      </w:r>
      <w:r w:rsidRPr="00C57D1F">
        <w:rPr>
          <w:lang w:val="uk-UA"/>
        </w:rPr>
        <w:t>абоматізолом).</w:t>
      </w:r>
    </w:p>
    <w:p w14:paraId="5C9291E5" w14:textId="50608992" w:rsidR="00F05F4E" w:rsidRPr="00C57D1F" w:rsidRDefault="00F05F4E" w:rsidP="00352B8A">
      <w:pPr>
        <w:ind w:left="450" w:hanging="450"/>
        <w:jc w:val="both"/>
        <w:rPr>
          <w:rFonts w:eastAsia="Calibri"/>
        </w:rPr>
      </w:pPr>
      <w:r w:rsidRPr="00C57D1F">
        <w:rPr>
          <w:rFonts w:eastAsia="Calibri"/>
          <w:lang w:val="uk-UA"/>
        </w:rPr>
        <w:t>5.</w:t>
      </w:r>
      <w:r w:rsidRPr="00C57D1F">
        <w:rPr>
          <w:rFonts w:eastAsia="Calibri"/>
          <w:lang w:val="uk-UA"/>
        </w:rPr>
        <w:tab/>
      </w:r>
      <w:r w:rsidRPr="00C57D1F">
        <w:rPr>
          <w:rFonts w:eastAsia="Calibri"/>
          <w:lang w:val="uk-UA"/>
        </w:rPr>
        <w:tab/>
      </w:r>
      <w:r w:rsidRPr="00C57D1F">
        <w:rPr>
          <w:rFonts w:eastAsia="Calibri"/>
        </w:rPr>
        <w:t xml:space="preserve">n </w:t>
      </w:r>
      <w:r w:rsidRPr="00C57D1F">
        <w:t>–</w:t>
      </w:r>
      <w:r w:rsidRPr="00C57D1F">
        <w:rPr>
          <w:rFonts w:eastAsia="Calibri"/>
        </w:rPr>
        <w:t xml:space="preserve"> кількість тварин у групі.</w:t>
      </w:r>
    </w:p>
    <w:p w14:paraId="228A972F" w14:textId="77777777" w:rsidR="007C0C3C" w:rsidRPr="00F05F4E" w:rsidRDefault="007C0C3C" w:rsidP="00F05F4E">
      <w:pPr>
        <w:ind w:left="360" w:hanging="270"/>
        <w:jc w:val="both"/>
        <w:rPr>
          <w:rFonts w:eastAsia="Calibri"/>
          <w:sz w:val="26"/>
          <w:szCs w:val="26"/>
        </w:rPr>
      </w:pPr>
    </w:p>
    <w:p w14:paraId="7DF3DC86" w14:textId="7C7ECAF9" w:rsidR="00F05F4E" w:rsidRPr="008A6B7D" w:rsidRDefault="0071066B" w:rsidP="0071066B">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 xml:space="preserve">Згідно з показниками, зазначеними вище, більшу частину часу тварини проводили у світлому відсіку камери, тому, ймовірно, кількість «виглядань» знизилась. Дані, що отримані в ході дослідження показали, що комплекси І та ІІ через 3 та 5 годин після перорального введення суттєво зменшують кількість виглядань тваринами із темного відсіку в світлий. </w:t>
      </w:r>
    </w:p>
    <w:p w14:paraId="0F5FF4D2" w14:textId="1A8EC3C2" w:rsidR="00F05F4E" w:rsidRPr="008A6B7D" w:rsidRDefault="00F05F4E" w:rsidP="00F05F4E">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t>Така поведінка свідчить про значний прояв седації та зменшення інтересу до обслідування нового простору на відміну від дії препарату порівняння – ф</w:t>
      </w:r>
      <w:r w:rsidRPr="008A6B7D">
        <w:rPr>
          <w:color w:val="000000" w:themeColor="text1"/>
          <w:sz w:val="28"/>
          <w:szCs w:val="28"/>
        </w:rPr>
        <w:t>абомот</w:t>
      </w:r>
      <w:r w:rsidRPr="008A6B7D">
        <w:rPr>
          <w:color w:val="000000" w:themeColor="text1"/>
          <w:sz w:val="28"/>
          <w:szCs w:val="28"/>
          <w:lang w:val="uk-UA"/>
        </w:rPr>
        <w:t>і</w:t>
      </w:r>
      <w:r w:rsidRPr="008A6B7D">
        <w:rPr>
          <w:color w:val="000000" w:themeColor="text1"/>
          <w:sz w:val="28"/>
          <w:szCs w:val="28"/>
        </w:rPr>
        <w:t>зо</w:t>
      </w:r>
      <w:r w:rsidRPr="008A6B7D">
        <w:rPr>
          <w:color w:val="000000" w:themeColor="text1"/>
          <w:sz w:val="28"/>
          <w:szCs w:val="28"/>
          <w:lang w:val="uk-UA"/>
        </w:rPr>
        <w:t>лу.</w:t>
      </w:r>
      <w:r w:rsidRPr="008A6B7D">
        <w:rPr>
          <w:color w:val="000000" w:themeColor="text1"/>
          <w:sz w:val="28"/>
          <w:szCs w:val="28"/>
        </w:rPr>
        <w:t xml:space="preserve"> </w:t>
      </w:r>
      <w:r w:rsidRPr="008A6B7D">
        <w:rPr>
          <w:color w:val="000000" w:themeColor="text1"/>
          <w:sz w:val="28"/>
          <w:szCs w:val="28"/>
          <w:lang w:val="uk-UA"/>
        </w:rPr>
        <w:t>Але через 24 години поведінка тварин змінюється, ймовірно за рахунок зменшення концентрації активної речовини в місці дії за рахунок переваги процесів елімінації над процесами надходження речовин в організмі</w:t>
      </w:r>
      <w:r w:rsidRPr="008A6B7D">
        <w:rPr>
          <w:color w:val="000000" w:themeColor="text1"/>
          <w:sz w:val="28"/>
          <w:szCs w:val="28"/>
        </w:rPr>
        <w:t xml:space="preserve"> [</w:t>
      </w:r>
      <w:r w:rsidR="00112A09" w:rsidRPr="008A6B7D">
        <w:rPr>
          <w:color w:val="000000" w:themeColor="text1"/>
          <w:sz w:val="28"/>
          <w:szCs w:val="28"/>
        </w:rPr>
        <w:t>23</w:t>
      </w:r>
      <w:r w:rsidR="00B85935" w:rsidRPr="008A6B7D">
        <w:rPr>
          <w:color w:val="000000" w:themeColor="text1"/>
          <w:sz w:val="28"/>
          <w:szCs w:val="28"/>
          <w:lang w:val="uk-UA"/>
        </w:rPr>
        <w:t>4</w:t>
      </w:r>
      <w:r w:rsidRPr="008A6B7D">
        <w:rPr>
          <w:color w:val="000000" w:themeColor="text1"/>
          <w:sz w:val="28"/>
          <w:szCs w:val="28"/>
        </w:rPr>
        <w:t>]</w:t>
      </w:r>
      <w:r w:rsidRPr="008A6B7D">
        <w:rPr>
          <w:color w:val="000000" w:themeColor="text1"/>
          <w:sz w:val="28"/>
          <w:szCs w:val="28"/>
          <w:lang w:val="uk-UA"/>
        </w:rPr>
        <w:t xml:space="preserve">. Спостерігалося підвищення інтересу тварин до нового простору, що проявлялося в збільшенні кількості виглядань тваринами після прийому комплексної сполуки І. </w:t>
      </w:r>
    </w:p>
    <w:p w14:paraId="590D6F6E" w14:textId="26FACB78" w:rsidR="0071066B" w:rsidRPr="008A6B7D" w:rsidRDefault="00F05F4E" w:rsidP="0071066B">
      <w:pPr>
        <w:pStyle w:val="a6"/>
        <w:spacing w:before="0" w:beforeAutospacing="0" w:after="0" w:afterAutospacing="0" w:line="360" w:lineRule="auto"/>
        <w:ind w:firstLine="720"/>
        <w:jc w:val="both"/>
        <w:rPr>
          <w:color w:val="000000" w:themeColor="text1"/>
          <w:sz w:val="28"/>
          <w:szCs w:val="28"/>
          <w:lang w:val="uk-UA"/>
        </w:rPr>
      </w:pPr>
      <w:r w:rsidRPr="008A6B7D">
        <w:rPr>
          <w:color w:val="000000" w:themeColor="text1"/>
          <w:sz w:val="28"/>
          <w:szCs w:val="28"/>
          <w:lang w:val="uk-UA"/>
        </w:rPr>
        <w:lastRenderedPageBreak/>
        <w:t xml:space="preserve">Згідно з отриманими даними (табл </w:t>
      </w:r>
      <w:r w:rsidRPr="008A6B7D">
        <w:rPr>
          <w:color w:val="000000" w:themeColor="text1"/>
          <w:sz w:val="28"/>
          <w:szCs w:val="28"/>
        </w:rPr>
        <w:t>6</w:t>
      </w:r>
      <w:r w:rsidRPr="008A6B7D">
        <w:rPr>
          <w:color w:val="000000" w:themeColor="text1"/>
          <w:sz w:val="28"/>
          <w:szCs w:val="28"/>
          <w:lang w:val="uk-UA"/>
        </w:rPr>
        <w:t xml:space="preserve">.3.2.) видно, що виражене збільшення кількості виглядань протягом усього експерименту проявляли тварини, яким вводили бензальдегід. </w:t>
      </w:r>
    </w:p>
    <w:p w14:paraId="01373FAB" w14:textId="00ECCCE9" w:rsidR="00F05F4E" w:rsidRPr="00164C26" w:rsidRDefault="00F05F4E" w:rsidP="00F05F4E">
      <w:pPr>
        <w:widowControl w:val="0"/>
        <w:autoSpaceDE w:val="0"/>
        <w:autoSpaceDN w:val="0"/>
        <w:adjustRightInd w:val="0"/>
        <w:spacing w:line="360" w:lineRule="auto"/>
        <w:jc w:val="right"/>
        <w:rPr>
          <w:b/>
          <w:sz w:val="28"/>
          <w:szCs w:val="28"/>
          <w:lang w:val="uk-UA"/>
        </w:rPr>
      </w:pPr>
      <w:r w:rsidRPr="00164C26">
        <w:rPr>
          <w:color w:val="000000"/>
          <w:sz w:val="28"/>
          <w:szCs w:val="28"/>
          <w:lang w:val="uk-UA"/>
        </w:rPr>
        <w:t xml:space="preserve">Таблиця </w:t>
      </w:r>
      <w:r>
        <w:rPr>
          <w:color w:val="000000"/>
          <w:sz w:val="28"/>
          <w:szCs w:val="28"/>
          <w:lang w:val="uk-UA"/>
        </w:rPr>
        <w:t>6</w:t>
      </w:r>
      <w:r w:rsidRPr="00164C26">
        <w:rPr>
          <w:color w:val="000000"/>
          <w:sz w:val="28"/>
          <w:szCs w:val="28"/>
          <w:lang w:val="uk-UA"/>
        </w:rPr>
        <w:t>.3.2</w:t>
      </w:r>
      <w:r w:rsidRPr="00164C26">
        <w:rPr>
          <w:sz w:val="28"/>
          <w:szCs w:val="28"/>
          <w:lang w:val="uk-UA"/>
        </w:rPr>
        <w:br/>
      </w:r>
      <w:r w:rsidRPr="00164C26">
        <w:rPr>
          <w:b/>
          <w:sz w:val="28"/>
          <w:szCs w:val="28"/>
          <w:lang w:val="uk-UA"/>
        </w:rPr>
        <w:t>Анксиолітична активність досліджуваних сполук при пероральному  введенні у тесті ТСК, («виглядання» , % відносно контролю, М</w:t>
      </w:r>
      <w:r w:rsidRPr="00164C26">
        <w:rPr>
          <w:b/>
          <w:color w:val="4D5156"/>
          <w:sz w:val="28"/>
          <w:szCs w:val="28"/>
          <w:shd w:val="clear" w:color="auto" w:fill="FFFFFF"/>
          <w:lang w:val="uk-UA"/>
        </w:rPr>
        <w:t>±</w:t>
      </w:r>
      <w:r w:rsidRPr="00164C26">
        <w:rPr>
          <w:b/>
          <w:sz w:val="28"/>
          <w:szCs w:val="28"/>
          <w:lang w:val="en-US"/>
        </w:rPr>
        <w:t>m</w:t>
      </w:r>
      <w:r w:rsidRPr="00164C26">
        <w:rPr>
          <w:b/>
          <w:sz w:val="28"/>
          <w:szCs w:val="28"/>
          <w:lang w:val="uk-UA"/>
        </w:rPr>
        <w:t xml:space="preserve">, </w:t>
      </w:r>
      <w:r w:rsidRPr="00164C26">
        <w:rPr>
          <w:b/>
          <w:sz w:val="28"/>
          <w:szCs w:val="28"/>
          <w:lang w:val="en-US"/>
        </w:rPr>
        <w:t>n</w:t>
      </w:r>
      <w:r w:rsidRPr="00164C26">
        <w:rPr>
          <w:b/>
          <w:sz w:val="28"/>
          <w:szCs w:val="28"/>
          <w:lang w:val="uk-UA"/>
        </w:rPr>
        <w:t>=6)</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803"/>
        <w:gridCol w:w="1803"/>
        <w:gridCol w:w="1893"/>
        <w:gridCol w:w="1803"/>
        <w:gridCol w:w="1715"/>
      </w:tblGrid>
      <w:tr w:rsidR="00F05F4E" w:rsidRPr="00A50810" w14:paraId="6B64D7E1" w14:textId="77777777" w:rsidTr="00352B8A">
        <w:trPr>
          <w:trHeight w:val="631"/>
          <w:jc w:val="center"/>
        </w:trPr>
        <w:tc>
          <w:tcPr>
            <w:tcW w:w="451" w:type="dxa"/>
            <w:vMerge w:val="restart"/>
            <w:vAlign w:val="center"/>
          </w:tcPr>
          <w:p w14:paraId="3F92334D" w14:textId="77777777" w:rsidR="00F05F4E" w:rsidRPr="00A50810" w:rsidRDefault="00F05F4E" w:rsidP="00A50810">
            <w:pPr>
              <w:widowControl w:val="0"/>
              <w:autoSpaceDE w:val="0"/>
              <w:autoSpaceDN w:val="0"/>
              <w:adjustRightInd w:val="0"/>
            </w:pPr>
            <w:r w:rsidRPr="00A50810">
              <w:t>№гр</w:t>
            </w:r>
          </w:p>
        </w:tc>
        <w:tc>
          <w:tcPr>
            <w:tcW w:w="1803" w:type="dxa"/>
            <w:vMerge w:val="restart"/>
            <w:vAlign w:val="center"/>
          </w:tcPr>
          <w:p w14:paraId="66C6E2F1" w14:textId="77777777" w:rsidR="00F05F4E" w:rsidRPr="00A50810" w:rsidRDefault="00F05F4E" w:rsidP="00A50810">
            <w:pPr>
              <w:widowControl w:val="0"/>
              <w:autoSpaceDE w:val="0"/>
              <w:autoSpaceDN w:val="0"/>
              <w:adjustRightInd w:val="0"/>
              <w:spacing w:line="360" w:lineRule="auto"/>
            </w:pPr>
            <w:r w:rsidRPr="00A50810">
              <w:t>Сполука</w:t>
            </w:r>
          </w:p>
        </w:tc>
        <w:tc>
          <w:tcPr>
            <w:tcW w:w="7214" w:type="dxa"/>
            <w:gridSpan w:val="4"/>
            <w:tcBorders>
              <w:right w:val="single" w:sz="4" w:space="0" w:color="auto"/>
            </w:tcBorders>
            <w:vAlign w:val="center"/>
          </w:tcPr>
          <w:p w14:paraId="76FD3846" w14:textId="77777777" w:rsidR="00F05F4E" w:rsidRPr="00A50810" w:rsidRDefault="00F05F4E" w:rsidP="00A50810">
            <w:pPr>
              <w:widowControl w:val="0"/>
              <w:autoSpaceDE w:val="0"/>
              <w:autoSpaceDN w:val="0"/>
              <w:adjustRightInd w:val="0"/>
              <w:spacing w:line="360" w:lineRule="auto"/>
              <w:jc w:val="center"/>
              <w:rPr>
                <w:lang w:val="en-US"/>
              </w:rPr>
            </w:pPr>
            <w:r w:rsidRPr="00A50810">
              <w:rPr>
                <w:lang w:val="uk-UA"/>
              </w:rPr>
              <w:t>Кількість виглядань, % від контролю</w:t>
            </w:r>
          </w:p>
        </w:tc>
      </w:tr>
      <w:tr w:rsidR="00F05F4E" w:rsidRPr="00A50810" w14:paraId="1973F874" w14:textId="77777777" w:rsidTr="00352B8A">
        <w:trPr>
          <w:trHeight w:val="214"/>
          <w:jc w:val="center"/>
        </w:trPr>
        <w:tc>
          <w:tcPr>
            <w:tcW w:w="451" w:type="dxa"/>
            <w:vMerge/>
            <w:tcBorders>
              <w:bottom w:val="single" w:sz="4" w:space="0" w:color="auto"/>
            </w:tcBorders>
            <w:vAlign w:val="center"/>
          </w:tcPr>
          <w:p w14:paraId="16BAB5B9" w14:textId="77777777" w:rsidR="00F05F4E" w:rsidRPr="00A50810" w:rsidRDefault="00F05F4E" w:rsidP="00A50810">
            <w:pPr>
              <w:widowControl w:val="0"/>
              <w:autoSpaceDE w:val="0"/>
              <w:autoSpaceDN w:val="0"/>
              <w:adjustRightInd w:val="0"/>
              <w:spacing w:line="360" w:lineRule="auto"/>
            </w:pPr>
          </w:p>
        </w:tc>
        <w:tc>
          <w:tcPr>
            <w:tcW w:w="1803" w:type="dxa"/>
            <w:vMerge/>
            <w:tcBorders>
              <w:bottom w:val="single" w:sz="4" w:space="0" w:color="auto"/>
            </w:tcBorders>
            <w:vAlign w:val="center"/>
          </w:tcPr>
          <w:p w14:paraId="13DA2BBD" w14:textId="77777777" w:rsidR="00F05F4E" w:rsidRPr="00A50810" w:rsidRDefault="00F05F4E" w:rsidP="00A50810">
            <w:pPr>
              <w:widowControl w:val="0"/>
              <w:autoSpaceDE w:val="0"/>
              <w:autoSpaceDN w:val="0"/>
              <w:adjustRightInd w:val="0"/>
              <w:spacing w:line="360" w:lineRule="auto"/>
            </w:pPr>
          </w:p>
        </w:tc>
        <w:tc>
          <w:tcPr>
            <w:tcW w:w="1803" w:type="dxa"/>
            <w:tcBorders>
              <w:bottom w:val="single" w:sz="4" w:space="0" w:color="auto"/>
            </w:tcBorders>
            <w:vAlign w:val="center"/>
          </w:tcPr>
          <w:p w14:paraId="33CCA79C" w14:textId="77777777" w:rsidR="00F05F4E" w:rsidRPr="00A50810" w:rsidRDefault="00F05F4E" w:rsidP="00A50810">
            <w:pPr>
              <w:widowControl w:val="0"/>
              <w:autoSpaceDE w:val="0"/>
              <w:autoSpaceDN w:val="0"/>
              <w:adjustRightInd w:val="0"/>
              <w:spacing w:line="360" w:lineRule="auto"/>
              <w:jc w:val="center"/>
              <w:rPr>
                <w:lang w:val="uk-UA"/>
              </w:rPr>
            </w:pPr>
            <w:r w:rsidRPr="00A50810">
              <w:rPr>
                <w:lang w:val="uk-UA"/>
              </w:rPr>
              <w:t>1 год</w:t>
            </w:r>
          </w:p>
        </w:tc>
        <w:tc>
          <w:tcPr>
            <w:tcW w:w="1893" w:type="dxa"/>
            <w:tcBorders>
              <w:bottom w:val="single" w:sz="4" w:space="0" w:color="auto"/>
            </w:tcBorders>
            <w:vAlign w:val="center"/>
          </w:tcPr>
          <w:p w14:paraId="4D46DD1E" w14:textId="77777777" w:rsidR="00F05F4E" w:rsidRPr="00A50810" w:rsidRDefault="00F05F4E" w:rsidP="00A50810">
            <w:pPr>
              <w:widowControl w:val="0"/>
              <w:autoSpaceDE w:val="0"/>
              <w:autoSpaceDN w:val="0"/>
              <w:adjustRightInd w:val="0"/>
              <w:spacing w:line="360" w:lineRule="auto"/>
              <w:jc w:val="center"/>
              <w:rPr>
                <w:lang w:val="uk-UA"/>
              </w:rPr>
            </w:pPr>
            <w:r w:rsidRPr="00A50810">
              <w:t>3</w:t>
            </w:r>
            <w:r w:rsidRPr="00A50810">
              <w:rPr>
                <w:lang w:val="uk-UA"/>
              </w:rPr>
              <w:t xml:space="preserve"> год</w:t>
            </w:r>
          </w:p>
        </w:tc>
        <w:tc>
          <w:tcPr>
            <w:tcW w:w="1803" w:type="dxa"/>
            <w:tcBorders>
              <w:bottom w:val="single" w:sz="4" w:space="0" w:color="auto"/>
            </w:tcBorders>
            <w:vAlign w:val="center"/>
          </w:tcPr>
          <w:p w14:paraId="329DB2BF" w14:textId="77777777" w:rsidR="00F05F4E" w:rsidRPr="00A50810" w:rsidRDefault="00F05F4E" w:rsidP="00A50810">
            <w:pPr>
              <w:widowControl w:val="0"/>
              <w:autoSpaceDE w:val="0"/>
              <w:autoSpaceDN w:val="0"/>
              <w:adjustRightInd w:val="0"/>
              <w:spacing w:line="360" w:lineRule="auto"/>
              <w:jc w:val="center"/>
              <w:rPr>
                <w:lang w:val="uk-UA"/>
              </w:rPr>
            </w:pPr>
            <w:r w:rsidRPr="00A50810">
              <w:t>5</w:t>
            </w:r>
            <w:r w:rsidRPr="00A50810">
              <w:rPr>
                <w:lang w:val="uk-UA"/>
              </w:rPr>
              <w:t xml:space="preserve"> год</w:t>
            </w:r>
          </w:p>
        </w:tc>
        <w:tc>
          <w:tcPr>
            <w:tcW w:w="1715" w:type="dxa"/>
            <w:tcBorders>
              <w:bottom w:val="single" w:sz="4" w:space="0" w:color="auto"/>
            </w:tcBorders>
            <w:vAlign w:val="center"/>
          </w:tcPr>
          <w:p w14:paraId="66DF23F9" w14:textId="77777777" w:rsidR="00F05F4E" w:rsidRPr="00A50810" w:rsidRDefault="00F05F4E" w:rsidP="00A50810">
            <w:pPr>
              <w:widowControl w:val="0"/>
              <w:autoSpaceDE w:val="0"/>
              <w:autoSpaceDN w:val="0"/>
              <w:adjustRightInd w:val="0"/>
              <w:spacing w:line="360" w:lineRule="auto"/>
              <w:jc w:val="center"/>
              <w:rPr>
                <w:lang w:val="uk-UA"/>
              </w:rPr>
            </w:pPr>
            <w:r w:rsidRPr="00A50810">
              <w:t>2</w:t>
            </w:r>
            <w:r w:rsidRPr="00A50810">
              <w:rPr>
                <w:lang w:val="uk-UA"/>
              </w:rPr>
              <w:t>4 год</w:t>
            </w:r>
          </w:p>
        </w:tc>
      </w:tr>
      <w:tr w:rsidR="00F05F4E" w:rsidRPr="00A50810" w14:paraId="1EE6B5C1" w14:textId="77777777" w:rsidTr="00352B8A">
        <w:trPr>
          <w:trHeight w:val="245"/>
          <w:jc w:val="center"/>
        </w:trPr>
        <w:tc>
          <w:tcPr>
            <w:tcW w:w="451" w:type="dxa"/>
            <w:vAlign w:val="center"/>
          </w:tcPr>
          <w:p w14:paraId="110F2A53" w14:textId="77777777" w:rsidR="00F05F4E" w:rsidRPr="00A50810" w:rsidRDefault="00F05F4E" w:rsidP="00A50810">
            <w:pPr>
              <w:rPr>
                <w:lang w:val="uk-UA"/>
              </w:rPr>
            </w:pPr>
            <w:r w:rsidRPr="00A50810">
              <w:rPr>
                <w:lang w:val="uk-UA"/>
              </w:rPr>
              <w:t>1</w:t>
            </w:r>
          </w:p>
        </w:tc>
        <w:tc>
          <w:tcPr>
            <w:tcW w:w="1803" w:type="dxa"/>
            <w:vAlign w:val="center"/>
          </w:tcPr>
          <w:p w14:paraId="0DD75DC4" w14:textId="77777777" w:rsidR="00F05F4E" w:rsidRPr="00A50810" w:rsidRDefault="00F05F4E" w:rsidP="00A50810">
            <w:pPr>
              <w:rPr>
                <w:lang w:val="uk-UA"/>
              </w:rPr>
            </w:pPr>
            <w:r w:rsidRPr="00A50810">
              <w:rPr>
                <w:lang w:val="uk-UA"/>
              </w:rPr>
              <w:t>Контроль</w:t>
            </w:r>
          </w:p>
        </w:tc>
        <w:tc>
          <w:tcPr>
            <w:tcW w:w="1803" w:type="dxa"/>
            <w:tcBorders>
              <w:bottom w:val="single" w:sz="4" w:space="0" w:color="auto"/>
            </w:tcBorders>
            <w:vAlign w:val="center"/>
          </w:tcPr>
          <w:p w14:paraId="1A34D0BE" w14:textId="77777777" w:rsidR="00F05F4E" w:rsidRPr="00A50810" w:rsidRDefault="00F05F4E" w:rsidP="00A50810">
            <w:pPr>
              <w:rPr>
                <w:color w:val="000000"/>
                <w:lang w:val="uk-UA"/>
              </w:rPr>
            </w:pPr>
            <w:r w:rsidRPr="00A50810">
              <w:rPr>
                <w:color w:val="000000"/>
                <w:lang w:val="uk-UA"/>
              </w:rPr>
              <w:t>100</w:t>
            </w:r>
            <w:r w:rsidRPr="00A50810">
              <w:rPr>
                <w:color w:val="000000"/>
              </w:rPr>
              <w:t xml:space="preserve"> ± 1</w:t>
            </w:r>
            <w:r w:rsidRPr="00A50810">
              <w:rPr>
                <w:color w:val="000000"/>
                <w:lang w:val="uk-UA"/>
              </w:rPr>
              <w:t>0,6</w:t>
            </w:r>
          </w:p>
        </w:tc>
        <w:tc>
          <w:tcPr>
            <w:tcW w:w="1893" w:type="dxa"/>
            <w:tcBorders>
              <w:bottom w:val="single" w:sz="4" w:space="0" w:color="auto"/>
            </w:tcBorders>
            <w:vAlign w:val="center"/>
          </w:tcPr>
          <w:p w14:paraId="7738C6C3" w14:textId="77777777" w:rsidR="00F05F4E" w:rsidRPr="00A50810" w:rsidRDefault="00F05F4E" w:rsidP="00A50810">
            <w:r w:rsidRPr="00A50810">
              <w:rPr>
                <w:color w:val="000000"/>
                <w:lang w:val="uk-UA"/>
              </w:rPr>
              <w:t>100</w:t>
            </w:r>
            <w:r w:rsidRPr="00A50810">
              <w:rPr>
                <w:color w:val="000000"/>
              </w:rPr>
              <w:t xml:space="preserve"> ± 1</w:t>
            </w:r>
            <w:r w:rsidRPr="00A50810">
              <w:rPr>
                <w:color w:val="000000"/>
                <w:lang w:val="uk-UA"/>
              </w:rPr>
              <w:t>0,6</w:t>
            </w:r>
          </w:p>
        </w:tc>
        <w:tc>
          <w:tcPr>
            <w:tcW w:w="1803" w:type="dxa"/>
            <w:tcBorders>
              <w:bottom w:val="single" w:sz="4" w:space="0" w:color="auto"/>
            </w:tcBorders>
            <w:vAlign w:val="center"/>
          </w:tcPr>
          <w:p w14:paraId="582E1A74" w14:textId="77777777" w:rsidR="00F05F4E" w:rsidRPr="00A50810" w:rsidRDefault="00F05F4E" w:rsidP="00A50810">
            <w:r w:rsidRPr="00A50810">
              <w:rPr>
                <w:color w:val="000000"/>
                <w:lang w:val="uk-UA"/>
              </w:rPr>
              <w:t>100</w:t>
            </w:r>
            <w:r w:rsidRPr="00A50810">
              <w:rPr>
                <w:color w:val="000000"/>
              </w:rPr>
              <w:t xml:space="preserve"> ± 1</w:t>
            </w:r>
            <w:r w:rsidRPr="00A50810">
              <w:rPr>
                <w:color w:val="000000"/>
                <w:lang w:val="uk-UA"/>
              </w:rPr>
              <w:t>0,6</w:t>
            </w:r>
          </w:p>
        </w:tc>
        <w:tc>
          <w:tcPr>
            <w:tcW w:w="1715" w:type="dxa"/>
            <w:tcBorders>
              <w:bottom w:val="single" w:sz="4" w:space="0" w:color="auto"/>
            </w:tcBorders>
            <w:vAlign w:val="center"/>
          </w:tcPr>
          <w:p w14:paraId="7BB9B877" w14:textId="77777777" w:rsidR="00F05F4E" w:rsidRPr="00A50810" w:rsidRDefault="00F05F4E" w:rsidP="00A50810">
            <w:r w:rsidRPr="00A50810">
              <w:rPr>
                <w:color w:val="000000"/>
                <w:lang w:val="uk-UA"/>
              </w:rPr>
              <w:t>100</w:t>
            </w:r>
            <w:r w:rsidRPr="00A50810">
              <w:rPr>
                <w:color w:val="000000"/>
              </w:rPr>
              <w:t xml:space="preserve"> ± 1</w:t>
            </w:r>
            <w:r w:rsidRPr="00A50810">
              <w:rPr>
                <w:color w:val="000000"/>
                <w:lang w:val="uk-UA"/>
              </w:rPr>
              <w:t>0,6</w:t>
            </w:r>
          </w:p>
        </w:tc>
      </w:tr>
      <w:tr w:rsidR="00F05F4E" w:rsidRPr="00A50810" w14:paraId="12D7234A" w14:textId="77777777" w:rsidTr="00352B8A">
        <w:trPr>
          <w:trHeight w:val="245"/>
          <w:jc w:val="center"/>
        </w:trPr>
        <w:tc>
          <w:tcPr>
            <w:tcW w:w="451" w:type="dxa"/>
            <w:vAlign w:val="center"/>
          </w:tcPr>
          <w:p w14:paraId="13D75ECB" w14:textId="77777777" w:rsidR="00F05F4E" w:rsidRPr="00A50810" w:rsidRDefault="00F05F4E" w:rsidP="00A50810">
            <w:pPr>
              <w:rPr>
                <w:lang w:val="uk-UA"/>
              </w:rPr>
            </w:pPr>
            <w:r w:rsidRPr="00A50810">
              <w:rPr>
                <w:lang w:val="uk-UA"/>
              </w:rPr>
              <w:t>2</w:t>
            </w:r>
          </w:p>
        </w:tc>
        <w:tc>
          <w:tcPr>
            <w:tcW w:w="1803" w:type="dxa"/>
            <w:vAlign w:val="center"/>
          </w:tcPr>
          <w:p w14:paraId="485C55A2" w14:textId="77777777" w:rsidR="00F05F4E" w:rsidRPr="00A50810" w:rsidRDefault="00F05F4E" w:rsidP="00A50810">
            <w:r w:rsidRPr="00A50810">
              <w:rPr>
                <w:color w:val="000000"/>
              </w:rPr>
              <w:t>Фабомотізол</w:t>
            </w:r>
          </w:p>
        </w:tc>
        <w:tc>
          <w:tcPr>
            <w:tcW w:w="1803" w:type="dxa"/>
            <w:tcBorders>
              <w:bottom w:val="single" w:sz="4" w:space="0" w:color="auto"/>
            </w:tcBorders>
            <w:vAlign w:val="center"/>
          </w:tcPr>
          <w:p w14:paraId="194DF10F" w14:textId="77777777" w:rsidR="00F05F4E" w:rsidRPr="00A50810" w:rsidRDefault="00F05F4E" w:rsidP="00A50810">
            <w:r w:rsidRPr="00A50810">
              <w:t>268 ± 31,3</w:t>
            </w:r>
            <w:r w:rsidRPr="00A50810">
              <w:rPr>
                <w:color w:val="000000"/>
                <w:lang w:val="en-US"/>
              </w:rPr>
              <w:t>**</w:t>
            </w:r>
          </w:p>
        </w:tc>
        <w:tc>
          <w:tcPr>
            <w:tcW w:w="1893" w:type="dxa"/>
            <w:tcBorders>
              <w:bottom w:val="single" w:sz="4" w:space="0" w:color="auto"/>
            </w:tcBorders>
            <w:vAlign w:val="center"/>
          </w:tcPr>
          <w:p w14:paraId="5E2591AE" w14:textId="77777777" w:rsidR="00F05F4E" w:rsidRPr="00A50810" w:rsidRDefault="00F05F4E" w:rsidP="00A50810">
            <w:r w:rsidRPr="00A50810">
              <w:t>206.3± 15,7</w:t>
            </w:r>
            <w:r w:rsidRPr="00A50810">
              <w:rPr>
                <w:color w:val="000000"/>
                <w:lang w:val="en-US"/>
              </w:rPr>
              <w:t>**</w:t>
            </w:r>
          </w:p>
        </w:tc>
        <w:tc>
          <w:tcPr>
            <w:tcW w:w="1803" w:type="dxa"/>
            <w:tcBorders>
              <w:bottom w:val="single" w:sz="4" w:space="0" w:color="auto"/>
            </w:tcBorders>
            <w:vAlign w:val="center"/>
          </w:tcPr>
          <w:p w14:paraId="6252BA1E" w14:textId="77777777" w:rsidR="00F05F4E" w:rsidRPr="00A50810" w:rsidRDefault="00F05F4E" w:rsidP="00A50810">
            <w:r w:rsidRPr="00A50810">
              <w:t>125± 19,1</w:t>
            </w:r>
          </w:p>
        </w:tc>
        <w:tc>
          <w:tcPr>
            <w:tcW w:w="1715" w:type="dxa"/>
            <w:tcBorders>
              <w:bottom w:val="single" w:sz="4" w:space="0" w:color="auto"/>
            </w:tcBorders>
            <w:vAlign w:val="center"/>
          </w:tcPr>
          <w:p w14:paraId="1ABAFF0C" w14:textId="77777777" w:rsidR="00F05F4E" w:rsidRPr="00A50810" w:rsidRDefault="00F05F4E" w:rsidP="00A50810">
            <w:r w:rsidRPr="00A50810">
              <w:t>116± 12</w:t>
            </w:r>
          </w:p>
        </w:tc>
      </w:tr>
      <w:tr w:rsidR="00F05F4E" w:rsidRPr="00A50810" w14:paraId="3CB42081" w14:textId="77777777" w:rsidTr="00352B8A">
        <w:trPr>
          <w:trHeight w:val="353"/>
          <w:jc w:val="center"/>
        </w:trPr>
        <w:tc>
          <w:tcPr>
            <w:tcW w:w="451" w:type="dxa"/>
            <w:vAlign w:val="center"/>
          </w:tcPr>
          <w:p w14:paraId="62717CA3" w14:textId="77777777" w:rsidR="00F05F4E" w:rsidRPr="00A50810" w:rsidRDefault="00F05F4E" w:rsidP="00A50810">
            <w:pPr>
              <w:rPr>
                <w:lang w:val="uk-UA"/>
              </w:rPr>
            </w:pPr>
            <w:r w:rsidRPr="00A50810">
              <w:rPr>
                <w:lang w:val="uk-UA"/>
              </w:rPr>
              <w:t>3</w:t>
            </w:r>
          </w:p>
        </w:tc>
        <w:tc>
          <w:tcPr>
            <w:tcW w:w="1803" w:type="dxa"/>
            <w:vAlign w:val="center"/>
          </w:tcPr>
          <w:p w14:paraId="36C7603E" w14:textId="77777777" w:rsidR="00F05F4E" w:rsidRPr="00A50810" w:rsidRDefault="00F05F4E" w:rsidP="00A50810">
            <w:pPr>
              <w:rPr>
                <w:lang w:val="uk-UA"/>
              </w:rPr>
            </w:pPr>
            <w:r w:rsidRPr="00A50810">
              <w:rPr>
                <w:lang w:val="uk-UA"/>
              </w:rPr>
              <w:t>БА</w:t>
            </w:r>
          </w:p>
        </w:tc>
        <w:tc>
          <w:tcPr>
            <w:tcW w:w="1803" w:type="dxa"/>
            <w:tcBorders>
              <w:top w:val="single" w:sz="4" w:space="0" w:color="auto"/>
            </w:tcBorders>
            <w:vAlign w:val="center"/>
          </w:tcPr>
          <w:p w14:paraId="19C3FB00" w14:textId="77777777" w:rsidR="00F05F4E" w:rsidRPr="00A50810" w:rsidRDefault="00F05F4E" w:rsidP="00A50810">
            <w:pPr>
              <w:rPr>
                <w:color w:val="000000"/>
                <w:lang w:val="en-US"/>
              </w:rPr>
            </w:pPr>
            <w:r w:rsidRPr="00A50810">
              <w:rPr>
                <w:color w:val="000000"/>
                <w:lang w:val="en-US"/>
              </w:rPr>
              <w:t>220,1</w:t>
            </w:r>
            <w:r w:rsidRPr="00A50810">
              <w:rPr>
                <w:color w:val="000000"/>
              </w:rPr>
              <w:t xml:space="preserve"> ± </w:t>
            </w:r>
            <w:r w:rsidRPr="00A50810">
              <w:rPr>
                <w:color w:val="000000"/>
                <w:lang w:val="en-US"/>
              </w:rPr>
              <w:t>20,0</w:t>
            </w:r>
            <w:r w:rsidRPr="00A50810">
              <w:rPr>
                <w:color w:val="000000"/>
                <w:lang w:val="uk-UA"/>
              </w:rPr>
              <w:t xml:space="preserve"> </w:t>
            </w:r>
            <w:r w:rsidRPr="00A50810">
              <w:rPr>
                <w:vertAlign w:val="superscript"/>
                <w:lang w:val="en-US"/>
              </w:rPr>
              <w:t>#</w:t>
            </w:r>
          </w:p>
        </w:tc>
        <w:tc>
          <w:tcPr>
            <w:tcW w:w="1893" w:type="dxa"/>
            <w:tcBorders>
              <w:top w:val="single" w:sz="4" w:space="0" w:color="auto"/>
            </w:tcBorders>
            <w:vAlign w:val="center"/>
          </w:tcPr>
          <w:p w14:paraId="0E80E5A0" w14:textId="77777777" w:rsidR="00F05F4E" w:rsidRPr="00A50810" w:rsidRDefault="00F05F4E" w:rsidP="00A50810">
            <w:pPr>
              <w:rPr>
                <w:lang w:val="en-US"/>
              </w:rPr>
            </w:pPr>
            <w:r w:rsidRPr="00A50810">
              <w:rPr>
                <w:color w:val="000000"/>
                <w:lang w:val="en-US"/>
              </w:rPr>
              <w:t>166,7</w:t>
            </w:r>
            <w:r w:rsidRPr="00A50810">
              <w:rPr>
                <w:color w:val="000000"/>
              </w:rPr>
              <w:t xml:space="preserve"> ± </w:t>
            </w:r>
            <w:r w:rsidRPr="00A50810">
              <w:rPr>
                <w:color w:val="000000"/>
                <w:lang w:val="en-US"/>
              </w:rPr>
              <w:t xml:space="preserve">6,0 </w:t>
            </w:r>
            <w:r w:rsidRPr="00A50810">
              <w:rPr>
                <w:vertAlign w:val="superscript"/>
                <w:lang w:val="en-US"/>
              </w:rPr>
              <w:t>#</w:t>
            </w:r>
          </w:p>
        </w:tc>
        <w:tc>
          <w:tcPr>
            <w:tcW w:w="1803" w:type="dxa"/>
            <w:tcBorders>
              <w:top w:val="single" w:sz="4" w:space="0" w:color="auto"/>
            </w:tcBorders>
            <w:vAlign w:val="center"/>
          </w:tcPr>
          <w:p w14:paraId="01F5EE91" w14:textId="77777777" w:rsidR="00F05F4E" w:rsidRPr="00A50810" w:rsidRDefault="00F05F4E" w:rsidP="00A50810">
            <w:pPr>
              <w:rPr>
                <w:lang w:val="uk-UA"/>
              </w:rPr>
            </w:pPr>
            <w:r w:rsidRPr="00A50810">
              <w:rPr>
                <w:color w:val="000000"/>
                <w:lang w:val="en-US"/>
              </w:rPr>
              <w:t>159,0</w:t>
            </w:r>
            <w:r w:rsidRPr="00A50810">
              <w:rPr>
                <w:color w:val="000000"/>
              </w:rPr>
              <w:t xml:space="preserve"> ± </w:t>
            </w:r>
            <w:r w:rsidRPr="00A50810">
              <w:rPr>
                <w:color w:val="000000"/>
                <w:lang w:val="uk-UA"/>
              </w:rPr>
              <w:t>11,2</w:t>
            </w:r>
          </w:p>
        </w:tc>
        <w:tc>
          <w:tcPr>
            <w:tcW w:w="1715" w:type="dxa"/>
            <w:tcBorders>
              <w:top w:val="single" w:sz="4" w:space="0" w:color="auto"/>
            </w:tcBorders>
            <w:vAlign w:val="center"/>
          </w:tcPr>
          <w:p w14:paraId="52CDD012" w14:textId="77777777" w:rsidR="00F05F4E" w:rsidRPr="00A50810" w:rsidRDefault="00F05F4E" w:rsidP="00A50810">
            <w:pPr>
              <w:rPr>
                <w:lang w:val="en-US"/>
              </w:rPr>
            </w:pPr>
            <w:r w:rsidRPr="00A50810">
              <w:rPr>
                <w:color w:val="000000"/>
                <w:lang w:val="en-US"/>
              </w:rPr>
              <w:t xml:space="preserve">148,0  </w:t>
            </w:r>
            <w:r w:rsidRPr="00A50810">
              <w:rPr>
                <w:color w:val="000000"/>
              </w:rPr>
              <w:t>±</w:t>
            </w:r>
            <w:r w:rsidRPr="00A50810">
              <w:rPr>
                <w:color w:val="000000"/>
                <w:lang w:val="en-US"/>
              </w:rPr>
              <w:t xml:space="preserve"> 4,0</w:t>
            </w:r>
            <w:r w:rsidRPr="00A50810">
              <w:rPr>
                <w:color w:val="000000"/>
              </w:rPr>
              <w:t xml:space="preserve"> </w:t>
            </w:r>
            <w:r w:rsidRPr="00A50810">
              <w:rPr>
                <w:vertAlign w:val="superscript"/>
                <w:lang w:val="en-US"/>
              </w:rPr>
              <w:t>#</w:t>
            </w:r>
          </w:p>
        </w:tc>
      </w:tr>
      <w:tr w:rsidR="00F05F4E" w:rsidRPr="00A50810" w14:paraId="5D39068D" w14:textId="77777777" w:rsidTr="00352B8A">
        <w:trPr>
          <w:trHeight w:val="132"/>
          <w:jc w:val="center"/>
        </w:trPr>
        <w:tc>
          <w:tcPr>
            <w:tcW w:w="451" w:type="dxa"/>
            <w:vAlign w:val="center"/>
          </w:tcPr>
          <w:p w14:paraId="654FB6CC" w14:textId="77777777" w:rsidR="00F05F4E" w:rsidRPr="00A50810" w:rsidRDefault="00F05F4E" w:rsidP="00A50810">
            <w:pPr>
              <w:rPr>
                <w:lang w:val="uk-UA"/>
              </w:rPr>
            </w:pPr>
            <w:r w:rsidRPr="00A50810">
              <w:rPr>
                <w:lang w:val="uk-UA"/>
              </w:rPr>
              <w:t>4</w:t>
            </w:r>
          </w:p>
        </w:tc>
        <w:tc>
          <w:tcPr>
            <w:tcW w:w="1803" w:type="dxa"/>
            <w:vAlign w:val="center"/>
          </w:tcPr>
          <w:p w14:paraId="3E24AA51" w14:textId="77777777" w:rsidR="00F05F4E" w:rsidRPr="00A50810" w:rsidRDefault="00F05F4E" w:rsidP="00A50810">
            <w:pPr>
              <w:rPr>
                <w:lang w:val="uk-UA"/>
              </w:rPr>
            </w:pPr>
            <w:r w:rsidRPr="00A50810">
              <w:rPr>
                <w:lang w:val="uk-UA"/>
              </w:rPr>
              <w:t>4-брБА</w:t>
            </w:r>
          </w:p>
        </w:tc>
        <w:tc>
          <w:tcPr>
            <w:tcW w:w="1803" w:type="dxa"/>
            <w:vAlign w:val="center"/>
          </w:tcPr>
          <w:p w14:paraId="1FA6C915" w14:textId="77777777" w:rsidR="00F05F4E" w:rsidRPr="00A50810" w:rsidRDefault="00F05F4E" w:rsidP="00A50810">
            <w:pPr>
              <w:rPr>
                <w:color w:val="000000"/>
                <w:lang w:val="en-US"/>
              </w:rPr>
            </w:pPr>
            <w:r w:rsidRPr="00A50810">
              <w:rPr>
                <w:color w:val="000000"/>
                <w:lang w:val="en-US"/>
              </w:rPr>
              <w:t xml:space="preserve">50,0 </w:t>
            </w:r>
            <w:r w:rsidRPr="00A50810">
              <w:rPr>
                <w:color w:val="000000"/>
              </w:rPr>
              <w:t>±</w:t>
            </w:r>
            <w:r w:rsidRPr="00A50810">
              <w:rPr>
                <w:color w:val="000000"/>
                <w:lang w:val="en-US"/>
              </w:rPr>
              <w:t xml:space="preserve"> 12</w:t>
            </w:r>
            <w:r w:rsidRPr="00A50810">
              <w:rPr>
                <w:color w:val="000000"/>
              </w:rPr>
              <w:t>,</w:t>
            </w:r>
            <w:r w:rsidRPr="00A50810">
              <w:rPr>
                <w:color w:val="000000"/>
                <w:lang w:val="en-US"/>
              </w:rPr>
              <w:t>5</w:t>
            </w:r>
            <w:r w:rsidRPr="00A50810">
              <w:rPr>
                <w:color w:val="000000"/>
                <w:lang w:val="uk-UA"/>
              </w:rPr>
              <w:t xml:space="preserve"> </w:t>
            </w:r>
            <w:r w:rsidRPr="00A50810">
              <w:rPr>
                <w:vertAlign w:val="superscript"/>
                <w:lang w:val="en-US"/>
              </w:rPr>
              <w:t>##</w:t>
            </w:r>
          </w:p>
        </w:tc>
        <w:tc>
          <w:tcPr>
            <w:tcW w:w="1893" w:type="dxa"/>
            <w:vAlign w:val="center"/>
          </w:tcPr>
          <w:p w14:paraId="5C7CF46F" w14:textId="77777777" w:rsidR="00F05F4E" w:rsidRPr="00A50810" w:rsidRDefault="00F05F4E" w:rsidP="00A50810">
            <w:pPr>
              <w:rPr>
                <w:color w:val="000000"/>
                <w:lang w:val="en-US"/>
              </w:rPr>
            </w:pPr>
            <w:r w:rsidRPr="00A50810">
              <w:rPr>
                <w:color w:val="000000"/>
                <w:lang w:val="en-US"/>
              </w:rPr>
              <w:t>122,3</w:t>
            </w:r>
            <w:r w:rsidRPr="00A50810">
              <w:rPr>
                <w:color w:val="000000"/>
              </w:rPr>
              <w:t xml:space="preserve"> ± </w:t>
            </w:r>
            <w:r w:rsidRPr="00A50810">
              <w:rPr>
                <w:color w:val="000000"/>
                <w:lang w:val="en-US"/>
              </w:rPr>
              <w:t>8</w:t>
            </w:r>
            <w:r w:rsidRPr="00A50810">
              <w:rPr>
                <w:color w:val="000000"/>
              </w:rPr>
              <w:t>,</w:t>
            </w:r>
            <w:r w:rsidRPr="00A50810">
              <w:rPr>
                <w:color w:val="000000"/>
                <w:lang w:val="en-US"/>
              </w:rPr>
              <w:t>2 *,</w:t>
            </w:r>
            <w:r w:rsidRPr="00A50810">
              <w:rPr>
                <w:vertAlign w:val="superscript"/>
                <w:lang w:val="en-US"/>
              </w:rPr>
              <w:t>##</w:t>
            </w:r>
          </w:p>
        </w:tc>
        <w:tc>
          <w:tcPr>
            <w:tcW w:w="1803" w:type="dxa"/>
            <w:vAlign w:val="center"/>
          </w:tcPr>
          <w:p w14:paraId="40BA1CF1" w14:textId="77777777" w:rsidR="00F05F4E" w:rsidRPr="00A50810" w:rsidRDefault="00F05F4E" w:rsidP="00A50810">
            <w:pPr>
              <w:rPr>
                <w:color w:val="000000"/>
                <w:lang w:val="uk-UA"/>
              </w:rPr>
            </w:pPr>
            <w:r w:rsidRPr="00A50810">
              <w:rPr>
                <w:color w:val="000000"/>
                <w:lang w:val="uk-UA"/>
              </w:rPr>
              <w:t xml:space="preserve">87,2 </w:t>
            </w:r>
            <w:r w:rsidRPr="00A50810">
              <w:rPr>
                <w:color w:val="000000"/>
              </w:rPr>
              <w:t>±</w:t>
            </w:r>
            <w:r w:rsidRPr="00A50810">
              <w:rPr>
                <w:color w:val="000000"/>
                <w:lang w:val="en-US"/>
              </w:rPr>
              <w:t xml:space="preserve"> 4,</w:t>
            </w:r>
            <w:r w:rsidRPr="00A50810">
              <w:rPr>
                <w:color w:val="000000"/>
                <w:lang w:val="uk-UA"/>
              </w:rPr>
              <w:t>2</w:t>
            </w:r>
          </w:p>
        </w:tc>
        <w:tc>
          <w:tcPr>
            <w:tcW w:w="1715" w:type="dxa"/>
            <w:vAlign w:val="center"/>
          </w:tcPr>
          <w:p w14:paraId="3EF5227E" w14:textId="77777777" w:rsidR="00F05F4E" w:rsidRPr="00A50810" w:rsidRDefault="00F05F4E" w:rsidP="00A50810">
            <w:pPr>
              <w:rPr>
                <w:color w:val="000000"/>
                <w:lang w:val="en-US"/>
              </w:rPr>
            </w:pPr>
            <w:r w:rsidRPr="00A50810">
              <w:rPr>
                <w:color w:val="000000"/>
                <w:lang w:val="en-US"/>
              </w:rPr>
              <w:t>42,6</w:t>
            </w:r>
            <w:r w:rsidRPr="00A50810">
              <w:rPr>
                <w:color w:val="000000"/>
              </w:rPr>
              <w:t xml:space="preserve">± </w:t>
            </w:r>
            <w:r w:rsidRPr="00A50810">
              <w:rPr>
                <w:color w:val="000000"/>
                <w:lang w:val="en-US"/>
              </w:rPr>
              <w:t>9,4</w:t>
            </w:r>
            <w:r w:rsidRPr="00A50810">
              <w:rPr>
                <w:color w:val="000000"/>
                <w:lang w:val="uk-UA"/>
              </w:rPr>
              <w:t xml:space="preserve"> </w:t>
            </w:r>
            <w:r w:rsidRPr="00A50810">
              <w:rPr>
                <w:color w:val="000000"/>
                <w:lang w:val="en-US"/>
              </w:rPr>
              <w:t>**,</w:t>
            </w:r>
            <w:r w:rsidRPr="00A50810">
              <w:rPr>
                <w:vertAlign w:val="superscript"/>
                <w:lang w:val="en-US"/>
              </w:rPr>
              <w:t>##</w:t>
            </w:r>
          </w:p>
        </w:tc>
      </w:tr>
      <w:tr w:rsidR="00F05F4E" w:rsidRPr="00A50810" w14:paraId="217BA0BE" w14:textId="77777777" w:rsidTr="00352B8A">
        <w:trPr>
          <w:trHeight w:val="137"/>
          <w:jc w:val="center"/>
        </w:trPr>
        <w:tc>
          <w:tcPr>
            <w:tcW w:w="451" w:type="dxa"/>
            <w:vAlign w:val="center"/>
          </w:tcPr>
          <w:p w14:paraId="6FBD33B3" w14:textId="77777777" w:rsidR="00F05F4E" w:rsidRPr="00A50810" w:rsidRDefault="00F05F4E" w:rsidP="00A50810">
            <w:pPr>
              <w:rPr>
                <w:lang w:val="uk-UA"/>
              </w:rPr>
            </w:pPr>
            <w:r w:rsidRPr="00A50810">
              <w:rPr>
                <w:lang w:val="uk-UA"/>
              </w:rPr>
              <w:t>5</w:t>
            </w:r>
          </w:p>
        </w:tc>
        <w:tc>
          <w:tcPr>
            <w:tcW w:w="1803" w:type="dxa"/>
            <w:vAlign w:val="center"/>
          </w:tcPr>
          <w:p w14:paraId="48754A1F" w14:textId="77777777" w:rsidR="00F05F4E" w:rsidRPr="00A50810" w:rsidRDefault="00F05F4E" w:rsidP="00A50810">
            <w:pPr>
              <w:rPr>
                <w:lang w:val="uk-UA"/>
              </w:rPr>
            </w:pPr>
            <w:r w:rsidRPr="00A50810">
              <w:rPr>
                <w:lang w:val="uk-UA"/>
              </w:rPr>
              <w:t>СГБА</w:t>
            </w:r>
          </w:p>
        </w:tc>
        <w:tc>
          <w:tcPr>
            <w:tcW w:w="1803" w:type="dxa"/>
            <w:vAlign w:val="center"/>
          </w:tcPr>
          <w:p w14:paraId="56A956E9" w14:textId="77777777" w:rsidR="00F05F4E" w:rsidRPr="00A50810" w:rsidRDefault="00F05F4E" w:rsidP="00A50810">
            <w:pPr>
              <w:rPr>
                <w:color w:val="000000"/>
                <w:lang w:val="en-US"/>
              </w:rPr>
            </w:pPr>
            <w:r w:rsidRPr="00A50810">
              <w:rPr>
                <w:color w:val="000000"/>
                <w:lang w:val="en-US"/>
              </w:rPr>
              <w:t>63,5</w:t>
            </w:r>
            <w:r w:rsidRPr="00A50810">
              <w:rPr>
                <w:color w:val="000000"/>
              </w:rPr>
              <w:t>±</w:t>
            </w:r>
            <w:r w:rsidRPr="00A50810">
              <w:rPr>
                <w:color w:val="000000"/>
                <w:lang w:val="en-US"/>
              </w:rPr>
              <w:t>3,2</w:t>
            </w:r>
            <w:r w:rsidRPr="00A50810">
              <w:rPr>
                <w:color w:val="000000"/>
                <w:lang w:val="uk-UA"/>
              </w:rPr>
              <w:t xml:space="preserve"> </w:t>
            </w:r>
            <w:r w:rsidRPr="00A50810">
              <w:rPr>
                <w:color w:val="000000"/>
                <w:lang w:val="en-US"/>
              </w:rPr>
              <w:t>**,</w:t>
            </w:r>
            <w:r w:rsidRPr="00A50810">
              <w:rPr>
                <w:vertAlign w:val="superscript"/>
                <w:lang w:val="en-US"/>
              </w:rPr>
              <w:t>##</w:t>
            </w:r>
          </w:p>
        </w:tc>
        <w:tc>
          <w:tcPr>
            <w:tcW w:w="1893" w:type="dxa"/>
            <w:vAlign w:val="center"/>
          </w:tcPr>
          <w:p w14:paraId="397805B5" w14:textId="77777777" w:rsidR="00F05F4E" w:rsidRPr="00A50810" w:rsidRDefault="00F05F4E" w:rsidP="00A50810">
            <w:pPr>
              <w:rPr>
                <w:color w:val="000000"/>
                <w:lang w:val="en-US"/>
              </w:rPr>
            </w:pPr>
            <w:r w:rsidRPr="00A50810">
              <w:rPr>
                <w:color w:val="000000"/>
                <w:lang w:val="en-US"/>
              </w:rPr>
              <w:t xml:space="preserve">34,9 </w:t>
            </w:r>
            <w:r w:rsidRPr="00A50810">
              <w:rPr>
                <w:color w:val="000000"/>
              </w:rPr>
              <w:t>±</w:t>
            </w:r>
            <w:r w:rsidRPr="00A50810">
              <w:rPr>
                <w:color w:val="000000"/>
                <w:lang w:val="en-US"/>
              </w:rPr>
              <w:t xml:space="preserve"> 3,2** </w:t>
            </w:r>
          </w:p>
        </w:tc>
        <w:tc>
          <w:tcPr>
            <w:tcW w:w="1803" w:type="dxa"/>
            <w:vAlign w:val="center"/>
          </w:tcPr>
          <w:p w14:paraId="4C7FBB28" w14:textId="77777777" w:rsidR="00F05F4E" w:rsidRPr="00A50810" w:rsidRDefault="00F05F4E" w:rsidP="00A50810">
            <w:pPr>
              <w:rPr>
                <w:color w:val="000000"/>
                <w:lang w:val="uk-UA"/>
              </w:rPr>
            </w:pPr>
            <w:r w:rsidRPr="00A50810">
              <w:rPr>
                <w:color w:val="000000"/>
                <w:lang w:val="uk-UA"/>
              </w:rPr>
              <w:t xml:space="preserve">42,1 </w:t>
            </w:r>
            <w:r w:rsidRPr="00A50810">
              <w:rPr>
                <w:color w:val="000000"/>
              </w:rPr>
              <w:t>±</w:t>
            </w:r>
            <w:r w:rsidRPr="00A50810">
              <w:rPr>
                <w:color w:val="000000"/>
                <w:lang w:val="en-US"/>
              </w:rPr>
              <w:t xml:space="preserve"> 8,3**</w:t>
            </w:r>
          </w:p>
        </w:tc>
        <w:tc>
          <w:tcPr>
            <w:tcW w:w="1715" w:type="dxa"/>
            <w:vAlign w:val="center"/>
          </w:tcPr>
          <w:p w14:paraId="5B3BD588" w14:textId="77777777" w:rsidR="00F05F4E" w:rsidRPr="00A50810" w:rsidRDefault="00F05F4E" w:rsidP="00A50810">
            <w:pPr>
              <w:rPr>
                <w:highlight w:val="lightGray"/>
                <w:lang w:val="en-US"/>
              </w:rPr>
            </w:pPr>
            <w:r w:rsidRPr="00A50810">
              <w:rPr>
                <w:lang w:val="en-US"/>
              </w:rPr>
              <w:t xml:space="preserve">54 </w:t>
            </w:r>
            <w:r w:rsidRPr="00A50810">
              <w:rPr>
                <w:color w:val="000000"/>
              </w:rPr>
              <w:t>±</w:t>
            </w:r>
            <w:r w:rsidRPr="00A50810">
              <w:rPr>
                <w:color w:val="000000"/>
                <w:lang w:val="en-US"/>
              </w:rPr>
              <w:t xml:space="preserve"> 1,4</w:t>
            </w:r>
            <w:r w:rsidRPr="00A50810">
              <w:rPr>
                <w:color w:val="000000"/>
                <w:lang w:val="uk-UA"/>
              </w:rPr>
              <w:t xml:space="preserve"> </w:t>
            </w:r>
            <w:r w:rsidRPr="00A50810">
              <w:rPr>
                <w:color w:val="000000"/>
                <w:lang w:val="en-US"/>
              </w:rPr>
              <w:t>**,</w:t>
            </w:r>
            <w:r w:rsidRPr="00A50810">
              <w:rPr>
                <w:vertAlign w:val="superscript"/>
                <w:lang w:val="en-US"/>
              </w:rPr>
              <w:t>##</w:t>
            </w:r>
          </w:p>
        </w:tc>
      </w:tr>
      <w:tr w:rsidR="00F05F4E" w:rsidRPr="00A50810" w14:paraId="0C77F6F7" w14:textId="77777777" w:rsidTr="00352B8A">
        <w:trPr>
          <w:trHeight w:val="430"/>
          <w:jc w:val="center"/>
        </w:trPr>
        <w:tc>
          <w:tcPr>
            <w:tcW w:w="451" w:type="dxa"/>
            <w:vAlign w:val="center"/>
          </w:tcPr>
          <w:p w14:paraId="1ED266CD" w14:textId="77777777" w:rsidR="00F05F4E" w:rsidRPr="00A50810" w:rsidRDefault="00F05F4E" w:rsidP="00A50810">
            <w:pPr>
              <w:rPr>
                <w:lang w:val="uk-UA"/>
              </w:rPr>
            </w:pPr>
            <w:r w:rsidRPr="00A50810">
              <w:rPr>
                <w:lang w:val="uk-UA"/>
              </w:rPr>
              <w:t>6</w:t>
            </w:r>
          </w:p>
        </w:tc>
        <w:tc>
          <w:tcPr>
            <w:tcW w:w="1803" w:type="dxa"/>
            <w:vAlign w:val="center"/>
          </w:tcPr>
          <w:p w14:paraId="08BE8EC8" w14:textId="77777777" w:rsidR="00F05F4E" w:rsidRPr="00A50810" w:rsidRDefault="00F05F4E" w:rsidP="00A50810">
            <w:pPr>
              <w:rPr>
                <w:lang w:val="uk-UA"/>
              </w:rPr>
            </w:pPr>
            <w:r w:rsidRPr="00A50810">
              <w:rPr>
                <w:lang w:val="uk-UA"/>
              </w:rPr>
              <w:t>СГбрБА</w:t>
            </w:r>
          </w:p>
        </w:tc>
        <w:tc>
          <w:tcPr>
            <w:tcW w:w="1803" w:type="dxa"/>
            <w:vAlign w:val="center"/>
          </w:tcPr>
          <w:p w14:paraId="11784D00" w14:textId="77777777" w:rsidR="00F05F4E" w:rsidRPr="00A50810" w:rsidRDefault="00F05F4E" w:rsidP="00A50810">
            <w:pPr>
              <w:rPr>
                <w:color w:val="000000"/>
                <w:lang w:val="en-US"/>
              </w:rPr>
            </w:pPr>
            <w:r w:rsidRPr="00A50810">
              <w:rPr>
                <w:color w:val="000000"/>
                <w:lang w:val="en-US"/>
              </w:rPr>
              <w:t>185,2</w:t>
            </w:r>
            <w:r w:rsidRPr="00A50810">
              <w:rPr>
                <w:color w:val="000000"/>
              </w:rPr>
              <w:t xml:space="preserve"> ± </w:t>
            </w:r>
            <w:r w:rsidRPr="00A50810">
              <w:rPr>
                <w:color w:val="000000"/>
                <w:lang w:val="en-US"/>
              </w:rPr>
              <w:t>42,8</w:t>
            </w:r>
          </w:p>
        </w:tc>
        <w:tc>
          <w:tcPr>
            <w:tcW w:w="1893" w:type="dxa"/>
            <w:vAlign w:val="center"/>
          </w:tcPr>
          <w:p w14:paraId="4F2EB145" w14:textId="77777777" w:rsidR="00F05F4E" w:rsidRPr="00A50810" w:rsidRDefault="00F05F4E" w:rsidP="00A50810">
            <w:pPr>
              <w:rPr>
                <w:color w:val="000000"/>
                <w:lang w:val="en-US"/>
              </w:rPr>
            </w:pPr>
            <w:r w:rsidRPr="00A50810">
              <w:rPr>
                <w:color w:val="000000"/>
                <w:lang w:val="en-US"/>
              </w:rPr>
              <w:t>61,7</w:t>
            </w:r>
            <w:r w:rsidRPr="00A50810">
              <w:rPr>
                <w:color w:val="000000"/>
              </w:rPr>
              <w:t>±</w:t>
            </w:r>
            <w:r w:rsidRPr="00A50810">
              <w:rPr>
                <w:color w:val="000000"/>
                <w:lang w:val="en-US"/>
              </w:rPr>
              <w:t>12,3</w:t>
            </w:r>
            <w:r w:rsidRPr="00A50810">
              <w:rPr>
                <w:color w:val="000000"/>
                <w:lang w:val="uk-UA"/>
              </w:rPr>
              <w:t xml:space="preserve"> </w:t>
            </w:r>
            <w:r w:rsidRPr="00A50810">
              <w:rPr>
                <w:color w:val="000000"/>
                <w:lang w:val="en-US"/>
              </w:rPr>
              <w:t>**</w:t>
            </w:r>
            <w:r w:rsidRPr="00A50810">
              <w:rPr>
                <w:color w:val="000000"/>
                <w:lang w:val="uk-UA"/>
              </w:rPr>
              <w:t>,</w:t>
            </w:r>
            <w:r w:rsidRPr="00A50810">
              <w:rPr>
                <w:vertAlign w:val="superscript"/>
                <w:lang w:val="en-US"/>
              </w:rPr>
              <w:t>##</w:t>
            </w:r>
          </w:p>
        </w:tc>
        <w:tc>
          <w:tcPr>
            <w:tcW w:w="1803" w:type="dxa"/>
            <w:vAlign w:val="center"/>
          </w:tcPr>
          <w:p w14:paraId="4D538DB7" w14:textId="77777777" w:rsidR="00F05F4E" w:rsidRPr="00A50810" w:rsidRDefault="00F05F4E" w:rsidP="00A50810">
            <w:pPr>
              <w:rPr>
                <w:lang w:val="uk-UA"/>
              </w:rPr>
            </w:pPr>
            <w:r w:rsidRPr="00A50810">
              <w:rPr>
                <w:lang w:val="uk-UA"/>
              </w:rPr>
              <w:t xml:space="preserve">72 ,6 </w:t>
            </w:r>
            <w:r w:rsidRPr="00A50810">
              <w:rPr>
                <w:color w:val="000000"/>
              </w:rPr>
              <w:t xml:space="preserve">± </w:t>
            </w:r>
            <w:r w:rsidRPr="00A50810">
              <w:rPr>
                <w:color w:val="000000"/>
                <w:lang w:val="en-US"/>
              </w:rPr>
              <w:t>9,4</w:t>
            </w:r>
          </w:p>
        </w:tc>
        <w:tc>
          <w:tcPr>
            <w:tcW w:w="1715" w:type="dxa"/>
            <w:vAlign w:val="center"/>
          </w:tcPr>
          <w:p w14:paraId="197083AB" w14:textId="77777777" w:rsidR="00F05F4E" w:rsidRPr="00A50810" w:rsidRDefault="00F05F4E" w:rsidP="00A50810">
            <w:pPr>
              <w:rPr>
                <w:lang w:val="en-US"/>
              </w:rPr>
            </w:pPr>
            <w:r w:rsidRPr="00A50810">
              <w:rPr>
                <w:color w:val="000000"/>
                <w:lang w:val="en-US"/>
              </w:rPr>
              <w:t xml:space="preserve">86,4 </w:t>
            </w:r>
            <w:r w:rsidRPr="00A50810">
              <w:rPr>
                <w:color w:val="000000"/>
              </w:rPr>
              <w:t>±</w:t>
            </w:r>
            <w:r w:rsidRPr="00A50810">
              <w:rPr>
                <w:color w:val="000000"/>
                <w:lang w:val="en-US"/>
              </w:rPr>
              <w:t xml:space="preserve"> 2,7</w:t>
            </w:r>
          </w:p>
        </w:tc>
      </w:tr>
      <w:tr w:rsidR="00F05F4E" w:rsidRPr="00A50810" w14:paraId="799499C9" w14:textId="77777777" w:rsidTr="00352B8A">
        <w:trPr>
          <w:trHeight w:val="245"/>
          <w:jc w:val="center"/>
        </w:trPr>
        <w:tc>
          <w:tcPr>
            <w:tcW w:w="451" w:type="dxa"/>
            <w:vAlign w:val="center"/>
          </w:tcPr>
          <w:p w14:paraId="714A0BEA" w14:textId="77777777" w:rsidR="00F05F4E" w:rsidRPr="00A50810" w:rsidRDefault="00F05F4E" w:rsidP="00A50810">
            <w:pPr>
              <w:rPr>
                <w:lang w:val="uk-UA"/>
              </w:rPr>
            </w:pPr>
            <w:r w:rsidRPr="00A50810">
              <w:rPr>
                <w:lang w:val="uk-UA"/>
              </w:rPr>
              <w:t>7</w:t>
            </w:r>
          </w:p>
        </w:tc>
        <w:tc>
          <w:tcPr>
            <w:tcW w:w="1803" w:type="dxa"/>
            <w:vAlign w:val="center"/>
          </w:tcPr>
          <w:p w14:paraId="40B7F3F6" w14:textId="77777777" w:rsidR="00F05F4E" w:rsidRPr="00A50810" w:rsidRDefault="00F05F4E" w:rsidP="00A50810">
            <w:pPr>
              <w:rPr>
                <w:lang w:val="uk-UA"/>
              </w:rPr>
            </w:pPr>
            <w:r w:rsidRPr="00A50810">
              <w:rPr>
                <w:lang w:val="uk-UA"/>
              </w:rPr>
              <w:t>СК</w:t>
            </w:r>
          </w:p>
        </w:tc>
        <w:tc>
          <w:tcPr>
            <w:tcW w:w="1803" w:type="dxa"/>
            <w:vAlign w:val="center"/>
          </w:tcPr>
          <w:p w14:paraId="6C170A31" w14:textId="77777777" w:rsidR="00F05F4E" w:rsidRPr="00A50810" w:rsidRDefault="00F05F4E" w:rsidP="00A50810">
            <w:pPr>
              <w:rPr>
                <w:color w:val="000000"/>
                <w:lang w:val="en-US"/>
              </w:rPr>
            </w:pPr>
            <w:r w:rsidRPr="00A50810">
              <w:rPr>
                <w:color w:val="000000"/>
                <w:lang w:val="en-US"/>
              </w:rPr>
              <w:t xml:space="preserve">56,8 </w:t>
            </w:r>
            <w:r w:rsidRPr="00A50810">
              <w:rPr>
                <w:color w:val="000000"/>
              </w:rPr>
              <w:t>±</w:t>
            </w:r>
            <w:r w:rsidRPr="00A50810">
              <w:rPr>
                <w:color w:val="000000"/>
                <w:lang w:val="en-US"/>
              </w:rPr>
              <w:t xml:space="preserve"> </w:t>
            </w:r>
            <w:r w:rsidRPr="00A50810">
              <w:rPr>
                <w:color w:val="000000"/>
                <w:lang w:val="uk-UA"/>
              </w:rPr>
              <w:t>11</w:t>
            </w:r>
            <w:r w:rsidRPr="00A50810">
              <w:rPr>
                <w:color w:val="000000"/>
                <w:lang w:val="en-US"/>
              </w:rPr>
              <w:t>,1</w:t>
            </w:r>
          </w:p>
        </w:tc>
        <w:tc>
          <w:tcPr>
            <w:tcW w:w="1893" w:type="dxa"/>
            <w:vAlign w:val="center"/>
          </w:tcPr>
          <w:p w14:paraId="4AEEF43C" w14:textId="77777777" w:rsidR="00F05F4E" w:rsidRPr="00A50810" w:rsidRDefault="00F05F4E" w:rsidP="00A50810">
            <w:pPr>
              <w:rPr>
                <w:color w:val="000000"/>
                <w:lang w:val="en-US"/>
              </w:rPr>
            </w:pPr>
            <w:r w:rsidRPr="00A50810">
              <w:rPr>
                <w:color w:val="000000"/>
                <w:lang w:val="en-US"/>
              </w:rPr>
              <w:t>11,4</w:t>
            </w:r>
            <w:r w:rsidRPr="00A50810">
              <w:rPr>
                <w:color w:val="000000"/>
              </w:rPr>
              <w:t>±</w:t>
            </w:r>
            <w:r w:rsidRPr="00A50810">
              <w:rPr>
                <w:color w:val="000000"/>
                <w:lang w:val="en-US"/>
              </w:rPr>
              <w:t xml:space="preserve">2,3 **, </w:t>
            </w:r>
            <w:r w:rsidRPr="00A50810">
              <w:rPr>
                <w:vertAlign w:val="superscript"/>
                <w:lang w:val="en-US"/>
              </w:rPr>
              <w:t>##</w:t>
            </w:r>
          </w:p>
        </w:tc>
        <w:tc>
          <w:tcPr>
            <w:tcW w:w="1803" w:type="dxa"/>
            <w:vAlign w:val="center"/>
          </w:tcPr>
          <w:p w14:paraId="4C1C7425" w14:textId="77777777" w:rsidR="00F05F4E" w:rsidRPr="00A50810" w:rsidRDefault="00F05F4E" w:rsidP="00A50810">
            <w:pPr>
              <w:rPr>
                <w:color w:val="000000"/>
                <w:lang w:val="en-US"/>
              </w:rPr>
            </w:pPr>
            <w:r w:rsidRPr="00A50810">
              <w:rPr>
                <w:color w:val="000000"/>
                <w:lang w:val="en-US"/>
              </w:rPr>
              <w:t xml:space="preserve">4,5 </w:t>
            </w:r>
            <w:r w:rsidRPr="00A50810">
              <w:rPr>
                <w:color w:val="000000"/>
              </w:rPr>
              <w:t>±</w:t>
            </w:r>
            <w:r w:rsidRPr="00A50810">
              <w:rPr>
                <w:color w:val="000000"/>
                <w:lang w:val="en-US"/>
              </w:rPr>
              <w:t xml:space="preserve"> 2,3**,</w:t>
            </w:r>
            <w:r w:rsidRPr="00A50810">
              <w:rPr>
                <w:vertAlign w:val="superscript"/>
                <w:lang w:val="en-US"/>
              </w:rPr>
              <w:t>##</w:t>
            </w:r>
          </w:p>
        </w:tc>
        <w:tc>
          <w:tcPr>
            <w:tcW w:w="1715" w:type="dxa"/>
            <w:vAlign w:val="center"/>
          </w:tcPr>
          <w:p w14:paraId="7AA07AD1" w14:textId="77777777" w:rsidR="00F05F4E" w:rsidRPr="00A50810" w:rsidRDefault="00F05F4E" w:rsidP="00A50810">
            <w:pPr>
              <w:rPr>
                <w:color w:val="000000"/>
                <w:lang w:val="en-US"/>
              </w:rPr>
            </w:pPr>
            <w:r w:rsidRPr="00A50810">
              <w:rPr>
                <w:color w:val="000000"/>
                <w:lang w:val="en-US"/>
              </w:rPr>
              <w:t xml:space="preserve">45,5 </w:t>
            </w:r>
            <w:r w:rsidRPr="00A50810">
              <w:rPr>
                <w:color w:val="000000"/>
              </w:rPr>
              <w:t>±</w:t>
            </w:r>
            <w:r w:rsidRPr="00A50810">
              <w:rPr>
                <w:color w:val="000000"/>
                <w:lang w:val="en-US"/>
              </w:rPr>
              <w:t xml:space="preserve"> 2,7</w:t>
            </w:r>
          </w:p>
        </w:tc>
      </w:tr>
      <w:tr w:rsidR="00F05F4E" w:rsidRPr="00A50810" w14:paraId="584F9EC9" w14:textId="77777777" w:rsidTr="00352B8A">
        <w:trPr>
          <w:trHeight w:val="384"/>
          <w:jc w:val="center"/>
        </w:trPr>
        <w:tc>
          <w:tcPr>
            <w:tcW w:w="451" w:type="dxa"/>
            <w:vAlign w:val="center"/>
          </w:tcPr>
          <w:p w14:paraId="54DCA995" w14:textId="77777777" w:rsidR="00F05F4E" w:rsidRPr="00A50810" w:rsidRDefault="00F05F4E" w:rsidP="00A50810">
            <w:pPr>
              <w:rPr>
                <w:lang w:val="uk-UA"/>
              </w:rPr>
            </w:pPr>
            <w:r w:rsidRPr="00A50810">
              <w:rPr>
                <w:lang w:val="uk-UA"/>
              </w:rPr>
              <w:t>8</w:t>
            </w:r>
          </w:p>
        </w:tc>
        <w:tc>
          <w:tcPr>
            <w:tcW w:w="1803" w:type="dxa"/>
            <w:vAlign w:val="center"/>
          </w:tcPr>
          <w:p w14:paraId="306292D2" w14:textId="77777777" w:rsidR="00F05F4E" w:rsidRPr="00A50810" w:rsidRDefault="00F05F4E" w:rsidP="00A50810">
            <w:pPr>
              <w:rPr>
                <w:lang w:val="en-US"/>
              </w:rPr>
            </w:pPr>
            <w:r w:rsidRPr="00A50810">
              <w:rPr>
                <w:lang w:val="en-US"/>
              </w:rPr>
              <w:t>SnCl</w:t>
            </w:r>
            <w:r w:rsidRPr="00A50810">
              <w:rPr>
                <w:vertAlign w:val="subscript"/>
                <w:lang w:val="en-US"/>
              </w:rPr>
              <w:t>2</w:t>
            </w:r>
          </w:p>
        </w:tc>
        <w:tc>
          <w:tcPr>
            <w:tcW w:w="1803" w:type="dxa"/>
            <w:vAlign w:val="center"/>
          </w:tcPr>
          <w:p w14:paraId="50A74606" w14:textId="77777777" w:rsidR="00F05F4E" w:rsidRPr="00A50810" w:rsidRDefault="00F05F4E" w:rsidP="00A50810">
            <w:pPr>
              <w:rPr>
                <w:color w:val="000000"/>
                <w:lang w:val="uk-UA"/>
              </w:rPr>
            </w:pPr>
            <w:r w:rsidRPr="00A50810">
              <w:rPr>
                <w:color w:val="000000"/>
                <w:lang w:val="uk-UA"/>
              </w:rPr>
              <w:t>92,6</w:t>
            </w:r>
            <w:r w:rsidRPr="00A50810">
              <w:rPr>
                <w:color w:val="000000"/>
              </w:rPr>
              <w:t xml:space="preserve"> ± </w:t>
            </w:r>
            <w:r w:rsidRPr="00A50810">
              <w:rPr>
                <w:color w:val="000000"/>
                <w:lang w:val="uk-UA"/>
              </w:rPr>
              <w:t>11,4</w:t>
            </w:r>
          </w:p>
        </w:tc>
        <w:tc>
          <w:tcPr>
            <w:tcW w:w="1893" w:type="dxa"/>
            <w:vAlign w:val="center"/>
          </w:tcPr>
          <w:p w14:paraId="3C3635D0" w14:textId="77777777" w:rsidR="00F05F4E" w:rsidRPr="00A50810" w:rsidRDefault="00F05F4E" w:rsidP="00A50810">
            <w:pPr>
              <w:rPr>
                <w:color w:val="000000"/>
                <w:highlight w:val="yellow"/>
                <w:lang w:val="uk-UA"/>
              </w:rPr>
            </w:pPr>
            <w:r w:rsidRPr="00A50810">
              <w:rPr>
                <w:color w:val="000000"/>
                <w:lang w:val="uk-UA"/>
              </w:rPr>
              <w:t>37</w:t>
            </w:r>
            <w:r w:rsidRPr="00A50810">
              <w:rPr>
                <w:color w:val="000000"/>
              </w:rPr>
              <w:t xml:space="preserve"> ± </w:t>
            </w:r>
            <w:r w:rsidRPr="00A50810">
              <w:rPr>
                <w:color w:val="000000"/>
                <w:lang w:val="uk-UA"/>
              </w:rPr>
              <w:t>3,7</w:t>
            </w:r>
            <w:r w:rsidRPr="00A50810">
              <w:rPr>
                <w:color w:val="000000"/>
                <w:lang w:val="en-US"/>
              </w:rPr>
              <w:t xml:space="preserve">**, </w:t>
            </w:r>
            <w:r w:rsidRPr="00A50810">
              <w:rPr>
                <w:vertAlign w:val="superscript"/>
                <w:lang w:val="en-US"/>
              </w:rPr>
              <w:t>##</w:t>
            </w:r>
          </w:p>
        </w:tc>
        <w:tc>
          <w:tcPr>
            <w:tcW w:w="1803" w:type="dxa"/>
            <w:vAlign w:val="center"/>
          </w:tcPr>
          <w:p w14:paraId="06BB3A0B" w14:textId="77777777" w:rsidR="00F05F4E" w:rsidRPr="00A50810" w:rsidRDefault="00F05F4E" w:rsidP="00A50810">
            <w:pPr>
              <w:rPr>
                <w:color w:val="000000"/>
                <w:lang w:val="en-US"/>
              </w:rPr>
            </w:pPr>
            <w:r w:rsidRPr="00A50810">
              <w:rPr>
                <w:color w:val="000000"/>
                <w:lang w:val="uk-UA"/>
              </w:rPr>
              <w:t>49,4</w:t>
            </w:r>
            <w:r w:rsidRPr="00A50810">
              <w:rPr>
                <w:color w:val="000000"/>
              </w:rPr>
              <w:t xml:space="preserve"> ± </w:t>
            </w:r>
            <w:r w:rsidRPr="00A50810">
              <w:rPr>
                <w:color w:val="000000"/>
                <w:lang w:val="uk-UA"/>
              </w:rPr>
              <w:t>12</w:t>
            </w:r>
            <w:r w:rsidRPr="00A50810">
              <w:rPr>
                <w:color w:val="000000"/>
              </w:rPr>
              <w:t>,3</w:t>
            </w:r>
          </w:p>
        </w:tc>
        <w:tc>
          <w:tcPr>
            <w:tcW w:w="1715" w:type="dxa"/>
            <w:vAlign w:val="center"/>
          </w:tcPr>
          <w:p w14:paraId="57AE646D" w14:textId="77777777" w:rsidR="00F05F4E" w:rsidRPr="00A50810" w:rsidRDefault="00F05F4E" w:rsidP="00A50810">
            <w:pPr>
              <w:rPr>
                <w:color w:val="000000"/>
                <w:lang w:val="en-US"/>
              </w:rPr>
            </w:pPr>
            <w:r w:rsidRPr="00A50810">
              <w:rPr>
                <w:color w:val="000000"/>
              </w:rPr>
              <w:t>1</w:t>
            </w:r>
            <w:r w:rsidRPr="00A50810">
              <w:rPr>
                <w:color w:val="000000"/>
                <w:lang w:val="uk-UA"/>
              </w:rPr>
              <w:t>11,1</w:t>
            </w:r>
            <w:r w:rsidRPr="00A50810">
              <w:rPr>
                <w:color w:val="000000"/>
              </w:rPr>
              <w:t xml:space="preserve"> ± </w:t>
            </w:r>
            <w:r w:rsidRPr="00A50810">
              <w:rPr>
                <w:color w:val="000000"/>
                <w:lang w:val="uk-UA"/>
              </w:rPr>
              <w:t>12</w:t>
            </w:r>
            <w:r w:rsidRPr="00A50810">
              <w:rPr>
                <w:color w:val="000000"/>
              </w:rPr>
              <w:t>,3</w:t>
            </w:r>
          </w:p>
        </w:tc>
      </w:tr>
    </w:tbl>
    <w:p w14:paraId="018B6229" w14:textId="77777777" w:rsidR="00F05F4E" w:rsidRPr="00C57D1F" w:rsidRDefault="00F05F4E" w:rsidP="00C57D1F">
      <w:pPr>
        <w:pStyle w:val="a6"/>
        <w:spacing w:before="0" w:beforeAutospacing="0" w:after="0" w:afterAutospacing="0"/>
        <w:ind w:left="630" w:hanging="630"/>
        <w:jc w:val="both"/>
        <w:rPr>
          <w:lang w:val="uk-UA"/>
        </w:rPr>
      </w:pPr>
      <w:r w:rsidRPr="00C57D1F">
        <w:rPr>
          <w:lang w:val="uk-UA"/>
        </w:rPr>
        <w:t xml:space="preserve">Примітки: </w:t>
      </w:r>
    </w:p>
    <w:p w14:paraId="5B4169E7" w14:textId="216FA2D8" w:rsidR="00F05F4E" w:rsidRPr="00C57D1F" w:rsidRDefault="00F05F4E" w:rsidP="00352B8A">
      <w:pPr>
        <w:ind w:left="450" w:hanging="450"/>
        <w:jc w:val="both"/>
      </w:pPr>
      <w:r w:rsidRPr="00C57D1F">
        <w:rPr>
          <w:lang w:val="uk-UA"/>
        </w:rPr>
        <w:t>1.</w:t>
      </w:r>
      <w:r w:rsidRPr="00C57D1F">
        <w:rPr>
          <w:lang w:val="uk-UA"/>
        </w:rPr>
        <w:tab/>
      </w:r>
      <w:r w:rsidRPr="00C57D1F">
        <w:t>*</w:t>
      </w:r>
      <w:r w:rsidRPr="00C57D1F">
        <w:rPr>
          <w:lang w:val="uk-UA"/>
        </w:rPr>
        <w:t xml:space="preserve"> </w:t>
      </w:r>
      <w:r w:rsidRPr="00C57D1F">
        <w:t>-</w:t>
      </w:r>
      <w:r w:rsidRPr="00C57D1F">
        <w:rPr>
          <w:lang w:val="uk-UA"/>
        </w:rPr>
        <w:t xml:space="preserve"> </w:t>
      </w:r>
      <w:r w:rsidRPr="00C57D1F">
        <w:rPr>
          <w:lang w:val="en-US"/>
        </w:rPr>
        <w:t>p</w:t>
      </w:r>
      <w:r w:rsidRPr="00C57D1F">
        <w:t xml:space="preserve"> </w:t>
      </w:r>
      <w:r w:rsidRPr="00C57D1F">
        <w:rPr>
          <w:lang w:val="en-US"/>
        </w:rPr>
        <w:sym w:font="Symbol" w:char="F03C"/>
      </w:r>
      <w:r w:rsidRPr="00C57D1F">
        <w:t xml:space="preserve"> 0,05 </w:t>
      </w:r>
      <w:r w:rsidRPr="00C57D1F">
        <w:rPr>
          <w:lang w:val="uk-UA"/>
        </w:rPr>
        <w:t>(статистично значуща різниця у порівнянні з контрольною групою).</w:t>
      </w:r>
      <w:r w:rsidRPr="00C57D1F">
        <w:t xml:space="preserve"> </w:t>
      </w:r>
    </w:p>
    <w:p w14:paraId="7788A6CC" w14:textId="627AF0AA" w:rsidR="00F05F4E" w:rsidRPr="00C57D1F" w:rsidRDefault="00F05F4E" w:rsidP="00352B8A">
      <w:pPr>
        <w:ind w:left="450" w:hanging="450"/>
        <w:jc w:val="both"/>
        <w:rPr>
          <w:lang w:val="uk-UA"/>
        </w:rPr>
      </w:pPr>
      <w:r w:rsidRPr="00C57D1F">
        <w:rPr>
          <w:lang w:val="uk-UA"/>
        </w:rPr>
        <w:t>2.</w:t>
      </w:r>
      <w:r w:rsidRPr="00C57D1F">
        <w:rPr>
          <w:lang w:val="uk-UA"/>
        </w:rPr>
        <w:tab/>
      </w:r>
      <w:r w:rsidRPr="00C57D1F">
        <w:t>**</w:t>
      </w:r>
      <w:r w:rsidRPr="00C57D1F">
        <w:rPr>
          <w:lang w:val="uk-UA"/>
        </w:rPr>
        <w:t xml:space="preserve"> - р</w:t>
      </w:r>
      <w:r w:rsidRPr="00C57D1F">
        <w:rPr>
          <w:lang w:val="uk-UA"/>
        </w:rPr>
        <w:sym w:font="Symbol" w:char="F03C"/>
      </w:r>
      <w:r w:rsidRPr="00C57D1F">
        <w:rPr>
          <w:lang w:val="uk-UA"/>
        </w:rPr>
        <w:t>0,01 (статистично значуща різниця у порівнянні з контрольною групою).</w:t>
      </w:r>
    </w:p>
    <w:p w14:paraId="5073CA48" w14:textId="3EA57C34" w:rsidR="00F05F4E" w:rsidRPr="00C57D1F" w:rsidRDefault="00F05F4E" w:rsidP="00352B8A">
      <w:pPr>
        <w:ind w:left="450" w:hanging="450"/>
        <w:jc w:val="both"/>
        <w:rPr>
          <w:lang w:val="uk-UA"/>
        </w:rPr>
      </w:pPr>
      <w:r w:rsidRPr="00C57D1F">
        <w:rPr>
          <w:lang w:val="uk-UA"/>
        </w:rPr>
        <w:t>3.</w:t>
      </w:r>
      <w:r w:rsidRPr="00C57D1F">
        <w:rPr>
          <w:lang w:val="uk-UA"/>
        </w:rPr>
        <w:tab/>
        <w:t xml:space="preserve"># - </w:t>
      </w:r>
      <w:r w:rsidRPr="00C57D1F">
        <w:rPr>
          <w:lang w:val="en-US"/>
        </w:rPr>
        <w:t>p</w:t>
      </w:r>
      <w:r w:rsidRPr="00C57D1F">
        <w:rPr>
          <w:lang w:val="uk-UA"/>
        </w:rPr>
        <w:t xml:space="preserve"> </w:t>
      </w:r>
      <w:r w:rsidRPr="00C57D1F">
        <w:rPr>
          <w:lang w:val="en-US"/>
        </w:rPr>
        <w:sym w:font="Symbol" w:char="F03C"/>
      </w:r>
      <w:r w:rsidRPr="00C57D1F">
        <w:rPr>
          <w:lang w:val="uk-UA"/>
        </w:rPr>
        <w:t xml:space="preserve"> 0,05 (статистично значуща різниця у порівнянні у порівнянні із референс-препаратом </w:t>
      </w:r>
      <w:r w:rsidR="00390008">
        <w:rPr>
          <w:lang w:val="uk-UA"/>
        </w:rPr>
        <w:t>ф</w:t>
      </w:r>
      <w:r w:rsidRPr="00C57D1F">
        <w:rPr>
          <w:lang w:val="uk-UA"/>
        </w:rPr>
        <w:t>абоматізолом).</w:t>
      </w:r>
    </w:p>
    <w:p w14:paraId="052414D6" w14:textId="5F8F693B" w:rsidR="00F05F4E" w:rsidRPr="00C57D1F" w:rsidRDefault="00F05F4E" w:rsidP="00352B8A">
      <w:pPr>
        <w:ind w:left="450" w:hanging="450"/>
        <w:jc w:val="both"/>
        <w:rPr>
          <w:lang w:val="uk-UA"/>
        </w:rPr>
      </w:pPr>
      <w:r w:rsidRPr="00C57D1F">
        <w:rPr>
          <w:lang w:val="uk-UA"/>
        </w:rPr>
        <w:t>4.</w:t>
      </w:r>
      <w:r w:rsidRPr="00C57D1F">
        <w:rPr>
          <w:lang w:val="uk-UA"/>
        </w:rPr>
        <w:tab/>
        <w:t xml:space="preserve">## - </w:t>
      </w:r>
      <w:r w:rsidRPr="00C57D1F">
        <w:rPr>
          <w:lang w:val="en-US"/>
        </w:rPr>
        <w:t>p</w:t>
      </w:r>
      <w:r w:rsidRPr="00C57D1F">
        <w:rPr>
          <w:lang w:val="uk-UA"/>
        </w:rPr>
        <w:t xml:space="preserve"> </w:t>
      </w:r>
      <w:r w:rsidRPr="00C57D1F">
        <w:rPr>
          <w:lang w:val="en-US"/>
        </w:rPr>
        <w:sym w:font="Symbol" w:char="F03C"/>
      </w:r>
      <w:r w:rsidRPr="00C57D1F">
        <w:rPr>
          <w:lang w:val="uk-UA"/>
        </w:rPr>
        <w:t xml:space="preserve"> 0,01 (статистично значуща різниця у порівнянні у порівнянні із референс-препаратом </w:t>
      </w:r>
      <w:r w:rsidR="00390008">
        <w:rPr>
          <w:lang w:val="uk-UA"/>
        </w:rPr>
        <w:t>ф</w:t>
      </w:r>
      <w:r w:rsidRPr="00C57D1F">
        <w:rPr>
          <w:lang w:val="uk-UA"/>
        </w:rPr>
        <w:t>абоматізолом).</w:t>
      </w:r>
    </w:p>
    <w:p w14:paraId="543FFFB3" w14:textId="72BD2E49" w:rsidR="00F05F4E" w:rsidRPr="00C57D1F" w:rsidRDefault="00F05F4E" w:rsidP="00352B8A">
      <w:pPr>
        <w:ind w:left="450" w:hanging="450"/>
        <w:jc w:val="both"/>
        <w:rPr>
          <w:rFonts w:eastAsia="Calibri"/>
        </w:rPr>
      </w:pPr>
      <w:r w:rsidRPr="00C57D1F">
        <w:rPr>
          <w:rFonts w:eastAsia="Calibri"/>
          <w:lang w:val="uk-UA"/>
        </w:rPr>
        <w:t>5.</w:t>
      </w:r>
      <w:r w:rsidRPr="00C57D1F">
        <w:rPr>
          <w:rFonts w:eastAsia="Calibri"/>
          <w:lang w:val="uk-UA"/>
        </w:rPr>
        <w:tab/>
      </w:r>
      <w:r w:rsidRPr="00C57D1F">
        <w:rPr>
          <w:rFonts w:eastAsia="Calibri"/>
          <w:lang w:val="uk-UA"/>
        </w:rPr>
        <w:tab/>
      </w:r>
      <w:r w:rsidRPr="00C57D1F">
        <w:rPr>
          <w:rFonts w:eastAsia="Calibri"/>
        </w:rPr>
        <w:t xml:space="preserve">n </w:t>
      </w:r>
      <w:r w:rsidRPr="00C57D1F">
        <w:t>–</w:t>
      </w:r>
      <w:r w:rsidRPr="00C57D1F">
        <w:rPr>
          <w:rFonts w:eastAsia="Calibri"/>
        </w:rPr>
        <w:t xml:space="preserve"> кількість тварин у групі.</w:t>
      </w:r>
    </w:p>
    <w:p w14:paraId="13504083" w14:textId="77777777" w:rsidR="00F05F4E" w:rsidRPr="00164C26" w:rsidRDefault="00F05F4E" w:rsidP="00F05F4E">
      <w:pPr>
        <w:jc w:val="both"/>
        <w:rPr>
          <w:rFonts w:eastAsia="Calibri"/>
        </w:rPr>
      </w:pPr>
    </w:p>
    <w:p w14:paraId="6BE2C42B" w14:textId="77777777" w:rsidR="0071066B" w:rsidRDefault="0071066B" w:rsidP="0071066B">
      <w:pPr>
        <w:pStyle w:val="a6"/>
        <w:spacing w:before="0" w:beforeAutospacing="0" w:after="0" w:afterAutospacing="0" w:line="360" w:lineRule="auto"/>
        <w:ind w:firstLine="720"/>
        <w:jc w:val="both"/>
        <w:rPr>
          <w:sz w:val="28"/>
          <w:szCs w:val="28"/>
          <w:lang w:val="uk-UA"/>
        </w:rPr>
      </w:pPr>
      <w:r>
        <w:rPr>
          <w:sz w:val="28"/>
          <w:szCs w:val="28"/>
          <w:lang w:val="uk-UA"/>
        </w:rPr>
        <w:t>У групі, яка перорально отримувала саліцилоїлгідразон бензальдегіду, спостерігалось зниження кількості «виглядань» у світлий відсік камери, що підтверджує його седативну дію.</w:t>
      </w:r>
    </w:p>
    <w:p w14:paraId="3E58B349" w14:textId="2EB70D81" w:rsidR="0071066B" w:rsidRDefault="0071066B" w:rsidP="0071066B">
      <w:pPr>
        <w:pStyle w:val="a6"/>
        <w:spacing w:before="0" w:beforeAutospacing="0" w:after="0" w:afterAutospacing="0" w:line="360" w:lineRule="auto"/>
        <w:ind w:firstLine="720"/>
        <w:jc w:val="both"/>
        <w:rPr>
          <w:sz w:val="28"/>
          <w:szCs w:val="28"/>
          <w:lang w:val="uk-UA"/>
        </w:rPr>
      </w:pPr>
      <w:r>
        <w:rPr>
          <w:sz w:val="28"/>
          <w:szCs w:val="28"/>
          <w:lang w:val="uk-UA"/>
        </w:rPr>
        <w:t xml:space="preserve">Введення саліцилової кислоти достовірно викликало седативний ефект за обома показниками (табл </w:t>
      </w:r>
      <w:r>
        <w:rPr>
          <w:sz w:val="28"/>
          <w:szCs w:val="28"/>
        </w:rPr>
        <w:t>6</w:t>
      </w:r>
      <w:r>
        <w:rPr>
          <w:sz w:val="28"/>
          <w:szCs w:val="28"/>
          <w:lang w:val="uk-UA"/>
        </w:rPr>
        <w:t xml:space="preserve">.3.1 і </w:t>
      </w:r>
      <w:r>
        <w:rPr>
          <w:sz w:val="28"/>
          <w:szCs w:val="28"/>
        </w:rPr>
        <w:t>6</w:t>
      </w:r>
      <w:r>
        <w:rPr>
          <w:sz w:val="28"/>
          <w:szCs w:val="28"/>
          <w:lang w:val="uk-UA"/>
        </w:rPr>
        <w:t xml:space="preserve">.3.2). </w:t>
      </w:r>
    </w:p>
    <w:p w14:paraId="6586858D" w14:textId="7E5C849F" w:rsidR="00F05F4E" w:rsidRDefault="00F05F4E" w:rsidP="00F05F4E">
      <w:pPr>
        <w:pStyle w:val="a6"/>
        <w:spacing w:before="0" w:beforeAutospacing="0" w:after="0" w:afterAutospacing="0" w:line="360" w:lineRule="auto"/>
        <w:ind w:firstLine="720"/>
        <w:jc w:val="both"/>
        <w:rPr>
          <w:sz w:val="28"/>
          <w:szCs w:val="28"/>
          <w:lang w:val="uk-UA"/>
        </w:rPr>
      </w:pPr>
      <w:r>
        <w:rPr>
          <w:sz w:val="28"/>
          <w:szCs w:val="28"/>
          <w:lang w:val="uk-UA"/>
        </w:rPr>
        <w:t xml:space="preserve">Оскільки було встановлено зниження локомоторної комплексних сполук І і ІІ у тестах ВП (рис </w:t>
      </w:r>
      <w:r>
        <w:rPr>
          <w:sz w:val="28"/>
          <w:szCs w:val="28"/>
        </w:rPr>
        <w:t>6</w:t>
      </w:r>
      <w:r>
        <w:rPr>
          <w:sz w:val="28"/>
          <w:szCs w:val="28"/>
          <w:lang w:val="uk-UA"/>
        </w:rPr>
        <w:t xml:space="preserve">.2.1) та ТСК (рис </w:t>
      </w:r>
      <w:r>
        <w:rPr>
          <w:sz w:val="28"/>
          <w:szCs w:val="28"/>
        </w:rPr>
        <w:t>6</w:t>
      </w:r>
      <w:r>
        <w:rPr>
          <w:sz w:val="28"/>
          <w:szCs w:val="28"/>
          <w:lang w:val="uk-UA"/>
        </w:rPr>
        <w:t xml:space="preserve">.3.2.) уявляло інтерес визначити міорелаксантну активність даних сполук. </w:t>
      </w:r>
    </w:p>
    <w:p w14:paraId="1EDFE039" w14:textId="77777777" w:rsidR="007C0C3C" w:rsidRDefault="00F05F4E" w:rsidP="00F05F4E">
      <w:pPr>
        <w:pStyle w:val="a6"/>
        <w:spacing w:before="0" w:beforeAutospacing="0" w:after="0" w:afterAutospacing="0" w:line="360" w:lineRule="auto"/>
        <w:ind w:firstLine="720"/>
        <w:jc w:val="both"/>
        <w:rPr>
          <w:sz w:val="28"/>
          <w:szCs w:val="28"/>
          <w:lang w:val="uk-UA"/>
        </w:rPr>
      </w:pPr>
      <w:r w:rsidRPr="0015740F">
        <w:rPr>
          <w:sz w:val="28"/>
          <w:szCs w:val="28"/>
          <w:lang w:val="uk-UA"/>
        </w:rPr>
        <w:t xml:space="preserve">Рухова активність та координація м’язів є показником </w:t>
      </w:r>
      <w:r>
        <w:rPr>
          <w:sz w:val="28"/>
          <w:szCs w:val="28"/>
          <w:lang w:val="uk-UA"/>
        </w:rPr>
        <w:t xml:space="preserve">активності </w:t>
      </w:r>
      <w:r w:rsidRPr="0015740F">
        <w:rPr>
          <w:sz w:val="28"/>
          <w:szCs w:val="28"/>
          <w:lang w:val="uk-UA"/>
        </w:rPr>
        <w:t xml:space="preserve">та </w:t>
      </w:r>
      <w:r>
        <w:rPr>
          <w:sz w:val="28"/>
          <w:szCs w:val="28"/>
          <w:lang w:val="uk-UA"/>
        </w:rPr>
        <w:t>статусу</w:t>
      </w:r>
      <w:r w:rsidRPr="0015740F">
        <w:rPr>
          <w:sz w:val="28"/>
          <w:szCs w:val="28"/>
          <w:lang w:val="uk-UA"/>
        </w:rPr>
        <w:t xml:space="preserve"> м</w:t>
      </w:r>
      <w:r>
        <w:rPr>
          <w:sz w:val="28"/>
          <w:szCs w:val="28"/>
          <w:lang w:val="uk-UA"/>
        </w:rPr>
        <w:t>ускулатури</w:t>
      </w:r>
      <w:r w:rsidRPr="0015740F">
        <w:rPr>
          <w:sz w:val="28"/>
          <w:szCs w:val="28"/>
          <w:lang w:val="uk-UA"/>
        </w:rPr>
        <w:t>. Зниження</w:t>
      </w:r>
      <w:r>
        <w:rPr>
          <w:sz w:val="28"/>
          <w:szCs w:val="28"/>
          <w:lang w:val="uk-UA"/>
        </w:rPr>
        <w:t xml:space="preserve"> локомоторної активності</w:t>
      </w:r>
      <w:r w:rsidRPr="0015740F">
        <w:rPr>
          <w:sz w:val="28"/>
          <w:szCs w:val="28"/>
          <w:lang w:val="uk-UA"/>
        </w:rPr>
        <w:t xml:space="preserve"> вказує на те, що </w:t>
      </w:r>
      <w:r>
        <w:rPr>
          <w:sz w:val="28"/>
          <w:szCs w:val="28"/>
          <w:lang w:val="uk-UA"/>
        </w:rPr>
        <w:lastRenderedPageBreak/>
        <w:t>сполуки І і ІІ</w:t>
      </w:r>
      <w:r w:rsidRPr="0015740F">
        <w:rPr>
          <w:sz w:val="28"/>
          <w:szCs w:val="28"/>
          <w:lang w:val="uk-UA"/>
        </w:rPr>
        <w:t xml:space="preserve"> мож</w:t>
      </w:r>
      <w:r>
        <w:rPr>
          <w:sz w:val="28"/>
          <w:szCs w:val="28"/>
          <w:lang w:val="uk-UA"/>
        </w:rPr>
        <w:t>уть</w:t>
      </w:r>
      <w:r w:rsidRPr="0015740F">
        <w:rPr>
          <w:sz w:val="28"/>
          <w:szCs w:val="28"/>
          <w:lang w:val="uk-UA"/>
        </w:rPr>
        <w:t xml:space="preserve"> мати седативний та розслаблюючий ефект на скелетну мускулатуру. </w:t>
      </w:r>
    </w:p>
    <w:p w14:paraId="74BE6CBA" w14:textId="1E19F032" w:rsidR="00F05F4E" w:rsidRDefault="00F05F4E" w:rsidP="00F05F4E">
      <w:pPr>
        <w:pStyle w:val="a6"/>
        <w:spacing w:before="0" w:beforeAutospacing="0" w:after="0" w:afterAutospacing="0" w:line="360" w:lineRule="auto"/>
        <w:ind w:firstLine="720"/>
        <w:jc w:val="both"/>
        <w:rPr>
          <w:sz w:val="28"/>
          <w:szCs w:val="28"/>
          <w:lang w:val="uk-UA"/>
        </w:rPr>
      </w:pPr>
      <w:r w:rsidRPr="0015740F">
        <w:rPr>
          <w:sz w:val="28"/>
          <w:szCs w:val="28"/>
          <w:lang w:val="uk-UA"/>
        </w:rPr>
        <w:t xml:space="preserve">Зниження рухової активності та розслаблення м’язів свідчить про </w:t>
      </w:r>
      <w:r>
        <w:rPr>
          <w:sz w:val="28"/>
          <w:szCs w:val="28"/>
          <w:lang w:val="uk-UA"/>
        </w:rPr>
        <w:t xml:space="preserve">депресивний ефект на </w:t>
      </w:r>
      <w:r w:rsidRPr="0015740F">
        <w:rPr>
          <w:sz w:val="28"/>
          <w:szCs w:val="28"/>
          <w:lang w:val="uk-UA"/>
        </w:rPr>
        <w:t xml:space="preserve">ЦНС. </w:t>
      </w:r>
      <w:r>
        <w:rPr>
          <w:sz w:val="28"/>
          <w:szCs w:val="28"/>
          <w:lang w:val="uk-UA"/>
        </w:rPr>
        <w:t xml:space="preserve">Але, варто зазначити, що деякі антидепресанти знижують локомоторну активність </w:t>
      </w:r>
      <w:r w:rsidRPr="00DF69C0">
        <w:rPr>
          <w:sz w:val="28"/>
          <w:szCs w:val="28"/>
          <w:lang w:val="uk-UA"/>
        </w:rPr>
        <w:t>[</w:t>
      </w:r>
      <w:r w:rsidRPr="00164C26">
        <w:rPr>
          <w:sz w:val="28"/>
          <w:szCs w:val="28"/>
          <w:lang w:val="uk-UA"/>
        </w:rPr>
        <w:t>2</w:t>
      </w:r>
      <w:r w:rsidR="00B85935" w:rsidRPr="001759D5">
        <w:rPr>
          <w:sz w:val="28"/>
          <w:szCs w:val="28"/>
          <w:lang w:val="uk-UA"/>
        </w:rPr>
        <w:t>44</w:t>
      </w:r>
      <w:r w:rsidRPr="00DF69C0">
        <w:rPr>
          <w:sz w:val="28"/>
          <w:szCs w:val="28"/>
          <w:lang w:val="uk-UA"/>
        </w:rPr>
        <w:t>].</w:t>
      </w:r>
    </w:p>
    <w:p w14:paraId="485E1B19" w14:textId="77777777" w:rsidR="00F05F4E" w:rsidRDefault="00F05F4E" w:rsidP="00F05F4E">
      <w:pPr>
        <w:pStyle w:val="a6"/>
        <w:spacing w:before="0" w:beforeAutospacing="0" w:after="0" w:afterAutospacing="0" w:line="360" w:lineRule="auto"/>
        <w:ind w:firstLine="720"/>
        <w:jc w:val="both"/>
        <w:rPr>
          <w:sz w:val="28"/>
          <w:szCs w:val="28"/>
          <w:lang w:val="uk-UA"/>
        </w:rPr>
      </w:pPr>
    </w:p>
    <w:p w14:paraId="7A65B587" w14:textId="2B7D6ED9" w:rsidR="007C0C3C" w:rsidRPr="00C57D1F" w:rsidRDefault="00F05F4E" w:rsidP="00C57D1F">
      <w:pPr>
        <w:pStyle w:val="a6"/>
        <w:spacing w:before="0" w:beforeAutospacing="0" w:after="0" w:afterAutospacing="0" w:line="360" w:lineRule="auto"/>
        <w:ind w:firstLine="720"/>
        <w:jc w:val="both"/>
        <w:rPr>
          <w:b/>
          <w:sz w:val="28"/>
          <w:szCs w:val="28"/>
          <w:lang w:val="uk-UA"/>
        </w:rPr>
      </w:pPr>
      <w:r>
        <w:rPr>
          <w:b/>
          <w:color w:val="000000"/>
          <w:sz w:val="28"/>
          <w:szCs w:val="28"/>
          <w:lang w:val="uk-UA"/>
        </w:rPr>
        <w:t>6</w:t>
      </w:r>
      <w:r w:rsidRPr="00164C26">
        <w:rPr>
          <w:b/>
          <w:color w:val="000000"/>
          <w:sz w:val="28"/>
          <w:szCs w:val="28"/>
          <w:lang w:val="uk-UA"/>
        </w:rPr>
        <w:t xml:space="preserve">.4 Визначення міорелаксантної дії </w:t>
      </w:r>
      <w:r w:rsidRPr="00164C26">
        <w:rPr>
          <w:b/>
          <w:sz w:val="28"/>
          <w:szCs w:val="28"/>
          <w:lang w:val="uk-UA"/>
        </w:rPr>
        <w:t xml:space="preserve">комплексних сполук </w:t>
      </w:r>
      <w:r w:rsidRPr="00164C26">
        <w:rPr>
          <w:b/>
          <w:sz w:val="28"/>
          <w:szCs w:val="28"/>
        </w:rPr>
        <w:t>SnCl</w:t>
      </w:r>
      <w:r w:rsidRPr="00164C26">
        <w:rPr>
          <w:b/>
          <w:sz w:val="28"/>
          <w:szCs w:val="28"/>
          <w:vertAlign w:val="subscript"/>
          <w:lang w:val="uk-UA"/>
        </w:rPr>
        <w:t>4</w:t>
      </w:r>
      <w:r w:rsidRPr="00164C26">
        <w:rPr>
          <w:b/>
          <w:sz w:val="28"/>
          <w:szCs w:val="28"/>
          <w:lang w:val="uk-UA"/>
        </w:rPr>
        <w:t xml:space="preserve"> з саліцилоїлгідразонами бензальдегіду та 4-бромбензальдегіду</w:t>
      </w:r>
    </w:p>
    <w:p w14:paraId="587F900F" w14:textId="77777777" w:rsidR="00F05F4E" w:rsidRPr="00164C26" w:rsidRDefault="00F05F4E" w:rsidP="00F05F4E">
      <w:pPr>
        <w:spacing w:line="360" w:lineRule="auto"/>
        <w:ind w:firstLine="720"/>
        <w:jc w:val="both"/>
        <w:rPr>
          <w:color w:val="000000"/>
          <w:sz w:val="28"/>
          <w:szCs w:val="28"/>
          <w:lang w:val="uk-UA"/>
        </w:rPr>
      </w:pPr>
      <w:r w:rsidRPr="00164C26">
        <w:rPr>
          <w:color w:val="000000"/>
          <w:sz w:val="28"/>
          <w:szCs w:val="28"/>
          <w:lang w:val="uk-UA"/>
        </w:rPr>
        <w:t xml:space="preserve">Згідно з вищезазначеним, викликало інтерес визначити імовірний міорелаксантний ефект комплексних сполук І і ІІ. </w:t>
      </w:r>
    </w:p>
    <w:p w14:paraId="30C6786D" w14:textId="2C9AD85D" w:rsidR="00F05F4E" w:rsidRPr="00164C26" w:rsidRDefault="00F05F4E" w:rsidP="00F05F4E">
      <w:pPr>
        <w:tabs>
          <w:tab w:val="left" w:pos="720"/>
        </w:tabs>
        <w:spacing w:line="360" w:lineRule="auto"/>
        <w:ind w:firstLine="720"/>
        <w:jc w:val="both"/>
        <w:rPr>
          <w:sz w:val="28"/>
          <w:szCs w:val="28"/>
          <w:lang w:val="uk-UA"/>
        </w:rPr>
      </w:pPr>
      <w:r w:rsidRPr="00164C26">
        <w:rPr>
          <w:sz w:val="28"/>
          <w:szCs w:val="28"/>
          <w:lang w:val="uk-UA"/>
        </w:rPr>
        <w:t xml:space="preserve">Результати досліджень зазначені на рис. </w:t>
      </w:r>
      <w:r>
        <w:rPr>
          <w:sz w:val="28"/>
          <w:szCs w:val="28"/>
        </w:rPr>
        <w:t>6</w:t>
      </w:r>
      <w:r w:rsidRPr="00164C26">
        <w:rPr>
          <w:sz w:val="28"/>
          <w:szCs w:val="28"/>
          <w:lang w:val="uk-UA"/>
        </w:rPr>
        <w:t xml:space="preserve">.4.1 свідчать про відсутність жодного прояву мілорелаксантної дії комплексних сполук, показники відповідають рівню контрольних. </w:t>
      </w:r>
    </w:p>
    <w:p w14:paraId="4906B36E" w14:textId="77777777" w:rsidR="00F05F4E" w:rsidRPr="00164C26" w:rsidRDefault="00F05F4E" w:rsidP="00F05F4E">
      <w:pPr>
        <w:spacing w:line="360" w:lineRule="auto"/>
        <w:ind w:firstLine="720"/>
        <w:jc w:val="both"/>
        <w:rPr>
          <w:sz w:val="28"/>
          <w:szCs w:val="28"/>
          <w:lang w:val="uk-UA"/>
        </w:rPr>
      </w:pPr>
      <w:r w:rsidRPr="00164C26">
        <w:rPr>
          <w:sz w:val="28"/>
          <w:szCs w:val="28"/>
          <w:lang w:val="uk-UA"/>
        </w:rPr>
        <w:t>Оскільки введення комплексних сполук не викликає мілорелаксантного ефекту, можна вважати, що седативний ефект є незначним у порівнянні із антидепресивною активністю.</w:t>
      </w:r>
    </w:p>
    <w:p w14:paraId="211E67E4" w14:textId="77777777" w:rsidR="00F05F4E" w:rsidRDefault="00F05F4E" w:rsidP="00F05F4E">
      <w:pPr>
        <w:spacing w:line="360" w:lineRule="auto"/>
        <w:jc w:val="center"/>
        <w:rPr>
          <w:color w:val="000000"/>
          <w:sz w:val="28"/>
          <w:szCs w:val="28"/>
        </w:rPr>
      </w:pPr>
      <w:r w:rsidRPr="005E7312">
        <w:rPr>
          <w:noProof/>
          <w:lang w:val="en-US" w:eastAsia="en-US"/>
        </w:rPr>
        <w:drawing>
          <wp:inline distT="0" distB="0" distL="0" distR="0" wp14:anchorId="3B128E6E" wp14:editId="55168D1E">
            <wp:extent cx="3860800" cy="2069432"/>
            <wp:effectExtent l="0" t="0" r="0" b="1270"/>
            <wp:docPr id="2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8"/>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69274" cy="2073974"/>
                    </a:xfrm>
                    <a:prstGeom prst="rect">
                      <a:avLst/>
                    </a:prstGeom>
                    <a:noFill/>
                    <a:ln>
                      <a:noFill/>
                    </a:ln>
                  </pic:spPr>
                </pic:pic>
              </a:graphicData>
            </a:graphic>
          </wp:inline>
        </w:drawing>
      </w:r>
    </w:p>
    <w:p w14:paraId="26846302" w14:textId="6CB8C92F" w:rsidR="00F05F4E" w:rsidRPr="00164C26" w:rsidRDefault="00F05F4E" w:rsidP="00F05F4E">
      <w:pPr>
        <w:tabs>
          <w:tab w:val="left" w:pos="720"/>
        </w:tabs>
        <w:spacing w:line="360" w:lineRule="auto"/>
        <w:ind w:firstLine="720"/>
        <w:jc w:val="both"/>
        <w:rPr>
          <w:sz w:val="28"/>
          <w:szCs w:val="28"/>
          <w:lang w:val="uk-UA"/>
        </w:rPr>
      </w:pPr>
      <w:r w:rsidRPr="00164C26">
        <w:rPr>
          <w:color w:val="000000"/>
          <w:sz w:val="28"/>
          <w:szCs w:val="28"/>
          <w:lang w:val="uk-UA"/>
        </w:rPr>
        <w:t xml:space="preserve">Рис. </w:t>
      </w:r>
      <w:r>
        <w:rPr>
          <w:color w:val="000000"/>
          <w:sz w:val="28"/>
          <w:szCs w:val="28"/>
        </w:rPr>
        <w:t>6</w:t>
      </w:r>
      <w:r w:rsidRPr="00164C26">
        <w:rPr>
          <w:color w:val="000000"/>
          <w:sz w:val="28"/>
          <w:szCs w:val="28"/>
          <w:lang w:val="uk-UA"/>
        </w:rPr>
        <w:t xml:space="preserve">.4.1 Міорелаксантна активність комплексних сполук у порівнянні з контролем за тестом «обертового стрижня» (кількість часу, проведеного на обертовому стрижні). </w:t>
      </w:r>
      <w:r w:rsidRPr="00164C26">
        <w:rPr>
          <w:sz w:val="28"/>
          <w:szCs w:val="28"/>
          <w:lang w:val="uk-UA"/>
        </w:rPr>
        <w:t>(М</w:t>
      </w:r>
      <w:r w:rsidRPr="00164C26">
        <w:rPr>
          <w:color w:val="4D5156"/>
          <w:sz w:val="28"/>
          <w:szCs w:val="28"/>
          <w:shd w:val="clear" w:color="auto" w:fill="FFFFFF"/>
          <w:lang w:val="uk-UA"/>
        </w:rPr>
        <w:t>±</w:t>
      </w:r>
      <w:r w:rsidRPr="00164C26">
        <w:rPr>
          <w:sz w:val="28"/>
          <w:szCs w:val="28"/>
          <w:lang w:val="en-US"/>
        </w:rPr>
        <w:t>m</w:t>
      </w:r>
      <w:r w:rsidRPr="00164C26">
        <w:rPr>
          <w:sz w:val="28"/>
          <w:szCs w:val="28"/>
          <w:lang w:val="uk-UA"/>
        </w:rPr>
        <w:t xml:space="preserve">, </w:t>
      </w:r>
      <w:r w:rsidRPr="00164C26">
        <w:rPr>
          <w:sz w:val="28"/>
          <w:szCs w:val="28"/>
          <w:lang w:val="en-US"/>
        </w:rPr>
        <w:t>n</w:t>
      </w:r>
      <w:r w:rsidRPr="00164C26">
        <w:rPr>
          <w:sz w:val="28"/>
          <w:szCs w:val="28"/>
          <w:lang w:val="uk-UA"/>
        </w:rPr>
        <w:t>=10).</w:t>
      </w:r>
    </w:p>
    <w:p w14:paraId="3FD6FAA6" w14:textId="77777777" w:rsidR="00F05F4E" w:rsidRPr="00352B8A" w:rsidRDefault="00F05F4E" w:rsidP="00F05F4E">
      <w:pPr>
        <w:pStyle w:val="a6"/>
        <w:tabs>
          <w:tab w:val="left" w:pos="720"/>
        </w:tabs>
        <w:spacing w:before="0" w:beforeAutospacing="0" w:after="0" w:afterAutospacing="0"/>
        <w:jc w:val="both"/>
        <w:rPr>
          <w:lang w:val="uk-UA"/>
        </w:rPr>
      </w:pPr>
      <w:r w:rsidRPr="00352B8A">
        <w:rPr>
          <w:lang w:val="uk-UA"/>
        </w:rPr>
        <w:t xml:space="preserve">Примітки: </w:t>
      </w:r>
    </w:p>
    <w:p w14:paraId="355A919D" w14:textId="767EC71E" w:rsidR="00F05F4E" w:rsidRPr="00352B8A" w:rsidRDefault="00F05F4E" w:rsidP="00352B8A">
      <w:pPr>
        <w:ind w:left="450" w:hanging="450"/>
        <w:jc w:val="both"/>
      </w:pPr>
      <w:r w:rsidRPr="00352B8A">
        <w:rPr>
          <w:lang w:val="uk-UA"/>
        </w:rPr>
        <w:t>1.</w:t>
      </w:r>
      <w:r w:rsidRPr="00352B8A">
        <w:rPr>
          <w:lang w:val="uk-UA"/>
        </w:rPr>
        <w:tab/>
      </w:r>
      <w:r w:rsidRPr="00352B8A">
        <w:t>*</w:t>
      </w:r>
      <w:r w:rsidRPr="00352B8A">
        <w:rPr>
          <w:lang w:val="uk-UA"/>
        </w:rPr>
        <w:t xml:space="preserve"> </w:t>
      </w:r>
      <w:r w:rsidRPr="00352B8A">
        <w:t>-</w:t>
      </w:r>
      <w:r w:rsidRPr="00352B8A">
        <w:rPr>
          <w:lang w:val="uk-UA"/>
        </w:rPr>
        <w:t xml:space="preserve"> </w:t>
      </w:r>
      <w:r w:rsidRPr="00352B8A">
        <w:rPr>
          <w:lang w:val="en-US"/>
        </w:rPr>
        <w:t>p</w:t>
      </w:r>
      <w:r w:rsidRPr="00352B8A">
        <w:t xml:space="preserve"> </w:t>
      </w:r>
      <w:r w:rsidRPr="00352B8A">
        <w:rPr>
          <w:lang w:val="en-US"/>
        </w:rPr>
        <w:sym w:font="Symbol" w:char="F03C"/>
      </w:r>
      <w:r w:rsidRPr="00352B8A">
        <w:t xml:space="preserve"> 0,05 </w:t>
      </w:r>
      <w:r w:rsidRPr="00352B8A">
        <w:rPr>
          <w:lang w:val="uk-UA"/>
        </w:rPr>
        <w:t>(статистично значуща різниця у порівнянні з контрольною групою).</w:t>
      </w:r>
      <w:r w:rsidRPr="00352B8A">
        <w:t xml:space="preserve"> </w:t>
      </w:r>
    </w:p>
    <w:p w14:paraId="6E910FAC" w14:textId="78A9B199" w:rsidR="00F05F4E" w:rsidRPr="00352B8A" w:rsidRDefault="00F05F4E" w:rsidP="00352B8A">
      <w:pPr>
        <w:ind w:left="450" w:hanging="450"/>
        <w:jc w:val="both"/>
        <w:rPr>
          <w:lang w:val="uk-UA"/>
        </w:rPr>
      </w:pPr>
      <w:r w:rsidRPr="00352B8A">
        <w:rPr>
          <w:lang w:val="uk-UA"/>
        </w:rPr>
        <w:t>2.</w:t>
      </w:r>
      <w:r w:rsidRPr="00352B8A">
        <w:rPr>
          <w:lang w:val="uk-UA"/>
        </w:rPr>
        <w:tab/>
      </w:r>
      <w:r w:rsidRPr="00352B8A">
        <w:t>**</w:t>
      </w:r>
      <w:r w:rsidRPr="00352B8A">
        <w:rPr>
          <w:lang w:val="uk-UA"/>
        </w:rPr>
        <w:t xml:space="preserve"> - р</w:t>
      </w:r>
      <w:r w:rsidRPr="00352B8A">
        <w:rPr>
          <w:lang w:val="uk-UA"/>
        </w:rPr>
        <w:sym w:font="Symbol" w:char="F03C"/>
      </w:r>
      <w:r w:rsidRPr="00352B8A">
        <w:rPr>
          <w:lang w:val="uk-UA"/>
        </w:rPr>
        <w:t>0,01 (статистично значуща різниця у порівнянні з контрольною групою).</w:t>
      </w:r>
    </w:p>
    <w:p w14:paraId="4E1318F1" w14:textId="2897B294" w:rsidR="00F05F4E" w:rsidRPr="00352B8A" w:rsidRDefault="00F05F4E" w:rsidP="00352B8A">
      <w:pPr>
        <w:ind w:left="450" w:hanging="450"/>
        <w:jc w:val="both"/>
        <w:rPr>
          <w:rFonts w:eastAsia="Calibri"/>
        </w:rPr>
      </w:pPr>
      <w:r w:rsidRPr="00352B8A">
        <w:rPr>
          <w:rFonts w:eastAsia="Calibri"/>
          <w:lang w:val="uk-UA"/>
        </w:rPr>
        <w:t>3.</w:t>
      </w:r>
      <w:r w:rsidRPr="00352B8A">
        <w:rPr>
          <w:rFonts w:eastAsia="Calibri"/>
          <w:lang w:val="uk-UA"/>
        </w:rPr>
        <w:tab/>
      </w:r>
      <w:r w:rsidRPr="00352B8A">
        <w:rPr>
          <w:rFonts w:eastAsia="Calibri"/>
        </w:rPr>
        <w:t xml:space="preserve">n </w:t>
      </w:r>
      <w:r w:rsidRPr="00352B8A">
        <w:t>–</w:t>
      </w:r>
      <w:r w:rsidRPr="00352B8A">
        <w:rPr>
          <w:rFonts w:eastAsia="Calibri"/>
        </w:rPr>
        <w:t xml:space="preserve"> кількість тварин у групі.</w:t>
      </w:r>
    </w:p>
    <w:p w14:paraId="4DB0BF46" w14:textId="77777777" w:rsidR="00F05F4E" w:rsidRDefault="00F05F4E" w:rsidP="00352B8A">
      <w:pPr>
        <w:ind w:left="450" w:hanging="450"/>
        <w:jc w:val="both"/>
        <w:rPr>
          <w:b/>
          <w:szCs w:val="28"/>
        </w:rPr>
      </w:pPr>
    </w:p>
    <w:p w14:paraId="43A12F25" w14:textId="028B32AB" w:rsidR="007C0C3C" w:rsidRPr="00D02F4A" w:rsidRDefault="00F05F4E" w:rsidP="001759D5">
      <w:pPr>
        <w:spacing w:line="360" w:lineRule="auto"/>
        <w:ind w:firstLine="720"/>
        <w:jc w:val="both"/>
        <w:rPr>
          <w:b/>
          <w:sz w:val="28"/>
          <w:szCs w:val="28"/>
        </w:rPr>
      </w:pPr>
      <w:r>
        <w:rPr>
          <w:b/>
          <w:sz w:val="28"/>
          <w:szCs w:val="28"/>
        </w:rPr>
        <w:lastRenderedPageBreak/>
        <w:t>6</w:t>
      </w:r>
      <w:r w:rsidRPr="00164C26">
        <w:rPr>
          <w:b/>
          <w:sz w:val="28"/>
          <w:szCs w:val="28"/>
        </w:rPr>
        <w:t xml:space="preserve">.5 </w:t>
      </w:r>
      <w:r w:rsidRPr="00D02F4A">
        <w:rPr>
          <w:b/>
          <w:sz w:val="28"/>
          <w:szCs w:val="28"/>
          <w:lang w:val="uk-UA"/>
        </w:rPr>
        <w:t xml:space="preserve">Вивчення тривожності </w:t>
      </w:r>
      <w:r>
        <w:rPr>
          <w:b/>
          <w:sz w:val="28"/>
          <w:szCs w:val="28"/>
          <w:lang w:val="uk-UA"/>
        </w:rPr>
        <w:t xml:space="preserve">при пероральному введенні </w:t>
      </w:r>
      <w:r w:rsidRPr="00D02F4A">
        <w:rPr>
          <w:b/>
          <w:sz w:val="28"/>
          <w:szCs w:val="28"/>
          <w:lang w:val="uk-UA"/>
        </w:rPr>
        <w:t>комплексних</w:t>
      </w:r>
      <w:r w:rsidRPr="00164C26">
        <w:rPr>
          <w:b/>
          <w:sz w:val="28"/>
          <w:szCs w:val="28"/>
        </w:rPr>
        <w:t xml:space="preserve"> сполук Sn</w:t>
      </w:r>
      <w:r w:rsidR="00C57D1F" w:rsidRPr="00C57D1F">
        <w:rPr>
          <w:b/>
          <w:sz w:val="28"/>
          <w:szCs w:val="28"/>
        </w:rPr>
        <w:t xml:space="preserve"> </w:t>
      </w:r>
      <w:r w:rsidR="00C57D1F">
        <w:rPr>
          <w:b/>
          <w:sz w:val="28"/>
          <w:szCs w:val="28"/>
          <w:lang w:val="uk-UA"/>
        </w:rPr>
        <w:t>(</w:t>
      </w:r>
      <w:r w:rsidR="00C57D1F">
        <w:rPr>
          <w:b/>
          <w:sz w:val="28"/>
          <w:szCs w:val="28"/>
          <w:lang w:val="en-US"/>
        </w:rPr>
        <w:t>IV</w:t>
      </w:r>
      <w:r w:rsidR="00C57D1F">
        <w:rPr>
          <w:b/>
          <w:sz w:val="28"/>
          <w:szCs w:val="28"/>
          <w:lang w:val="uk-UA"/>
        </w:rPr>
        <w:t>)</w:t>
      </w:r>
      <w:r w:rsidRPr="00164C26">
        <w:rPr>
          <w:b/>
          <w:sz w:val="28"/>
          <w:szCs w:val="28"/>
        </w:rPr>
        <w:t xml:space="preserve"> з саліцилоїлгідразонами бензальдегід</w:t>
      </w:r>
      <w:r w:rsidR="00C57D1F">
        <w:rPr>
          <w:b/>
          <w:sz w:val="28"/>
          <w:szCs w:val="28"/>
          <w:lang w:val="uk-UA"/>
        </w:rPr>
        <w:t>ів</w:t>
      </w:r>
      <w:r w:rsidRPr="00164C26">
        <w:rPr>
          <w:b/>
          <w:sz w:val="28"/>
          <w:szCs w:val="28"/>
        </w:rPr>
        <w:t xml:space="preserve"> у тесті </w:t>
      </w:r>
      <w:r w:rsidR="00C57D1F">
        <w:rPr>
          <w:b/>
          <w:sz w:val="28"/>
          <w:szCs w:val="28"/>
          <w:lang w:val="uk-UA"/>
        </w:rPr>
        <w:t>п</w:t>
      </w:r>
      <w:r w:rsidRPr="00164C26">
        <w:rPr>
          <w:b/>
          <w:sz w:val="28"/>
          <w:szCs w:val="28"/>
        </w:rPr>
        <w:t>іднесений хрестоподібний лабіринт (ПХЛ)</w:t>
      </w:r>
    </w:p>
    <w:p w14:paraId="68F6C735" w14:textId="64207B0A" w:rsidR="00F05F4E" w:rsidRPr="00164C26" w:rsidRDefault="00F05F4E" w:rsidP="00F05F4E">
      <w:pPr>
        <w:spacing w:line="360" w:lineRule="auto"/>
        <w:ind w:firstLine="720"/>
        <w:jc w:val="both"/>
        <w:rPr>
          <w:sz w:val="28"/>
          <w:szCs w:val="28"/>
          <w:lang w:val="uk-UA"/>
        </w:rPr>
      </w:pPr>
      <w:r w:rsidRPr="00164C26">
        <w:rPr>
          <w:sz w:val="28"/>
          <w:szCs w:val="28"/>
          <w:lang w:val="uk-UA"/>
        </w:rPr>
        <w:t xml:space="preserve">У даному тесті рівень тривожності оцінювали за часом перебування у відкритих рукавах і за ступенем пригнічення дослідницької активності. Чим частіше і довше тварина перебувала у відкритій частині лабіринту, тим менш тривожною вона вважалася </w:t>
      </w:r>
      <w:r w:rsidRPr="00164C26">
        <w:rPr>
          <w:sz w:val="28"/>
          <w:szCs w:val="28"/>
        </w:rPr>
        <w:t>[2</w:t>
      </w:r>
      <w:r w:rsidR="00FE60C3">
        <w:rPr>
          <w:sz w:val="28"/>
          <w:szCs w:val="28"/>
          <w:lang w:val="uk-UA"/>
        </w:rPr>
        <w:t>4</w:t>
      </w:r>
      <w:r w:rsidR="00B85935" w:rsidRPr="00B85935">
        <w:rPr>
          <w:sz w:val="28"/>
          <w:szCs w:val="28"/>
        </w:rPr>
        <w:t>5</w:t>
      </w:r>
      <w:r w:rsidRPr="00164C26">
        <w:rPr>
          <w:sz w:val="28"/>
          <w:szCs w:val="28"/>
        </w:rPr>
        <w:t>]</w:t>
      </w:r>
      <w:r w:rsidRPr="00164C26">
        <w:rPr>
          <w:sz w:val="28"/>
          <w:szCs w:val="28"/>
          <w:lang w:val="uk-UA"/>
        </w:rPr>
        <w:t>.</w:t>
      </w:r>
    </w:p>
    <w:p w14:paraId="5E45338A" w14:textId="3F0F9780" w:rsidR="00F05F4E" w:rsidRPr="00164C26" w:rsidRDefault="00F05F4E" w:rsidP="00F05F4E">
      <w:pPr>
        <w:spacing w:line="360" w:lineRule="auto"/>
        <w:ind w:firstLine="720"/>
        <w:jc w:val="both"/>
        <w:rPr>
          <w:sz w:val="28"/>
          <w:szCs w:val="28"/>
          <w:lang w:val="uk-UA"/>
        </w:rPr>
      </w:pPr>
      <w:r w:rsidRPr="00164C26">
        <w:rPr>
          <w:sz w:val="28"/>
          <w:szCs w:val="28"/>
          <w:lang w:val="uk-UA"/>
        </w:rPr>
        <w:t xml:space="preserve">Отримані дані свідчать про те, що в тесті ПХЛ пероральне введення сполук I і II достовірно підвищувало час перебування у відкритих рукавах  протягом 24 годин експерименту у порівнянні із часом, проведеним у темних рукавах камери (рис. </w:t>
      </w:r>
      <w:r>
        <w:rPr>
          <w:sz w:val="28"/>
          <w:szCs w:val="28"/>
        </w:rPr>
        <w:t>6</w:t>
      </w:r>
      <w:r w:rsidRPr="00164C26">
        <w:rPr>
          <w:sz w:val="28"/>
          <w:szCs w:val="28"/>
          <w:lang w:val="uk-UA"/>
        </w:rPr>
        <w:t xml:space="preserve">.5.1 і </w:t>
      </w:r>
      <w:r>
        <w:rPr>
          <w:sz w:val="28"/>
          <w:szCs w:val="28"/>
        </w:rPr>
        <w:t>6</w:t>
      </w:r>
      <w:r w:rsidRPr="00164C26">
        <w:rPr>
          <w:sz w:val="28"/>
          <w:szCs w:val="28"/>
          <w:lang w:val="uk-UA"/>
        </w:rPr>
        <w:t>.5.3).</w:t>
      </w:r>
      <w:r w:rsidRPr="00164C26">
        <w:rPr>
          <w:sz w:val="28"/>
          <w:szCs w:val="28"/>
        </w:rPr>
        <w:t xml:space="preserve"> </w:t>
      </w:r>
    </w:p>
    <w:p w14:paraId="1FD71591" w14:textId="51CB5D63" w:rsidR="00F05F4E" w:rsidRPr="00164C26" w:rsidRDefault="00F05F4E" w:rsidP="00821BED">
      <w:pPr>
        <w:spacing w:line="360" w:lineRule="auto"/>
        <w:ind w:firstLine="708"/>
        <w:jc w:val="both"/>
        <w:rPr>
          <w:sz w:val="28"/>
          <w:szCs w:val="28"/>
          <w:lang w:val="uk-UA"/>
        </w:rPr>
      </w:pPr>
      <w:r w:rsidRPr="00164C26">
        <w:rPr>
          <w:sz w:val="28"/>
          <w:szCs w:val="28"/>
          <w:lang w:val="uk-UA"/>
        </w:rPr>
        <w:t xml:space="preserve">Дані, отримані в результаті проведення тесту (рис. </w:t>
      </w:r>
      <w:r>
        <w:rPr>
          <w:sz w:val="28"/>
          <w:szCs w:val="28"/>
          <w:lang w:val="uk-UA"/>
        </w:rPr>
        <w:t>6</w:t>
      </w:r>
      <w:r w:rsidRPr="00164C26">
        <w:rPr>
          <w:sz w:val="28"/>
          <w:szCs w:val="28"/>
          <w:lang w:val="uk-UA"/>
        </w:rPr>
        <w:t xml:space="preserve">.5.1), дозволяють зробити висновок про виразний анксиолітичний ефект комплексної </w:t>
      </w:r>
      <w:r w:rsidR="00821BED">
        <w:rPr>
          <w:sz w:val="28"/>
          <w:szCs w:val="28"/>
          <w:lang w:val="uk-UA"/>
        </w:rPr>
        <w:br/>
      </w:r>
      <w:r w:rsidRPr="00164C26">
        <w:rPr>
          <w:sz w:val="28"/>
          <w:szCs w:val="28"/>
          <w:lang w:val="uk-UA"/>
        </w:rPr>
        <w:t xml:space="preserve">сполуки ІІ. </w:t>
      </w:r>
    </w:p>
    <w:p w14:paraId="19632CC0" w14:textId="77777777" w:rsidR="00F05F4E" w:rsidRDefault="00F05F4E" w:rsidP="00F05F4E">
      <w:pPr>
        <w:spacing w:line="360" w:lineRule="auto"/>
        <w:jc w:val="center"/>
        <w:rPr>
          <w:sz w:val="28"/>
          <w:szCs w:val="28"/>
          <w:lang w:val="uk-UA"/>
        </w:rPr>
      </w:pPr>
      <w:r w:rsidRPr="005E7312">
        <w:rPr>
          <w:noProof/>
          <w:sz w:val="28"/>
          <w:szCs w:val="28"/>
          <w:lang w:val="en-US" w:eastAsia="en-US"/>
        </w:rPr>
        <w:drawing>
          <wp:inline distT="0" distB="0" distL="0" distR="0" wp14:anchorId="535DA5BA" wp14:editId="2F9CCDBA">
            <wp:extent cx="3645569" cy="1949116"/>
            <wp:effectExtent l="0" t="0" r="0" b="0"/>
            <wp:docPr id="29"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5"/>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8527" cy="1956044"/>
                    </a:xfrm>
                    <a:prstGeom prst="rect">
                      <a:avLst/>
                    </a:prstGeom>
                    <a:noFill/>
                    <a:ln>
                      <a:noFill/>
                    </a:ln>
                  </pic:spPr>
                </pic:pic>
              </a:graphicData>
            </a:graphic>
          </wp:inline>
        </w:drawing>
      </w:r>
    </w:p>
    <w:p w14:paraId="0CB889C2" w14:textId="2321471F" w:rsidR="00F05F4E" w:rsidRPr="00164C26" w:rsidRDefault="00F05F4E" w:rsidP="00F05F4E">
      <w:pPr>
        <w:spacing w:line="360" w:lineRule="auto"/>
        <w:ind w:firstLine="708"/>
        <w:jc w:val="both"/>
        <w:rPr>
          <w:sz w:val="28"/>
          <w:szCs w:val="28"/>
          <w:lang w:val="uk-UA"/>
        </w:rPr>
      </w:pPr>
      <w:r w:rsidRPr="00164C26">
        <w:rPr>
          <w:sz w:val="28"/>
          <w:szCs w:val="28"/>
          <w:lang w:val="uk-UA"/>
        </w:rPr>
        <w:t xml:space="preserve">Рис. </w:t>
      </w:r>
      <w:r>
        <w:rPr>
          <w:sz w:val="28"/>
          <w:szCs w:val="28"/>
        </w:rPr>
        <w:t>6</w:t>
      </w:r>
      <w:r w:rsidRPr="00164C26">
        <w:rPr>
          <w:sz w:val="28"/>
          <w:szCs w:val="28"/>
          <w:lang w:val="uk-UA"/>
        </w:rPr>
        <w:t>.5.1 Анксиолітична активність комплексної сполуки ІІ після перорального введення (кількість часу проведеного у світлих та темних рукавах)</w:t>
      </w:r>
      <w:r>
        <w:rPr>
          <w:sz w:val="28"/>
          <w:szCs w:val="28"/>
          <w:lang w:val="uk-UA"/>
        </w:rPr>
        <w:t xml:space="preserve"> у тесті ПХЛ</w:t>
      </w:r>
      <w:r w:rsidRPr="00164C26">
        <w:rPr>
          <w:sz w:val="28"/>
          <w:szCs w:val="28"/>
          <w:lang w:val="uk-UA"/>
        </w:rPr>
        <w:t>. (М</w:t>
      </w:r>
      <w:r w:rsidRPr="00164C26">
        <w:rPr>
          <w:color w:val="4D5156"/>
          <w:sz w:val="28"/>
          <w:szCs w:val="28"/>
          <w:shd w:val="clear" w:color="auto" w:fill="FFFFFF"/>
          <w:lang w:val="uk-UA"/>
        </w:rPr>
        <w:t>±</w:t>
      </w:r>
      <w:r w:rsidRPr="00164C26">
        <w:rPr>
          <w:sz w:val="28"/>
          <w:szCs w:val="28"/>
          <w:lang w:val="en-US"/>
        </w:rPr>
        <w:t>m</w:t>
      </w:r>
      <w:r w:rsidRPr="00164C26">
        <w:rPr>
          <w:sz w:val="28"/>
          <w:szCs w:val="28"/>
          <w:lang w:val="uk-UA"/>
        </w:rPr>
        <w:t xml:space="preserve">, </w:t>
      </w:r>
      <w:r w:rsidRPr="00164C26">
        <w:rPr>
          <w:sz w:val="28"/>
          <w:szCs w:val="28"/>
          <w:lang w:val="en-US"/>
        </w:rPr>
        <w:t>n</w:t>
      </w:r>
      <w:r w:rsidRPr="00164C26">
        <w:rPr>
          <w:sz w:val="28"/>
          <w:szCs w:val="28"/>
          <w:lang w:val="uk-UA"/>
        </w:rPr>
        <w:t>=6)</w:t>
      </w:r>
    </w:p>
    <w:p w14:paraId="1E89A04F" w14:textId="77777777" w:rsidR="00F05F4E" w:rsidRPr="00C57D1F" w:rsidRDefault="00F05F4E" w:rsidP="00F05F4E">
      <w:pPr>
        <w:ind w:left="630" w:hanging="630"/>
        <w:jc w:val="both"/>
        <w:rPr>
          <w:lang w:val="uk-UA"/>
        </w:rPr>
      </w:pPr>
      <w:r w:rsidRPr="00C57D1F">
        <w:rPr>
          <w:lang w:val="uk-UA"/>
        </w:rPr>
        <w:t xml:space="preserve">Примітки: </w:t>
      </w:r>
    </w:p>
    <w:p w14:paraId="20D7BF75" w14:textId="2A561428" w:rsidR="00F05F4E" w:rsidRPr="00C57D1F" w:rsidRDefault="00F05F4E" w:rsidP="00352B8A">
      <w:pPr>
        <w:ind w:left="450" w:hanging="450"/>
        <w:jc w:val="both"/>
        <w:rPr>
          <w:lang w:val="uk-UA"/>
        </w:rPr>
      </w:pPr>
      <w:r w:rsidRPr="00C57D1F">
        <w:rPr>
          <w:lang w:val="uk-UA"/>
        </w:rPr>
        <w:t>1.</w:t>
      </w:r>
      <w:r w:rsidRPr="00C57D1F">
        <w:rPr>
          <w:lang w:val="uk-UA"/>
        </w:rPr>
        <w:tab/>
        <w:t xml:space="preserve">* - p </w:t>
      </w:r>
      <w:r w:rsidRPr="00C57D1F">
        <w:rPr>
          <w:lang w:val="uk-UA"/>
        </w:rPr>
        <w:sym w:font="Symbol" w:char="F03C"/>
      </w:r>
      <w:r w:rsidRPr="00C57D1F">
        <w:rPr>
          <w:lang w:val="uk-UA"/>
        </w:rPr>
        <w:t xml:space="preserve"> 0,05 (статистично значуща різниця у порівнянні з контрольною групою). </w:t>
      </w:r>
    </w:p>
    <w:p w14:paraId="0FD8AD4B" w14:textId="6F412984" w:rsidR="00F05F4E" w:rsidRPr="00C57D1F" w:rsidRDefault="00F05F4E" w:rsidP="00352B8A">
      <w:pPr>
        <w:ind w:left="450" w:hanging="450"/>
        <w:jc w:val="both"/>
        <w:rPr>
          <w:lang w:val="uk-UA"/>
        </w:rPr>
      </w:pPr>
      <w:r w:rsidRPr="00C57D1F">
        <w:rPr>
          <w:lang w:val="uk-UA"/>
        </w:rPr>
        <w:t>2.</w:t>
      </w:r>
      <w:r w:rsidRPr="00C57D1F">
        <w:rPr>
          <w:lang w:val="uk-UA"/>
        </w:rPr>
        <w:tab/>
        <w:t>** - р</w:t>
      </w:r>
      <w:r w:rsidRPr="00C57D1F">
        <w:rPr>
          <w:lang w:val="uk-UA"/>
        </w:rPr>
        <w:sym w:font="Symbol" w:char="F03C"/>
      </w:r>
      <w:r w:rsidRPr="00C57D1F">
        <w:rPr>
          <w:lang w:val="uk-UA"/>
        </w:rPr>
        <w:t>0,01 (статистично значуща різниця у порівнянні з контрольною групою).</w:t>
      </w:r>
    </w:p>
    <w:p w14:paraId="7F16B010" w14:textId="078D9355" w:rsidR="00F05F4E" w:rsidRDefault="00F05F4E" w:rsidP="00352B8A">
      <w:pPr>
        <w:ind w:left="450" w:hanging="450"/>
        <w:jc w:val="both"/>
        <w:rPr>
          <w:lang w:val="uk-UA"/>
        </w:rPr>
      </w:pPr>
      <w:r w:rsidRPr="00C57D1F">
        <w:rPr>
          <w:lang w:val="uk-UA"/>
        </w:rPr>
        <w:t>3.</w:t>
      </w:r>
      <w:r w:rsidRPr="00C57D1F">
        <w:rPr>
          <w:lang w:val="uk-UA"/>
        </w:rPr>
        <w:tab/>
        <w:t>n – кількість тварин у групі.</w:t>
      </w:r>
    </w:p>
    <w:p w14:paraId="5D59DDF2" w14:textId="77777777" w:rsidR="00352B8A" w:rsidRPr="00C57D1F" w:rsidRDefault="00352B8A" w:rsidP="00C57D1F">
      <w:pPr>
        <w:ind w:left="630" w:hanging="630"/>
        <w:jc w:val="both"/>
        <w:rPr>
          <w:lang w:val="uk-UA"/>
        </w:rPr>
      </w:pPr>
    </w:p>
    <w:p w14:paraId="246D453C" w14:textId="3DE58D53" w:rsidR="00F05F4E" w:rsidRPr="00164C26" w:rsidRDefault="00F05F4E" w:rsidP="00F05F4E">
      <w:pPr>
        <w:spacing w:line="360" w:lineRule="auto"/>
        <w:ind w:firstLine="720"/>
        <w:jc w:val="both"/>
        <w:rPr>
          <w:sz w:val="28"/>
          <w:szCs w:val="28"/>
          <w:lang w:val="uk-UA"/>
        </w:rPr>
      </w:pPr>
      <w:r w:rsidRPr="00164C26">
        <w:rPr>
          <w:sz w:val="28"/>
          <w:szCs w:val="28"/>
          <w:lang w:val="uk-UA"/>
        </w:rPr>
        <w:t>Вважається, що відкриті та закриті рукава, викликають однаковий дослідницький потяг, тому уникнення відкритих рукавів вважається результатом індукції вищих рівнів страху [</w:t>
      </w:r>
      <w:r w:rsidR="00390008">
        <w:rPr>
          <w:sz w:val="28"/>
          <w:szCs w:val="28"/>
          <w:lang w:val="uk-UA"/>
        </w:rPr>
        <w:t>2</w:t>
      </w:r>
      <w:r w:rsidR="00FE60C3">
        <w:rPr>
          <w:sz w:val="28"/>
          <w:szCs w:val="28"/>
          <w:lang w:val="uk-UA"/>
        </w:rPr>
        <w:t>4</w:t>
      </w:r>
      <w:r w:rsidR="00B85935" w:rsidRPr="00B85935">
        <w:rPr>
          <w:sz w:val="28"/>
          <w:szCs w:val="28"/>
          <w:lang w:val="uk-UA"/>
        </w:rPr>
        <w:t>5</w:t>
      </w:r>
      <w:r w:rsidRPr="00164C26">
        <w:rPr>
          <w:sz w:val="28"/>
          <w:szCs w:val="28"/>
          <w:lang w:val="uk-UA"/>
        </w:rPr>
        <w:t xml:space="preserve">]. </w:t>
      </w:r>
    </w:p>
    <w:p w14:paraId="0F05C62C" w14:textId="486EBAED" w:rsidR="00F05F4E" w:rsidRPr="00B85935" w:rsidRDefault="00F05F4E" w:rsidP="00F05F4E">
      <w:pPr>
        <w:spacing w:line="360" w:lineRule="auto"/>
        <w:ind w:firstLine="720"/>
        <w:jc w:val="both"/>
        <w:rPr>
          <w:color w:val="ED7D31" w:themeColor="accent2"/>
          <w:sz w:val="28"/>
          <w:szCs w:val="28"/>
          <w:lang w:val="uk-UA"/>
        </w:rPr>
      </w:pPr>
      <w:r w:rsidRPr="00164C26">
        <w:rPr>
          <w:sz w:val="28"/>
          <w:szCs w:val="28"/>
          <w:lang w:val="uk-UA"/>
        </w:rPr>
        <w:lastRenderedPageBreak/>
        <w:t xml:space="preserve">Прийнято вважати, що </w:t>
      </w:r>
      <w:r>
        <w:rPr>
          <w:sz w:val="28"/>
          <w:szCs w:val="28"/>
          <w:lang w:val="uk-UA"/>
        </w:rPr>
        <w:t>відмова</w:t>
      </w:r>
      <w:r w:rsidRPr="00164C26">
        <w:rPr>
          <w:sz w:val="28"/>
          <w:szCs w:val="28"/>
          <w:lang w:val="uk-UA"/>
        </w:rPr>
        <w:t xml:space="preserve"> мишей досліджувати відкриті рукава лабіринту спричинена страхом відкритих та піднесених </w:t>
      </w:r>
      <w:r w:rsidRPr="00B85935">
        <w:rPr>
          <w:color w:val="000000" w:themeColor="text1"/>
          <w:sz w:val="28"/>
          <w:szCs w:val="28"/>
          <w:lang w:val="uk-UA"/>
        </w:rPr>
        <w:t>просторів</w:t>
      </w:r>
      <w:r w:rsidRPr="00B85935">
        <w:rPr>
          <w:color w:val="000000" w:themeColor="text1"/>
          <w:sz w:val="28"/>
          <w:szCs w:val="28"/>
        </w:rPr>
        <w:t xml:space="preserve"> [</w:t>
      </w:r>
      <w:r w:rsidR="00B85935" w:rsidRPr="00B85935">
        <w:rPr>
          <w:color w:val="000000" w:themeColor="text1"/>
          <w:sz w:val="28"/>
          <w:szCs w:val="28"/>
        </w:rPr>
        <w:t>174</w:t>
      </w:r>
      <w:r w:rsidRPr="00B85935">
        <w:rPr>
          <w:color w:val="000000" w:themeColor="text1"/>
          <w:sz w:val="28"/>
          <w:szCs w:val="28"/>
        </w:rPr>
        <w:t>]</w:t>
      </w:r>
      <w:r w:rsidRPr="00B85935">
        <w:rPr>
          <w:color w:val="000000" w:themeColor="text1"/>
          <w:sz w:val="28"/>
          <w:szCs w:val="28"/>
          <w:lang w:val="uk-UA"/>
        </w:rPr>
        <w:t xml:space="preserve">. </w:t>
      </w:r>
    </w:p>
    <w:p w14:paraId="6B904260" w14:textId="268453A1" w:rsidR="00F05F4E" w:rsidRPr="00164C26" w:rsidRDefault="00F05F4E" w:rsidP="00F05F4E">
      <w:pPr>
        <w:spacing w:line="360" w:lineRule="auto"/>
        <w:ind w:firstLine="567"/>
        <w:jc w:val="both"/>
        <w:rPr>
          <w:sz w:val="28"/>
          <w:szCs w:val="28"/>
          <w:lang w:val="uk-UA"/>
        </w:rPr>
      </w:pPr>
      <w:r w:rsidRPr="00164C26">
        <w:rPr>
          <w:sz w:val="28"/>
          <w:szCs w:val="28"/>
          <w:lang w:val="uk-UA"/>
        </w:rPr>
        <w:t xml:space="preserve">Протягом першої години експерименту (рис. </w:t>
      </w:r>
      <w:r>
        <w:rPr>
          <w:sz w:val="28"/>
          <w:szCs w:val="28"/>
          <w:lang w:val="uk-UA"/>
        </w:rPr>
        <w:t>6</w:t>
      </w:r>
      <w:r w:rsidRPr="00164C26">
        <w:rPr>
          <w:sz w:val="28"/>
          <w:szCs w:val="28"/>
          <w:lang w:val="uk-UA"/>
        </w:rPr>
        <w:t>.5.2) спостерігався виразний анксиолітичний ефект для комплексної сполуки ІІ, час проведений у світлих рукавах камери становив 201с. Наступні 3 та 24 години експерименту спостерігалось зростання величини протитривожного ефекту комплексу ІІ, показники часу перебування у світлих рукавах камери становили 212 с і 235 с, відповідно.</w:t>
      </w:r>
    </w:p>
    <w:p w14:paraId="184F4627" w14:textId="50DEC48A" w:rsidR="00F05F4E" w:rsidRPr="00164C26" w:rsidRDefault="00F05F4E" w:rsidP="00F05F4E">
      <w:pPr>
        <w:spacing w:line="360" w:lineRule="auto"/>
        <w:ind w:firstLine="567"/>
        <w:jc w:val="both"/>
        <w:rPr>
          <w:sz w:val="28"/>
          <w:szCs w:val="28"/>
          <w:lang w:val="uk-UA"/>
        </w:rPr>
      </w:pPr>
      <w:r w:rsidRPr="00164C26">
        <w:rPr>
          <w:sz w:val="28"/>
          <w:szCs w:val="28"/>
          <w:lang w:val="uk-UA"/>
        </w:rPr>
        <w:t xml:space="preserve">У тесті ПХЛ </w:t>
      </w:r>
      <w:r>
        <w:rPr>
          <w:sz w:val="28"/>
          <w:szCs w:val="28"/>
          <w:lang w:val="uk-UA"/>
        </w:rPr>
        <w:t>к</w:t>
      </w:r>
      <w:r w:rsidRPr="00164C26">
        <w:rPr>
          <w:sz w:val="28"/>
          <w:szCs w:val="28"/>
          <w:lang w:val="uk-UA"/>
        </w:rPr>
        <w:t xml:space="preserve">ількість виходів у світлі рукави камери достовірно збільшувались </w:t>
      </w:r>
      <w:r>
        <w:rPr>
          <w:sz w:val="28"/>
          <w:szCs w:val="28"/>
          <w:lang w:val="uk-UA"/>
        </w:rPr>
        <w:t xml:space="preserve">після введення </w:t>
      </w:r>
      <w:r w:rsidRPr="00164C26">
        <w:rPr>
          <w:sz w:val="28"/>
          <w:szCs w:val="28"/>
          <w:lang w:val="uk-UA"/>
        </w:rPr>
        <w:t xml:space="preserve">комплексної сполуки ІІ. Максимальний прояв анксиолітичної активності спостерігався впродовж першої години експерименту. Отримані дані зворотно корелюють із результатами отриманими у тесті ЧБК (рис. </w:t>
      </w:r>
      <w:r>
        <w:rPr>
          <w:sz w:val="28"/>
          <w:szCs w:val="28"/>
        </w:rPr>
        <w:t>6</w:t>
      </w:r>
      <w:r w:rsidRPr="00164C26">
        <w:rPr>
          <w:sz w:val="28"/>
          <w:szCs w:val="28"/>
          <w:lang w:val="uk-UA"/>
        </w:rPr>
        <w:t>.3.2).</w:t>
      </w:r>
    </w:p>
    <w:p w14:paraId="34430196" w14:textId="77777777" w:rsidR="00F05F4E" w:rsidRDefault="00F05F4E" w:rsidP="00F05F4E">
      <w:pPr>
        <w:spacing w:line="360" w:lineRule="auto"/>
        <w:ind w:firstLine="90"/>
        <w:jc w:val="center"/>
        <w:rPr>
          <w:sz w:val="28"/>
          <w:szCs w:val="28"/>
          <w:lang w:val="uk-UA"/>
        </w:rPr>
      </w:pPr>
      <w:r w:rsidRPr="005E7312">
        <w:rPr>
          <w:noProof/>
          <w:sz w:val="28"/>
          <w:szCs w:val="28"/>
          <w:lang w:val="en-US" w:eastAsia="en-US"/>
        </w:rPr>
        <w:drawing>
          <wp:inline distT="0" distB="0" distL="0" distR="0" wp14:anchorId="3525C1CB" wp14:editId="7E6114AA">
            <wp:extent cx="3898232" cy="1949116"/>
            <wp:effectExtent l="0" t="0" r="1270" b="0"/>
            <wp:docPr id="30"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07575" cy="1953788"/>
                    </a:xfrm>
                    <a:prstGeom prst="rect">
                      <a:avLst/>
                    </a:prstGeom>
                    <a:noFill/>
                    <a:ln>
                      <a:noFill/>
                    </a:ln>
                  </pic:spPr>
                </pic:pic>
              </a:graphicData>
            </a:graphic>
          </wp:inline>
        </w:drawing>
      </w:r>
    </w:p>
    <w:p w14:paraId="09A0B2E9" w14:textId="249E1342" w:rsidR="00F05F4E" w:rsidRPr="00164C26" w:rsidRDefault="00F05F4E" w:rsidP="00F05F4E">
      <w:pPr>
        <w:tabs>
          <w:tab w:val="left" w:pos="720"/>
        </w:tabs>
        <w:spacing w:line="360" w:lineRule="auto"/>
        <w:ind w:firstLine="720"/>
        <w:jc w:val="both"/>
        <w:rPr>
          <w:sz w:val="28"/>
          <w:szCs w:val="28"/>
          <w:lang w:val="uk-UA"/>
        </w:rPr>
      </w:pPr>
      <w:r w:rsidRPr="00164C26">
        <w:rPr>
          <w:sz w:val="28"/>
          <w:szCs w:val="28"/>
          <w:lang w:val="uk-UA"/>
        </w:rPr>
        <w:t xml:space="preserve">Рис. </w:t>
      </w:r>
      <w:r>
        <w:rPr>
          <w:sz w:val="28"/>
          <w:szCs w:val="28"/>
          <w:lang w:val="uk-UA"/>
        </w:rPr>
        <w:t>6</w:t>
      </w:r>
      <w:r w:rsidRPr="00164C26">
        <w:rPr>
          <w:sz w:val="28"/>
          <w:szCs w:val="28"/>
          <w:lang w:val="uk-UA"/>
        </w:rPr>
        <w:t>.5.2 Анксиолітична активність комплексних сполук І та ІІ після перорального введення (кількість «виходів» у світлі рукави)</w:t>
      </w:r>
      <w:r>
        <w:rPr>
          <w:sz w:val="28"/>
          <w:szCs w:val="28"/>
          <w:lang w:val="uk-UA"/>
        </w:rPr>
        <w:t xml:space="preserve"> у тесті ПХЛ</w:t>
      </w:r>
      <w:r w:rsidRPr="00164C26">
        <w:rPr>
          <w:sz w:val="28"/>
          <w:szCs w:val="28"/>
          <w:lang w:val="uk-UA"/>
        </w:rPr>
        <w:t>. (М</w:t>
      </w:r>
      <w:r w:rsidRPr="00164C26">
        <w:rPr>
          <w:color w:val="4D5156"/>
          <w:sz w:val="28"/>
          <w:szCs w:val="28"/>
          <w:shd w:val="clear" w:color="auto" w:fill="FFFFFF"/>
          <w:lang w:val="uk-UA"/>
        </w:rPr>
        <w:t>±</w:t>
      </w:r>
      <w:r w:rsidRPr="00164C26">
        <w:rPr>
          <w:sz w:val="28"/>
          <w:szCs w:val="28"/>
          <w:lang w:val="en-US"/>
        </w:rPr>
        <w:t>m</w:t>
      </w:r>
      <w:r w:rsidRPr="00164C26">
        <w:rPr>
          <w:sz w:val="28"/>
          <w:szCs w:val="28"/>
          <w:lang w:val="uk-UA"/>
        </w:rPr>
        <w:t xml:space="preserve">, </w:t>
      </w:r>
      <w:r w:rsidRPr="00164C26">
        <w:rPr>
          <w:sz w:val="28"/>
          <w:szCs w:val="28"/>
          <w:lang w:val="en-US"/>
        </w:rPr>
        <w:t>n</w:t>
      </w:r>
      <w:r w:rsidRPr="00164C26">
        <w:rPr>
          <w:sz w:val="28"/>
          <w:szCs w:val="28"/>
          <w:lang w:val="uk-UA"/>
        </w:rPr>
        <w:t>=6)</w:t>
      </w:r>
    </w:p>
    <w:p w14:paraId="74FC38D5" w14:textId="77777777" w:rsidR="00F05F4E" w:rsidRPr="00C57D1F" w:rsidRDefault="00F05F4E" w:rsidP="00352B8A">
      <w:pPr>
        <w:ind w:left="450" w:hanging="450"/>
        <w:jc w:val="both"/>
        <w:rPr>
          <w:lang w:val="uk-UA"/>
        </w:rPr>
      </w:pPr>
      <w:r w:rsidRPr="00C57D1F">
        <w:rPr>
          <w:lang w:val="uk-UA"/>
        </w:rPr>
        <w:t xml:space="preserve">Примітки: </w:t>
      </w:r>
    </w:p>
    <w:p w14:paraId="0B1D3952" w14:textId="7BE06E75" w:rsidR="00F05F4E" w:rsidRPr="00C57D1F" w:rsidRDefault="00F05F4E" w:rsidP="00352B8A">
      <w:pPr>
        <w:ind w:left="450" w:hanging="450"/>
        <w:jc w:val="both"/>
        <w:rPr>
          <w:lang w:val="uk-UA"/>
        </w:rPr>
      </w:pPr>
      <w:r w:rsidRPr="00C57D1F">
        <w:rPr>
          <w:lang w:val="uk-UA"/>
        </w:rPr>
        <w:t>1.</w:t>
      </w:r>
      <w:r w:rsidRPr="00C57D1F">
        <w:rPr>
          <w:lang w:val="uk-UA"/>
        </w:rPr>
        <w:tab/>
        <w:t xml:space="preserve"> * - p </w:t>
      </w:r>
      <w:r w:rsidRPr="00C57D1F">
        <w:rPr>
          <w:lang w:val="uk-UA"/>
        </w:rPr>
        <w:sym w:font="Symbol" w:char="F03C"/>
      </w:r>
      <w:r w:rsidRPr="00C57D1F">
        <w:rPr>
          <w:lang w:val="uk-UA"/>
        </w:rPr>
        <w:t xml:space="preserve"> 0,05 (статистично значуща різниця у порівнянні з контрольною групою). </w:t>
      </w:r>
    </w:p>
    <w:p w14:paraId="7B2CAEAA" w14:textId="6BFA7F9A" w:rsidR="00F05F4E" w:rsidRPr="00C57D1F" w:rsidRDefault="00F05F4E" w:rsidP="00352B8A">
      <w:pPr>
        <w:ind w:left="450" w:hanging="450"/>
        <w:jc w:val="both"/>
        <w:rPr>
          <w:lang w:val="uk-UA"/>
        </w:rPr>
      </w:pPr>
      <w:r w:rsidRPr="00C57D1F">
        <w:rPr>
          <w:lang w:val="uk-UA"/>
        </w:rPr>
        <w:t>2.</w:t>
      </w:r>
      <w:r w:rsidRPr="00C57D1F">
        <w:rPr>
          <w:lang w:val="uk-UA"/>
        </w:rPr>
        <w:tab/>
        <w:t xml:space="preserve"> ** - р</w:t>
      </w:r>
      <w:r w:rsidRPr="00C57D1F">
        <w:rPr>
          <w:lang w:val="uk-UA"/>
        </w:rPr>
        <w:sym w:font="Symbol" w:char="F03C"/>
      </w:r>
      <w:r w:rsidRPr="00C57D1F">
        <w:rPr>
          <w:lang w:val="uk-UA"/>
        </w:rPr>
        <w:t>0,01 (статистично значуща різниця у порівнянні з контрольною групою).</w:t>
      </w:r>
    </w:p>
    <w:p w14:paraId="49AC2877" w14:textId="529698B3" w:rsidR="007C0C3C" w:rsidRDefault="00F05F4E" w:rsidP="00352B8A">
      <w:pPr>
        <w:ind w:left="450" w:hanging="450"/>
        <w:jc w:val="both"/>
        <w:rPr>
          <w:lang w:val="uk-UA"/>
        </w:rPr>
      </w:pPr>
      <w:r w:rsidRPr="00C57D1F">
        <w:rPr>
          <w:lang w:val="uk-UA"/>
        </w:rPr>
        <w:t>3.</w:t>
      </w:r>
      <w:r w:rsidRPr="00C57D1F">
        <w:rPr>
          <w:lang w:val="uk-UA"/>
        </w:rPr>
        <w:tab/>
        <w:t xml:space="preserve"> n – кількість тварин у групі.</w:t>
      </w:r>
    </w:p>
    <w:p w14:paraId="766CF87F" w14:textId="77777777" w:rsidR="00352B8A" w:rsidRPr="00C57D1F" w:rsidRDefault="00352B8A" w:rsidP="00C57D1F">
      <w:pPr>
        <w:ind w:left="630" w:hanging="630"/>
        <w:jc w:val="both"/>
        <w:rPr>
          <w:lang w:val="uk-UA"/>
        </w:rPr>
      </w:pPr>
    </w:p>
    <w:p w14:paraId="56C00B6C" w14:textId="2083084D" w:rsidR="007C0C3C" w:rsidRPr="00164C26" w:rsidRDefault="00F05F4E" w:rsidP="007C0C3C">
      <w:pPr>
        <w:spacing w:line="360" w:lineRule="auto"/>
        <w:ind w:firstLine="567"/>
        <w:jc w:val="both"/>
        <w:rPr>
          <w:sz w:val="28"/>
          <w:szCs w:val="28"/>
          <w:lang w:val="uk-UA"/>
        </w:rPr>
      </w:pPr>
      <w:r w:rsidRPr="00164C26">
        <w:rPr>
          <w:sz w:val="28"/>
          <w:szCs w:val="28"/>
          <w:lang w:val="uk-UA"/>
        </w:rPr>
        <w:t xml:space="preserve">Комплексна сполука І викликала менш виразний протитривожний ефект у порівнянні із комплексною сполукою ІІ, ймовірно, це може бути пов’язано із наявністю атома Br у структурі комплексну ІІ. </w:t>
      </w:r>
    </w:p>
    <w:p w14:paraId="14728628" w14:textId="6EE0CE4D" w:rsidR="00F05F4E" w:rsidRPr="00164C26" w:rsidRDefault="00F05F4E" w:rsidP="00F05F4E">
      <w:pPr>
        <w:spacing w:line="360" w:lineRule="auto"/>
        <w:ind w:firstLine="567"/>
        <w:jc w:val="both"/>
        <w:rPr>
          <w:sz w:val="28"/>
          <w:szCs w:val="28"/>
          <w:lang w:val="uk-UA"/>
        </w:rPr>
      </w:pPr>
      <w:r w:rsidRPr="00164C26">
        <w:rPr>
          <w:sz w:val="28"/>
          <w:szCs w:val="28"/>
          <w:lang w:val="uk-UA"/>
        </w:rPr>
        <w:lastRenderedPageBreak/>
        <w:t>Впродовж першої години експерименту для комплексу І співвідношення часу проведеного у відкритих та закритих рукавах лабіринту були однаковими (рис.</w:t>
      </w:r>
      <w:r>
        <w:rPr>
          <w:sz w:val="28"/>
          <w:szCs w:val="28"/>
        </w:rPr>
        <w:t>6</w:t>
      </w:r>
      <w:r w:rsidRPr="00164C26">
        <w:rPr>
          <w:sz w:val="28"/>
          <w:szCs w:val="28"/>
          <w:lang w:val="uk-UA"/>
        </w:rPr>
        <w:t xml:space="preserve">.5.3), але  вже через 3 години спостерігався виразний анксиолітичний ефект, час, проведений у світлих рукавах лабіринту достовірно збільшився до 261 с. </w:t>
      </w:r>
    </w:p>
    <w:p w14:paraId="08916CC0" w14:textId="77777777" w:rsidR="00F05F4E" w:rsidRDefault="00F05F4E" w:rsidP="00F05F4E">
      <w:pPr>
        <w:spacing w:line="360" w:lineRule="auto"/>
        <w:jc w:val="center"/>
        <w:rPr>
          <w:sz w:val="28"/>
          <w:szCs w:val="28"/>
          <w:lang w:val="uk-UA"/>
        </w:rPr>
      </w:pPr>
      <w:r w:rsidRPr="005E7312">
        <w:rPr>
          <w:noProof/>
          <w:lang w:val="en-US" w:eastAsia="en-US"/>
        </w:rPr>
        <w:drawing>
          <wp:inline distT="0" distB="0" distL="0" distR="0" wp14:anchorId="7EC50B76" wp14:editId="0B3A88F7">
            <wp:extent cx="3741821" cy="1864895"/>
            <wp:effectExtent l="0" t="0" r="5080" b="2540"/>
            <wp:docPr id="31"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65247" cy="1876570"/>
                    </a:xfrm>
                    <a:prstGeom prst="rect">
                      <a:avLst/>
                    </a:prstGeom>
                    <a:noFill/>
                    <a:ln>
                      <a:noFill/>
                    </a:ln>
                  </pic:spPr>
                </pic:pic>
              </a:graphicData>
            </a:graphic>
          </wp:inline>
        </w:drawing>
      </w:r>
    </w:p>
    <w:p w14:paraId="4E05A86A" w14:textId="4CC73610" w:rsidR="00F05F4E" w:rsidRPr="00164C26" w:rsidRDefault="00F05F4E" w:rsidP="00F05F4E">
      <w:pPr>
        <w:spacing w:line="360" w:lineRule="auto"/>
        <w:ind w:firstLine="720"/>
        <w:jc w:val="both"/>
        <w:rPr>
          <w:sz w:val="28"/>
          <w:szCs w:val="28"/>
          <w:lang w:val="uk-UA"/>
        </w:rPr>
      </w:pPr>
      <w:r w:rsidRPr="00164C26">
        <w:rPr>
          <w:sz w:val="28"/>
          <w:szCs w:val="28"/>
          <w:lang w:val="uk-UA"/>
        </w:rPr>
        <w:t xml:space="preserve">Рис. </w:t>
      </w:r>
      <w:r>
        <w:rPr>
          <w:sz w:val="28"/>
          <w:szCs w:val="28"/>
        </w:rPr>
        <w:t>6</w:t>
      </w:r>
      <w:r w:rsidRPr="00164C26">
        <w:rPr>
          <w:sz w:val="28"/>
          <w:szCs w:val="28"/>
          <w:lang w:val="uk-UA"/>
        </w:rPr>
        <w:t>.5.3 Анксиолітична активність комплексної сполуки І після перорального введення (кількість часу проведеного у світлих та темних рукавах). (М</w:t>
      </w:r>
      <w:r w:rsidRPr="00164C26">
        <w:rPr>
          <w:color w:val="4D5156"/>
          <w:sz w:val="28"/>
          <w:szCs w:val="28"/>
          <w:shd w:val="clear" w:color="auto" w:fill="FFFFFF"/>
          <w:lang w:val="uk-UA"/>
        </w:rPr>
        <w:t>±</w:t>
      </w:r>
      <w:r w:rsidRPr="00164C26">
        <w:rPr>
          <w:sz w:val="28"/>
          <w:szCs w:val="28"/>
          <w:lang w:val="en-US"/>
        </w:rPr>
        <w:t>m</w:t>
      </w:r>
      <w:r w:rsidRPr="00164C26">
        <w:rPr>
          <w:sz w:val="28"/>
          <w:szCs w:val="28"/>
          <w:lang w:val="uk-UA"/>
        </w:rPr>
        <w:t xml:space="preserve">, </w:t>
      </w:r>
      <w:r w:rsidRPr="00164C26">
        <w:rPr>
          <w:sz w:val="28"/>
          <w:szCs w:val="28"/>
          <w:lang w:val="en-US"/>
        </w:rPr>
        <w:t>n</w:t>
      </w:r>
      <w:r w:rsidRPr="00164C26">
        <w:rPr>
          <w:sz w:val="28"/>
          <w:szCs w:val="28"/>
          <w:lang w:val="uk-UA"/>
        </w:rPr>
        <w:t>=6)</w:t>
      </w:r>
    </w:p>
    <w:p w14:paraId="4A1AB9DB" w14:textId="77777777" w:rsidR="00F05F4E" w:rsidRPr="00C57D1F" w:rsidRDefault="00F05F4E" w:rsidP="00352B8A">
      <w:pPr>
        <w:ind w:left="450" w:hanging="450"/>
        <w:jc w:val="both"/>
        <w:rPr>
          <w:lang w:val="uk-UA"/>
        </w:rPr>
      </w:pPr>
      <w:r w:rsidRPr="00C57D1F">
        <w:rPr>
          <w:lang w:val="uk-UA"/>
        </w:rPr>
        <w:t xml:space="preserve">Примітки: </w:t>
      </w:r>
    </w:p>
    <w:p w14:paraId="7E58EE1B" w14:textId="04D9EA33" w:rsidR="00F05F4E" w:rsidRPr="00C57D1F" w:rsidRDefault="00F05F4E" w:rsidP="00352B8A">
      <w:pPr>
        <w:ind w:left="450" w:hanging="450"/>
        <w:jc w:val="both"/>
        <w:rPr>
          <w:lang w:val="uk-UA"/>
        </w:rPr>
      </w:pPr>
      <w:r w:rsidRPr="00C57D1F">
        <w:rPr>
          <w:lang w:val="uk-UA"/>
        </w:rPr>
        <w:t>1.</w:t>
      </w:r>
      <w:r w:rsidRPr="00C57D1F">
        <w:rPr>
          <w:lang w:val="uk-UA"/>
        </w:rPr>
        <w:tab/>
        <w:t xml:space="preserve">* - p </w:t>
      </w:r>
      <w:r w:rsidRPr="00C57D1F">
        <w:rPr>
          <w:lang w:val="uk-UA"/>
        </w:rPr>
        <w:sym w:font="Symbol" w:char="F03C"/>
      </w:r>
      <w:r w:rsidRPr="00C57D1F">
        <w:rPr>
          <w:lang w:val="uk-UA"/>
        </w:rPr>
        <w:t xml:space="preserve"> 0,05 (статистично значуща різниця у порівнянні з контрольною групою). </w:t>
      </w:r>
    </w:p>
    <w:p w14:paraId="34B38310" w14:textId="3C8CB359" w:rsidR="00F05F4E" w:rsidRPr="00C57D1F" w:rsidRDefault="00F05F4E" w:rsidP="00352B8A">
      <w:pPr>
        <w:ind w:left="450" w:hanging="450"/>
        <w:jc w:val="both"/>
        <w:rPr>
          <w:lang w:val="uk-UA"/>
        </w:rPr>
      </w:pPr>
      <w:r w:rsidRPr="00C57D1F">
        <w:rPr>
          <w:lang w:val="uk-UA"/>
        </w:rPr>
        <w:t>2.</w:t>
      </w:r>
      <w:r w:rsidRPr="00C57D1F">
        <w:rPr>
          <w:lang w:val="uk-UA"/>
        </w:rPr>
        <w:tab/>
        <w:t>** - р</w:t>
      </w:r>
      <w:r w:rsidRPr="00C57D1F">
        <w:rPr>
          <w:lang w:val="uk-UA"/>
        </w:rPr>
        <w:sym w:font="Symbol" w:char="F03C"/>
      </w:r>
      <w:r w:rsidRPr="00C57D1F">
        <w:rPr>
          <w:lang w:val="uk-UA"/>
        </w:rPr>
        <w:t>0,01 (статистично значуща різниця у порівнянні з контрольною групою).</w:t>
      </w:r>
    </w:p>
    <w:p w14:paraId="65B7BD06" w14:textId="4CBE3705" w:rsidR="00F05F4E" w:rsidRPr="00C57D1F" w:rsidRDefault="00F05F4E" w:rsidP="00352B8A">
      <w:pPr>
        <w:ind w:left="450" w:hanging="450"/>
        <w:jc w:val="both"/>
        <w:rPr>
          <w:lang w:val="uk-UA"/>
        </w:rPr>
      </w:pPr>
      <w:r w:rsidRPr="00C57D1F">
        <w:rPr>
          <w:lang w:val="uk-UA"/>
        </w:rPr>
        <w:t>3.</w:t>
      </w:r>
      <w:r w:rsidRPr="00C57D1F">
        <w:rPr>
          <w:lang w:val="uk-UA"/>
        </w:rPr>
        <w:tab/>
        <w:t>n – кількість тварин у групі.</w:t>
      </w:r>
    </w:p>
    <w:p w14:paraId="54DB8291" w14:textId="77777777" w:rsidR="00F05F4E" w:rsidRDefault="00F05F4E" w:rsidP="00F05F4E">
      <w:pPr>
        <w:spacing w:line="360" w:lineRule="auto"/>
        <w:jc w:val="both"/>
        <w:rPr>
          <w:rFonts w:eastAsia="Calibri"/>
          <w:sz w:val="28"/>
          <w:szCs w:val="28"/>
          <w:lang w:val="uk-UA"/>
        </w:rPr>
      </w:pPr>
    </w:p>
    <w:p w14:paraId="042CEA64" w14:textId="77777777" w:rsidR="00F05F4E" w:rsidRPr="00112A09" w:rsidRDefault="00F05F4E" w:rsidP="00F05F4E">
      <w:pPr>
        <w:spacing w:line="360" w:lineRule="auto"/>
        <w:ind w:firstLine="567"/>
        <w:jc w:val="both"/>
        <w:rPr>
          <w:sz w:val="28"/>
          <w:szCs w:val="28"/>
          <w:lang w:val="uk-UA"/>
        </w:rPr>
      </w:pPr>
      <w:r w:rsidRPr="00112A09">
        <w:rPr>
          <w:sz w:val="28"/>
          <w:szCs w:val="28"/>
          <w:lang w:val="uk-UA"/>
        </w:rPr>
        <w:t>Через 24 години експерименту анксиолітична дія комплексу ІІ зберігалась на досить високому рівні, показники часу перебування у світлих рукавах камери становили 205 с.</w:t>
      </w:r>
    </w:p>
    <w:p w14:paraId="4A28BF84" w14:textId="10EAFA4E" w:rsidR="00F05F4E" w:rsidRPr="00112A09" w:rsidRDefault="00F05F4E" w:rsidP="00F05F4E">
      <w:pPr>
        <w:tabs>
          <w:tab w:val="left" w:pos="709"/>
        </w:tabs>
        <w:spacing w:line="360" w:lineRule="auto"/>
        <w:ind w:firstLine="567"/>
        <w:jc w:val="both"/>
        <w:rPr>
          <w:sz w:val="28"/>
          <w:szCs w:val="28"/>
          <w:lang w:val="uk-UA"/>
        </w:rPr>
      </w:pPr>
      <w:r w:rsidRPr="00112A09">
        <w:rPr>
          <w:sz w:val="28"/>
          <w:szCs w:val="28"/>
          <w:lang w:val="uk-UA"/>
        </w:rPr>
        <w:t>Варто зазначити, що впродовж експерименту деякі миші (які отримували комплексні сполуки І і ІІ) падали з відкритих рукавів лабіринту. Дані поведінки таких тварин було виключено із аналізу [</w:t>
      </w:r>
      <w:r w:rsidR="00112A09" w:rsidRPr="00112A09">
        <w:rPr>
          <w:sz w:val="28"/>
          <w:szCs w:val="28"/>
          <w:lang w:val="uk-UA"/>
        </w:rPr>
        <w:t>175</w:t>
      </w:r>
      <w:r w:rsidRPr="00112A09">
        <w:rPr>
          <w:sz w:val="28"/>
          <w:szCs w:val="28"/>
          <w:lang w:val="uk-UA"/>
        </w:rPr>
        <w:t>].</w:t>
      </w:r>
    </w:p>
    <w:p w14:paraId="184805D8" w14:textId="6FF18392" w:rsidR="00F05F4E" w:rsidRPr="00112A09" w:rsidRDefault="00F05F4E" w:rsidP="00F05F4E">
      <w:pPr>
        <w:pStyle w:val="a6"/>
        <w:spacing w:before="0" w:beforeAutospacing="0" w:after="0" w:afterAutospacing="0" w:line="360" w:lineRule="auto"/>
        <w:ind w:firstLine="567"/>
        <w:jc w:val="both"/>
        <w:rPr>
          <w:sz w:val="28"/>
          <w:szCs w:val="28"/>
          <w:lang w:val="uk-UA"/>
        </w:rPr>
      </w:pPr>
      <w:r w:rsidRPr="00112A09">
        <w:rPr>
          <w:sz w:val="28"/>
          <w:szCs w:val="28"/>
          <w:lang w:val="uk-UA"/>
        </w:rPr>
        <w:t>Отримані дані свідчать про те, що тривога і депресія демонструють важливе «перекриття», оскільки введення комплексних сполук І і ІІ  мишам, викликало у них як прояв анксиолітичного ефекту, так і антидепресивного, хоча тривога і депресія розглядаються як два різні захворювання. Відомо, що ГАМК-ергічна дисфункція викликає розлади настрою і неврологічного характеру, такі як тривожність, депресія і судоми [2</w:t>
      </w:r>
      <w:r w:rsidR="00FE60C3" w:rsidRPr="00112A09">
        <w:rPr>
          <w:sz w:val="28"/>
          <w:szCs w:val="28"/>
          <w:lang w:val="uk-UA"/>
        </w:rPr>
        <w:t>4</w:t>
      </w:r>
      <w:r w:rsidR="00B85935" w:rsidRPr="00B85935">
        <w:rPr>
          <w:sz w:val="28"/>
          <w:szCs w:val="28"/>
          <w:lang w:val="uk-UA"/>
        </w:rPr>
        <w:t>6</w:t>
      </w:r>
      <w:r w:rsidRPr="00112A09">
        <w:rPr>
          <w:sz w:val="28"/>
          <w:szCs w:val="28"/>
          <w:lang w:val="uk-UA"/>
        </w:rPr>
        <w:t xml:space="preserve">].  Анксиолітичні </w:t>
      </w:r>
      <w:r w:rsidRPr="00112A09">
        <w:rPr>
          <w:sz w:val="28"/>
          <w:szCs w:val="28"/>
          <w:lang w:val="uk-UA"/>
        </w:rPr>
        <w:lastRenderedPageBreak/>
        <w:t>препарати проявляють свою фармакологічну дію, викликаючи ГАМК-ергічну нейромедіацію у мозку [2</w:t>
      </w:r>
      <w:r w:rsidR="00FE60C3" w:rsidRPr="00112A09">
        <w:rPr>
          <w:sz w:val="28"/>
          <w:szCs w:val="28"/>
          <w:lang w:val="uk-UA"/>
        </w:rPr>
        <w:t>4</w:t>
      </w:r>
      <w:r w:rsidR="00B85935" w:rsidRPr="00B85935">
        <w:rPr>
          <w:sz w:val="28"/>
          <w:szCs w:val="28"/>
          <w:lang w:val="uk-UA"/>
        </w:rPr>
        <w:t>7</w:t>
      </w:r>
      <w:r w:rsidRPr="00112A09">
        <w:rPr>
          <w:sz w:val="28"/>
          <w:szCs w:val="28"/>
          <w:lang w:val="uk-UA"/>
        </w:rPr>
        <w:t>].</w:t>
      </w:r>
    </w:p>
    <w:p w14:paraId="1F398195" w14:textId="1F51788B" w:rsidR="001759D5" w:rsidRPr="00112A09" w:rsidRDefault="00F05F4E" w:rsidP="00A55657">
      <w:pPr>
        <w:pStyle w:val="a6"/>
        <w:spacing w:before="0" w:beforeAutospacing="0" w:after="0" w:afterAutospacing="0" w:line="360" w:lineRule="auto"/>
        <w:ind w:firstLine="567"/>
        <w:jc w:val="both"/>
        <w:rPr>
          <w:sz w:val="28"/>
          <w:szCs w:val="28"/>
          <w:lang w:val="uk-UA"/>
        </w:rPr>
      </w:pPr>
      <w:r w:rsidRPr="00112A09">
        <w:rPr>
          <w:sz w:val="28"/>
          <w:szCs w:val="28"/>
          <w:lang w:val="uk-UA"/>
        </w:rPr>
        <w:t>Тому, дослідження протисудомної дії комплексних сполук уявляла необхідність для встановлення можливого механізму впливу комплексів І і ІІ на ГАМК-ергічну систему.</w:t>
      </w:r>
    </w:p>
    <w:p w14:paraId="38D14E68" w14:textId="7478CEDF" w:rsidR="00F05F4E" w:rsidRPr="00112A09" w:rsidRDefault="00F05F4E" w:rsidP="00F05F4E">
      <w:pPr>
        <w:pStyle w:val="20"/>
        <w:rPr>
          <w:b/>
          <w:szCs w:val="28"/>
        </w:rPr>
      </w:pPr>
      <w:r w:rsidRPr="00112A09">
        <w:rPr>
          <w:b/>
          <w:szCs w:val="28"/>
        </w:rPr>
        <w:t>6.6 Визначення порогу чутливості до судомних агентів комплексних сполук S</w:t>
      </w:r>
      <w:r w:rsidR="00C57D1F" w:rsidRPr="00112A09">
        <w:rPr>
          <w:b/>
          <w:szCs w:val="28"/>
          <w:lang w:val="en-US"/>
        </w:rPr>
        <w:t>n</w:t>
      </w:r>
      <w:r w:rsidR="00C57D1F" w:rsidRPr="00112A09">
        <w:rPr>
          <w:b/>
          <w:szCs w:val="28"/>
        </w:rPr>
        <w:t xml:space="preserve"> (</w:t>
      </w:r>
      <w:r w:rsidR="00C57D1F" w:rsidRPr="00112A09">
        <w:rPr>
          <w:b/>
          <w:szCs w:val="28"/>
          <w:lang w:val="en-US"/>
        </w:rPr>
        <w:t>IV</w:t>
      </w:r>
      <w:r w:rsidR="00C57D1F" w:rsidRPr="00112A09">
        <w:rPr>
          <w:b/>
          <w:szCs w:val="28"/>
        </w:rPr>
        <w:t>)</w:t>
      </w:r>
      <w:r w:rsidRPr="00112A09">
        <w:rPr>
          <w:b/>
          <w:szCs w:val="28"/>
        </w:rPr>
        <w:t xml:space="preserve"> з саліцилоїлгідразонами бензальдегід</w:t>
      </w:r>
      <w:r w:rsidR="00C57D1F" w:rsidRPr="00112A09">
        <w:rPr>
          <w:b/>
          <w:szCs w:val="28"/>
        </w:rPr>
        <w:t>ів</w:t>
      </w:r>
      <w:r w:rsidRPr="00112A09">
        <w:rPr>
          <w:b/>
          <w:szCs w:val="28"/>
        </w:rPr>
        <w:t xml:space="preserve"> </w:t>
      </w:r>
    </w:p>
    <w:p w14:paraId="50B9AC98" w14:textId="138A33C2" w:rsidR="00F05F4E" w:rsidRPr="00112A09" w:rsidRDefault="00F05F4E" w:rsidP="00F05F4E">
      <w:pPr>
        <w:spacing w:line="360" w:lineRule="auto"/>
        <w:ind w:firstLine="720"/>
        <w:jc w:val="both"/>
        <w:rPr>
          <w:sz w:val="28"/>
          <w:szCs w:val="28"/>
          <w:lang w:val="uk-UA"/>
        </w:rPr>
      </w:pPr>
      <w:r w:rsidRPr="00112A09">
        <w:rPr>
          <w:sz w:val="28"/>
          <w:szCs w:val="28"/>
          <w:lang w:val="uk-UA"/>
        </w:rPr>
        <w:t>ГАМК є головним інгібуючим нейротрансміттером, а глутамінова кислота - збудливим нейромедіатором мозку. Вважається, що інгібування ГАМК та посилення дії нейротрансміттерів глутамату є основними факторами виникнення судом [2</w:t>
      </w:r>
      <w:r w:rsidR="00B85935" w:rsidRPr="00B85935">
        <w:rPr>
          <w:sz w:val="28"/>
          <w:szCs w:val="28"/>
          <w:lang w:val="uk-UA"/>
        </w:rPr>
        <w:t>48</w:t>
      </w:r>
      <w:r w:rsidRPr="00112A09">
        <w:rPr>
          <w:sz w:val="28"/>
          <w:szCs w:val="28"/>
          <w:lang w:val="uk-UA"/>
        </w:rPr>
        <w:t xml:space="preserve">]. </w:t>
      </w:r>
      <w:r w:rsidR="00390008" w:rsidRPr="00112A09">
        <w:rPr>
          <w:sz w:val="28"/>
          <w:szCs w:val="28"/>
          <w:lang w:val="uk-UA"/>
        </w:rPr>
        <w:t>Коразол</w:t>
      </w:r>
      <w:r w:rsidRPr="00112A09">
        <w:rPr>
          <w:sz w:val="28"/>
          <w:szCs w:val="28"/>
          <w:lang w:val="uk-UA"/>
        </w:rPr>
        <w:t>, антагоніст рецептора γ-аміномасляної кислоти, широко застосовується для індукції судом на моделях тварин, механізм коразолових судом полягає у зниженні рівня ГАМК [248].</w:t>
      </w:r>
    </w:p>
    <w:p w14:paraId="7E1F21A0" w14:textId="0DC818FF" w:rsidR="00F05F4E" w:rsidRPr="00112A09" w:rsidRDefault="00F05F4E" w:rsidP="00F05F4E">
      <w:pPr>
        <w:spacing w:line="360" w:lineRule="auto"/>
        <w:ind w:firstLine="720"/>
        <w:jc w:val="both"/>
        <w:rPr>
          <w:sz w:val="28"/>
          <w:szCs w:val="28"/>
        </w:rPr>
      </w:pPr>
      <w:r w:rsidRPr="00112A09">
        <w:rPr>
          <w:sz w:val="28"/>
          <w:szCs w:val="28"/>
          <w:lang w:val="uk-UA"/>
        </w:rPr>
        <w:t>Існують дані досліджень, що свідчать про протисудомну дію НПЗЗ, таким чином, парацетамол (ацетамінофен) здійснював протисудомну дію коразол-індукованих судом [</w:t>
      </w:r>
      <w:r w:rsidR="00FE60C3" w:rsidRPr="00112A09">
        <w:rPr>
          <w:sz w:val="28"/>
          <w:szCs w:val="28"/>
          <w:lang w:val="uk-UA"/>
        </w:rPr>
        <w:t>2</w:t>
      </w:r>
      <w:r w:rsidR="00B85935" w:rsidRPr="00B85935">
        <w:rPr>
          <w:sz w:val="28"/>
          <w:szCs w:val="28"/>
          <w:lang w:val="uk-UA"/>
        </w:rPr>
        <w:t>49</w:t>
      </w:r>
      <w:r w:rsidRPr="00112A09">
        <w:rPr>
          <w:sz w:val="28"/>
          <w:szCs w:val="28"/>
          <w:lang w:val="uk-UA"/>
        </w:rPr>
        <w:t xml:space="preserve">], </w:t>
      </w:r>
      <w:r w:rsidR="00C57D1F" w:rsidRPr="00112A09">
        <w:rPr>
          <w:sz w:val="28"/>
          <w:szCs w:val="28"/>
          <w:lang w:val="uk-UA"/>
        </w:rPr>
        <w:t>і</w:t>
      </w:r>
      <w:r w:rsidRPr="00112A09">
        <w:rPr>
          <w:sz w:val="28"/>
          <w:szCs w:val="28"/>
          <w:lang w:val="uk-UA"/>
        </w:rPr>
        <w:t xml:space="preserve">бупрофен, у свою чергу у комбінації із вальпроатом знижує </w:t>
      </w:r>
      <w:r w:rsidRPr="00112A09">
        <w:rPr>
          <w:sz w:val="28"/>
          <w:szCs w:val="28"/>
          <w:lang w:val="en-US"/>
        </w:rPr>
        <w:t>ED</w:t>
      </w:r>
      <w:r w:rsidRPr="00112A09">
        <w:rPr>
          <w:sz w:val="28"/>
          <w:szCs w:val="28"/>
          <w:lang w:val="uk-UA"/>
        </w:rPr>
        <w:t>50 останнього [</w:t>
      </w:r>
      <w:r w:rsidR="00FE60C3" w:rsidRPr="00112A09">
        <w:rPr>
          <w:sz w:val="28"/>
          <w:szCs w:val="28"/>
          <w:lang w:val="uk-UA"/>
        </w:rPr>
        <w:t>25</w:t>
      </w:r>
      <w:r w:rsidR="00B85935" w:rsidRPr="00B85935">
        <w:rPr>
          <w:sz w:val="28"/>
          <w:szCs w:val="28"/>
          <w:lang w:val="uk-UA"/>
        </w:rPr>
        <w:t>0</w:t>
      </w:r>
      <w:r w:rsidRPr="00112A09">
        <w:rPr>
          <w:sz w:val="28"/>
          <w:szCs w:val="28"/>
          <w:lang w:val="uk-UA"/>
        </w:rPr>
        <w:t>]. Також, ряд протисудомних препаратів здатні проявляти протизапальну, аналгезуючу та антиноцицептивну активність</w:t>
      </w:r>
      <w:r w:rsidRPr="00112A09">
        <w:rPr>
          <w:sz w:val="28"/>
          <w:szCs w:val="28"/>
        </w:rPr>
        <w:t xml:space="preserve"> [</w:t>
      </w:r>
      <w:r w:rsidR="00FE60C3" w:rsidRPr="00112A09">
        <w:rPr>
          <w:sz w:val="28"/>
          <w:szCs w:val="28"/>
        </w:rPr>
        <w:t>25</w:t>
      </w:r>
      <w:r w:rsidR="00B85935" w:rsidRPr="00B85935">
        <w:rPr>
          <w:sz w:val="28"/>
          <w:szCs w:val="28"/>
        </w:rPr>
        <w:t>1</w:t>
      </w:r>
      <w:r w:rsidRPr="00112A09">
        <w:rPr>
          <w:sz w:val="28"/>
          <w:szCs w:val="28"/>
        </w:rPr>
        <w:t>].</w:t>
      </w:r>
    </w:p>
    <w:p w14:paraId="0B59F23C" w14:textId="5073B166" w:rsidR="00F05F4E" w:rsidRPr="00112A09" w:rsidRDefault="00F05F4E" w:rsidP="00F05F4E">
      <w:pPr>
        <w:spacing w:line="360" w:lineRule="auto"/>
        <w:ind w:firstLine="720"/>
        <w:jc w:val="both"/>
        <w:rPr>
          <w:sz w:val="28"/>
          <w:szCs w:val="28"/>
          <w:lang w:val="uk-UA"/>
        </w:rPr>
      </w:pPr>
      <w:r w:rsidRPr="00112A09">
        <w:rPr>
          <w:sz w:val="28"/>
          <w:szCs w:val="28"/>
          <w:lang w:val="uk-UA"/>
        </w:rPr>
        <w:t>Також із літературних джерел відомо, що неселективний інгібітор ЦОГ – ацетилсаліцилова кислота зменшує пошкодження нейронів у гіппокампі і повторення нападів [</w:t>
      </w:r>
      <w:r w:rsidR="00FE60C3" w:rsidRPr="00112A09">
        <w:rPr>
          <w:sz w:val="28"/>
          <w:szCs w:val="28"/>
          <w:lang w:val="uk-UA"/>
        </w:rPr>
        <w:t>25</w:t>
      </w:r>
      <w:r w:rsidR="00B85935" w:rsidRPr="00B85935">
        <w:rPr>
          <w:sz w:val="28"/>
          <w:szCs w:val="28"/>
        </w:rPr>
        <w:t>2</w:t>
      </w:r>
      <w:r w:rsidRPr="00112A09">
        <w:rPr>
          <w:sz w:val="28"/>
          <w:szCs w:val="28"/>
          <w:lang w:val="uk-UA"/>
        </w:rPr>
        <w:t>].</w:t>
      </w:r>
    </w:p>
    <w:p w14:paraId="14AEAC0F" w14:textId="016969D4" w:rsidR="00F05F4E" w:rsidRPr="00112A09" w:rsidRDefault="00F05F4E" w:rsidP="00F05F4E">
      <w:pPr>
        <w:widowControl w:val="0"/>
        <w:autoSpaceDE w:val="0"/>
        <w:autoSpaceDN w:val="0"/>
        <w:adjustRightInd w:val="0"/>
        <w:spacing w:line="360" w:lineRule="auto"/>
        <w:ind w:firstLine="709"/>
        <w:jc w:val="both"/>
        <w:rPr>
          <w:sz w:val="28"/>
          <w:szCs w:val="28"/>
        </w:rPr>
      </w:pPr>
      <w:r w:rsidRPr="00112A09">
        <w:rPr>
          <w:sz w:val="28"/>
          <w:szCs w:val="28"/>
          <w:lang w:val="uk-UA"/>
        </w:rPr>
        <w:t>Протисудомну дію комплексних сполук І і ІІ вивчали за антагонізмом з коразолом протягом 24 годин, після їх перорального введення, фіксуючи мінімальну ефективну дозу коразолу (МЕД), що викликала клоніко-тонічні судоми (КТС) та тонічну екстензію (ТЕ) при внутрішньовенному введенні коразолу в хвостову вену мишей. Виходячи із того, що ці ефекти є оборотними та концентраційно-залежними, вони коректно відображають вміст речовини, що потрапляє в організм [</w:t>
      </w:r>
      <w:r w:rsidRPr="00112A09">
        <w:rPr>
          <w:sz w:val="28"/>
          <w:szCs w:val="28"/>
        </w:rPr>
        <w:t>2</w:t>
      </w:r>
      <w:r w:rsidR="00FE60C3" w:rsidRPr="00112A09">
        <w:rPr>
          <w:sz w:val="28"/>
          <w:szCs w:val="28"/>
        </w:rPr>
        <w:t>5</w:t>
      </w:r>
      <w:r w:rsidR="00B85935" w:rsidRPr="00B85935">
        <w:rPr>
          <w:sz w:val="28"/>
          <w:szCs w:val="28"/>
        </w:rPr>
        <w:t>3</w:t>
      </w:r>
      <w:r w:rsidRPr="00112A09">
        <w:rPr>
          <w:sz w:val="28"/>
          <w:szCs w:val="28"/>
          <w:lang w:val="uk-UA"/>
        </w:rPr>
        <w:t>]</w:t>
      </w:r>
      <w:r w:rsidRPr="00112A09">
        <w:rPr>
          <w:sz w:val="28"/>
          <w:szCs w:val="28"/>
        </w:rPr>
        <w:t xml:space="preserve">. </w:t>
      </w:r>
    </w:p>
    <w:p w14:paraId="0C0B8123" w14:textId="362ED5B5" w:rsidR="00F05F4E" w:rsidRPr="00112A09" w:rsidRDefault="00F05F4E" w:rsidP="00821BED">
      <w:pPr>
        <w:widowControl w:val="0"/>
        <w:autoSpaceDE w:val="0"/>
        <w:autoSpaceDN w:val="0"/>
        <w:adjustRightInd w:val="0"/>
        <w:spacing w:line="360" w:lineRule="auto"/>
        <w:ind w:firstLine="709"/>
        <w:jc w:val="both"/>
        <w:rPr>
          <w:sz w:val="28"/>
          <w:szCs w:val="28"/>
          <w:lang w:val="uk-UA"/>
        </w:rPr>
      </w:pPr>
      <w:r w:rsidRPr="00112A09">
        <w:rPr>
          <w:sz w:val="28"/>
          <w:szCs w:val="28"/>
          <w:lang w:val="uk-UA"/>
        </w:rPr>
        <w:t xml:space="preserve">Згідно з даними, отриманими в результаті експерименту (рис </w:t>
      </w:r>
      <w:r w:rsidRPr="00112A09">
        <w:rPr>
          <w:sz w:val="28"/>
          <w:szCs w:val="28"/>
        </w:rPr>
        <w:t>6</w:t>
      </w:r>
      <w:r w:rsidRPr="00112A09">
        <w:rPr>
          <w:sz w:val="28"/>
          <w:szCs w:val="28"/>
          <w:lang w:val="uk-UA"/>
        </w:rPr>
        <w:t xml:space="preserve">.6.1), було </w:t>
      </w:r>
      <w:r w:rsidRPr="00112A09">
        <w:rPr>
          <w:sz w:val="28"/>
          <w:szCs w:val="28"/>
          <w:lang w:val="uk-UA"/>
        </w:rPr>
        <w:lastRenderedPageBreak/>
        <w:t>встановлено,</w:t>
      </w:r>
      <w:r w:rsidRPr="00112A09">
        <w:rPr>
          <w:sz w:val="28"/>
          <w:szCs w:val="28"/>
        </w:rPr>
        <w:t xml:space="preserve"> </w:t>
      </w:r>
      <w:r w:rsidRPr="00112A09">
        <w:rPr>
          <w:sz w:val="28"/>
          <w:szCs w:val="28"/>
          <w:lang w:val="uk-UA"/>
        </w:rPr>
        <w:t xml:space="preserve">що вже через годину після початку експерименту показники ДКТС перевищували контрольні, протисудомний ефект комплексних сполук І і ІІ був співставним із дією референс-препарату (вальпроєва кислота в дозі </w:t>
      </w:r>
      <w:r w:rsidR="00821BED">
        <w:rPr>
          <w:sz w:val="28"/>
          <w:szCs w:val="28"/>
          <w:lang w:val="uk-UA"/>
        </w:rPr>
        <w:br/>
      </w:r>
      <w:r w:rsidRPr="00112A09">
        <w:rPr>
          <w:sz w:val="28"/>
          <w:szCs w:val="28"/>
          <w:lang w:val="uk-UA"/>
        </w:rPr>
        <w:t xml:space="preserve">400 мг/кг). Таким чином, дані становили 152% і 158% для комплексних сполук І і ІІ, відповідно. </w:t>
      </w:r>
    </w:p>
    <w:p w14:paraId="3065CC58" w14:textId="77777777" w:rsidR="00F05F4E" w:rsidRDefault="00F05F4E" w:rsidP="00F05F4E">
      <w:pPr>
        <w:widowControl w:val="0"/>
        <w:autoSpaceDE w:val="0"/>
        <w:autoSpaceDN w:val="0"/>
        <w:adjustRightInd w:val="0"/>
        <w:spacing w:line="360" w:lineRule="auto"/>
        <w:jc w:val="center"/>
        <w:rPr>
          <w:rFonts w:eastAsia="Calibri"/>
          <w:color w:val="1A1718"/>
          <w:sz w:val="28"/>
          <w:szCs w:val="28"/>
          <w:lang w:val="uk-UA"/>
        </w:rPr>
      </w:pPr>
      <w:r w:rsidRPr="005E7312">
        <w:rPr>
          <w:rFonts w:eastAsia="Calibri"/>
          <w:noProof/>
          <w:color w:val="1A1718"/>
          <w:sz w:val="28"/>
          <w:szCs w:val="28"/>
          <w:lang w:val="en-US" w:eastAsia="en-US"/>
        </w:rPr>
        <w:drawing>
          <wp:inline distT="0" distB="0" distL="0" distR="0" wp14:anchorId="3C458038" wp14:editId="56998F7B">
            <wp:extent cx="4391526" cy="2237873"/>
            <wp:effectExtent l="0" t="0" r="3175" b="0"/>
            <wp:docPr id="32"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01452" cy="2242931"/>
                    </a:xfrm>
                    <a:prstGeom prst="rect">
                      <a:avLst/>
                    </a:prstGeom>
                    <a:noFill/>
                    <a:ln>
                      <a:noFill/>
                    </a:ln>
                  </pic:spPr>
                </pic:pic>
              </a:graphicData>
            </a:graphic>
          </wp:inline>
        </w:drawing>
      </w:r>
    </w:p>
    <w:p w14:paraId="4C5D2163" w14:textId="058189F1" w:rsidR="00F05F4E" w:rsidRPr="00164C26" w:rsidRDefault="00F05F4E" w:rsidP="00C57D1F">
      <w:pPr>
        <w:widowControl w:val="0"/>
        <w:autoSpaceDE w:val="0"/>
        <w:autoSpaceDN w:val="0"/>
        <w:adjustRightInd w:val="0"/>
        <w:spacing w:line="360" w:lineRule="auto"/>
        <w:ind w:firstLine="708"/>
        <w:jc w:val="both"/>
        <w:rPr>
          <w:sz w:val="28"/>
          <w:szCs w:val="28"/>
          <w:lang w:val="uk-UA"/>
        </w:rPr>
      </w:pPr>
      <w:r w:rsidRPr="00164C26">
        <w:rPr>
          <w:sz w:val="28"/>
          <w:szCs w:val="28"/>
          <w:lang w:val="uk-UA"/>
        </w:rPr>
        <w:t xml:space="preserve">Рис. </w:t>
      </w:r>
      <w:r w:rsidRPr="00C57D1F">
        <w:rPr>
          <w:sz w:val="28"/>
          <w:szCs w:val="28"/>
          <w:lang w:val="uk-UA"/>
        </w:rPr>
        <w:t>6</w:t>
      </w:r>
      <w:r w:rsidRPr="00164C26">
        <w:rPr>
          <w:sz w:val="28"/>
          <w:szCs w:val="28"/>
          <w:lang w:val="uk-UA"/>
        </w:rPr>
        <w:t xml:space="preserve">.6.1 Протисудомна активність комплексних сполук І і ІІ </w:t>
      </w:r>
      <w:r>
        <w:rPr>
          <w:sz w:val="28"/>
          <w:szCs w:val="28"/>
          <w:lang w:val="uk-UA"/>
        </w:rPr>
        <w:t>за</w:t>
      </w:r>
      <w:r w:rsidRPr="00164C26">
        <w:rPr>
          <w:sz w:val="28"/>
          <w:szCs w:val="28"/>
          <w:lang w:val="uk-UA"/>
        </w:rPr>
        <w:t xml:space="preserve"> антагонізм</w:t>
      </w:r>
      <w:r>
        <w:rPr>
          <w:sz w:val="28"/>
          <w:szCs w:val="28"/>
          <w:lang w:val="uk-UA"/>
        </w:rPr>
        <w:t>ом</w:t>
      </w:r>
      <w:r w:rsidRPr="00164C26">
        <w:rPr>
          <w:sz w:val="28"/>
          <w:szCs w:val="28"/>
          <w:lang w:val="uk-UA"/>
        </w:rPr>
        <w:t xml:space="preserve"> з коразолом</w:t>
      </w:r>
      <w:r w:rsidRPr="00C57D1F">
        <w:rPr>
          <w:sz w:val="28"/>
          <w:szCs w:val="28"/>
          <w:lang w:val="uk-UA"/>
        </w:rPr>
        <w:t xml:space="preserve"> </w:t>
      </w:r>
      <w:r w:rsidRPr="00164C26">
        <w:rPr>
          <w:sz w:val="28"/>
          <w:szCs w:val="28"/>
          <w:lang w:val="uk-UA"/>
        </w:rPr>
        <w:t>через 1, 3, 5 і 24 год після перорального введення (ДКТС, М</w:t>
      </w:r>
      <w:r w:rsidRPr="00C57D1F">
        <w:rPr>
          <w:sz w:val="28"/>
          <w:szCs w:val="28"/>
          <w:lang w:val="uk-UA"/>
        </w:rPr>
        <w:t>±m</w:t>
      </w:r>
      <w:r w:rsidRPr="00164C26">
        <w:rPr>
          <w:sz w:val="28"/>
          <w:szCs w:val="28"/>
          <w:lang w:val="uk-UA"/>
        </w:rPr>
        <w:t xml:space="preserve">, </w:t>
      </w:r>
      <w:r w:rsidRPr="00C57D1F">
        <w:rPr>
          <w:sz w:val="28"/>
          <w:szCs w:val="28"/>
          <w:lang w:val="uk-UA"/>
        </w:rPr>
        <w:t>n</w:t>
      </w:r>
      <w:r w:rsidRPr="00164C26">
        <w:rPr>
          <w:sz w:val="28"/>
          <w:szCs w:val="28"/>
          <w:lang w:val="uk-UA"/>
        </w:rPr>
        <w:t>=5)</w:t>
      </w:r>
    </w:p>
    <w:p w14:paraId="2BD6AF81" w14:textId="77777777" w:rsidR="00F05F4E" w:rsidRPr="00C57D1F" w:rsidRDefault="00F05F4E" w:rsidP="00352B8A">
      <w:pPr>
        <w:widowControl w:val="0"/>
        <w:autoSpaceDE w:val="0"/>
        <w:autoSpaceDN w:val="0"/>
        <w:adjustRightInd w:val="0"/>
        <w:ind w:left="450" w:hanging="450"/>
        <w:jc w:val="both"/>
        <w:rPr>
          <w:lang w:val="uk-UA"/>
        </w:rPr>
      </w:pPr>
      <w:r w:rsidRPr="00C57D1F">
        <w:rPr>
          <w:lang w:val="uk-UA"/>
        </w:rPr>
        <w:t xml:space="preserve">Примітки: </w:t>
      </w:r>
    </w:p>
    <w:p w14:paraId="6617A7DA" w14:textId="3ED3D882" w:rsidR="00F05F4E" w:rsidRPr="00C57D1F" w:rsidRDefault="00F05F4E" w:rsidP="00352B8A">
      <w:pPr>
        <w:widowControl w:val="0"/>
        <w:autoSpaceDE w:val="0"/>
        <w:autoSpaceDN w:val="0"/>
        <w:adjustRightInd w:val="0"/>
        <w:ind w:left="450" w:hanging="450"/>
        <w:jc w:val="both"/>
        <w:rPr>
          <w:lang w:val="uk-UA"/>
        </w:rPr>
      </w:pPr>
      <w:r w:rsidRPr="00C57D1F">
        <w:rPr>
          <w:lang w:val="uk-UA"/>
        </w:rPr>
        <w:t>1.</w:t>
      </w:r>
      <w:r w:rsidRPr="00C57D1F">
        <w:rPr>
          <w:lang w:val="uk-UA"/>
        </w:rPr>
        <w:tab/>
        <w:t xml:space="preserve">* - p </w:t>
      </w:r>
      <w:r w:rsidRPr="00C57D1F">
        <w:rPr>
          <w:lang w:val="uk-UA"/>
        </w:rPr>
        <w:sym w:font="Symbol" w:char="F03C"/>
      </w:r>
      <w:r w:rsidRPr="00C57D1F">
        <w:rPr>
          <w:lang w:val="uk-UA"/>
        </w:rPr>
        <w:t xml:space="preserve"> 0,05 (статистично значуща різниця у порівнянні з контрольною групою). </w:t>
      </w:r>
    </w:p>
    <w:p w14:paraId="348F34AE" w14:textId="238F69FD" w:rsidR="00F05F4E" w:rsidRPr="00C57D1F" w:rsidRDefault="00F05F4E" w:rsidP="00352B8A">
      <w:pPr>
        <w:widowControl w:val="0"/>
        <w:autoSpaceDE w:val="0"/>
        <w:autoSpaceDN w:val="0"/>
        <w:adjustRightInd w:val="0"/>
        <w:ind w:left="450" w:hanging="450"/>
        <w:jc w:val="both"/>
        <w:rPr>
          <w:lang w:val="uk-UA"/>
        </w:rPr>
      </w:pPr>
      <w:r w:rsidRPr="00C57D1F">
        <w:rPr>
          <w:lang w:val="uk-UA"/>
        </w:rPr>
        <w:t>2.</w:t>
      </w:r>
      <w:r w:rsidRPr="00C57D1F">
        <w:rPr>
          <w:lang w:val="uk-UA"/>
        </w:rPr>
        <w:tab/>
        <w:t>** - р</w:t>
      </w:r>
      <w:r w:rsidRPr="00C57D1F">
        <w:rPr>
          <w:lang w:val="uk-UA"/>
        </w:rPr>
        <w:sym w:font="Symbol" w:char="F03C"/>
      </w:r>
      <w:r w:rsidRPr="00C57D1F">
        <w:rPr>
          <w:lang w:val="uk-UA"/>
        </w:rPr>
        <w:t>0,01 (статистично значуща різниця у порівнянні з контрольною групою).</w:t>
      </w:r>
    </w:p>
    <w:p w14:paraId="74E4D2EC" w14:textId="280426ED" w:rsidR="00F05F4E" w:rsidRPr="00C57D1F" w:rsidRDefault="00F05F4E" w:rsidP="00352B8A">
      <w:pPr>
        <w:widowControl w:val="0"/>
        <w:autoSpaceDE w:val="0"/>
        <w:autoSpaceDN w:val="0"/>
        <w:adjustRightInd w:val="0"/>
        <w:ind w:left="450" w:hanging="450"/>
        <w:jc w:val="both"/>
        <w:rPr>
          <w:lang w:val="uk-UA"/>
        </w:rPr>
      </w:pPr>
      <w:r w:rsidRPr="00C57D1F">
        <w:rPr>
          <w:lang w:val="uk-UA"/>
        </w:rPr>
        <w:t>3.</w:t>
      </w:r>
      <w:r w:rsidRPr="00C57D1F">
        <w:rPr>
          <w:lang w:val="uk-UA"/>
        </w:rPr>
        <w:tab/>
        <w:t xml:space="preserve"># - p </w:t>
      </w:r>
      <w:r w:rsidRPr="00C57D1F">
        <w:rPr>
          <w:lang w:val="uk-UA"/>
        </w:rPr>
        <w:sym w:font="Symbol" w:char="F03C"/>
      </w:r>
      <w:r w:rsidRPr="00C57D1F">
        <w:rPr>
          <w:lang w:val="uk-UA"/>
        </w:rPr>
        <w:t xml:space="preserve"> 0,05 (статистично значуща різниця у порівнянні у порівнянні із референс-препаратом вальпроєвою кислотою).</w:t>
      </w:r>
    </w:p>
    <w:p w14:paraId="097C8E2A" w14:textId="7A629B96" w:rsidR="00F05F4E" w:rsidRPr="00C57D1F" w:rsidRDefault="00F05F4E" w:rsidP="00352B8A">
      <w:pPr>
        <w:widowControl w:val="0"/>
        <w:autoSpaceDE w:val="0"/>
        <w:autoSpaceDN w:val="0"/>
        <w:adjustRightInd w:val="0"/>
        <w:ind w:left="450" w:hanging="450"/>
        <w:jc w:val="both"/>
        <w:rPr>
          <w:lang w:val="uk-UA"/>
        </w:rPr>
      </w:pPr>
      <w:r w:rsidRPr="00C57D1F">
        <w:rPr>
          <w:lang w:val="uk-UA"/>
        </w:rPr>
        <w:t>4.</w:t>
      </w:r>
      <w:r w:rsidRPr="00C57D1F">
        <w:rPr>
          <w:lang w:val="uk-UA"/>
        </w:rPr>
        <w:tab/>
        <w:t xml:space="preserve">## - p </w:t>
      </w:r>
      <w:r w:rsidRPr="00C57D1F">
        <w:rPr>
          <w:lang w:val="uk-UA"/>
        </w:rPr>
        <w:sym w:font="Symbol" w:char="F03C"/>
      </w:r>
      <w:r w:rsidRPr="00C57D1F">
        <w:rPr>
          <w:lang w:val="uk-UA"/>
        </w:rPr>
        <w:t xml:space="preserve"> 0,01 (статистично значуща різниця у порівнянні у порівнянні із референс-препаратом вальпроєвою кислотою).</w:t>
      </w:r>
    </w:p>
    <w:p w14:paraId="0A66A06D" w14:textId="2D7ED880" w:rsidR="00F05F4E" w:rsidRPr="00C57D1F" w:rsidRDefault="00F05F4E" w:rsidP="00352B8A">
      <w:pPr>
        <w:widowControl w:val="0"/>
        <w:autoSpaceDE w:val="0"/>
        <w:autoSpaceDN w:val="0"/>
        <w:adjustRightInd w:val="0"/>
        <w:ind w:left="450" w:hanging="450"/>
        <w:jc w:val="both"/>
        <w:rPr>
          <w:lang w:val="uk-UA"/>
        </w:rPr>
      </w:pPr>
      <w:r w:rsidRPr="00C57D1F">
        <w:rPr>
          <w:lang w:val="uk-UA"/>
        </w:rPr>
        <w:t>5.</w:t>
      </w:r>
      <w:r w:rsidRPr="00C57D1F">
        <w:rPr>
          <w:lang w:val="uk-UA"/>
        </w:rPr>
        <w:tab/>
        <w:t>n – кількість тварин у групі.</w:t>
      </w:r>
    </w:p>
    <w:p w14:paraId="1E252DCC" w14:textId="77777777" w:rsidR="00F05F4E" w:rsidRPr="00164C26" w:rsidRDefault="00F05F4E" w:rsidP="00F05F4E">
      <w:pPr>
        <w:ind w:left="1440" w:hanging="360"/>
        <w:jc w:val="both"/>
        <w:rPr>
          <w:rFonts w:eastAsia="Calibri"/>
        </w:rPr>
      </w:pPr>
    </w:p>
    <w:p w14:paraId="135AA76E" w14:textId="77777777" w:rsidR="00F05F4E" w:rsidRPr="00164C26" w:rsidRDefault="00F05F4E" w:rsidP="00F05F4E">
      <w:pPr>
        <w:widowControl w:val="0"/>
        <w:autoSpaceDE w:val="0"/>
        <w:autoSpaceDN w:val="0"/>
        <w:adjustRightInd w:val="0"/>
        <w:spacing w:line="360" w:lineRule="auto"/>
        <w:ind w:firstLine="709"/>
        <w:jc w:val="both"/>
        <w:rPr>
          <w:rFonts w:eastAsia="Calibri"/>
          <w:color w:val="1A1718"/>
          <w:sz w:val="28"/>
          <w:szCs w:val="28"/>
          <w:lang w:val="uk-UA"/>
        </w:rPr>
      </w:pPr>
      <w:r w:rsidRPr="00164C26">
        <w:rPr>
          <w:sz w:val="28"/>
          <w:szCs w:val="28"/>
          <w:lang w:val="uk-UA"/>
        </w:rPr>
        <w:t>Через 3 і 5 годин ДКТС для комплексу І становила 142%, а для комплексу ІІ зросла до 162%. Далі спостерігалося деяке зниження протисудомної дії обох комплексних сполук до 131% і 139%, відповідно для комплексів І і ІІ, за ефективністю комплексні сполуки поступалися референс-препарату, але статистично перевищували показники контрольної групи.</w:t>
      </w:r>
      <w:r w:rsidRPr="00164C26">
        <w:rPr>
          <w:rFonts w:eastAsia="Calibri"/>
          <w:color w:val="1A1718"/>
          <w:sz w:val="28"/>
          <w:szCs w:val="28"/>
          <w:lang w:val="uk-UA"/>
        </w:rPr>
        <w:t xml:space="preserve"> </w:t>
      </w:r>
    </w:p>
    <w:p w14:paraId="17D5E2E8" w14:textId="692D3F3E" w:rsidR="00F05F4E" w:rsidRDefault="00F05F4E" w:rsidP="00F05F4E">
      <w:pPr>
        <w:spacing w:before="40" w:after="40" w:line="360" w:lineRule="auto"/>
        <w:ind w:right="-7" w:firstLine="851"/>
        <w:jc w:val="both"/>
        <w:rPr>
          <w:sz w:val="28"/>
          <w:szCs w:val="28"/>
          <w:lang w:val="uk-UA"/>
        </w:rPr>
      </w:pPr>
      <w:r w:rsidRPr="00164C26">
        <w:rPr>
          <w:sz w:val="28"/>
          <w:szCs w:val="28"/>
          <w:lang w:val="uk-UA"/>
        </w:rPr>
        <w:t xml:space="preserve">Схожу динаміку зміні протисудомної дії спостерігали під час дослідження показників ДТЕ (рис. </w:t>
      </w:r>
      <w:r>
        <w:rPr>
          <w:sz w:val="28"/>
          <w:szCs w:val="28"/>
          <w:lang w:val="uk-UA"/>
        </w:rPr>
        <w:t>6</w:t>
      </w:r>
      <w:r w:rsidRPr="00164C26">
        <w:rPr>
          <w:sz w:val="28"/>
          <w:szCs w:val="28"/>
          <w:lang w:val="uk-UA"/>
        </w:rPr>
        <w:t xml:space="preserve">.6.2). Обидві комплексні сполуки проявляли протисудомну дію, але за ефективністю поступалися вальпроєвій кислоті. </w:t>
      </w:r>
    </w:p>
    <w:p w14:paraId="036E9DC0" w14:textId="77777777" w:rsidR="00F05F4E" w:rsidRDefault="00F05F4E" w:rsidP="00F05F4E">
      <w:pPr>
        <w:spacing w:before="40" w:after="40" w:line="360" w:lineRule="auto"/>
        <w:ind w:right="-7"/>
        <w:jc w:val="center"/>
        <w:rPr>
          <w:sz w:val="28"/>
          <w:szCs w:val="28"/>
          <w:lang w:val="uk-UA"/>
        </w:rPr>
      </w:pPr>
      <w:r w:rsidRPr="005E7312">
        <w:rPr>
          <w:rFonts w:eastAsia="Calibri"/>
          <w:noProof/>
          <w:color w:val="1A1718"/>
          <w:sz w:val="28"/>
          <w:szCs w:val="28"/>
          <w:lang w:val="en-US" w:eastAsia="en-US"/>
        </w:rPr>
        <w:lastRenderedPageBreak/>
        <w:drawing>
          <wp:inline distT="0" distB="0" distL="0" distR="0" wp14:anchorId="3798AAB5" wp14:editId="03F8CC47">
            <wp:extent cx="4319337" cy="202130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37602" cy="2029852"/>
                    </a:xfrm>
                    <a:prstGeom prst="rect">
                      <a:avLst/>
                    </a:prstGeom>
                    <a:noFill/>
                    <a:ln>
                      <a:noFill/>
                    </a:ln>
                  </pic:spPr>
                </pic:pic>
              </a:graphicData>
            </a:graphic>
          </wp:inline>
        </w:drawing>
      </w:r>
    </w:p>
    <w:p w14:paraId="45A67C75" w14:textId="3DD9CF28" w:rsidR="00F05F4E" w:rsidRPr="00164C26" w:rsidRDefault="00F05F4E" w:rsidP="00F05F4E">
      <w:pPr>
        <w:widowControl w:val="0"/>
        <w:autoSpaceDE w:val="0"/>
        <w:autoSpaceDN w:val="0"/>
        <w:adjustRightInd w:val="0"/>
        <w:spacing w:line="360" w:lineRule="auto"/>
        <w:ind w:firstLine="708"/>
        <w:jc w:val="both"/>
        <w:rPr>
          <w:sz w:val="28"/>
          <w:szCs w:val="28"/>
          <w:lang w:val="uk-UA"/>
        </w:rPr>
      </w:pPr>
      <w:r w:rsidRPr="00164C26">
        <w:rPr>
          <w:sz w:val="28"/>
          <w:szCs w:val="28"/>
          <w:lang w:val="uk-UA"/>
        </w:rPr>
        <w:t xml:space="preserve">Рис. </w:t>
      </w:r>
      <w:r>
        <w:rPr>
          <w:sz w:val="28"/>
          <w:szCs w:val="28"/>
        </w:rPr>
        <w:t>6</w:t>
      </w:r>
      <w:r w:rsidRPr="00164C26">
        <w:rPr>
          <w:sz w:val="28"/>
          <w:szCs w:val="28"/>
          <w:lang w:val="uk-UA"/>
        </w:rPr>
        <w:t xml:space="preserve">.6.2 Протисудомна активність комплексних сполук І і ІІ після введення </w:t>
      </w:r>
      <w:r>
        <w:rPr>
          <w:sz w:val="28"/>
          <w:szCs w:val="28"/>
          <w:lang w:val="uk-UA"/>
        </w:rPr>
        <w:t>за</w:t>
      </w:r>
      <w:r w:rsidRPr="00164C26">
        <w:rPr>
          <w:sz w:val="28"/>
          <w:szCs w:val="28"/>
          <w:lang w:val="uk-UA"/>
        </w:rPr>
        <w:t xml:space="preserve"> антагоніз</w:t>
      </w:r>
      <w:r>
        <w:rPr>
          <w:sz w:val="28"/>
          <w:szCs w:val="28"/>
          <w:lang w:val="uk-UA"/>
        </w:rPr>
        <w:t>мом</w:t>
      </w:r>
      <w:r w:rsidRPr="00164C26">
        <w:rPr>
          <w:sz w:val="28"/>
          <w:szCs w:val="28"/>
          <w:lang w:val="uk-UA"/>
        </w:rPr>
        <w:t xml:space="preserve"> </w:t>
      </w:r>
      <w:r>
        <w:rPr>
          <w:sz w:val="28"/>
          <w:szCs w:val="28"/>
          <w:lang w:val="uk-UA"/>
        </w:rPr>
        <w:t>і</w:t>
      </w:r>
      <w:r w:rsidRPr="00164C26">
        <w:rPr>
          <w:sz w:val="28"/>
          <w:szCs w:val="28"/>
          <w:lang w:val="uk-UA"/>
        </w:rPr>
        <w:t>з коразолом через 1, 3, 5 і 24 год після перорального введення (ДТЕ, М</w:t>
      </w:r>
      <w:r w:rsidRPr="00164C26">
        <w:rPr>
          <w:color w:val="4D5156"/>
          <w:sz w:val="28"/>
          <w:szCs w:val="28"/>
          <w:shd w:val="clear" w:color="auto" w:fill="FFFFFF"/>
          <w:lang w:val="uk-UA"/>
        </w:rPr>
        <w:t>±</w:t>
      </w:r>
      <w:r w:rsidRPr="00164C26">
        <w:rPr>
          <w:sz w:val="28"/>
          <w:szCs w:val="28"/>
          <w:lang w:val="en-US"/>
        </w:rPr>
        <w:t>m</w:t>
      </w:r>
      <w:r w:rsidRPr="00164C26">
        <w:rPr>
          <w:sz w:val="28"/>
          <w:szCs w:val="28"/>
          <w:lang w:val="uk-UA"/>
        </w:rPr>
        <w:t xml:space="preserve">, </w:t>
      </w:r>
      <w:r w:rsidRPr="00164C26">
        <w:rPr>
          <w:sz w:val="28"/>
          <w:szCs w:val="28"/>
          <w:lang w:val="en-US"/>
        </w:rPr>
        <w:t>n</w:t>
      </w:r>
      <w:r w:rsidRPr="00164C26">
        <w:rPr>
          <w:sz w:val="28"/>
          <w:szCs w:val="28"/>
          <w:lang w:val="uk-UA"/>
        </w:rPr>
        <w:t>=5)</w:t>
      </w:r>
    </w:p>
    <w:p w14:paraId="1F0166B4" w14:textId="77777777" w:rsidR="00F05F4E" w:rsidRPr="00C57D1F" w:rsidRDefault="00F05F4E" w:rsidP="00F05F4E">
      <w:pPr>
        <w:ind w:left="630" w:hanging="630"/>
        <w:jc w:val="both"/>
        <w:rPr>
          <w:lang w:val="uk-UA"/>
        </w:rPr>
      </w:pPr>
      <w:r w:rsidRPr="00C57D1F">
        <w:rPr>
          <w:lang w:val="uk-UA"/>
        </w:rPr>
        <w:t xml:space="preserve">Примітки: </w:t>
      </w:r>
    </w:p>
    <w:p w14:paraId="13CDC4D6" w14:textId="3863F0B1" w:rsidR="00F05F4E" w:rsidRPr="00C57D1F" w:rsidRDefault="00F05F4E" w:rsidP="00352B8A">
      <w:pPr>
        <w:ind w:left="450" w:hanging="450"/>
        <w:jc w:val="both"/>
        <w:rPr>
          <w:lang w:val="uk-UA"/>
        </w:rPr>
      </w:pPr>
      <w:r w:rsidRPr="00C57D1F">
        <w:rPr>
          <w:lang w:val="uk-UA"/>
        </w:rPr>
        <w:t>1.</w:t>
      </w:r>
      <w:r w:rsidRPr="00C57D1F">
        <w:rPr>
          <w:lang w:val="uk-UA"/>
        </w:rPr>
        <w:tab/>
        <w:t xml:space="preserve">* - p </w:t>
      </w:r>
      <w:r w:rsidRPr="00C57D1F">
        <w:rPr>
          <w:lang w:val="uk-UA"/>
        </w:rPr>
        <w:sym w:font="Symbol" w:char="F03C"/>
      </w:r>
      <w:r w:rsidRPr="00C57D1F">
        <w:rPr>
          <w:lang w:val="uk-UA"/>
        </w:rPr>
        <w:t xml:space="preserve"> 0,05 (статистично значуща різниця у порівнянні з контрольною групою). </w:t>
      </w:r>
    </w:p>
    <w:p w14:paraId="5804F71E" w14:textId="6E1C9433" w:rsidR="00F05F4E" w:rsidRPr="00C57D1F" w:rsidRDefault="00F05F4E" w:rsidP="00352B8A">
      <w:pPr>
        <w:ind w:left="450" w:hanging="450"/>
        <w:jc w:val="both"/>
        <w:rPr>
          <w:lang w:val="uk-UA"/>
        </w:rPr>
      </w:pPr>
      <w:r w:rsidRPr="00C57D1F">
        <w:rPr>
          <w:lang w:val="uk-UA"/>
        </w:rPr>
        <w:t>2.</w:t>
      </w:r>
      <w:r w:rsidRPr="00C57D1F">
        <w:rPr>
          <w:lang w:val="uk-UA"/>
        </w:rPr>
        <w:tab/>
        <w:t>** - р</w:t>
      </w:r>
      <w:r w:rsidRPr="00C57D1F">
        <w:rPr>
          <w:lang w:val="uk-UA"/>
        </w:rPr>
        <w:sym w:font="Symbol" w:char="F03C"/>
      </w:r>
      <w:r w:rsidRPr="00C57D1F">
        <w:rPr>
          <w:lang w:val="uk-UA"/>
        </w:rPr>
        <w:t>0,01 (статистично значуща різниця у порівнянні з контрольною групою).</w:t>
      </w:r>
    </w:p>
    <w:p w14:paraId="51892EA3" w14:textId="76E65707" w:rsidR="00F05F4E" w:rsidRPr="00C57D1F" w:rsidRDefault="00F05F4E" w:rsidP="00352B8A">
      <w:pPr>
        <w:ind w:left="450" w:hanging="450"/>
        <w:jc w:val="both"/>
        <w:rPr>
          <w:lang w:val="uk-UA"/>
        </w:rPr>
      </w:pPr>
      <w:r w:rsidRPr="00C57D1F">
        <w:rPr>
          <w:lang w:val="uk-UA"/>
        </w:rPr>
        <w:t>3.</w:t>
      </w:r>
      <w:r w:rsidRPr="00C57D1F">
        <w:rPr>
          <w:lang w:val="uk-UA"/>
        </w:rPr>
        <w:tab/>
        <w:t xml:space="preserve"># - p </w:t>
      </w:r>
      <w:r w:rsidRPr="00C57D1F">
        <w:rPr>
          <w:lang w:val="uk-UA"/>
        </w:rPr>
        <w:sym w:font="Symbol" w:char="F03C"/>
      </w:r>
      <w:r w:rsidRPr="00C57D1F">
        <w:rPr>
          <w:lang w:val="uk-UA"/>
        </w:rPr>
        <w:t xml:space="preserve"> 0,05 (статистично значуща різниця у порівнянні у порівнянні із референс-препаратом вальпроєвою кислотою).</w:t>
      </w:r>
    </w:p>
    <w:p w14:paraId="16CEFCE8" w14:textId="57F8B282" w:rsidR="00F05F4E" w:rsidRPr="00C57D1F" w:rsidRDefault="00F05F4E" w:rsidP="00352B8A">
      <w:pPr>
        <w:ind w:left="450" w:hanging="450"/>
        <w:jc w:val="both"/>
        <w:rPr>
          <w:lang w:val="uk-UA"/>
        </w:rPr>
      </w:pPr>
      <w:r w:rsidRPr="00C57D1F">
        <w:rPr>
          <w:lang w:val="uk-UA"/>
        </w:rPr>
        <w:t>4.</w:t>
      </w:r>
      <w:r w:rsidRPr="00C57D1F">
        <w:rPr>
          <w:lang w:val="uk-UA"/>
        </w:rPr>
        <w:tab/>
        <w:t xml:space="preserve">## - p </w:t>
      </w:r>
      <w:r w:rsidRPr="00C57D1F">
        <w:rPr>
          <w:lang w:val="uk-UA"/>
        </w:rPr>
        <w:sym w:font="Symbol" w:char="F03C"/>
      </w:r>
      <w:r w:rsidRPr="00C57D1F">
        <w:rPr>
          <w:lang w:val="uk-UA"/>
        </w:rPr>
        <w:t xml:space="preserve"> 0,01 (статистично значуща різниця у порівнянні у порівнянні із референс-препаратом вальпроєвою кислотою).</w:t>
      </w:r>
    </w:p>
    <w:p w14:paraId="1DC91405" w14:textId="3FCEED31" w:rsidR="00F05F4E" w:rsidRPr="00C57D1F" w:rsidRDefault="00F05F4E" w:rsidP="00352B8A">
      <w:pPr>
        <w:ind w:left="450" w:hanging="450"/>
        <w:jc w:val="both"/>
        <w:rPr>
          <w:lang w:val="uk-UA"/>
        </w:rPr>
      </w:pPr>
      <w:r w:rsidRPr="00C57D1F">
        <w:rPr>
          <w:lang w:val="uk-UA"/>
        </w:rPr>
        <w:t>5.</w:t>
      </w:r>
      <w:r w:rsidRPr="00C57D1F">
        <w:rPr>
          <w:lang w:val="uk-UA"/>
        </w:rPr>
        <w:tab/>
        <w:t>n – кількість тварин у групі.</w:t>
      </w:r>
    </w:p>
    <w:p w14:paraId="4611BF16" w14:textId="77777777" w:rsidR="00F05F4E" w:rsidRPr="00164C26" w:rsidRDefault="00F05F4E" w:rsidP="00F05F4E">
      <w:pPr>
        <w:spacing w:before="40" w:after="40" w:line="360" w:lineRule="auto"/>
        <w:ind w:right="-7" w:firstLine="851"/>
        <w:jc w:val="both"/>
        <w:rPr>
          <w:sz w:val="28"/>
          <w:szCs w:val="28"/>
          <w:lang w:val="uk-UA"/>
        </w:rPr>
      </w:pPr>
    </w:p>
    <w:p w14:paraId="7989FD26" w14:textId="0E0D1538" w:rsidR="00F05F4E" w:rsidRPr="00164C26" w:rsidRDefault="00F05F4E" w:rsidP="001759D5">
      <w:pPr>
        <w:spacing w:before="40" w:after="40" w:line="360" w:lineRule="auto"/>
        <w:ind w:right="-7" w:firstLine="851"/>
        <w:jc w:val="both"/>
        <w:rPr>
          <w:sz w:val="28"/>
          <w:szCs w:val="28"/>
          <w:lang w:val="uk-UA"/>
        </w:rPr>
      </w:pPr>
      <w:r w:rsidRPr="00164C26">
        <w:rPr>
          <w:sz w:val="28"/>
          <w:szCs w:val="28"/>
          <w:lang w:val="uk-UA"/>
        </w:rPr>
        <w:t>Так, для комплексу І показники ДТЕ через 1, 3 і 5 годин становили 151%, 158% і 148%, відповідно. Через 24 години після початку експерименту протисудомний ефект комплексн</w:t>
      </w:r>
      <w:r>
        <w:rPr>
          <w:sz w:val="28"/>
          <w:szCs w:val="28"/>
          <w:lang w:val="uk-UA"/>
        </w:rPr>
        <w:t>ої</w:t>
      </w:r>
      <w:r w:rsidRPr="00164C26">
        <w:rPr>
          <w:sz w:val="28"/>
          <w:szCs w:val="28"/>
          <w:lang w:val="uk-UA"/>
        </w:rPr>
        <w:t xml:space="preserve"> сполук</w:t>
      </w:r>
      <w:r>
        <w:rPr>
          <w:sz w:val="28"/>
          <w:szCs w:val="28"/>
          <w:lang w:val="uk-UA"/>
        </w:rPr>
        <w:t>и</w:t>
      </w:r>
      <w:r w:rsidRPr="00164C26">
        <w:rPr>
          <w:sz w:val="28"/>
          <w:szCs w:val="28"/>
          <w:lang w:val="uk-UA"/>
        </w:rPr>
        <w:t xml:space="preserve"> І зберіга</w:t>
      </w:r>
      <w:r>
        <w:rPr>
          <w:sz w:val="28"/>
          <w:szCs w:val="28"/>
          <w:lang w:val="uk-UA"/>
        </w:rPr>
        <w:t>вся, але поступався за ефективністю</w:t>
      </w:r>
      <w:r w:rsidRPr="00164C26">
        <w:rPr>
          <w:sz w:val="28"/>
          <w:szCs w:val="28"/>
          <w:lang w:val="uk-UA"/>
        </w:rPr>
        <w:t xml:space="preserve"> за референс-препарат</w:t>
      </w:r>
      <w:r>
        <w:rPr>
          <w:sz w:val="28"/>
          <w:szCs w:val="28"/>
          <w:lang w:val="uk-UA"/>
        </w:rPr>
        <w:t>у</w:t>
      </w:r>
      <w:r w:rsidRPr="00164C26">
        <w:rPr>
          <w:sz w:val="28"/>
          <w:szCs w:val="28"/>
          <w:lang w:val="uk-UA"/>
        </w:rPr>
        <w:t xml:space="preserve"> </w:t>
      </w:r>
      <w:r>
        <w:rPr>
          <w:sz w:val="28"/>
          <w:szCs w:val="28"/>
          <w:lang w:val="uk-UA"/>
        </w:rPr>
        <w:t>у</w:t>
      </w:r>
      <w:r w:rsidRPr="00164C26">
        <w:rPr>
          <w:sz w:val="28"/>
          <w:szCs w:val="28"/>
          <w:lang w:val="uk-UA"/>
        </w:rPr>
        <w:t xml:space="preserve"> 1,7 раз</w:t>
      </w:r>
      <w:r>
        <w:rPr>
          <w:sz w:val="28"/>
          <w:szCs w:val="28"/>
          <w:lang w:val="uk-UA"/>
        </w:rPr>
        <w:t>и</w:t>
      </w:r>
      <w:r w:rsidRPr="00164C26">
        <w:rPr>
          <w:sz w:val="28"/>
          <w:szCs w:val="28"/>
          <w:lang w:val="uk-UA"/>
        </w:rPr>
        <w:t>. Згідно з отриманих даних встановлено, що комплексна сполука ІІ проявляє більш виразну протисудомну активність у порівнянні із комплексом І. Так, дані через 1 годину після початку експерименту становили 158% і не мали статистичних відмінностей від вальпроєвої кислоти. Варто зазначити, що через 3 години після введення комплексн</w:t>
      </w:r>
      <w:r>
        <w:rPr>
          <w:sz w:val="28"/>
          <w:szCs w:val="28"/>
          <w:lang w:val="uk-UA"/>
        </w:rPr>
        <w:t>ої</w:t>
      </w:r>
      <w:r w:rsidRPr="00164C26">
        <w:rPr>
          <w:sz w:val="28"/>
          <w:szCs w:val="28"/>
          <w:lang w:val="uk-UA"/>
        </w:rPr>
        <w:t xml:space="preserve"> </w:t>
      </w:r>
      <w:r>
        <w:rPr>
          <w:sz w:val="28"/>
          <w:szCs w:val="28"/>
          <w:lang w:val="uk-UA"/>
        </w:rPr>
        <w:t>сполуки</w:t>
      </w:r>
      <w:r w:rsidRPr="00164C26">
        <w:rPr>
          <w:sz w:val="28"/>
          <w:szCs w:val="28"/>
          <w:lang w:val="uk-UA"/>
        </w:rPr>
        <w:t xml:space="preserve"> ІІ </w:t>
      </w:r>
      <w:r>
        <w:rPr>
          <w:sz w:val="28"/>
          <w:szCs w:val="28"/>
          <w:lang w:val="uk-UA"/>
        </w:rPr>
        <w:t xml:space="preserve">її протисудомний ефект перевищував дію </w:t>
      </w:r>
      <w:r w:rsidRPr="00164C26">
        <w:rPr>
          <w:sz w:val="28"/>
          <w:szCs w:val="28"/>
          <w:lang w:val="uk-UA"/>
        </w:rPr>
        <w:t>референс-препарату на 15%.</w:t>
      </w:r>
      <w:r>
        <w:rPr>
          <w:sz w:val="28"/>
          <w:szCs w:val="28"/>
          <w:lang w:val="uk-UA"/>
        </w:rPr>
        <w:t xml:space="preserve"> </w:t>
      </w:r>
      <w:r w:rsidRPr="00164C26">
        <w:rPr>
          <w:sz w:val="28"/>
          <w:szCs w:val="28"/>
          <w:lang w:val="uk-UA"/>
        </w:rPr>
        <w:t>Через 24 години після введення комплексних сполук І і ІІ показники ДТЕ перевищили контрольні на 27 і 40%, відповідно.</w:t>
      </w:r>
    </w:p>
    <w:p w14:paraId="3DC19E4E" w14:textId="0C418888" w:rsidR="00F05F4E" w:rsidRPr="00164C26" w:rsidRDefault="00F05F4E" w:rsidP="00F05F4E">
      <w:pPr>
        <w:spacing w:before="40" w:line="360" w:lineRule="auto"/>
        <w:ind w:right="-7" w:firstLine="851"/>
        <w:jc w:val="both"/>
        <w:rPr>
          <w:sz w:val="28"/>
          <w:szCs w:val="28"/>
          <w:lang w:val="uk-UA"/>
        </w:rPr>
      </w:pPr>
      <w:r w:rsidRPr="00164C26">
        <w:rPr>
          <w:sz w:val="28"/>
          <w:szCs w:val="28"/>
          <w:lang w:val="uk-UA"/>
        </w:rPr>
        <w:t xml:space="preserve">Було проведено дослідження протисудомної активності сполук, що містять у свої структурі ліганди комплексів І і ІІ (табл. </w:t>
      </w:r>
      <w:r>
        <w:rPr>
          <w:sz w:val="28"/>
          <w:szCs w:val="28"/>
          <w:lang w:val="uk-UA"/>
        </w:rPr>
        <w:t>6</w:t>
      </w:r>
      <w:r w:rsidRPr="00164C26">
        <w:rPr>
          <w:sz w:val="28"/>
          <w:szCs w:val="28"/>
          <w:lang w:val="uk-UA"/>
        </w:rPr>
        <w:t xml:space="preserve">.6.1). Усі зазначені сполуки мають помірний рівень протисудомної активності. </w:t>
      </w:r>
    </w:p>
    <w:p w14:paraId="47E2E7C8" w14:textId="58B8F3C1" w:rsidR="00F05F4E" w:rsidRPr="00164C26" w:rsidRDefault="00F05F4E" w:rsidP="00F05F4E">
      <w:pPr>
        <w:spacing w:before="40" w:after="40"/>
        <w:ind w:right="-7"/>
        <w:jc w:val="right"/>
        <w:rPr>
          <w:sz w:val="28"/>
          <w:szCs w:val="28"/>
          <w:lang w:val="uk-UA"/>
        </w:rPr>
      </w:pPr>
      <w:r w:rsidRPr="00164C26">
        <w:rPr>
          <w:sz w:val="28"/>
          <w:szCs w:val="28"/>
          <w:lang w:val="uk-UA"/>
        </w:rPr>
        <w:lastRenderedPageBreak/>
        <w:t xml:space="preserve">Табл. </w:t>
      </w:r>
      <w:r>
        <w:rPr>
          <w:sz w:val="28"/>
          <w:szCs w:val="28"/>
        </w:rPr>
        <w:t>6</w:t>
      </w:r>
      <w:r w:rsidRPr="00164C26">
        <w:rPr>
          <w:sz w:val="28"/>
          <w:szCs w:val="28"/>
          <w:lang w:val="uk-UA"/>
        </w:rPr>
        <w:t>.6.1</w:t>
      </w:r>
    </w:p>
    <w:p w14:paraId="26190574" w14:textId="7AC293AD" w:rsidR="00F05F4E" w:rsidRPr="001759D5" w:rsidRDefault="00F05F4E" w:rsidP="001759D5">
      <w:pPr>
        <w:spacing w:before="40" w:after="40"/>
        <w:ind w:right="141"/>
        <w:jc w:val="right"/>
        <w:rPr>
          <w:b/>
          <w:sz w:val="28"/>
          <w:szCs w:val="28"/>
          <w:lang w:val="uk-UA"/>
        </w:rPr>
      </w:pPr>
      <w:r w:rsidRPr="00164C26">
        <w:rPr>
          <w:b/>
          <w:sz w:val="28"/>
          <w:szCs w:val="28"/>
          <w:lang w:val="uk-UA"/>
        </w:rPr>
        <w:t>Протисудомна активність сполук після перорального введення по антагонізму з коразолом, % від контролю, (М</w:t>
      </w:r>
      <w:r w:rsidRPr="00164C26">
        <w:rPr>
          <w:b/>
          <w:color w:val="4D5156"/>
          <w:sz w:val="28"/>
          <w:szCs w:val="28"/>
          <w:shd w:val="clear" w:color="auto" w:fill="FFFFFF"/>
          <w:lang w:val="uk-UA"/>
        </w:rPr>
        <w:t>±</w:t>
      </w:r>
      <w:r w:rsidRPr="00164C26">
        <w:rPr>
          <w:b/>
          <w:sz w:val="28"/>
          <w:szCs w:val="28"/>
          <w:lang w:val="en-US"/>
        </w:rPr>
        <w:t>m</w:t>
      </w:r>
      <w:r w:rsidRPr="00164C26">
        <w:rPr>
          <w:b/>
          <w:sz w:val="28"/>
          <w:szCs w:val="28"/>
          <w:lang w:val="uk-UA"/>
        </w:rPr>
        <w:t xml:space="preserve">, </w:t>
      </w:r>
      <w:r w:rsidRPr="00164C26">
        <w:rPr>
          <w:b/>
          <w:sz w:val="28"/>
          <w:szCs w:val="28"/>
          <w:lang w:val="en-US"/>
        </w:rPr>
        <w:t>n</w:t>
      </w:r>
      <w:r w:rsidRPr="00164C26">
        <w:rPr>
          <w:b/>
          <w:sz w:val="28"/>
          <w:szCs w:val="28"/>
          <w:lang w:val="uk-UA"/>
        </w:rPr>
        <w:t>=5)</w:t>
      </w:r>
    </w:p>
    <w:tbl>
      <w:tblPr>
        <w:tblStyle w:val="afb"/>
        <w:tblW w:w="9355" w:type="dxa"/>
        <w:tblLook w:val="04A0" w:firstRow="1" w:lastRow="0" w:firstColumn="1" w:lastColumn="0" w:noHBand="0" w:noVBand="1"/>
      </w:tblPr>
      <w:tblGrid>
        <w:gridCol w:w="547"/>
        <w:gridCol w:w="1434"/>
        <w:gridCol w:w="1862"/>
        <w:gridCol w:w="1958"/>
        <w:gridCol w:w="1866"/>
        <w:gridCol w:w="1688"/>
      </w:tblGrid>
      <w:tr w:rsidR="00F05F4E" w:rsidRPr="00164C26" w14:paraId="5E6DFB57" w14:textId="77777777" w:rsidTr="00A50810">
        <w:trPr>
          <w:trHeight w:val="332"/>
        </w:trPr>
        <w:tc>
          <w:tcPr>
            <w:tcW w:w="550" w:type="dxa"/>
            <w:vMerge w:val="restart"/>
            <w:vAlign w:val="center"/>
          </w:tcPr>
          <w:p w14:paraId="28F2FDC5" w14:textId="77777777" w:rsidR="00F05F4E" w:rsidRPr="00164C26" w:rsidRDefault="00F05F4E" w:rsidP="00A50810">
            <w:pPr>
              <w:widowControl w:val="0"/>
              <w:autoSpaceDE w:val="0"/>
              <w:autoSpaceDN w:val="0"/>
              <w:adjustRightInd w:val="0"/>
              <w:spacing w:line="360" w:lineRule="auto"/>
              <w:rPr>
                <w:lang w:val="uk-UA"/>
              </w:rPr>
            </w:pPr>
            <w:r w:rsidRPr="00164C26">
              <w:t>№</w:t>
            </w:r>
          </w:p>
        </w:tc>
        <w:tc>
          <w:tcPr>
            <w:tcW w:w="1441" w:type="dxa"/>
            <w:vMerge w:val="restart"/>
            <w:vAlign w:val="center"/>
          </w:tcPr>
          <w:p w14:paraId="0CFE451D" w14:textId="77777777" w:rsidR="00F05F4E" w:rsidRPr="00164C26" w:rsidRDefault="00F05F4E" w:rsidP="00A50810">
            <w:pPr>
              <w:widowControl w:val="0"/>
              <w:autoSpaceDE w:val="0"/>
              <w:autoSpaceDN w:val="0"/>
              <w:adjustRightInd w:val="0"/>
              <w:spacing w:line="360" w:lineRule="auto"/>
            </w:pPr>
            <w:r w:rsidRPr="00164C26">
              <w:t>Сполука</w:t>
            </w:r>
          </w:p>
        </w:tc>
        <w:tc>
          <w:tcPr>
            <w:tcW w:w="7364" w:type="dxa"/>
            <w:gridSpan w:val="4"/>
            <w:vAlign w:val="center"/>
          </w:tcPr>
          <w:p w14:paraId="11AE1526" w14:textId="77777777" w:rsidR="00F05F4E" w:rsidRPr="00164C26" w:rsidRDefault="00F05F4E" w:rsidP="00A50810">
            <w:pPr>
              <w:widowControl w:val="0"/>
              <w:autoSpaceDE w:val="0"/>
              <w:autoSpaceDN w:val="0"/>
              <w:adjustRightInd w:val="0"/>
              <w:spacing w:line="360" w:lineRule="auto"/>
              <w:jc w:val="center"/>
              <w:rPr>
                <w:b/>
                <w:lang w:val="uk-UA"/>
              </w:rPr>
            </w:pPr>
            <w:r w:rsidRPr="00164C26">
              <w:rPr>
                <w:b/>
                <w:lang w:val="uk-UA"/>
              </w:rPr>
              <w:t>Протисудомна активність, % від контролю</w:t>
            </w:r>
          </w:p>
        </w:tc>
      </w:tr>
      <w:tr w:rsidR="00F05F4E" w:rsidRPr="00164C26" w14:paraId="58727D52" w14:textId="77777777" w:rsidTr="00A50810">
        <w:trPr>
          <w:trHeight w:val="265"/>
        </w:trPr>
        <w:tc>
          <w:tcPr>
            <w:tcW w:w="550" w:type="dxa"/>
            <w:vMerge/>
            <w:vAlign w:val="center"/>
          </w:tcPr>
          <w:p w14:paraId="3C501CB6" w14:textId="77777777" w:rsidR="00F05F4E" w:rsidRPr="00164C26" w:rsidRDefault="00F05F4E" w:rsidP="00A50810">
            <w:pPr>
              <w:widowControl w:val="0"/>
              <w:autoSpaceDE w:val="0"/>
              <w:autoSpaceDN w:val="0"/>
              <w:adjustRightInd w:val="0"/>
              <w:spacing w:line="360" w:lineRule="auto"/>
            </w:pPr>
          </w:p>
        </w:tc>
        <w:tc>
          <w:tcPr>
            <w:tcW w:w="1441" w:type="dxa"/>
            <w:vMerge/>
            <w:vAlign w:val="center"/>
          </w:tcPr>
          <w:p w14:paraId="686A3F5E" w14:textId="77777777" w:rsidR="00F05F4E" w:rsidRPr="00164C26" w:rsidRDefault="00F05F4E" w:rsidP="00A50810">
            <w:pPr>
              <w:widowControl w:val="0"/>
              <w:autoSpaceDE w:val="0"/>
              <w:autoSpaceDN w:val="0"/>
              <w:adjustRightInd w:val="0"/>
              <w:spacing w:line="360" w:lineRule="auto"/>
            </w:pPr>
          </w:p>
        </w:tc>
        <w:tc>
          <w:tcPr>
            <w:tcW w:w="3888" w:type="dxa"/>
            <w:gridSpan w:val="2"/>
            <w:vAlign w:val="center"/>
          </w:tcPr>
          <w:p w14:paraId="4F0DDD67" w14:textId="77777777" w:rsidR="00F05F4E" w:rsidRPr="00164C26" w:rsidRDefault="00F05F4E" w:rsidP="00A50810">
            <w:pPr>
              <w:spacing w:before="40" w:after="40"/>
              <w:ind w:right="-7"/>
              <w:jc w:val="center"/>
              <w:rPr>
                <w:b/>
                <w:lang w:val="uk-UA"/>
              </w:rPr>
            </w:pPr>
            <w:r w:rsidRPr="00164C26">
              <w:rPr>
                <w:b/>
                <w:lang w:val="uk-UA"/>
              </w:rPr>
              <w:t>ДКТС</w:t>
            </w:r>
          </w:p>
        </w:tc>
        <w:tc>
          <w:tcPr>
            <w:tcW w:w="3476" w:type="dxa"/>
            <w:gridSpan w:val="2"/>
            <w:vAlign w:val="center"/>
          </w:tcPr>
          <w:p w14:paraId="61F3939B" w14:textId="77777777" w:rsidR="00F05F4E" w:rsidRPr="00164C26" w:rsidRDefault="00F05F4E" w:rsidP="00A50810">
            <w:pPr>
              <w:spacing w:before="40" w:after="40"/>
              <w:ind w:right="-7"/>
              <w:jc w:val="center"/>
              <w:rPr>
                <w:b/>
                <w:lang w:val="uk-UA"/>
              </w:rPr>
            </w:pPr>
            <w:r w:rsidRPr="00164C26">
              <w:rPr>
                <w:b/>
                <w:lang w:val="uk-UA"/>
              </w:rPr>
              <w:t>ДТЕ</w:t>
            </w:r>
          </w:p>
        </w:tc>
      </w:tr>
      <w:tr w:rsidR="00F05F4E" w:rsidRPr="00164C26" w14:paraId="191B984C" w14:textId="77777777" w:rsidTr="00A50810">
        <w:trPr>
          <w:trHeight w:val="360"/>
        </w:trPr>
        <w:tc>
          <w:tcPr>
            <w:tcW w:w="550" w:type="dxa"/>
            <w:vMerge/>
            <w:vAlign w:val="center"/>
          </w:tcPr>
          <w:p w14:paraId="3B3E8EBA" w14:textId="77777777" w:rsidR="00F05F4E" w:rsidRPr="00164C26" w:rsidRDefault="00F05F4E" w:rsidP="00A50810">
            <w:pPr>
              <w:widowControl w:val="0"/>
              <w:autoSpaceDE w:val="0"/>
              <w:autoSpaceDN w:val="0"/>
              <w:adjustRightInd w:val="0"/>
              <w:spacing w:line="360" w:lineRule="auto"/>
              <w:rPr>
                <w:lang w:val="uk-UA"/>
              </w:rPr>
            </w:pPr>
          </w:p>
        </w:tc>
        <w:tc>
          <w:tcPr>
            <w:tcW w:w="1441" w:type="dxa"/>
            <w:vMerge/>
            <w:vAlign w:val="center"/>
          </w:tcPr>
          <w:p w14:paraId="69F64A89" w14:textId="77777777" w:rsidR="00F05F4E" w:rsidRPr="00164C26" w:rsidRDefault="00F05F4E" w:rsidP="00A50810">
            <w:pPr>
              <w:widowControl w:val="0"/>
              <w:autoSpaceDE w:val="0"/>
              <w:autoSpaceDN w:val="0"/>
              <w:adjustRightInd w:val="0"/>
              <w:spacing w:line="360" w:lineRule="auto"/>
              <w:rPr>
                <w:lang w:val="uk-UA"/>
              </w:rPr>
            </w:pPr>
          </w:p>
        </w:tc>
        <w:tc>
          <w:tcPr>
            <w:tcW w:w="1896" w:type="dxa"/>
            <w:vAlign w:val="center"/>
          </w:tcPr>
          <w:p w14:paraId="28966939" w14:textId="77777777" w:rsidR="00F05F4E" w:rsidRPr="00164C26" w:rsidRDefault="00F05F4E" w:rsidP="00A50810">
            <w:pPr>
              <w:jc w:val="center"/>
              <w:rPr>
                <w:color w:val="000000"/>
                <w:lang w:val="uk-UA"/>
              </w:rPr>
            </w:pPr>
            <w:r w:rsidRPr="00164C26">
              <w:rPr>
                <w:color w:val="000000"/>
              </w:rPr>
              <w:t>3</w:t>
            </w:r>
            <w:r w:rsidRPr="00164C26">
              <w:rPr>
                <w:color w:val="000000"/>
                <w:lang w:val="uk-UA"/>
              </w:rPr>
              <w:t xml:space="preserve"> год</w:t>
            </w:r>
          </w:p>
        </w:tc>
        <w:tc>
          <w:tcPr>
            <w:tcW w:w="1992" w:type="dxa"/>
            <w:vAlign w:val="center"/>
          </w:tcPr>
          <w:p w14:paraId="2D4F886C" w14:textId="77777777" w:rsidR="00F05F4E" w:rsidRPr="00164C26" w:rsidRDefault="00F05F4E" w:rsidP="00A50810">
            <w:pPr>
              <w:jc w:val="center"/>
              <w:rPr>
                <w:color w:val="000000"/>
                <w:lang w:val="uk-UA"/>
              </w:rPr>
            </w:pPr>
            <w:r w:rsidRPr="00164C26">
              <w:rPr>
                <w:color w:val="000000"/>
              </w:rPr>
              <w:t>24</w:t>
            </w:r>
            <w:r w:rsidRPr="00164C26">
              <w:rPr>
                <w:color w:val="000000"/>
                <w:lang w:val="uk-UA"/>
              </w:rPr>
              <w:t xml:space="preserve"> год</w:t>
            </w:r>
          </w:p>
        </w:tc>
        <w:tc>
          <w:tcPr>
            <w:tcW w:w="1901" w:type="dxa"/>
            <w:vAlign w:val="center"/>
          </w:tcPr>
          <w:p w14:paraId="5F317378" w14:textId="77777777" w:rsidR="00F05F4E" w:rsidRPr="00164C26" w:rsidRDefault="00F05F4E" w:rsidP="00A50810">
            <w:pPr>
              <w:jc w:val="center"/>
              <w:rPr>
                <w:color w:val="000000"/>
                <w:lang w:val="uk-UA"/>
              </w:rPr>
            </w:pPr>
            <w:r w:rsidRPr="00164C26">
              <w:rPr>
                <w:color w:val="000000"/>
              </w:rPr>
              <w:t>3</w:t>
            </w:r>
            <w:r w:rsidRPr="00164C26">
              <w:rPr>
                <w:color w:val="000000"/>
                <w:lang w:val="uk-UA"/>
              </w:rPr>
              <w:t xml:space="preserve"> год</w:t>
            </w:r>
          </w:p>
        </w:tc>
        <w:tc>
          <w:tcPr>
            <w:tcW w:w="1575" w:type="dxa"/>
            <w:vAlign w:val="center"/>
          </w:tcPr>
          <w:p w14:paraId="0727B371" w14:textId="77777777" w:rsidR="00F05F4E" w:rsidRPr="00164C26" w:rsidRDefault="00F05F4E" w:rsidP="00A50810">
            <w:pPr>
              <w:jc w:val="center"/>
              <w:rPr>
                <w:color w:val="000000"/>
                <w:lang w:val="uk-UA"/>
              </w:rPr>
            </w:pPr>
            <w:r w:rsidRPr="00164C26">
              <w:rPr>
                <w:color w:val="000000"/>
              </w:rPr>
              <w:t>24</w:t>
            </w:r>
            <w:r w:rsidRPr="00164C26">
              <w:rPr>
                <w:color w:val="000000"/>
                <w:lang w:val="uk-UA"/>
              </w:rPr>
              <w:t xml:space="preserve"> год</w:t>
            </w:r>
          </w:p>
        </w:tc>
      </w:tr>
      <w:tr w:rsidR="00F05F4E" w:rsidRPr="00164C26" w14:paraId="64F0622A" w14:textId="77777777" w:rsidTr="00A50810">
        <w:trPr>
          <w:trHeight w:val="170"/>
        </w:trPr>
        <w:tc>
          <w:tcPr>
            <w:tcW w:w="550" w:type="dxa"/>
            <w:vAlign w:val="center"/>
          </w:tcPr>
          <w:p w14:paraId="52AE4F75"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1</w:t>
            </w:r>
          </w:p>
        </w:tc>
        <w:tc>
          <w:tcPr>
            <w:tcW w:w="1441" w:type="dxa"/>
            <w:vAlign w:val="center"/>
          </w:tcPr>
          <w:p w14:paraId="042B3005" w14:textId="77777777" w:rsidR="00F05F4E" w:rsidRPr="00164C26" w:rsidRDefault="00F05F4E" w:rsidP="00A50810">
            <w:pPr>
              <w:spacing w:before="40" w:after="40"/>
              <w:ind w:right="-7"/>
              <w:rPr>
                <w:lang w:val="uk-UA"/>
              </w:rPr>
            </w:pPr>
            <w:r w:rsidRPr="00164C26">
              <w:rPr>
                <w:lang w:val="uk-UA"/>
              </w:rPr>
              <w:t>Контроль</w:t>
            </w:r>
          </w:p>
        </w:tc>
        <w:tc>
          <w:tcPr>
            <w:tcW w:w="1896" w:type="dxa"/>
            <w:vAlign w:val="center"/>
          </w:tcPr>
          <w:p w14:paraId="07DDF49B" w14:textId="77777777" w:rsidR="00F05F4E" w:rsidRPr="00164C26" w:rsidRDefault="00F05F4E" w:rsidP="00A50810">
            <w:pPr>
              <w:rPr>
                <w:color w:val="000000"/>
              </w:rPr>
            </w:pPr>
            <w:r w:rsidRPr="00164C26">
              <w:rPr>
                <w:color w:val="000000"/>
              </w:rPr>
              <w:t>100 ±  5,0</w:t>
            </w:r>
          </w:p>
        </w:tc>
        <w:tc>
          <w:tcPr>
            <w:tcW w:w="1992" w:type="dxa"/>
            <w:vAlign w:val="center"/>
          </w:tcPr>
          <w:p w14:paraId="68FD880B" w14:textId="77777777" w:rsidR="00F05F4E" w:rsidRPr="00164C26" w:rsidRDefault="00F05F4E" w:rsidP="00A50810">
            <w:pPr>
              <w:rPr>
                <w:color w:val="000000"/>
              </w:rPr>
            </w:pPr>
            <w:r w:rsidRPr="00164C26">
              <w:rPr>
                <w:color w:val="000000"/>
              </w:rPr>
              <w:t>100 ±  5,0</w:t>
            </w:r>
          </w:p>
        </w:tc>
        <w:tc>
          <w:tcPr>
            <w:tcW w:w="1901" w:type="dxa"/>
            <w:vAlign w:val="center"/>
          </w:tcPr>
          <w:p w14:paraId="6158EE81" w14:textId="77777777" w:rsidR="00F05F4E" w:rsidRPr="00164C26" w:rsidRDefault="00F05F4E" w:rsidP="00A50810">
            <w:pPr>
              <w:rPr>
                <w:color w:val="000000"/>
              </w:rPr>
            </w:pPr>
            <w:r w:rsidRPr="00164C26">
              <w:rPr>
                <w:color w:val="000000"/>
              </w:rPr>
              <w:t xml:space="preserve">100 ± 7,0 </w:t>
            </w:r>
          </w:p>
        </w:tc>
        <w:tc>
          <w:tcPr>
            <w:tcW w:w="1575" w:type="dxa"/>
            <w:vAlign w:val="center"/>
          </w:tcPr>
          <w:p w14:paraId="2BC2A2E8" w14:textId="77777777" w:rsidR="00F05F4E" w:rsidRPr="00164C26" w:rsidRDefault="00F05F4E" w:rsidP="00A50810">
            <w:pPr>
              <w:rPr>
                <w:color w:val="000000"/>
              </w:rPr>
            </w:pPr>
            <w:r w:rsidRPr="00164C26">
              <w:rPr>
                <w:color w:val="000000"/>
              </w:rPr>
              <w:t xml:space="preserve">100 ± 7,0 </w:t>
            </w:r>
          </w:p>
        </w:tc>
      </w:tr>
      <w:tr w:rsidR="00F05F4E" w:rsidRPr="00164C26" w14:paraId="744AAE7A" w14:textId="77777777" w:rsidTr="00A50810">
        <w:trPr>
          <w:trHeight w:val="208"/>
        </w:trPr>
        <w:tc>
          <w:tcPr>
            <w:tcW w:w="550" w:type="dxa"/>
            <w:vAlign w:val="center"/>
          </w:tcPr>
          <w:p w14:paraId="74F2D4D3"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2</w:t>
            </w:r>
          </w:p>
        </w:tc>
        <w:tc>
          <w:tcPr>
            <w:tcW w:w="1441" w:type="dxa"/>
            <w:vAlign w:val="center"/>
          </w:tcPr>
          <w:p w14:paraId="22DB8E40" w14:textId="77777777" w:rsidR="00F05F4E" w:rsidRPr="00164C26" w:rsidRDefault="00F05F4E" w:rsidP="00A50810">
            <w:pPr>
              <w:spacing w:before="40" w:after="40"/>
              <w:ind w:right="-7"/>
              <w:rPr>
                <w:lang w:val="uk-UA"/>
              </w:rPr>
            </w:pPr>
            <w:r w:rsidRPr="00164C26">
              <w:rPr>
                <w:lang w:val="uk-UA"/>
              </w:rPr>
              <w:t>ВК</w:t>
            </w:r>
          </w:p>
        </w:tc>
        <w:tc>
          <w:tcPr>
            <w:tcW w:w="1896" w:type="dxa"/>
            <w:vAlign w:val="center"/>
          </w:tcPr>
          <w:p w14:paraId="5BED00CB" w14:textId="77777777" w:rsidR="00F05F4E" w:rsidRPr="00164C26" w:rsidRDefault="00F05F4E" w:rsidP="00A50810">
            <w:pPr>
              <w:rPr>
                <w:color w:val="000000"/>
                <w:lang w:val="en-US"/>
              </w:rPr>
            </w:pPr>
            <w:r w:rsidRPr="00164C26">
              <w:rPr>
                <w:color w:val="000000"/>
              </w:rPr>
              <w:t>163 ± 4,0</w:t>
            </w:r>
            <w:r w:rsidRPr="00164C26">
              <w:rPr>
                <w:color w:val="000000"/>
                <w:lang w:val="en-US"/>
              </w:rPr>
              <w:t xml:space="preserve"> **</w:t>
            </w:r>
          </w:p>
        </w:tc>
        <w:tc>
          <w:tcPr>
            <w:tcW w:w="1992" w:type="dxa"/>
            <w:vAlign w:val="center"/>
          </w:tcPr>
          <w:p w14:paraId="2E4459E4" w14:textId="77777777" w:rsidR="00F05F4E" w:rsidRPr="00164C26" w:rsidRDefault="00F05F4E" w:rsidP="00A50810">
            <w:pPr>
              <w:rPr>
                <w:color w:val="000000"/>
                <w:lang w:val="en-US"/>
              </w:rPr>
            </w:pPr>
            <w:r w:rsidRPr="00164C26">
              <w:rPr>
                <w:color w:val="000000"/>
              </w:rPr>
              <w:t>220 ± 1,0</w:t>
            </w:r>
            <w:r w:rsidRPr="00164C26">
              <w:rPr>
                <w:color w:val="000000"/>
                <w:lang w:val="en-US"/>
              </w:rPr>
              <w:t xml:space="preserve"> **</w:t>
            </w:r>
          </w:p>
        </w:tc>
        <w:tc>
          <w:tcPr>
            <w:tcW w:w="1901" w:type="dxa"/>
            <w:vAlign w:val="center"/>
          </w:tcPr>
          <w:p w14:paraId="0F395A1F" w14:textId="77777777" w:rsidR="00F05F4E" w:rsidRPr="00164C26" w:rsidRDefault="00F05F4E" w:rsidP="00A50810">
            <w:pPr>
              <w:rPr>
                <w:color w:val="000000"/>
                <w:lang w:val="en-US"/>
              </w:rPr>
            </w:pPr>
            <w:r w:rsidRPr="00164C26">
              <w:rPr>
                <w:color w:val="000000"/>
              </w:rPr>
              <w:t>175,0 ± 4,0</w:t>
            </w:r>
            <w:r w:rsidRPr="00164C26">
              <w:rPr>
                <w:color w:val="000000"/>
                <w:lang w:val="en-US"/>
              </w:rPr>
              <w:t xml:space="preserve"> **</w:t>
            </w:r>
          </w:p>
        </w:tc>
        <w:tc>
          <w:tcPr>
            <w:tcW w:w="1575" w:type="dxa"/>
            <w:vAlign w:val="center"/>
          </w:tcPr>
          <w:p w14:paraId="26430605" w14:textId="77777777" w:rsidR="00F05F4E" w:rsidRPr="00164C26" w:rsidRDefault="00F05F4E" w:rsidP="00A50810">
            <w:pPr>
              <w:rPr>
                <w:color w:val="000000"/>
                <w:lang w:val="en-US"/>
              </w:rPr>
            </w:pPr>
            <w:r w:rsidRPr="00164C26">
              <w:rPr>
                <w:color w:val="000000"/>
              </w:rPr>
              <w:t>229,0 ± 4,0</w:t>
            </w:r>
            <w:r w:rsidRPr="00164C26">
              <w:rPr>
                <w:color w:val="000000"/>
                <w:lang w:val="en-US"/>
              </w:rPr>
              <w:t xml:space="preserve"> **</w:t>
            </w:r>
          </w:p>
        </w:tc>
      </w:tr>
      <w:tr w:rsidR="00F05F4E" w:rsidRPr="00164C26" w14:paraId="4689CD35" w14:textId="77777777" w:rsidTr="00A50810">
        <w:trPr>
          <w:trHeight w:val="81"/>
        </w:trPr>
        <w:tc>
          <w:tcPr>
            <w:tcW w:w="550" w:type="dxa"/>
            <w:vAlign w:val="center"/>
          </w:tcPr>
          <w:p w14:paraId="70147527"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3</w:t>
            </w:r>
          </w:p>
        </w:tc>
        <w:tc>
          <w:tcPr>
            <w:tcW w:w="1441" w:type="dxa"/>
            <w:vAlign w:val="center"/>
          </w:tcPr>
          <w:p w14:paraId="5BDF5CAA"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БА</w:t>
            </w:r>
          </w:p>
        </w:tc>
        <w:tc>
          <w:tcPr>
            <w:tcW w:w="1896" w:type="dxa"/>
            <w:vAlign w:val="center"/>
          </w:tcPr>
          <w:p w14:paraId="22F2DD92" w14:textId="77777777" w:rsidR="00F05F4E" w:rsidRPr="00164C26" w:rsidRDefault="00F05F4E" w:rsidP="00A50810">
            <w:pPr>
              <w:rPr>
                <w:color w:val="000000"/>
                <w:lang w:val="en-US"/>
              </w:rPr>
            </w:pPr>
            <w:r w:rsidRPr="00164C26">
              <w:rPr>
                <w:color w:val="000000"/>
              </w:rPr>
              <w:t>190,0 ± 1,0</w:t>
            </w:r>
            <w:r w:rsidRPr="00164C26">
              <w:rPr>
                <w:color w:val="000000"/>
                <w:lang w:val="en-US"/>
              </w:rPr>
              <w:t xml:space="preserve"> **,</w:t>
            </w:r>
            <w:r w:rsidRPr="00164C26">
              <w:rPr>
                <w:color w:val="000000"/>
                <w:vertAlign w:val="superscript"/>
                <w:lang w:val="en-US"/>
              </w:rPr>
              <w:t>#</w:t>
            </w:r>
          </w:p>
        </w:tc>
        <w:tc>
          <w:tcPr>
            <w:tcW w:w="1992" w:type="dxa"/>
            <w:vAlign w:val="center"/>
          </w:tcPr>
          <w:p w14:paraId="5A2AEE86" w14:textId="77777777" w:rsidR="00F05F4E" w:rsidRPr="00164C26" w:rsidRDefault="00F05F4E" w:rsidP="00A50810">
            <w:pPr>
              <w:rPr>
                <w:color w:val="000000"/>
                <w:lang w:val="uk-UA"/>
              </w:rPr>
            </w:pPr>
            <w:r w:rsidRPr="00164C26">
              <w:rPr>
                <w:color w:val="000000"/>
              </w:rPr>
              <w:t>143,0 ± 4,0</w:t>
            </w:r>
            <w:r w:rsidRPr="00164C26">
              <w:rPr>
                <w:color w:val="000000"/>
                <w:lang w:val="en-US"/>
              </w:rPr>
              <w:t xml:space="preserve"> **</w:t>
            </w:r>
          </w:p>
        </w:tc>
        <w:tc>
          <w:tcPr>
            <w:tcW w:w="1901" w:type="dxa"/>
            <w:vAlign w:val="center"/>
          </w:tcPr>
          <w:p w14:paraId="3C0D6545" w14:textId="77777777" w:rsidR="00F05F4E" w:rsidRPr="00164C26" w:rsidRDefault="00F05F4E" w:rsidP="00A50810">
            <w:pPr>
              <w:rPr>
                <w:color w:val="000000"/>
                <w:lang w:val="en-US"/>
              </w:rPr>
            </w:pPr>
            <w:r w:rsidRPr="00164C26">
              <w:rPr>
                <w:color w:val="000000"/>
              </w:rPr>
              <w:t>162,0 ± 2,0</w:t>
            </w:r>
            <w:r w:rsidRPr="00164C26">
              <w:rPr>
                <w:color w:val="000000"/>
                <w:lang w:val="en-US"/>
              </w:rPr>
              <w:t xml:space="preserve"> **</w:t>
            </w:r>
          </w:p>
        </w:tc>
        <w:tc>
          <w:tcPr>
            <w:tcW w:w="1575" w:type="dxa"/>
            <w:vAlign w:val="center"/>
          </w:tcPr>
          <w:p w14:paraId="68F2D2B1" w14:textId="77777777" w:rsidR="00F05F4E" w:rsidRPr="00164C26" w:rsidRDefault="00F05F4E" w:rsidP="00A50810">
            <w:pPr>
              <w:rPr>
                <w:color w:val="000000"/>
                <w:lang w:val="en-US"/>
              </w:rPr>
            </w:pPr>
            <w:r w:rsidRPr="00164C26">
              <w:rPr>
                <w:color w:val="000000"/>
              </w:rPr>
              <w:t>133,0±4,0</w:t>
            </w:r>
            <w:r w:rsidRPr="00164C26">
              <w:rPr>
                <w:color w:val="000000"/>
                <w:lang w:val="en-US"/>
              </w:rPr>
              <w:t xml:space="preserve"> **,</w:t>
            </w:r>
            <w:r w:rsidRPr="00164C26">
              <w:rPr>
                <w:color w:val="000000"/>
                <w:vertAlign w:val="superscript"/>
                <w:lang w:val="en-US"/>
              </w:rPr>
              <w:t>#</w:t>
            </w:r>
          </w:p>
        </w:tc>
      </w:tr>
      <w:tr w:rsidR="00F05F4E" w:rsidRPr="00164C26" w14:paraId="2D6A1E1D" w14:textId="77777777" w:rsidTr="00A50810">
        <w:trPr>
          <w:trHeight w:val="81"/>
        </w:trPr>
        <w:tc>
          <w:tcPr>
            <w:tcW w:w="550" w:type="dxa"/>
            <w:vAlign w:val="center"/>
          </w:tcPr>
          <w:p w14:paraId="2F923C3A"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4</w:t>
            </w:r>
          </w:p>
        </w:tc>
        <w:tc>
          <w:tcPr>
            <w:tcW w:w="1441" w:type="dxa"/>
            <w:vAlign w:val="center"/>
          </w:tcPr>
          <w:p w14:paraId="181D4BF9"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СГБА</w:t>
            </w:r>
          </w:p>
        </w:tc>
        <w:tc>
          <w:tcPr>
            <w:tcW w:w="1896" w:type="dxa"/>
            <w:vAlign w:val="center"/>
          </w:tcPr>
          <w:p w14:paraId="36F84D33" w14:textId="77777777" w:rsidR="00F05F4E" w:rsidRPr="00164C26" w:rsidRDefault="00F05F4E" w:rsidP="00A50810">
            <w:pPr>
              <w:rPr>
                <w:color w:val="000000"/>
                <w:lang w:val="en-US"/>
              </w:rPr>
            </w:pPr>
            <w:r w:rsidRPr="00164C26">
              <w:rPr>
                <w:color w:val="000000"/>
              </w:rPr>
              <w:t>207,0  ± 4,0</w:t>
            </w:r>
            <w:r w:rsidRPr="00164C26">
              <w:rPr>
                <w:color w:val="000000"/>
                <w:lang w:val="en-US"/>
              </w:rPr>
              <w:t xml:space="preserve"> **,</w:t>
            </w:r>
            <w:r w:rsidRPr="00164C26">
              <w:rPr>
                <w:color w:val="000000"/>
                <w:vertAlign w:val="superscript"/>
                <w:lang w:val="en-US"/>
              </w:rPr>
              <w:t>#</w:t>
            </w:r>
          </w:p>
        </w:tc>
        <w:tc>
          <w:tcPr>
            <w:tcW w:w="1992" w:type="dxa"/>
            <w:vAlign w:val="center"/>
          </w:tcPr>
          <w:p w14:paraId="6EB66AC7" w14:textId="77777777" w:rsidR="00F05F4E" w:rsidRPr="00164C26" w:rsidRDefault="00F05F4E" w:rsidP="00A50810">
            <w:pPr>
              <w:rPr>
                <w:color w:val="000000"/>
                <w:lang w:val="en-US"/>
              </w:rPr>
            </w:pPr>
            <w:r w:rsidRPr="00164C26">
              <w:rPr>
                <w:color w:val="000000"/>
              </w:rPr>
              <w:t>154,0 ± 4,0</w:t>
            </w:r>
            <w:r w:rsidRPr="00164C26">
              <w:rPr>
                <w:color w:val="000000"/>
                <w:lang w:val="en-US"/>
              </w:rPr>
              <w:t xml:space="preserve"> **,</w:t>
            </w:r>
            <w:r w:rsidRPr="00164C26">
              <w:rPr>
                <w:color w:val="000000"/>
                <w:vertAlign w:val="superscript"/>
                <w:lang w:val="en-US"/>
              </w:rPr>
              <w:t>##</w:t>
            </w:r>
          </w:p>
        </w:tc>
        <w:tc>
          <w:tcPr>
            <w:tcW w:w="1901" w:type="dxa"/>
            <w:vAlign w:val="center"/>
          </w:tcPr>
          <w:p w14:paraId="672B388C" w14:textId="77777777" w:rsidR="00F05F4E" w:rsidRPr="00164C26" w:rsidRDefault="00F05F4E" w:rsidP="00A50810">
            <w:pPr>
              <w:rPr>
                <w:color w:val="000000"/>
                <w:lang w:val="en-US"/>
              </w:rPr>
            </w:pPr>
            <w:r w:rsidRPr="00164C26">
              <w:rPr>
                <w:color w:val="000000"/>
              </w:rPr>
              <w:t>198,0 ± 4,0</w:t>
            </w:r>
            <w:r w:rsidRPr="00164C26">
              <w:rPr>
                <w:color w:val="000000"/>
                <w:lang w:val="en-US"/>
              </w:rPr>
              <w:t xml:space="preserve"> **</w:t>
            </w:r>
          </w:p>
        </w:tc>
        <w:tc>
          <w:tcPr>
            <w:tcW w:w="1575" w:type="dxa"/>
            <w:vAlign w:val="center"/>
          </w:tcPr>
          <w:p w14:paraId="00252E34" w14:textId="77777777" w:rsidR="00F05F4E" w:rsidRPr="00164C26" w:rsidRDefault="00F05F4E" w:rsidP="00A50810">
            <w:pPr>
              <w:rPr>
                <w:color w:val="000000"/>
                <w:lang w:val="en-US"/>
              </w:rPr>
            </w:pPr>
            <w:r w:rsidRPr="00164C26">
              <w:rPr>
                <w:color w:val="000000"/>
              </w:rPr>
              <w:t>144,0 ± 4,0</w:t>
            </w:r>
            <w:r w:rsidRPr="00164C26">
              <w:rPr>
                <w:color w:val="000000"/>
                <w:lang w:val="en-US"/>
              </w:rPr>
              <w:t xml:space="preserve"> **</w:t>
            </w:r>
          </w:p>
        </w:tc>
      </w:tr>
      <w:tr w:rsidR="00F05F4E" w:rsidRPr="00164C26" w14:paraId="2AE1BEA5" w14:textId="77777777" w:rsidTr="00A50810">
        <w:trPr>
          <w:trHeight w:val="81"/>
        </w:trPr>
        <w:tc>
          <w:tcPr>
            <w:tcW w:w="550" w:type="dxa"/>
            <w:vAlign w:val="center"/>
          </w:tcPr>
          <w:p w14:paraId="5B12123B"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5</w:t>
            </w:r>
          </w:p>
        </w:tc>
        <w:tc>
          <w:tcPr>
            <w:tcW w:w="1441" w:type="dxa"/>
            <w:vAlign w:val="center"/>
          </w:tcPr>
          <w:p w14:paraId="5F524589"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4-брБА</w:t>
            </w:r>
          </w:p>
        </w:tc>
        <w:tc>
          <w:tcPr>
            <w:tcW w:w="1896" w:type="dxa"/>
            <w:vAlign w:val="center"/>
          </w:tcPr>
          <w:p w14:paraId="72428C62" w14:textId="77777777" w:rsidR="00F05F4E" w:rsidRPr="00164C26" w:rsidRDefault="00F05F4E" w:rsidP="00A50810">
            <w:pPr>
              <w:rPr>
                <w:color w:val="000000"/>
                <w:lang w:val="en-US"/>
              </w:rPr>
            </w:pPr>
            <w:r w:rsidRPr="00164C26">
              <w:rPr>
                <w:color w:val="000000"/>
              </w:rPr>
              <w:t>153,0 ± 1,0</w:t>
            </w:r>
            <w:r w:rsidRPr="00164C26">
              <w:rPr>
                <w:color w:val="000000"/>
                <w:lang w:val="en-US"/>
              </w:rPr>
              <w:t xml:space="preserve"> **</w:t>
            </w:r>
          </w:p>
        </w:tc>
        <w:tc>
          <w:tcPr>
            <w:tcW w:w="1992" w:type="dxa"/>
            <w:vAlign w:val="center"/>
          </w:tcPr>
          <w:p w14:paraId="7E106FDA" w14:textId="77777777" w:rsidR="00F05F4E" w:rsidRPr="00164C26" w:rsidRDefault="00F05F4E" w:rsidP="00A50810">
            <w:pPr>
              <w:rPr>
                <w:color w:val="000000"/>
                <w:lang w:val="uk-UA"/>
              </w:rPr>
            </w:pPr>
            <w:r w:rsidRPr="00164C26">
              <w:rPr>
                <w:color w:val="000000"/>
              </w:rPr>
              <w:t>164,0 ± 27,0</w:t>
            </w:r>
            <w:r w:rsidRPr="00164C26">
              <w:rPr>
                <w:color w:val="000000"/>
                <w:lang w:val="en-US"/>
              </w:rPr>
              <w:t xml:space="preserve"> *,</w:t>
            </w:r>
            <w:r w:rsidRPr="00164C26">
              <w:rPr>
                <w:color w:val="000000"/>
                <w:vertAlign w:val="superscript"/>
                <w:lang w:val="en-US"/>
              </w:rPr>
              <w:t>##</w:t>
            </w:r>
          </w:p>
        </w:tc>
        <w:tc>
          <w:tcPr>
            <w:tcW w:w="1901" w:type="dxa"/>
            <w:vAlign w:val="center"/>
          </w:tcPr>
          <w:p w14:paraId="579FFFE5" w14:textId="77777777" w:rsidR="00F05F4E" w:rsidRPr="00164C26" w:rsidRDefault="00F05F4E" w:rsidP="00A50810">
            <w:pPr>
              <w:rPr>
                <w:color w:val="000000"/>
                <w:lang w:val="en-US"/>
              </w:rPr>
            </w:pPr>
            <w:r w:rsidRPr="00164C26">
              <w:rPr>
                <w:color w:val="000000"/>
              </w:rPr>
              <w:t>150,0 ± 0,0</w:t>
            </w:r>
            <w:r w:rsidRPr="00164C26">
              <w:rPr>
                <w:color w:val="000000"/>
                <w:lang w:val="en-US"/>
              </w:rPr>
              <w:t xml:space="preserve"> *</w:t>
            </w:r>
          </w:p>
        </w:tc>
        <w:tc>
          <w:tcPr>
            <w:tcW w:w="1575" w:type="dxa"/>
            <w:vAlign w:val="center"/>
          </w:tcPr>
          <w:p w14:paraId="3028DE37" w14:textId="77777777" w:rsidR="00F05F4E" w:rsidRPr="00164C26" w:rsidRDefault="00F05F4E" w:rsidP="00A50810">
            <w:pPr>
              <w:rPr>
                <w:color w:val="000000"/>
                <w:lang w:val="en-US"/>
              </w:rPr>
            </w:pPr>
            <w:r w:rsidRPr="00164C26">
              <w:rPr>
                <w:color w:val="000000"/>
              </w:rPr>
              <w:t>159,0± 25,0</w:t>
            </w:r>
            <w:r w:rsidRPr="00164C26">
              <w:rPr>
                <w:color w:val="000000"/>
                <w:lang w:val="en-US"/>
              </w:rPr>
              <w:t xml:space="preserve"> **</w:t>
            </w:r>
          </w:p>
        </w:tc>
      </w:tr>
      <w:tr w:rsidR="00F05F4E" w:rsidRPr="00164C26" w14:paraId="2941CF92" w14:textId="77777777" w:rsidTr="00A50810">
        <w:trPr>
          <w:trHeight w:val="81"/>
        </w:trPr>
        <w:tc>
          <w:tcPr>
            <w:tcW w:w="550" w:type="dxa"/>
            <w:vAlign w:val="center"/>
          </w:tcPr>
          <w:p w14:paraId="315B918A"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6</w:t>
            </w:r>
          </w:p>
        </w:tc>
        <w:tc>
          <w:tcPr>
            <w:tcW w:w="1441" w:type="dxa"/>
            <w:vAlign w:val="center"/>
          </w:tcPr>
          <w:p w14:paraId="20EB2D8E"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СГБрБА</w:t>
            </w:r>
          </w:p>
        </w:tc>
        <w:tc>
          <w:tcPr>
            <w:tcW w:w="1896" w:type="dxa"/>
            <w:vAlign w:val="center"/>
          </w:tcPr>
          <w:p w14:paraId="793F72EE" w14:textId="77777777" w:rsidR="00F05F4E" w:rsidRPr="00164C26" w:rsidRDefault="00F05F4E" w:rsidP="00A50810">
            <w:pPr>
              <w:rPr>
                <w:color w:val="000000"/>
                <w:lang w:val="en-US"/>
              </w:rPr>
            </w:pPr>
            <w:r w:rsidRPr="00164C26">
              <w:rPr>
                <w:color w:val="000000"/>
              </w:rPr>
              <w:t>153,0 ± 1,0</w:t>
            </w:r>
            <w:r w:rsidRPr="00164C26">
              <w:rPr>
                <w:color w:val="000000"/>
                <w:lang w:val="en-US"/>
              </w:rPr>
              <w:t xml:space="preserve"> **</w:t>
            </w:r>
          </w:p>
        </w:tc>
        <w:tc>
          <w:tcPr>
            <w:tcW w:w="1992" w:type="dxa"/>
            <w:vAlign w:val="center"/>
          </w:tcPr>
          <w:p w14:paraId="12290635" w14:textId="77777777" w:rsidR="00F05F4E" w:rsidRPr="00164C26" w:rsidRDefault="00F05F4E" w:rsidP="00A50810">
            <w:pPr>
              <w:rPr>
                <w:color w:val="000000"/>
                <w:lang w:val="en-US"/>
              </w:rPr>
            </w:pPr>
            <w:r w:rsidRPr="00164C26">
              <w:rPr>
                <w:color w:val="000000"/>
              </w:rPr>
              <w:t>164,0 ± 27,0</w:t>
            </w:r>
            <w:r w:rsidRPr="00164C26">
              <w:rPr>
                <w:color w:val="000000"/>
                <w:lang w:val="en-US"/>
              </w:rPr>
              <w:t xml:space="preserve"> *,</w:t>
            </w:r>
            <w:r w:rsidRPr="00164C26">
              <w:rPr>
                <w:color w:val="000000"/>
                <w:vertAlign w:val="superscript"/>
                <w:lang w:val="en-US"/>
              </w:rPr>
              <w:t>##</w:t>
            </w:r>
          </w:p>
        </w:tc>
        <w:tc>
          <w:tcPr>
            <w:tcW w:w="1901" w:type="dxa"/>
            <w:vAlign w:val="center"/>
          </w:tcPr>
          <w:p w14:paraId="4ADFC88A" w14:textId="77777777" w:rsidR="00F05F4E" w:rsidRPr="00164C26" w:rsidRDefault="00F05F4E" w:rsidP="00A50810">
            <w:pPr>
              <w:rPr>
                <w:color w:val="000000"/>
                <w:lang w:val="en-US"/>
              </w:rPr>
            </w:pPr>
            <w:r w:rsidRPr="00164C26">
              <w:rPr>
                <w:color w:val="000000"/>
              </w:rPr>
              <w:t>150,0 ± 0,0</w:t>
            </w:r>
            <w:r w:rsidRPr="00164C26">
              <w:rPr>
                <w:color w:val="000000"/>
                <w:lang w:val="en-US"/>
              </w:rPr>
              <w:t xml:space="preserve"> *</w:t>
            </w:r>
          </w:p>
        </w:tc>
        <w:tc>
          <w:tcPr>
            <w:tcW w:w="1575" w:type="dxa"/>
            <w:vAlign w:val="center"/>
          </w:tcPr>
          <w:p w14:paraId="061D3333" w14:textId="77777777" w:rsidR="00F05F4E" w:rsidRPr="00164C26" w:rsidRDefault="00F05F4E" w:rsidP="00A50810">
            <w:pPr>
              <w:rPr>
                <w:color w:val="000000"/>
                <w:lang w:val="en-US"/>
              </w:rPr>
            </w:pPr>
            <w:r w:rsidRPr="00164C26">
              <w:rPr>
                <w:color w:val="000000"/>
              </w:rPr>
              <w:t>159,0±25,0</w:t>
            </w:r>
            <w:r w:rsidRPr="00164C26">
              <w:rPr>
                <w:color w:val="000000"/>
                <w:lang w:val="en-US"/>
              </w:rPr>
              <w:t xml:space="preserve"> **</w:t>
            </w:r>
          </w:p>
        </w:tc>
      </w:tr>
      <w:tr w:rsidR="00F05F4E" w:rsidRPr="00164C26" w14:paraId="530BA154" w14:textId="77777777" w:rsidTr="00A50810">
        <w:trPr>
          <w:trHeight w:val="81"/>
        </w:trPr>
        <w:tc>
          <w:tcPr>
            <w:tcW w:w="550" w:type="dxa"/>
            <w:vAlign w:val="center"/>
          </w:tcPr>
          <w:p w14:paraId="5CC4D5AD"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7</w:t>
            </w:r>
          </w:p>
        </w:tc>
        <w:tc>
          <w:tcPr>
            <w:tcW w:w="1441" w:type="dxa"/>
            <w:vAlign w:val="center"/>
          </w:tcPr>
          <w:p w14:paraId="06462C30"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СК</w:t>
            </w:r>
          </w:p>
        </w:tc>
        <w:tc>
          <w:tcPr>
            <w:tcW w:w="1896" w:type="dxa"/>
            <w:vAlign w:val="center"/>
          </w:tcPr>
          <w:p w14:paraId="4D19D4D9" w14:textId="77777777" w:rsidR="00F05F4E" w:rsidRPr="00164C26" w:rsidRDefault="00F05F4E" w:rsidP="00A50810">
            <w:pPr>
              <w:rPr>
                <w:color w:val="000000"/>
                <w:lang w:val="en-US"/>
              </w:rPr>
            </w:pPr>
            <w:r w:rsidRPr="00164C26">
              <w:rPr>
                <w:color w:val="000000"/>
                <w:lang w:val="uk-UA"/>
              </w:rPr>
              <w:t>2</w:t>
            </w:r>
            <w:r w:rsidRPr="00164C26">
              <w:rPr>
                <w:color w:val="000000"/>
              </w:rPr>
              <w:t>12,0 ± 4,0</w:t>
            </w:r>
            <w:r w:rsidRPr="00164C26">
              <w:rPr>
                <w:color w:val="000000"/>
                <w:lang w:val="en-US"/>
              </w:rPr>
              <w:t xml:space="preserve"> **</w:t>
            </w:r>
          </w:p>
        </w:tc>
        <w:tc>
          <w:tcPr>
            <w:tcW w:w="1992" w:type="dxa"/>
            <w:vAlign w:val="center"/>
          </w:tcPr>
          <w:p w14:paraId="73077780" w14:textId="77777777" w:rsidR="00F05F4E" w:rsidRPr="00164C26" w:rsidRDefault="00F05F4E" w:rsidP="00A50810">
            <w:pPr>
              <w:rPr>
                <w:color w:val="000000"/>
                <w:highlight w:val="yellow"/>
                <w:lang w:val="en-US"/>
              </w:rPr>
            </w:pPr>
            <w:r w:rsidRPr="00164C26">
              <w:rPr>
                <w:color w:val="000000"/>
              </w:rPr>
              <w:t>229,0 ± 26,0</w:t>
            </w:r>
            <w:r w:rsidRPr="00164C26">
              <w:rPr>
                <w:color w:val="000000"/>
                <w:lang w:val="en-US"/>
              </w:rPr>
              <w:t xml:space="preserve"> **</w:t>
            </w:r>
          </w:p>
        </w:tc>
        <w:tc>
          <w:tcPr>
            <w:tcW w:w="1901" w:type="dxa"/>
            <w:vAlign w:val="center"/>
          </w:tcPr>
          <w:p w14:paraId="00804E35" w14:textId="77777777" w:rsidR="00F05F4E" w:rsidRPr="00164C26" w:rsidRDefault="00F05F4E" w:rsidP="00A50810">
            <w:pPr>
              <w:rPr>
                <w:color w:val="000000"/>
                <w:lang w:val="en-US"/>
              </w:rPr>
            </w:pPr>
            <w:r w:rsidRPr="00164C26">
              <w:rPr>
                <w:color w:val="000000"/>
                <w:lang w:val="uk-UA"/>
              </w:rPr>
              <w:t>2</w:t>
            </w:r>
            <w:r w:rsidRPr="00164C26">
              <w:rPr>
                <w:color w:val="000000"/>
              </w:rPr>
              <w:t>10,0 ± 5,0</w:t>
            </w:r>
            <w:r w:rsidRPr="00164C26">
              <w:rPr>
                <w:color w:val="000000"/>
                <w:lang w:val="en-US"/>
              </w:rPr>
              <w:t xml:space="preserve"> **</w:t>
            </w:r>
          </w:p>
        </w:tc>
        <w:tc>
          <w:tcPr>
            <w:tcW w:w="1575" w:type="dxa"/>
            <w:vAlign w:val="center"/>
          </w:tcPr>
          <w:p w14:paraId="5544FF86" w14:textId="77777777" w:rsidR="00F05F4E" w:rsidRPr="00164C26" w:rsidRDefault="00F05F4E" w:rsidP="00A50810">
            <w:pPr>
              <w:rPr>
                <w:color w:val="000000"/>
                <w:lang w:val="en-US"/>
              </w:rPr>
            </w:pPr>
            <w:r w:rsidRPr="00164C26">
              <w:rPr>
                <w:color w:val="000000"/>
              </w:rPr>
              <w:t>225,0±31,0</w:t>
            </w:r>
            <w:r w:rsidRPr="00164C26">
              <w:rPr>
                <w:color w:val="000000"/>
                <w:lang w:val="en-US"/>
              </w:rPr>
              <w:t xml:space="preserve"> **</w:t>
            </w:r>
          </w:p>
        </w:tc>
      </w:tr>
      <w:tr w:rsidR="00F05F4E" w:rsidRPr="00164C26" w14:paraId="31DF6D65" w14:textId="77777777" w:rsidTr="00A50810">
        <w:trPr>
          <w:trHeight w:val="81"/>
        </w:trPr>
        <w:tc>
          <w:tcPr>
            <w:tcW w:w="550" w:type="dxa"/>
            <w:vAlign w:val="center"/>
          </w:tcPr>
          <w:p w14:paraId="0038FD2B"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8</w:t>
            </w:r>
          </w:p>
        </w:tc>
        <w:tc>
          <w:tcPr>
            <w:tcW w:w="1441" w:type="dxa"/>
            <w:vAlign w:val="center"/>
          </w:tcPr>
          <w:p w14:paraId="25551272"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СГ</w:t>
            </w:r>
          </w:p>
        </w:tc>
        <w:tc>
          <w:tcPr>
            <w:tcW w:w="1896" w:type="dxa"/>
            <w:vAlign w:val="center"/>
          </w:tcPr>
          <w:p w14:paraId="4BB15F41" w14:textId="77777777" w:rsidR="00F05F4E" w:rsidRPr="00164C26" w:rsidRDefault="00F05F4E" w:rsidP="00A50810">
            <w:pPr>
              <w:rPr>
                <w:color w:val="000000"/>
                <w:lang w:val="en-US"/>
              </w:rPr>
            </w:pPr>
            <w:r w:rsidRPr="00164C26">
              <w:rPr>
                <w:color w:val="000000"/>
              </w:rPr>
              <w:t>163,0 ± 4,0</w:t>
            </w:r>
            <w:r w:rsidRPr="00164C26">
              <w:rPr>
                <w:color w:val="000000"/>
                <w:lang w:val="en-US"/>
              </w:rPr>
              <w:t xml:space="preserve"> **</w:t>
            </w:r>
          </w:p>
        </w:tc>
        <w:tc>
          <w:tcPr>
            <w:tcW w:w="1992" w:type="dxa"/>
            <w:vAlign w:val="center"/>
          </w:tcPr>
          <w:p w14:paraId="6EA01F8B" w14:textId="77777777" w:rsidR="00F05F4E" w:rsidRPr="00164C26" w:rsidRDefault="00F05F4E" w:rsidP="00A50810">
            <w:pPr>
              <w:rPr>
                <w:color w:val="000000"/>
                <w:lang w:val="en-US"/>
              </w:rPr>
            </w:pPr>
            <w:r w:rsidRPr="00164C26">
              <w:rPr>
                <w:color w:val="000000"/>
              </w:rPr>
              <w:t>161,0 ± 8,0</w:t>
            </w:r>
            <w:r w:rsidRPr="00164C26">
              <w:rPr>
                <w:color w:val="000000"/>
                <w:lang w:val="en-US"/>
              </w:rPr>
              <w:t xml:space="preserve"> **,</w:t>
            </w:r>
            <w:r w:rsidRPr="00164C26">
              <w:rPr>
                <w:color w:val="000000"/>
                <w:vertAlign w:val="superscript"/>
                <w:lang w:val="en-US"/>
              </w:rPr>
              <w:t>##</w:t>
            </w:r>
          </w:p>
        </w:tc>
        <w:tc>
          <w:tcPr>
            <w:tcW w:w="1901" w:type="dxa"/>
            <w:vAlign w:val="center"/>
          </w:tcPr>
          <w:p w14:paraId="0FE71D06" w14:textId="77777777" w:rsidR="00F05F4E" w:rsidRPr="00164C26" w:rsidRDefault="00F05F4E" w:rsidP="00A50810">
            <w:pPr>
              <w:rPr>
                <w:color w:val="000000"/>
                <w:lang w:val="en-US"/>
              </w:rPr>
            </w:pPr>
            <w:r w:rsidRPr="00164C26">
              <w:rPr>
                <w:color w:val="000000"/>
              </w:rPr>
              <w:t>159,0 ± 4,0</w:t>
            </w:r>
            <w:r w:rsidRPr="00164C26">
              <w:rPr>
                <w:color w:val="000000"/>
                <w:lang w:val="en-US"/>
              </w:rPr>
              <w:t xml:space="preserve"> **</w:t>
            </w:r>
          </w:p>
        </w:tc>
        <w:tc>
          <w:tcPr>
            <w:tcW w:w="1575" w:type="dxa"/>
            <w:vAlign w:val="center"/>
          </w:tcPr>
          <w:p w14:paraId="305116AB" w14:textId="77777777" w:rsidR="00F05F4E" w:rsidRPr="00164C26" w:rsidRDefault="00F05F4E" w:rsidP="00A50810">
            <w:pPr>
              <w:rPr>
                <w:color w:val="000000"/>
                <w:lang w:val="en-US"/>
              </w:rPr>
            </w:pPr>
            <w:r w:rsidRPr="00164C26">
              <w:rPr>
                <w:color w:val="000000"/>
              </w:rPr>
              <w:t>159,0±10,0</w:t>
            </w:r>
            <w:r w:rsidRPr="00164C26">
              <w:rPr>
                <w:color w:val="000000"/>
                <w:lang w:val="en-US"/>
              </w:rPr>
              <w:t>**,</w:t>
            </w:r>
            <w:r w:rsidRPr="00164C26">
              <w:rPr>
                <w:color w:val="000000"/>
                <w:vertAlign w:val="superscript"/>
                <w:lang w:val="en-US"/>
              </w:rPr>
              <w:t>#</w:t>
            </w:r>
          </w:p>
        </w:tc>
      </w:tr>
      <w:tr w:rsidR="00F05F4E" w:rsidRPr="00164C26" w14:paraId="4D348435" w14:textId="77777777" w:rsidTr="00A50810">
        <w:trPr>
          <w:trHeight w:val="427"/>
        </w:trPr>
        <w:tc>
          <w:tcPr>
            <w:tcW w:w="550" w:type="dxa"/>
            <w:vAlign w:val="center"/>
          </w:tcPr>
          <w:p w14:paraId="63749C46" w14:textId="77777777" w:rsidR="00F05F4E" w:rsidRPr="00164C26" w:rsidRDefault="00F05F4E" w:rsidP="00A50810">
            <w:pPr>
              <w:widowControl w:val="0"/>
              <w:autoSpaceDE w:val="0"/>
              <w:autoSpaceDN w:val="0"/>
              <w:adjustRightInd w:val="0"/>
              <w:spacing w:line="360" w:lineRule="auto"/>
              <w:rPr>
                <w:lang w:val="uk-UA"/>
              </w:rPr>
            </w:pPr>
            <w:r w:rsidRPr="00164C26">
              <w:rPr>
                <w:lang w:val="uk-UA"/>
              </w:rPr>
              <w:t>9</w:t>
            </w:r>
          </w:p>
        </w:tc>
        <w:tc>
          <w:tcPr>
            <w:tcW w:w="1441" w:type="dxa"/>
            <w:vAlign w:val="center"/>
          </w:tcPr>
          <w:p w14:paraId="0B9C0871" w14:textId="77777777" w:rsidR="00F05F4E" w:rsidRPr="00164C26" w:rsidRDefault="00F05F4E" w:rsidP="00A50810">
            <w:pPr>
              <w:widowControl w:val="0"/>
              <w:autoSpaceDE w:val="0"/>
              <w:autoSpaceDN w:val="0"/>
              <w:adjustRightInd w:val="0"/>
              <w:spacing w:line="360" w:lineRule="auto"/>
              <w:rPr>
                <w:lang w:val="uk-UA"/>
              </w:rPr>
            </w:pPr>
            <w:r w:rsidRPr="00164C26">
              <w:rPr>
                <w:color w:val="000000"/>
              </w:rPr>
              <w:t>SnCl</w:t>
            </w:r>
            <w:r w:rsidRPr="00164C26">
              <w:rPr>
                <w:color w:val="000000"/>
                <w:vertAlign w:val="subscript"/>
              </w:rPr>
              <w:t>2</w:t>
            </w:r>
          </w:p>
        </w:tc>
        <w:tc>
          <w:tcPr>
            <w:tcW w:w="1896" w:type="dxa"/>
            <w:vAlign w:val="center"/>
          </w:tcPr>
          <w:p w14:paraId="7BFC96D0" w14:textId="77777777" w:rsidR="00F05F4E" w:rsidRPr="00164C26" w:rsidRDefault="00F05F4E" w:rsidP="00A50810">
            <w:pPr>
              <w:rPr>
                <w:color w:val="000000"/>
                <w:lang w:val="en-US"/>
              </w:rPr>
            </w:pPr>
            <w:r w:rsidRPr="00164C26">
              <w:rPr>
                <w:color w:val="000000"/>
              </w:rPr>
              <w:t>179,0 ± 3,0</w:t>
            </w:r>
            <w:r w:rsidRPr="00164C26">
              <w:rPr>
                <w:color w:val="000000"/>
                <w:lang w:val="en-US"/>
              </w:rPr>
              <w:t xml:space="preserve"> **,</w:t>
            </w:r>
            <w:r w:rsidRPr="00164C26">
              <w:rPr>
                <w:color w:val="000000"/>
                <w:vertAlign w:val="superscript"/>
                <w:lang w:val="en-US"/>
              </w:rPr>
              <w:t>#</w:t>
            </w:r>
          </w:p>
        </w:tc>
        <w:tc>
          <w:tcPr>
            <w:tcW w:w="1992" w:type="dxa"/>
            <w:vAlign w:val="center"/>
          </w:tcPr>
          <w:p w14:paraId="24329982" w14:textId="77777777" w:rsidR="00F05F4E" w:rsidRPr="00164C26" w:rsidRDefault="00F05F4E" w:rsidP="00A50810">
            <w:pPr>
              <w:rPr>
                <w:color w:val="000000"/>
                <w:lang w:val="en-US"/>
              </w:rPr>
            </w:pPr>
            <w:r w:rsidRPr="00164C26">
              <w:rPr>
                <w:color w:val="000000"/>
              </w:rPr>
              <w:t>200,0 ± 13,0</w:t>
            </w:r>
            <w:r w:rsidRPr="00164C26">
              <w:rPr>
                <w:color w:val="000000"/>
                <w:lang w:val="en-US"/>
              </w:rPr>
              <w:t>**</w:t>
            </w:r>
          </w:p>
        </w:tc>
        <w:tc>
          <w:tcPr>
            <w:tcW w:w="1901" w:type="dxa"/>
            <w:vAlign w:val="center"/>
          </w:tcPr>
          <w:p w14:paraId="4437D217" w14:textId="77777777" w:rsidR="00F05F4E" w:rsidRPr="00164C26" w:rsidRDefault="00F05F4E" w:rsidP="00A50810">
            <w:pPr>
              <w:rPr>
                <w:color w:val="000000"/>
                <w:lang w:val="en-US"/>
              </w:rPr>
            </w:pPr>
            <w:r w:rsidRPr="00164C26">
              <w:rPr>
                <w:color w:val="000000"/>
              </w:rPr>
              <w:t>184,0 ± 5,0</w:t>
            </w:r>
            <w:r w:rsidRPr="00164C26">
              <w:rPr>
                <w:color w:val="000000"/>
                <w:lang w:val="en-US"/>
              </w:rPr>
              <w:t xml:space="preserve"> **</w:t>
            </w:r>
          </w:p>
        </w:tc>
        <w:tc>
          <w:tcPr>
            <w:tcW w:w="1575" w:type="dxa"/>
            <w:vAlign w:val="center"/>
          </w:tcPr>
          <w:p w14:paraId="2C83893C" w14:textId="77777777" w:rsidR="00F05F4E" w:rsidRPr="00164C26" w:rsidRDefault="00F05F4E" w:rsidP="00A50810">
            <w:pPr>
              <w:rPr>
                <w:color w:val="000000"/>
                <w:lang w:val="en-US"/>
              </w:rPr>
            </w:pPr>
            <w:r w:rsidRPr="00164C26">
              <w:rPr>
                <w:color w:val="000000"/>
              </w:rPr>
              <w:t>190,0±14,0</w:t>
            </w:r>
            <w:r w:rsidRPr="00164C26">
              <w:rPr>
                <w:color w:val="000000"/>
                <w:lang w:val="en-US"/>
              </w:rPr>
              <w:t xml:space="preserve"> **</w:t>
            </w:r>
          </w:p>
        </w:tc>
      </w:tr>
    </w:tbl>
    <w:p w14:paraId="6ABA077F" w14:textId="77777777" w:rsidR="00F05F4E" w:rsidRPr="00C57D1F" w:rsidRDefault="00F05F4E" w:rsidP="00352B8A">
      <w:pPr>
        <w:ind w:left="450" w:hanging="450"/>
        <w:jc w:val="both"/>
        <w:rPr>
          <w:lang w:val="uk-UA"/>
        </w:rPr>
      </w:pPr>
      <w:r w:rsidRPr="00C57D1F">
        <w:rPr>
          <w:lang w:val="uk-UA"/>
        </w:rPr>
        <w:t xml:space="preserve">Примітки: </w:t>
      </w:r>
    </w:p>
    <w:p w14:paraId="7DBE80C1" w14:textId="1C419936" w:rsidR="00F05F4E" w:rsidRPr="00C57D1F" w:rsidRDefault="00F05F4E" w:rsidP="00352B8A">
      <w:pPr>
        <w:ind w:left="450" w:hanging="450"/>
        <w:jc w:val="both"/>
        <w:rPr>
          <w:lang w:val="uk-UA"/>
        </w:rPr>
      </w:pPr>
      <w:r w:rsidRPr="00C57D1F">
        <w:rPr>
          <w:lang w:val="uk-UA"/>
        </w:rPr>
        <w:t>1.</w:t>
      </w:r>
      <w:r w:rsidRPr="00C57D1F">
        <w:rPr>
          <w:lang w:val="uk-UA"/>
        </w:rPr>
        <w:tab/>
        <w:t xml:space="preserve">* - p </w:t>
      </w:r>
      <w:r w:rsidRPr="00C57D1F">
        <w:rPr>
          <w:lang w:val="uk-UA"/>
        </w:rPr>
        <w:sym w:font="Symbol" w:char="F03C"/>
      </w:r>
      <w:r w:rsidRPr="00C57D1F">
        <w:rPr>
          <w:lang w:val="uk-UA"/>
        </w:rPr>
        <w:t xml:space="preserve"> 0,05 (статистично значуща різниця у порівнянні з контрольною групою). </w:t>
      </w:r>
    </w:p>
    <w:p w14:paraId="105E625A" w14:textId="4D054114" w:rsidR="00F05F4E" w:rsidRPr="00C57D1F" w:rsidRDefault="00F05F4E" w:rsidP="00352B8A">
      <w:pPr>
        <w:ind w:left="450" w:hanging="450"/>
        <w:jc w:val="both"/>
        <w:rPr>
          <w:lang w:val="uk-UA"/>
        </w:rPr>
      </w:pPr>
      <w:r w:rsidRPr="00C57D1F">
        <w:rPr>
          <w:lang w:val="uk-UA"/>
        </w:rPr>
        <w:t>2.</w:t>
      </w:r>
      <w:r w:rsidRPr="00C57D1F">
        <w:rPr>
          <w:lang w:val="uk-UA"/>
        </w:rPr>
        <w:tab/>
        <w:t>** - р</w:t>
      </w:r>
      <w:r w:rsidRPr="00C57D1F">
        <w:rPr>
          <w:lang w:val="uk-UA"/>
        </w:rPr>
        <w:sym w:font="Symbol" w:char="F03C"/>
      </w:r>
      <w:r w:rsidRPr="00C57D1F">
        <w:rPr>
          <w:lang w:val="uk-UA"/>
        </w:rPr>
        <w:t>0,01 (статистично значуща різниця у порівнянні з контрольною групою).</w:t>
      </w:r>
    </w:p>
    <w:p w14:paraId="0FEFE273" w14:textId="249B6AAC" w:rsidR="00F05F4E" w:rsidRPr="00C57D1F" w:rsidRDefault="00F05F4E" w:rsidP="00352B8A">
      <w:pPr>
        <w:ind w:left="450" w:hanging="450"/>
        <w:jc w:val="both"/>
        <w:rPr>
          <w:lang w:val="uk-UA"/>
        </w:rPr>
      </w:pPr>
      <w:r w:rsidRPr="00C57D1F">
        <w:rPr>
          <w:lang w:val="uk-UA"/>
        </w:rPr>
        <w:t>3.</w:t>
      </w:r>
      <w:r w:rsidRPr="00C57D1F">
        <w:rPr>
          <w:lang w:val="uk-UA"/>
        </w:rPr>
        <w:tab/>
        <w:t xml:space="preserve"># - p </w:t>
      </w:r>
      <w:r w:rsidRPr="00C57D1F">
        <w:rPr>
          <w:lang w:val="uk-UA"/>
        </w:rPr>
        <w:sym w:font="Symbol" w:char="F03C"/>
      </w:r>
      <w:r w:rsidRPr="00C57D1F">
        <w:rPr>
          <w:lang w:val="uk-UA"/>
        </w:rPr>
        <w:t xml:space="preserve"> 0,05 (статистично значуща різниця у порівнянні у порівнянні із референс-препаратом вальпроєвою кислотою).</w:t>
      </w:r>
    </w:p>
    <w:p w14:paraId="00CF21C2" w14:textId="3F8C5C7D" w:rsidR="00F05F4E" w:rsidRPr="00C57D1F" w:rsidRDefault="00F05F4E" w:rsidP="00352B8A">
      <w:pPr>
        <w:ind w:left="450" w:hanging="450"/>
        <w:jc w:val="both"/>
        <w:rPr>
          <w:lang w:val="uk-UA"/>
        </w:rPr>
      </w:pPr>
      <w:r w:rsidRPr="00C57D1F">
        <w:rPr>
          <w:lang w:val="uk-UA"/>
        </w:rPr>
        <w:t>4.</w:t>
      </w:r>
      <w:r w:rsidRPr="00C57D1F">
        <w:rPr>
          <w:lang w:val="uk-UA"/>
        </w:rPr>
        <w:tab/>
        <w:t xml:space="preserve">## - p </w:t>
      </w:r>
      <w:r w:rsidRPr="00C57D1F">
        <w:rPr>
          <w:lang w:val="uk-UA"/>
        </w:rPr>
        <w:sym w:font="Symbol" w:char="F03C"/>
      </w:r>
      <w:r w:rsidRPr="00C57D1F">
        <w:rPr>
          <w:lang w:val="uk-UA"/>
        </w:rPr>
        <w:t xml:space="preserve"> 0,01 (статистично значуща різниця у порівнянні у порівнянні із референс-препаратом вальпроєвою кислотою).</w:t>
      </w:r>
    </w:p>
    <w:p w14:paraId="5AA81028" w14:textId="6C992C94" w:rsidR="00F05F4E" w:rsidRPr="00C57D1F" w:rsidRDefault="00F05F4E" w:rsidP="00352B8A">
      <w:pPr>
        <w:ind w:left="450" w:hanging="450"/>
        <w:jc w:val="both"/>
        <w:rPr>
          <w:lang w:val="uk-UA"/>
        </w:rPr>
      </w:pPr>
      <w:r w:rsidRPr="00C57D1F">
        <w:rPr>
          <w:lang w:val="uk-UA"/>
        </w:rPr>
        <w:t>5.</w:t>
      </w:r>
      <w:r w:rsidRPr="00C57D1F">
        <w:rPr>
          <w:lang w:val="uk-UA"/>
        </w:rPr>
        <w:tab/>
        <w:t>n – кількість тварин у групі.</w:t>
      </w:r>
    </w:p>
    <w:p w14:paraId="6FE0599C" w14:textId="29F5211D" w:rsidR="00F05F4E" w:rsidRPr="008A6B7D" w:rsidRDefault="00F05F4E" w:rsidP="001759D5">
      <w:pPr>
        <w:widowControl w:val="0"/>
        <w:spacing w:line="360" w:lineRule="auto"/>
        <w:ind w:firstLine="630"/>
        <w:jc w:val="both"/>
        <w:rPr>
          <w:sz w:val="28"/>
          <w:szCs w:val="28"/>
          <w:lang w:val="uk-UA"/>
        </w:rPr>
      </w:pPr>
      <w:r w:rsidRPr="008A6B7D">
        <w:rPr>
          <w:sz w:val="28"/>
          <w:szCs w:val="28"/>
          <w:lang w:val="uk-UA"/>
        </w:rPr>
        <w:t>Через 3 години після початку експерименту найбільший показник ДКТС спостерігався у саліцілоїлгідразона бензальдегіду, дані статистично перевищували показники групи, якій вводили референс-препарат.</w:t>
      </w:r>
      <w:r w:rsidR="001759D5">
        <w:rPr>
          <w:sz w:val="28"/>
          <w:szCs w:val="28"/>
          <w:lang w:val="uk-UA"/>
        </w:rPr>
        <w:t xml:space="preserve"> </w:t>
      </w:r>
      <w:r w:rsidRPr="008A6B7D">
        <w:rPr>
          <w:sz w:val="28"/>
          <w:szCs w:val="28"/>
          <w:lang w:val="uk-UA"/>
        </w:rPr>
        <w:t>Протисудомна активність, яка практично не поступалася своєю дією референс-препарату – вальпроєвій кислоті за обома показниками (ДКТС та ДТЕ), спостерігалась після введення саліцилової кислоти та хлориду станнуму протягом всього часу експерименту.</w:t>
      </w:r>
    </w:p>
    <w:p w14:paraId="3E63309B" w14:textId="62F07E6E" w:rsidR="00F05F4E" w:rsidRPr="008A6B7D" w:rsidRDefault="00F05F4E" w:rsidP="001759D5">
      <w:pPr>
        <w:spacing w:before="40" w:after="40" w:line="360" w:lineRule="auto"/>
        <w:ind w:right="-7" w:firstLine="851"/>
        <w:jc w:val="both"/>
        <w:rPr>
          <w:sz w:val="28"/>
          <w:szCs w:val="28"/>
          <w:lang w:val="uk-UA"/>
        </w:rPr>
      </w:pPr>
      <w:r w:rsidRPr="008A6B7D">
        <w:rPr>
          <w:sz w:val="28"/>
          <w:szCs w:val="28"/>
          <w:lang w:val="uk-UA"/>
        </w:rPr>
        <w:t xml:space="preserve">Отже, можна прийти до висновку, що обидві комплексні сполуки проявляють виражений протисудомний ефект впродовж 24 годин експерименту. Таким чином отримані данні підтверджують результати </w:t>
      </w:r>
      <w:r w:rsidRPr="008A6B7D">
        <w:rPr>
          <w:sz w:val="28"/>
          <w:szCs w:val="28"/>
          <w:lang w:val="en-US"/>
        </w:rPr>
        <w:t>Pass</w:t>
      </w:r>
      <w:r w:rsidRPr="008A6B7D">
        <w:rPr>
          <w:sz w:val="28"/>
          <w:szCs w:val="28"/>
          <w:lang w:val="uk-UA"/>
        </w:rPr>
        <w:t>-прогнозу, також, можна припустити, що  протисудомний ефект, комплексних сполук І і ІІ на моделі коразол-індукованих судом, можуть бути пов’язані із активацією ГАМК-ергічної системи.</w:t>
      </w:r>
    </w:p>
    <w:p w14:paraId="6FE37661" w14:textId="432B33DC" w:rsidR="00F05F4E" w:rsidRPr="008A6B7D" w:rsidRDefault="00F05F4E" w:rsidP="00F05F4E">
      <w:pPr>
        <w:spacing w:line="360" w:lineRule="auto"/>
        <w:jc w:val="center"/>
        <w:rPr>
          <w:b/>
          <w:color w:val="000000"/>
          <w:sz w:val="28"/>
          <w:szCs w:val="28"/>
          <w:lang w:val="uk-UA"/>
        </w:rPr>
      </w:pPr>
      <w:r w:rsidRPr="008A6B7D">
        <w:rPr>
          <w:b/>
          <w:color w:val="000000"/>
          <w:sz w:val="28"/>
          <w:szCs w:val="28"/>
          <w:lang w:val="uk-UA"/>
        </w:rPr>
        <w:lastRenderedPageBreak/>
        <w:t>РОЗДІЛ 7</w:t>
      </w:r>
    </w:p>
    <w:p w14:paraId="1E0CF43A" w14:textId="77777777" w:rsidR="00C57D1F" w:rsidRPr="008A6B7D" w:rsidRDefault="00F05F4E" w:rsidP="00C57D1F">
      <w:pPr>
        <w:spacing w:line="360" w:lineRule="auto"/>
        <w:jc w:val="center"/>
        <w:rPr>
          <w:b/>
          <w:color w:val="000000"/>
          <w:sz w:val="28"/>
          <w:szCs w:val="28"/>
          <w:lang w:val="uk-UA"/>
        </w:rPr>
      </w:pPr>
      <w:r w:rsidRPr="008A6B7D">
        <w:rPr>
          <w:b/>
          <w:color w:val="000000"/>
          <w:sz w:val="28"/>
          <w:szCs w:val="28"/>
          <w:lang w:val="uk-UA"/>
        </w:rPr>
        <w:t>АНАЛІЗ ТА УЗАГАЛЬНЕННЯ РЕЗУЛЬТАТІВ ДОСЛІДЖЕННЯ</w:t>
      </w:r>
    </w:p>
    <w:p w14:paraId="1F05FD68" w14:textId="440DA057" w:rsidR="00C57D1F" w:rsidRPr="001759D5" w:rsidRDefault="00C57D1F"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Запальні процеси</w:t>
      </w:r>
      <w:r w:rsidR="00B85935" w:rsidRPr="001759D5">
        <w:rPr>
          <w:rFonts w:eastAsia="Calibri"/>
          <w:sz w:val="28"/>
          <w:szCs w:val="28"/>
          <w:lang w:val="uk-UA"/>
        </w:rPr>
        <w:t>, що часто супроводжуються болем,</w:t>
      </w:r>
      <w:r w:rsidRPr="001759D5">
        <w:rPr>
          <w:rFonts w:eastAsia="Calibri"/>
          <w:sz w:val="28"/>
          <w:szCs w:val="28"/>
          <w:lang w:val="uk-UA"/>
        </w:rPr>
        <w:t xml:space="preserve"> мають великий вплив на здоров’я та якість життя людини. Це є причиною багатьох хронічних захворювань та зростаючого тягаря, що впливає на охорону здоров’я у всьому світі. Відомо, що сьогодні хронічні запальні захворювання є однією із основних причин смерті у світі, причому понад 50 % усіх смертей відносяться до захворювань, що пов’язані із запаленням [</w:t>
      </w:r>
      <w:r w:rsidR="00FE60C3" w:rsidRPr="001759D5">
        <w:rPr>
          <w:rFonts w:eastAsia="Calibri"/>
          <w:sz w:val="28"/>
          <w:szCs w:val="28"/>
          <w:lang w:val="uk-UA"/>
        </w:rPr>
        <w:t>25</w:t>
      </w:r>
      <w:r w:rsidR="00B85935" w:rsidRPr="001759D5">
        <w:rPr>
          <w:rFonts w:eastAsia="Calibri"/>
          <w:sz w:val="28"/>
          <w:szCs w:val="28"/>
          <w:lang w:val="uk-UA"/>
        </w:rPr>
        <w:t>4</w:t>
      </w:r>
      <w:r w:rsidRPr="001759D5">
        <w:rPr>
          <w:rFonts w:eastAsia="Calibri"/>
          <w:sz w:val="28"/>
          <w:szCs w:val="28"/>
          <w:lang w:val="uk-UA"/>
        </w:rPr>
        <w:t xml:space="preserve">]. Хронічне запалення пов’язане не лише з декількома окремими розладами, але і супроводжується різноманітними дуже серйозними фізичними та психічними патологічними станами. </w:t>
      </w:r>
    </w:p>
    <w:p w14:paraId="6D8B4C06" w14:textId="3DC94504" w:rsidR="00C57D1F" w:rsidRPr="001759D5" w:rsidRDefault="00C57D1F"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Запалення та біль мають двонаправлений зв’язок. Від хронічного болю страждає більше 30% дорослих людей в усьому світі [</w:t>
      </w:r>
      <w:r w:rsidR="00FE60C3" w:rsidRPr="001759D5">
        <w:rPr>
          <w:rFonts w:eastAsia="Calibri"/>
          <w:sz w:val="28"/>
          <w:szCs w:val="28"/>
          <w:lang w:val="uk-UA"/>
        </w:rPr>
        <w:t>25</w:t>
      </w:r>
      <w:r w:rsidR="00B85935" w:rsidRPr="001759D5">
        <w:rPr>
          <w:rFonts w:eastAsia="Calibri"/>
          <w:sz w:val="28"/>
          <w:szCs w:val="28"/>
          <w:lang w:val="uk-UA"/>
        </w:rPr>
        <w:t>5</w:t>
      </w:r>
      <w:r w:rsidRPr="001759D5">
        <w:rPr>
          <w:rFonts w:eastAsia="Calibri"/>
          <w:sz w:val="28"/>
          <w:szCs w:val="28"/>
          <w:lang w:val="uk-UA"/>
        </w:rPr>
        <w:t xml:space="preserve">]. Незважаючи на це, сучасні методи лікування хронічного болю є недостатніми. У 2019 році світовий ринок лікування хронічного болю було оцінено у 77,8 млрд. доларів і очікується, що він зросте на 6,5% протягом прогнозованого періоду </w:t>
      </w:r>
      <w:r w:rsidR="00821BED">
        <w:rPr>
          <w:rFonts w:eastAsia="Calibri"/>
          <w:sz w:val="28"/>
          <w:szCs w:val="28"/>
          <w:lang w:val="uk-UA"/>
        </w:rPr>
        <w:br/>
      </w:r>
      <w:r w:rsidRPr="001759D5">
        <w:rPr>
          <w:rFonts w:eastAsia="Calibri"/>
          <w:sz w:val="28"/>
          <w:szCs w:val="28"/>
          <w:lang w:val="uk-UA"/>
        </w:rPr>
        <w:t>(2020-2030) [</w:t>
      </w:r>
      <w:r w:rsidR="00B85935" w:rsidRPr="001759D5">
        <w:rPr>
          <w:rFonts w:eastAsia="Calibri"/>
          <w:sz w:val="28"/>
          <w:szCs w:val="28"/>
          <w:lang w:val="uk-UA"/>
        </w:rPr>
        <w:t>4</w:t>
      </w:r>
      <w:r w:rsidRPr="001759D5">
        <w:rPr>
          <w:rFonts w:eastAsia="Calibri"/>
          <w:sz w:val="28"/>
          <w:szCs w:val="28"/>
          <w:lang w:val="uk-UA"/>
        </w:rPr>
        <w:t>]. Не варто скидати з рахунків емоційний та психічний компонент болю. Психологічний біль - це велика частина хронічного болю, включаючи тривогу з приводу поточного та потенційного дискомфорту, безсоння, депресії, думок про самогубство та горя [</w:t>
      </w:r>
      <w:r w:rsidR="00FE60C3" w:rsidRPr="001759D5">
        <w:rPr>
          <w:rFonts w:eastAsia="Calibri"/>
          <w:sz w:val="28"/>
          <w:szCs w:val="28"/>
          <w:lang w:val="uk-UA"/>
        </w:rPr>
        <w:t>25</w:t>
      </w:r>
      <w:r w:rsidR="00B85935" w:rsidRPr="001759D5">
        <w:rPr>
          <w:rFonts w:eastAsia="Calibri"/>
          <w:sz w:val="28"/>
          <w:szCs w:val="28"/>
          <w:lang w:val="uk-UA"/>
        </w:rPr>
        <w:t>6</w:t>
      </w:r>
      <w:r w:rsidRPr="001759D5">
        <w:rPr>
          <w:rFonts w:eastAsia="Calibri"/>
          <w:sz w:val="28"/>
          <w:szCs w:val="28"/>
          <w:lang w:val="uk-UA"/>
        </w:rPr>
        <w:t xml:space="preserve">]. </w:t>
      </w:r>
    </w:p>
    <w:p w14:paraId="625B72FE" w14:textId="1E2FBEA7" w:rsidR="00C57D1F" w:rsidRPr="001759D5" w:rsidRDefault="00C57D1F"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Терапія больових синдромів полягає у призначенні певних знеболюючих засобів, і в більшості випадків це протизапальні або безрецептурні препарати [</w:t>
      </w:r>
      <w:r w:rsidR="00FE60C3" w:rsidRPr="001759D5">
        <w:rPr>
          <w:rFonts w:eastAsia="Calibri"/>
          <w:sz w:val="28"/>
          <w:szCs w:val="28"/>
          <w:lang w:val="uk-UA"/>
        </w:rPr>
        <w:t>25</w:t>
      </w:r>
      <w:r w:rsidR="00B85935" w:rsidRPr="001759D5">
        <w:rPr>
          <w:rFonts w:eastAsia="Calibri"/>
          <w:sz w:val="28"/>
          <w:szCs w:val="28"/>
          <w:lang w:val="uk-UA"/>
        </w:rPr>
        <w:t>7</w:t>
      </w:r>
      <w:r w:rsidRPr="001759D5">
        <w:rPr>
          <w:rFonts w:eastAsia="Calibri"/>
          <w:sz w:val="28"/>
          <w:szCs w:val="28"/>
          <w:lang w:val="uk-UA"/>
        </w:rPr>
        <w:t>], з меншою часткою використовуються антидепресанти, протисудомні засоби та опіоїди або різні немедикаментозні методи лікування, такі як фізичні вправи , релаксація, фізіотерапія, масаж та інші [</w:t>
      </w:r>
      <w:r w:rsidR="00FE60C3" w:rsidRPr="001759D5">
        <w:rPr>
          <w:rFonts w:eastAsia="Calibri"/>
          <w:sz w:val="28"/>
          <w:szCs w:val="28"/>
          <w:lang w:val="uk-UA"/>
        </w:rPr>
        <w:t>25</w:t>
      </w:r>
      <w:r w:rsidR="00B85935" w:rsidRPr="001759D5">
        <w:rPr>
          <w:rFonts w:eastAsia="Calibri"/>
          <w:sz w:val="28"/>
          <w:szCs w:val="28"/>
          <w:lang w:val="uk-UA"/>
        </w:rPr>
        <w:t>7</w:t>
      </w:r>
      <w:r w:rsidRPr="001759D5">
        <w:rPr>
          <w:rFonts w:eastAsia="Calibri"/>
          <w:sz w:val="28"/>
          <w:szCs w:val="28"/>
          <w:lang w:val="uk-UA"/>
        </w:rPr>
        <w:t>].</w:t>
      </w:r>
    </w:p>
    <w:p w14:paraId="0070866F" w14:textId="77777777" w:rsidR="00C57D1F" w:rsidRPr="001759D5" w:rsidRDefault="00C57D1F"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Оскільки терапія болю та запалення часто потребує використання декількох лікарських засобів, виникає ризик виникнення такого явища, як поліфармації.</w:t>
      </w:r>
    </w:p>
    <w:p w14:paraId="5E1F0D09" w14:textId="05DCAF2D"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lastRenderedPageBreak/>
        <w:t>Одним із перспективних напрямків уникнення поліфармації при станах</w:t>
      </w:r>
      <w:r w:rsidR="00C57D1F" w:rsidRPr="001759D5">
        <w:rPr>
          <w:rFonts w:eastAsia="Calibri"/>
          <w:sz w:val="28"/>
          <w:szCs w:val="28"/>
          <w:lang w:val="uk-UA"/>
        </w:rPr>
        <w:t>, що супроводжуються запаленням та болем</w:t>
      </w:r>
      <w:r w:rsidRPr="001759D5">
        <w:rPr>
          <w:rFonts w:eastAsia="Calibri"/>
          <w:sz w:val="28"/>
          <w:szCs w:val="28"/>
          <w:lang w:val="uk-UA"/>
        </w:rPr>
        <w:t xml:space="preserve">, є створення ефективних та безпечних </w:t>
      </w:r>
      <w:r w:rsidR="00C57D1F" w:rsidRPr="001759D5">
        <w:rPr>
          <w:rFonts w:eastAsia="Calibri"/>
          <w:sz w:val="28"/>
          <w:szCs w:val="28"/>
          <w:lang w:val="uk-UA"/>
        </w:rPr>
        <w:t>засобів</w:t>
      </w:r>
      <w:r w:rsidRPr="001759D5">
        <w:rPr>
          <w:rFonts w:eastAsia="Calibri"/>
          <w:sz w:val="28"/>
          <w:szCs w:val="28"/>
          <w:lang w:val="uk-UA"/>
        </w:rPr>
        <w:t xml:space="preserve">, що мають широкий спектр фармакологічної дії. </w:t>
      </w:r>
    </w:p>
    <w:p w14:paraId="6843F818" w14:textId="14E998A3"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 xml:space="preserve">На сьогоднішній день </w:t>
      </w:r>
      <w:r w:rsidR="00C57D1F" w:rsidRPr="001759D5">
        <w:rPr>
          <w:rFonts w:eastAsia="Calibri"/>
          <w:sz w:val="28"/>
          <w:szCs w:val="28"/>
          <w:lang w:val="uk-UA"/>
        </w:rPr>
        <w:t xml:space="preserve">в Україні </w:t>
      </w:r>
      <w:r w:rsidRPr="001759D5">
        <w:rPr>
          <w:rFonts w:eastAsia="Calibri"/>
          <w:sz w:val="28"/>
          <w:szCs w:val="28"/>
          <w:lang w:val="uk-UA"/>
        </w:rPr>
        <w:t xml:space="preserve">відсутні препарати, що поєднують у собі </w:t>
      </w:r>
      <w:r w:rsidR="00C57D1F" w:rsidRPr="001759D5">
        <w:rPr>
          <w:rFonts w:eastAsia="Calibri"/>
          <w:sz w:val="28"/>
          <w:szCs w:val="28"/>
          <w:lang w:val="uk-UA"/>
        </w:rPr>
        <w:t xml:space="preserve">протизапальний, аналгетичний, антипіретичний, </w:t>
      </w:r>
      <w:r w:rsidRPr="001759D5">
        <w:rPr>
          <w:rFonts w:eastAsia="Calibri"/>
          <w:sz w:val="28"/>
          <w:szCs w:val="28"/>
          <w:lang w:val="uk-UA"/>
        </w:rPr>
        <w:t>антидепресивний, протисудомний та анкс</w:t>
      </w:r>
      <w:r w:rsidR="00C57D1F" w:rsidRPr="001759D5">
        <w:rPr>
          <w:rFonts w:eastAsia="Calibri"/>
          <w:sz w:val="28"/>
          <w:szCs w:val="28"/>
          <w:lang w:val="uk-UA"/>
        </w:rPr>
        <w:t>и</w:t>
      </w:r>
      <w:r w:rsidRPr="001759D5">
        <w:rPr>
          <w:rFonts w:eastAsia="Calibri"/>
          <w:sz w:val="28"/>
          <w:szCs w:val="28"/>
          <w:lang w:val="uk-UA"/>
        </w:rPr>
        <w:t>олітичний ефекти одночасно.</w:t>
      </w:r>
    </w:p>
    <w:p w14:paraId="1291AB28" w14:textId="4EAB4FAE"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 xml:space="preserve">Тому з метою розширення асортименту вітчизняного фармацевтичного ринку є створення нового комплексного препарату з широким спектром нейротропної активності для лікування </w:t>
      </w:r>
      <w:r w:rsidR="00C57D1F" w:rsidRPr="001759D5">
        <w:rPr>
          <w:rFonts w:eastAsia="Calibri"/>
          <w:sz w:val="28"/>
          <w:szCs w:val="28"/>
          <w:lang w:val="uk-UA"/>
        </w:rPr>
        <w:t xml:space="preserve">запальний та больових </w:t>
      </w:r>
      <w:r w:rsidRPr="001759D5">
        <w:rPr>
          <w:rFonts w:eastAsia="Calibri"/>
          <w:sz w:val="28"/>
          <w:szCs w:val="28"/>
          <w:lang w:val="uk-UA"/>
        </w:rPr>
        <w:t>станів,</w:t>
      </w:r>
      <w:r w:rsidR="00C57D1F" w:rsidRPr="001759D5">
        <w:rPr>
          <w:rFonts w:eastAsia="Calibri"/>
          <w:sz w:val="28"/>
          <w:szCs w:val="28"/>
          <w:lang w:val="uk-UA"/>
        </w:rPr>
        <w:t xml:space="preserve"> </w:t>
      </w:r>
      <w:r w:rsidRPr="001759D5">
        <w:rPr>
          <w:rFonts w:eastAsia="Calibri"/>
          <w:sz w:val="28"/>
          <w:szCs w:val="28"/>
          <w:lang w:val="uk-UA"/>
        </w:rPr>
        <w:t xml:space="preserve">ускладнених </w:t>
      </w:r>
      <w:r w:rsidR="00C57D1F" w:rsidRPr="001759D5">
        <w:rPr>
          <w:rFonts w:eastAsia="Calibri"/>
          <w:sz w:val="28"/>
          <w:szCs w:val="28"/>
          <w:lang w:val="uk-UA"/>
        </w:rPr>
        <w:t>психічними та фізичними</w:t>
      </w:r>
      <w:r w:rsidRPr="001759D5">
        <w:rPr>
          <w:rFonts w:eastAsia="Calibri"/>
          <w:sz w:val="28"/>
          <w:szCs w:val="28"/>
          <w:lang w:val="uk-UA"/>
        </w:rPr>
        <w:t xml:space="preserve"> розладами.</w:t>
      </w:r>
    </w:p>
    <w:p w14:paraId="795FC95C" w14:textId="77777777"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 xml:space="preserve">Першим етапом наших досліджень стало дослідження токсичної характеристики комплексних сполук SnCl4 з саліцилоїлгідразонами бензальдегіду та 4-бромбензальдегіду. На основі проведених досліджень було встановлено, що середньолетальна доза (ЛД50) при пероральному введенні для обох комплексних сполук становила понад 1750 мг/кг, що дозволило віднести їх до ІV класу токсичності - малотоксичні сполуки дані комплексні сполуки. </w:t>
      </w:r>
    </w:p>
    <w:p w14:paraId="6ABCD896" w14:textId="42CAD28F"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На етапі виявлення фармакологічних властивостей комплексних сполук було проведена серія експериментів метою яких б</w:t>
      </w:r>
      <w:r w:rsidR="00C57D1F" w:rsidRPr="001759D5">
        <w:rPr>
          <w:rFonts w:eastAsia="Calibri"/>
          <w:sz w:val="28"/>
          <w:szCs w:val="28"/>
          <w:lang w:val="uk-UA"/>
        </w:rPr>
        <w:t>у</w:t>
      </w:r>
      <w:r w:rsidRPr="001759D5">
        <w:rPr>
          <w:rFonts w:eastAsia="Calibri"/>
          <w:sz w:val="28"/>
          <w:szCs w:val="28"/>
          <w:lang w:val="uk-UA"/>
        </w:rPr>
        <w:t xml:space="preserve">ло встановлення протизапальної, аналгетичної, антипіретичної, антидепресивної, анксиолітичної, протисудомної та міорелаксантної активностей комплексів. </w:t>
      </w:r>
    </w:p>
    <w:p w14:paraId="69CDF098" w14:textId="34AE7697"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 xml:space="preserve">Також з метою встановлення вкладу у фармакологічну активність комплексів було досліджено фармакологічний ефект сполук, що у своєму складі мали відповідні </w:t>
      </w:r>
      <w:r w:rsidR="00C57D1F" w:rsidRPr="001759D5">
        <w:rPr>
          <w:rFonts w:eastAsia="Calibri"/>
          <w:sz w:val="28"/>
          <w:szCs w:val="28"/>
          <w:lang w:val="uk-UA"/>
        </w:rPr>
        <w:t>ліганди</w:t>
      </w:r>
      <w:r w:rsidRPr="001759D5">
        <w:rPr>
          <w:rFonts w:eastAsia="Calibri"/>
          <w:sz w:val="28"/>
          <w:szCs w:val="28"/>
          <w:lang w:val="uk-UA"/>
        </w:rPr>
        <w:t xml:space="preserve"> функціональних груп, а саме: ліганди саліцилової кислоти, бензальдегідів, солей станнуму та саліцилоїлгідразонів бензальдегіду та 4-бромбензальдегіду. </w:t>
      </w:r>
    </w:p>
    <w:p w14:paraId="0EB79468" w14:textId="77777777"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 xml:space="preserve">З метою встановлення механізму дії комплексних сполук дослідження протизапальної та анальгетичної дій проводили на різних моделях індукції запалення та болю. </w:t>
      </w:r>
    </w:p>
    <w:p w14:paraId="2026AD42" w14:textId="47B4AB23" w:rsidR="001759D5" w:rsidRDefault="00C57D1F"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lastRenderedPageBreak/>
        <w:t>Першим етапом дослідження протизапальної дії комплексів було м</w:t>
      </w:r>
      <w:r w:rsidR="00F05F4E" w:rsidRPr="001759D5">
        <w:rPr>
          <w:rFonts w:eastAsia="Calibri"/>
          <w:sz w:val="28"/>
          <w:szCs w:val="28"/>
          <w:lang w:val="uk-UA"/>
        </w:rPr>
        <w:t>оделлю</w:t>
      </w:r>
      <w:r w:rsidRPr="001759D5">
        <w:rPr>
          <w:rFonts w:eastAsia="Calibri"/>
          <w:sz w:val="28"/>
          <w:szCs w:val="28"/>
          <w:lang w:val="uk-UA"/>
        </w:rPr>
        <w:t>вання</w:t>
      </w:r>
      <w:r w:rsidR="00F05F4E" w:rsidRPr="001759D5">
        <w:rPr>
          <w:rFonts w:eastAsia="Calibri"/>
          <w:sz w:val="28"/>
          <w:szCs w:val="28"/>
          <w:lang w:val="uk-UA"/>
        </w:rPr>
        <w:t xml:space="preserve"> гострого ексудативного запалення, що було викликано введенням трипсину, який в свою чергу провокує активацію протеїназ-активуючих 2-рецепторів (PAR-2), а ті, в свою чергу, активують синтез циклооксигенази-2 [2</w:t>
      </w:r>
      <w:r w:rsidR="00B85935" w:rsidRPr="001759D5">
        <w:rPr>
          <w:rFonts w:eastAsia="Calibri"/>
          <w:sz w:val="28"/>
          <w:szCs w:val="28"/>
          <w:lang w:val="uk-UA"/>
        </w:rPr>
        <w:t>58</w:t>
      </w:r>
      <w:r w:rsidR="00F05F4E" w:rsidRPr="001759D5">
        <w:rPr>
          <w:rFonts w:eastAsia="Calibri"/>
          <w:sz w:val="28"/>
          <w:szCs w:val="28"/>
          <w:lang w:val="uk-UA"/>
        </w:rPr>
        <w:t>]. Згідно з даними, зазначеними літературними джерелами, відомо, що трипсин вплива</w:t>
      </w:r>
      <w:r w:rsidRPr="001759D5">
        <w:rPr>
          <w:rFonts w:eastAsia="Calibri"/>
          <w:sz w:val="28"/>
          <w:szCs w:val="28"/>
          <w:lang w:val="uk-UA"/>
        </w:rPr>
        <w:t>є</w:t>
      </w:r>
      <w:r w:rsidR="00F05F4E" w:rsidRPr="001759D5">
        <w:rPr>
          <w:rFonts w:eastAsia="Calibri"/>
          <w:sz w:val="28"/>
          <w:szCs w:val="28"/>
          <w:lang w:val="uk-UA"/>
        </w:rPr>
        <w:t xml:space="preserve"> на PAR-2 рецептори, тим самим активуючи іонний TRPA1 канал [2</w:t>
      </w:r>
      <w:r w:rsidR="00B85935" w:rsidRPr="001759D5">
        <w:rPr>
          <w:rFonts w:eastAsia="Calibri"/>
          <w:sz w:val="28"/>
          <w:szCs w:val="28"/>
          <w:lang w:val="uk-UA"/>
        </w:rPr>
        <w:t>59</w:t>
      </w:r>
      <w:r w:rsidR="00F05F4E" w:rsidRPr="001759D5">
        <w:rPr>
          <w:rFonts w:eastAsia="Calibri"/>
          <w:sz w:val="28"/>
          <w:szCs w:val="28"/>
          <w:lang w:val="uk-UA"/>
        </w:rPr>
        <w:t>].</w:t>
      </w:r>
    </w:p>
    <w:p w14:paraId="2F2A7288" w14:textId="77777777" w:rsidR="001759D5" w:rsidRDefault="00F05F4E" w:rsidP="001759D5">
      <w:pPr>
        <w:adjustRightInd w:val="0"/>
        <w:snapToGrid w:val="0"/>
        <w:spacing w:line="360" w:lineRule="auto"/>
        <w:ind w:firstLine="708"/>
        <w:contextualSpacing/>
        <w:jc w:val="both"/>
        <w:rPr>
          <w:sz w:val="28"/>
          <w:szCs w:val="28"/>
          <w:lang w:val="uk-UA"/>
        </w:rPr>
      </w:pPr>
      <w:r w:rsidRPr="008A6B7D">
        <w:rPr>
          <w:sz w:val="28"/>
          <w:szCs w:val="28"/>
          <w:lang w:val="uk-UA"/>
        </w:rPr>
        <w:t>Отримані данні свідчать про те, що вже через годину після початку експерименту спостерігався високий протизапальний ефект обох комплексних сполук. Особливо ефективним протизапальним засобом варто вважати комплексну сполуку ІІ, так, показники об</w:t>
      </w:r>
      <w:r w:rsidRPr="001759D5">
        <w:rPr>
          <w:sz w:val="28"/>
          <w:szCs w:val="28"/>
          <w:lang w:val="uk-UA"/>
        </w:rPr>
        <w:t>’</w:t>
      </w:r>
      <w:r w:rsidRPr="008A6B7D">
        <w:rPr>
          <w:sz w:val="28"/>
          <w:szCs w:val="28"/>
          <w:lang w:val="uk-UA"/>
        </w:rPr>
        <w:t xml:space="preserve">єму уражених кінцівок не перевищували 14% через годину після початку експерименту, а вже через 3 години – сягнули інтактних. Саліцилова кислота, яку досліджували для встановлення внеску функціональної групи у структуру комплексу, показала схожу динаміку, але все одно поступалася за ефективністю комплексній сполуці ІІ (волюметричні показники сягнули контрольних лише через 6 годин після початку експерименту). </w:t>
      </w:r>
    </w:p>
    <w:p w14:paraId="333C621C" w14:textId="77777777" w:rsidR="001759D5" w:rsidRDefault="00F05F4E" w:rsidP="001759D5">
      <w:pPr>
        <w:adjustRightInd w:val="0"/>
        <w:snapToGrid w:val="0"/>
        <w:spacing w:line="360" w:lineRule="auto"/>
        <w:ind w:firstLine="708"/>
        <w:contextualSpacing/>
        <w:jc w:val="both"/>
        <w:rPr>
          <w:sz w:val="28"/>
          <w:szCs w:val="28"/>
          <w:lang w:val="uk-UA"/>
        </w:rPr>
      </w:pPr>
      <w:r w:rsidRPr="008A6B7D">
        <w:rPr>
          <w:sz w:val="28"/>
          <w:szCs w:val="28"/>
          <w:lang w:val="uk-UA"/>
        </w:rPr>
        <w:t>Дослідження протизапальної активності 4-бромбензальдегіду показало, що за своєю ефективністю дана сполука не поступається саліциловій кислоті. В</w:t>
      </w:r>
      <w:r w:rsidR="00C57D1F" w:rsidRPr="008A6B7D">
        <w:rPr>
          <w:sz w:val="28"/>
          <w:szCs w:val="28"/>
          <w:lang w:val="uk-UA"/>
        </w:rPr>
        <w:t>і</w:t>
      </w:r>
      <w:r w:rsidRPr="008A6B7D">
        <w:rPr>
          <w:sz w:val="28"/>
          <w:szCs w:val="28"/>
          <w:lang w:val="uk-UA"/>
        </w:rPr>
        <w:t xml:space="preserve">рогідно, що високий протизапальний ефект комплексної сполуки ІІ обумовлено синергізмом дії 4-бромбензальдегіду та саліцилової кислоти. </w:t>
      </w:r>
    </w:p>
    <w:p w14:paraId="16FE1A00" w14:textId="77777777" w:rsidR="001759D5" w:rsidRDefault="00F05F4E" w:rsidP="001759D5">
      <w:pPr>
        <w:adjustRightInd w:val="0"/>
        <w:snapToGrid w:val="0"/>
        <w:spacing w:line="360" w:lineRule="auto"/>
        <w:ind w:firstLine="708"/>
        <w:contextualSpacing/>
        <w:jc w:val="both"/>
        <w:rPr>
          <w:sz w:val="28"/>
          <w:szCs w:val="28"/>
          <w:lang w:val="uk-UA"/>
        </w:rPr>
      </w:pPr>
      <w:r w:rsidRPr="008A6B7D">
        <w:rPr>
          <w:sz w:val="28"/>
          <w:szCs w:val="28"/>
          <w:lang w:val="uk-UA"/>
        </w:rPr>
        <w:t>Показники, отриманні в результаті дослідження протизапальної активності комплексної сполуки І на моделі трипси-індукованого запалення</w:t>
      </w:r>
      <w:r w:rsidR="00C57D1F" w:rsidRPr="008A6B7D">
        <w:rPr>
          <w:sz w:val="28"/>
          <w:szCs w:val="28"/>
          <w:lang w:val="uk-UA"/>
        </w:rPr>
        <w:t xml:space="preserve"> </w:t>
      </w:r>
      <w:r w:rsidRPr="008A6B7D">
        <w:rPr>
          <w:sz w:val="28"/>
          <w:szCs w:val="28"/>
          <w:lang w:val="uk-UA"/>
        </w:rPr>
        <w:t>свідчать про те, що дана сполука також проявляє протизапальну активність, але поступається за ефективністю комплексній сполуці ІІ. Так, через годину після початку експерименту показники приросту на 27% перевищували показники комплексу ІІ, через 2 години показники «зрівнялись», та через 3 години експерименту показники об</w:t>
      </w:r>
      <w:r w:rsidR="00C57D1F" w:rsidRPr="008A6B7D">
        <w:rPr>
          <w:sz w:val="28"/>
          <w:szCs w:val="28"/>
          <w:lang w:val="uk-UA"/>
        </w:rPr>
        <w:t>’</w:t>
      </w:r>
      <w:r w:rsidRPr="008A6B7D">
        <w:rPr>
          <w:sz w:val="28"/>
          <w:szCs w:val="28"/>
          <w:lang w:val="uk-UA"/>
        </w:rPr>
        <w:t xml:space="preserve">єму запалених кінцівок сягнули інтактних. </w:t>
      </w:r>
    </w:p>
    <w:p w14:paraId="5DD1AD30" w14:textId="6D697022" w:rsidR="001759D5" w:rsidRDefault="00F05F4E" w:rsidP="001759D5">
      <w:pPr>
        <w:adjustRightInd w:val="0"/>
        <w:snapToGrid w:val="0"/>
        <w:spacing w:line="360" w:lineRule="auto"/>
        <w:ind w:firstLine="708"/>
        <w:contextualSpacing/>
        <w:jc w:val="both"/>
        <w:rPr>
          <w:sz w:val="28"/>
          <w:szCs w:val="28"/>
          <w:lang w:val="uk-UA"/>
        </w:rPr>
      </w:pPr>
      <w:r w:rsidRPr="008A6B7D">
        <w:rPr>
          <w:sz w:val="28"/>
          <w:szCs w:val="28"/>
          <w:lang w:val="uk-UA"/>
        </w:rPr>
        <w:t>Наступним етапом дослідження протиз</w:t>
      </w:r>
      <w:r w:rsidR="00C57D1F" w:rsidRPr="008A6B7D">
        <w:rPr>
          <w:sz w:val="28"/>
          <w:szCs w:val="28"/>
          <w:lang w:val="uk-UA"/>
        </w:rPr>
        <w:t>а</w:t>
      </w:r>
      <w:r w:rsidRPr="008A6B7D">
        <w:rPr>
          <w:sz w:val="28"/>
          <w:szCs w:val="28"/>
          <w:lang w:val="uk-UA"/>
        </w:rPr>
        <w:t xml:space="preserve">пальної активності комплексів І і ІІ, а також сполук, що вивчалися, для встановлення вкладу </w:t>
      </w:r>
      <w:r w:rsidR="00C57D1F" w:rsidRPr="008A6B7D">
        <w:rPr>
          <w:sz w:val="28"/>
          <w:szCs w:val="28"/>
          <w:lang w:val="uk-UA"/>
        </w:rPr>
        <w:t>лігандів</w:t>
      </w:r>
      <w:r w:rsidRPr="008A6B7D">
        <w:rPr>
          <w:sz w:val="28"/>
          <w:szCs w:val="28"/>
          <w:lang w:val="uk-UA"/>
        </w:rPr>
        <w:t xml:space="preserve"> у </w:t>
      </w:r>
      <w:r w:rsidRPr="008A6B7D">
        <w:rPr>
          <w:sz w:val="28"/>
          <w:szCs w:val="28"/>
          <w:lang w:val="uk-UA"/>
        </w:rPr>
        <w:lastRenderedPageBreak/>
        <w:t xml:space="preserve">структуру комплексів, була модель гістамін-індукованого запалення. Гістамін є біогенним аміном, введення якого у товщу лапи щура викликає активацію гістамінового рецептора Н1 </w:t>
      </w:r>
      <w:r w:rsidRPr="001759D5">
        <w:rPr>
          <w:sz w:val="28"/>
          <w:szCs w:val="28"/>
          <w:lang w:val="uk-UA"/>
        </w:rPr>
        <w:t>[</w:t>
      </w:r>
      <w:r w:rsidRPr="008A6B7D">
        <w:rPr>
          <w:sz w:val="28"/>
          <w:szCs w:val="28"/>
          <w:lang w:val="uk-UA"/>
        </w:rPr>
        <w:t>20</w:t>
      </w:r>
      <w:r w:rsidR="00FE60C3" w:rsidRPr="008A6B7D">
        <w:rPr>
          <w:sz w:val="28"/>
          <w:szCs w:val="28"/>
          <w:lang w:val="uk-UA"/>
        </w:rPr>
        <w:t>4</w:t>
      </w:r>
      <w:r w:rsidRPr="001759D5">
        <w:rPr>
          <w:sz w:val="28"/>
          <w:szCs w:val="28"/>
          <w:lang w:val="uk-UA"/>
        </w:rPr>
        <w:t>]</w:t>
      </w:r>
      <w:r w:rsidRPr="008A6B7D">
        <w:rPr>
          <w:sz w:val="28"/>
          <w:szCs w:val="28"/>
          <w:lang w:val="uk-UA"/>
        </w:rPr>
        <w:t>. З літературних джерел відомо, що блокування Н1 рецептору впливає на прояв алергічних реакцій і запального процесу, а деякі антидепресанти, що є спорідненими до ант</w:t>
      </w:r>
      <w:r w:rsidR="00C57D1F" w:rsidRPr="008A6B7D">
        <w:rPr>
          <w:sz w:val="28"/>
          <w:szCs w:val="28"/>
          <w:lang w:val="uk-UA"/>
        </w:rPr>
        <w:t>а</w:t>
      </w:r>
      <w:r w:rsidRPr="008A6B7D">
        <w:rPr>
          <w:sz w:val="28"/>
          <w:szCs w:val="28"/>
          <w:lang w:val="uk-UA"/>
        </w:rPr>
        <w:t xml:space="preserve">гоністів гістамінових рецепторів, здатні проявляти протизапальний та седативний ефект </w:t>
      </w:r>
      <w:r w:rsidRPr="001759D5">
        <w:rPr>
          <w:sz w:val="28"/>
          <w:szCs w:val="28"/>
          <w:lang w:val="uk-UA"/>
        </w:rPr>
        <w:t>[</w:t>
      </w:r>
      <w:r w:rsidR="00B85935" w:rsidRPr="001759D5">
        <w:rPr>
          <w:sz w:val="28"/>
          <w:szCs w:val="28"/>
          <w:lang w:val="uk-UA"/>
        </w:rPr>
        <w:t>260,</w:t>
      </w:r>
      <w:r w:rsidR="001759D5">
        <w:rPr>
          <w:sz w:val="28"/>
          <w:szCs w:val="28"/>
          <w:lang w:val="uk-UA"/>
        </w:rPr>
        <w:t xml:space="preserve"> </w:t>
      </w:r>
      <w:r w:rsidR="00B85935" w:rsidRPr="001759D5">
        <w:rPr>
          <w:sz w:val="28"/>
          <w:szCs w:val="28"/>
          <w:lang w:val="uk-UA"/>
        </w:rPr>
        <w:t>261</w:t>
      </w:r>
      <w:r w:rsidRPr="001759D5">
        <w:rPr>
          <w:sz w:val="28"/>
          <w:szCs w:val="28"/>
          <w:lang w:val="uk-UA"/>
        </w:rPr>
        <w:t xml:space="preserve">]. </w:t>
      </w:r>
      <w:r w:rsidRPr="008A6B7D">
        <w:rPr>
          <w:sz w:val="28"/>
          <w:szCs w:val="28"/>
          <w:lang w:val="uk-UA"/>
        </w:rPr>
        <w:t xml:space="preserve">Дослідження показали, що вже через годину після початку експерименту приріст об’єму ураженої кінцівки після введення комплексу II становив 9%, у той час </w:t>
      </w:r>
      <w:r w:rsidR="00C57D1F" w:rsidRPr="008A6B7D">
        <w:rPr>
          <w:sz w:val="28"/>
          <w:szCs w:val="28"/>
          <w:lang w:val="uk-UA"/>
        </w:rPr>
        <w:t>як</w:t>
      </w:r>
      <w:r w:rsidRPr="008A6B7D">
        <w:rPr>
          <w:sz w:val="28"/>
          <w:szCs w:val="28"/>
          <w:lang w:val="uk-UA"/>
        </w:rPr>
        <w:t xml:space="preserve"> вже через 3 години показники об</w:t>
      </w:r>
      <w:r w:rsidR="00C57D1F" w:rsidRPr="008A6B7D">
        <w:rPr>
          <w:sz w:val="28"/>
          <w:szCs w:val="28"/>
          <w:lang w:val="uk-UA"/>
        </w:rPr>
        <w:t>’</w:t>
      </w:r>
      <w:r w:rsidRPr="008A6B7D">
        <w:rPr>
          <w:sz w:val="28"/>
          <w:szCs w:val="28"/>
          <w:lang w:val="uk-UA"/>
        </w:rPr>
        <w:t xml:space="preserve">єму уражених кінцівок сягнули інтактних. Протизапальний ефект 4-бромбензальдегіду статистично відрізнився від показників контрольної групи, що дозволяє зробити висновок про його можливий вклад у протизапальну </w:t>
      </w:r>
      <w:r w:rsidR="00821BED">
        <w:rPr>
          <w:sz w:val="28"/>
          <w:szCs w:val="28"/>
          <w:lang w:val="uk-UA"/>
        </w:rPr>
        <w:br/>
      </w:r>
      <w:r w:rsidRPr="008A6B7D">
        <w:rPr>
          <w:sz w:val="28"/>
          <w:szCs w:val="28"/>
          <w:lang w:val="uk-UA"/>
        </w:rPr>
        <w:t>дію комплексу</w:t>
      </w:r>
      <w:r w:rsidR="00C57D1F" w:rsidRPr="008A6B7D">
        <w:rPr>
          <w:sz w:val="28"/>
          <w:szCs w:val="28"/>
          <w:lang w:val="uk-UA"/>
        </w:rPr>
        <w:t xml:space="preserve"> ІІ</w:t>
      </w:r>
      <w:r w:rsidRPr="008A6B7D">
        <w:rPr>
          <w:sz w:val="28"/>
          <w:szCs w:val="28"/>
          <w:lang w:val="uk-UA"/>
        </w:rPr>
        <w:t>.</w:t>
      </w:r>
    </w:p>
    <w:p w14:paraId="19FDCDB1" w14:textId="00FFC5B6" w:rsidR="001759D5" w:rsidRDefault="00F05F4E" w:rsidP="001759D5">
      <w:pPr>
        <w:adjustRightInd w:val="0"/>
        <w:snapToGrid w:val="0"/>
        <w:spacing w:line="360" w:lineRule="auto"/>
        <w:ind w:firstLine="708"/>
        <w:contextualSpacing/>
        <w:jc w:val="both"/>
        <w:rPr>
          <w:sz w:val="28"/>
          <w:szCs w:val="28"/>
          <w:lang w:val="uk-UA"/>
        </w:rPr>
      </w:pPr>
      <w:r w:rsidRPr="001759D5">
        <w:rPr>
          <w:sz w:val="28"/>
          <w:szCs w:val="28"/>
          <w:lang w:val="uk-UA"/>
        </w:rPr>
        <w:t>Подальші дослідження включали в себе вивчення протизапальної активності комплексних сполук І і ІІ на моделі гострого каррагіні-індукованого запалення, механізмом розвитку якого є індукція прост</w:t>
      </w:r>
      <w:r w:rsidR="00964CB9" w:rsidRPr="001759D5">
        <w:rPr>
          <w:sz w:val="28"/>
          <w:szCs w:val="28"/>
          <w:lang w:val="uk-UA"/>
        </w:rPr>
        <w:t>а</w:t>
      </w:r>
      <w:r w:rsidRPr="001759D5">
        <w:rPr>
          <w:sz w:val="28"/>
          <w:szCs w:val="28"/>
          <w:lang w:val="uk-UA"/>
        </w:rPr>
        <w:t>гландинів і</w:t>
      </w:r>
      <w:r w:rsidRPr="008A6B7D">
        <w:rPr>
          <w:sz w:val="28"/>
          <w:szCs w:val="28"/>
          <w:lang w:val="uk-UA"/>
        </w:rPr>
        <w:t xml:space="preserve"> ЦОГ-2 </w:t>
      </w:r>
      <w:r w:rsidRPr="001759D5">
        <w:rPr>
          <w:sz w:val="28"/>
          <w:szCs w:val="28"/>
          <w:lang w:val="uk-UA"/>
        </w:rPr>
        <w:t>та участь каллекреіново-кінінової системи [20</w:t>
      </w:r>
      <w:r w:rsidR="00FE60C3" w:rsidRPr="001759D5">
        <w:rPr>
          <w:sz w:val="28"/>
          <w:szCs w:val="28"/>
          <w:lang w:val="uk-UA"/>
        </w:rPr>
        <w:t>1</w:t>
      </w:r>
      <w:r w:rsidRPr="001759D5">
        <w:rPr>
          <w:sz w:val="28"/>
          <w:szCs w:val="28"/>
          <w:lang w:val="uk-UA"/>
        </w:rPr>
        <w:t xml:space="preserve">]. </w:t>
      </w:r>
      <w:r w:rsidRPr="008A6B7D">
        <w:rPr>
          <w:sz w:val="28"/>
          <w:szCs w:val="28"/>
          <w:lang w:val="uk-UA"/>
        </w:rPr>
        <w:t>Вже через добу після введення флогогену</w:t>
      </w:r>
      <w:r w:rsidR="00964CB9" w:rsidRPr="008A6B7D">
        <w:rPr>
          <w:sz w:val="28"/>
          <w:szCs w:val="28"/>
          <w:lang w:val="uk-UA"/>
        </w:rPr>
        <w:t>,</w:t>
      </w:r>
      <w:r w:rsidRPr="008A6B7D">
        <w:rPr>
          <w:sz w:val="28"/>
          <w:szCs w:val="28"/>
          <w:lang w:val="uk-UA"/>
        </w:rPr>
        <w:t xml:space="preserve"> приріст об'єму ураженої кінцівки склав всього 13% у тварин, яким вводили комплекну сполуку ІІ. Надалі волюметричні показники знижувалися і через 5 діб досягли інтактних. Такий самий профіль протизапальної дії як і у комплексної сполуки ІІ, ми спостерігали під час лікування 4-бромбензальдегідом, а саме: стрімке зниження показників запалення на 23% між першою та другою добою лікування, та надалі показники приросту обєму запалених кінцівок статистично не відрізнялись від комплексної сполуки ІІ. </w:t>
      </w:r>
      <w:r w:rsidR="00821BED">
        <w:rPr>
          <w:sz w:val="28"/>
          <w:szCs w:val="28"/>
          <w:lang w:val="uk-UA"/>
        </w:rPr>
        <w:br/>
      </w:r>
      <w:r w:rsidRPr="008A6B7D">
        <w:rPr>
          <w:sz w:val="28"/>
          <w:szCs w:val="28"/>
          <w:lang w:val="uk-UA"/>
        </w:rPr>
        <w:t xml:space="preserve">Комплексна сполука І, як і в попередніх експериментах, поступалася за своєю протизапальною активністю комплексу ІІ, таким чином приріст об’єму кінцівки через 2 доби експерименту складав 24,2%.Взагалі, результати дослідження протизапальної активності на моделях карагінан- і трипсин- індукованого запалення дозволяють припустити, що комплексні сполуки І і ІІ </w:t>
      </w:r>
      <w:r w:rsidRPr="008A6B7D">
        <w:rPr>
          <w:sz w:val="28"/>
          <w:szCs w:val="28"/>
          <w:lang w:val="uk-UA"/>
        </w:rPr>
        <w:lastRenderedPageBreak/>
        <w:t>блокують ЦОГ-2, що в подальшому призводить до зменшення порушень мікроциркуляції та стабілізує проникність стінок судин у осередку запалення [2</w:t>
      </w:r>
      <w:r w:rsidR="00FE60C3" w:rsidRPr="008A6B7D">
        <w:rPr>
          <w:sz w:val="28"/>
          <w:szCs w:val="28"/>
          <w:lang w:val="uk-UA"/>
        </w:rPr>
        <w:t>6</w:t>
      </w:r>
      <w:r w:rsidR="00B85935" w:rsidRPr="008A6B7D">
        <w:rPr>
          <w:sz w:val="28"/>
          <w:szCs w:val="28"/>
          <w:lang w:val="uk-UA"/>
        </w:rPr>
        <w:t>2</w:t>
      </w:r>
      <w:r w:rsidRPr="008A6B7D">
        <w:rPr>
          <w:sz w:val="28"/>
          <w:szCs w:val="28"/>
          <w:lang w:val="uk-UA"/>
        </w:rPr>
        <w:t>].</w:t>
      </w:r>
    </w:p>
    <w:p w14:paraId="4D0E8B43" w14:textId="0DD0B008"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8A6B7D">
        <w:rPr>
          <w:sz w:val="28"/>
          <w:szCs w:val="28"/>
          <w:lang w:val="uk-UA"/>
        </w:rPr>
        <w:t xml:space="preserve">Імовірно, що ефективна фармакотерапія запального процесу потребує використання знеболюючих засобів і антипіретичних засобів. Саме тому, нами було вивчено аналгетичний та жарознижувальний ефект комплексних сполук </w:t>
      </w:r>
      <w:r w:rsidRPr="001759D5">
        <w:rPr>
          <w:sz w:val="28"/>
          <w:szCs w:val="28"/>
          <w:lang w:val="uk-UA"/>
        </w:rPr>
        <w:t xml:space="preserve">SnCl4 </w:t>
      </w:r>
      <w:r w:rsidRPr="008A6B7D">
        <w:rPr>
          <w:sz w:val="28"/>
          <w:szCs w:val="28"/>
          <w:lang w:val="uk-UA"/>
        </w:rPr>
        <w:t xml:space="preserve">з саліцилоїлгідразонами бензальдегіду і 4-бромбензальдегіду на різних моделях хімічного і термічного запалення при місцевому введені. </w:t>
      </w:r>
    </w:p>
    <w:p w14:paraId="42017191" w14:textId="53AD157D"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Для відтворення термічного подразнення було обрано тест «гаряча пластина», який має не тільки спінальною рефлекторною реакцією, а являє собою складну вольову поведінку [</w:t>
      </w:r>
      <w:r w:rsidR="00FE60C3" w:rsidRPr="001759D5">
        <w:rPr>
          <w:rFonts w:eastAsia="Calibri"/>
          <w:sz w:val="28"/>
          <w:szCs w:val="28"/>
          <w:lang w:val="uk-UA"/>
        </w:rPr>
        <w:t>219</w:t>
      </w:r>
      <w:r w:rsidRPr="001759D5">
        <w:rPr>
          <w:rFonts w:eastAsia="Calibri"/>
          <w:sz w:val="28"/>
          <w:szCs w:val="28"/>
          <w:lang w:val="uk-UA"/>
        </w:rPr>
        <w:t xml:space="preserve">]. </w:t>
      </w:r>
    </w:p>
    <w:p w14:paraId="4C6E948D" w14:textId="77777777"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Отримані результати в тесті «гаряча пластина» свідчать про те, що комплексні сполуки І і ІІ, а також сполуки, що досліджувались, є ефективними засобами на моделі термічного подразнення на рівні референс-препарату анестезину. Оскільки дані, що отримані в результаті дослідження на моделі термічного подразнення не дозволяють у повній мірі детально дослідити аналгетичний ефект, нами були проведені дослідження на різних моделях хімічно індукованного болю.</w:t>
      </w:r>
    </w:p>
    <w:p w14:paraId="4945CD00" w14:textId="77777777"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 xml:space="preserve">Першим етапом дослідження аналгетичного ефекту на моделі хімічного подразнення було обрано «капсаїциновий тест», введення капсаїцину призводить до активації TRPV1 рецепторів та індукує теплову гіпералгезію, що і викликає больову реакцію у піддослідних мишей. </w:t>
      </w:r>
    </w:p>
    <w:p w14:paraId="15D6426F" w14:textId="1CEEF0B4"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 xml:space="preserve">В результаті дослідження було встановлено, що найбільш ефективним аналгетичним засобом була комплексна сполука І, яка за своєю ефективністю перевищувала дію референс-препарату анестезину на 14,5%. Мазі на основі саліцилової кислоти та бензальдегіду також збільшували латентний час розвитку больової реакції та зменшували тривалість облизувань в середньому на 70% у порівнянні з контролем, тим самим впливаючи на TRPV-1 рецептори. Комплексна сполука ІІ поступалася з своєю ефективністю комплексу І, ії </w:t>
      </w:r>
      <w:r w:rsidRPr="001759D5">
        <w:rPr>
          <w:rFonts w:eastAsia="Calibri"/>
          <w:sz w:val="28"/>
          <w:szCs w:val="28"/>
          <w:lang w:val="uk-UA"/>
        </w:rPr>
        <w:lastRenderedPageBreak/>
        <w:t xml:space="preserve">аналгетичний ефект статистично не відрізнявся від дії референс-препарату анестезину. </w:t>
      </w:r>
    </w:p>
    <w:p w14:paraId="57BF5019" w14:textId="6F50863F"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 xml:space="preserve">Подальше вивчення антиноцицептивної активності було проведено у тесті з аллілізотіоционатом, який, в свою чергу є селективним агоністом TRPA1-каналу. Місцеве нанесення мазей на основі комплексних сполук за 15 хвилин до початку експерименту достовірно зменшувало час больової реакції, так для коплексу І дані становили 18,7%, а для комплексної сполуки ІІ </w:t>
      </w:r>
      <w:r w:rsidR="00821BED">
        <w:rPr>
          <w:rFonts w:eastAsia="Calibri"/>
          <w:sz w:val="28"/>
          <w:szCs w:val="28"/>
          <w:lang w:val="uk-UA"/>
        </w:rPr>
        <w:br/>
      </w:r>
      <w:r w:rsidRPr="001759D5">
        <w:rPr>
          <w:rFonts w:eastAsia="Calibri"/>
          <w:sz w:val="28"/>
          <w:szCs w:val="28"/>
          <w:lang w:val="uk-UA"/>
        </w:rPr>
        <w:t xml:space="preserve">44,1% відносно контролю. Очевидно, що і в даному тесті моделювання болю комплексна сполука І є більш ефективною та впливає на TRPA1-рецептори. Дія усіх сполук, що досліджувались для встановлення вкладу у структуру комплексів, статистично не відрізнялась від референс-препарату анестезину. </w:t>
      </w:r>
    </w:p>
    <w:p w14:paraId="6170BCA0" w14:textId="77777777"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Для більш поглибленого розуміння механізмів реалізації комплексними сполуками І і ІІ аналгетичного та протизапального ефектів нами будо досліджено дані фармакологічні активності на моделях індукції болю формаліном.</w:t>
      </w:r>
    </w:p>
    <w:p w14:paraId="3D013565" w14:textId="301E7B1B"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Відомо, що введення формаліну є двофазним процесом, у першій фазі відбувається активація первинних аферентних сенсорних нейронів, що у свою чергу обумовлює гостру больову реакцію, тоді як друга фаза характеризується запальним процесом у переферичних тканинах [</w:t>
      </w:r>
      <w:r w:rsidR="00112A09" w:rsidRPr="001759D5">
        <w:rPr>
          <w:rFonts w:eastAsia="Calibri"/>
          <w:sz w:val="28"/>
          <w:szCs w:val="28"/>
          <w:lang w:val="uk-UA"/>
        </w:rPr>
        <w:t>16</w:t>
      </w:r>
      <w:r w:rsidR="00B85935" w:rsidRPr="001759D5">
        <w:rPr>
          <w:rFonts w:eastAsia="Calibri"/>
          <w:sz w:val="28"/>
          <w:szCs w:val="28"/>
          <w:lang w:val="uk-UA"/>
        </w:rPr>
        <w:t>1</w:t>
      </w:r>
      <w:r w:rsidRPr="001759D5">
        <w:rPr>
          <w:rFonts w:eastAsia="Calibri"/>
          <w:sz w:val="28"/>
          <w:szCs w:val="28"/>
          <w:lang w:val="uk-UA"/>
        </w:rPr>
        <w:t>].</w:t>
      </w:r>
    </w:p>
    <w:p w14:paraId="726A336A" w14:textId="77777777"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 xml:space="preserve">Отже, у результаті дослідження аналгетичної активності комплексних сполук на моделі формалін-індукованого болю було встановлено, що комплексна сполука І проявляла аналгетичну активність на рівні референс-препарату анестезину, у той час як комплексна сполука ІІ поступалася йому у антиноцицептивному ефекті. Але у другій фазі комплексні сполуки SnCl4 з саліцилоїлгідразонами бензальдегіду і 4-бромбензальдегіду показали високу аналгетичну активність, пов’язану із купіюванням болю, спровокованого розвитком запального процесу. Ці дані підтверджують і дослідження протизапальної активності даних комплексних сполук на моделі формалін-індукованого запалення. </w:t>
      </w:r>
    </w:p>
    <w:p w14:paraId="4D96D697" w14:textId="04026D7F"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lastRenderedPageBreak/>
        <w:t>В результаті проведених експериментів також було встановлено, що обидві комплексні сполуки проявляють виражений жарознижуючий ефект на рівні референс-препарату ібупрофену.</w:t>
      </w:r>
    </w:p>
    <w:p w14:paraId="1C93EBF6" w14:textId="77777777"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 xml:space="preserve">Антидепресивну активність лікарських засобів вивчали після перорального введення водно-твінової емульсії досліджуваних сполук через відповідні проміжки часу (1, 3, 5 та 24 години) за тестом Порсолта. Отримані дані свідчать про високу антидепресивну активність комплексів. Варто зазначити, що впродовж 24 годин експерименту час «пасивного плавання» для комплексу ІІ не перевищував 16%. Також, було встановлено, що імовірний внесок у антидепресивну активність комплексів роблять залишки саліцилоїлгідразонів бензальдегіду і 4-бромбензальдегіду, отримані дані свідчать про їх пролонгований ефект впродовж 24 годин експерименту, що перевищував ефективність референс-препарату амітріптіліну, дія якого закінчилась через 5 годин експерименту. </w:t>
      </w:r>
    </w:p>
    <w:p w14:paraId="71CFEFB1" w14:textId="60E51528"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 xml:space="preserve">Дослідження анксиолітичної дії комплексних препаратів саліцилоїлгідразонів бензальдегіду і 4-бромбензальдегіду показали наслоєння фармакологічних ефектів із переважною протитривожною дією. </w:t>
      </w:r>
      <w:r w:rsidR="00C57D1F" w:rsidRPr="001759D5">
        <w:rPr>
          <w:rFonts w:eastAsia="Calibri"/>
          <w:sz w:val="28"/>
          <w:szCs w:val="28"/>
          <w:lang w:val="uk-UA"/>
        </w:rPr>
        <w:t>Оскільки було встановлено, що обидві комплексні сполуки проявляли протизапальний ефект на моделі гістамін-індукованого запалення і в той самий час показали прояв седативного ефекту у тесті ЧБК (зменшення кількості виглядань із темного відсіку камери у світлий), що дозволяє зробити висновки про їх можливий вплив на гістамінові Н1 рецептори.</w:t>
      </w:r>
    </w:p>
    <w:p w14:paraId="512B4366" w14:textId="7F3B0264"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Оскільки існують літературні дані про взаємозв’язок між депресією, дисфункцією лобної долі та епілепсії скроневої долі [</w:t>
      </w:r>
      <w:r w:rsidR="00112A09" w:rsidRPr="001759D5">
        <w:rPr>
          <w:rFonts w:eastAsia="Calibri"/>
          <w:sz w:val="28"/>
          <w:szCs w:val="28"/>
          <w:lang w:val="uk-UA"/>
        </w:rPr>
        <w:t>248, 249</w:t>
      </w:r>
      <w:r w:rsidRPr="001759D5">
        <w:rPr>
          <w:rFonts w:eastAsia="Calibri"/>
          <w:sz w:val="28"/>
          <w:szCs w:val="28"/>
          <w:lang w:val="uk-UA"/>
        </w:rPr>
        <w:t xml:space="preserve">], було доцільним вивчити протисудомний ефект комплексних сполук І і ІІ та встановити вклад функціональних груп у нейротропну активність комплексів. Отже, дослідження протисудомної активності комплексів шляхом моделювання «коразолових» судом показали, що обидві комплексні сполуки є ефективними протисудомними засобами, які за своєю ефективністю не поступаються референс-препарату вальпроєвій кислоті. Є дані, що свідчать про те, що </w:t>
      </w:r>
      <w:r w:rsidRPr="001759D5">
        <w:rPr>
          <w:rFonts w:eastAsia="Calibri"/>
          <w:sz w:val="28"/>
          <w:szCs w:val="28"/>
          <w:lang w:val="uk-UA"/>
        </w:rPr>
        <w:lastRenderedPageBreak/>
        <w:t>введення атому брому в пара-позицію арильного кільця призводить до посилення протисудомної дії – запобігають появі генералізованих клонічно-тонічних судом та появі клоніко-тонічної екстензії [1</w:t>
      </w:r>
      <w:r w:rsidR="00B85935" w:rsidRPr="001759D5">
        <w:rPr>
          <w:rFonts w:eastAsia="Calibri"/>
          <w:sz w:val="28"/>
          <w:szCs w:val="28"/>
          <w:lang w:val="uk-UA"/>
        </w:rPr>
        <w:t>7</w:t>
      </w:r>
      <w:r w:rsidRPr="001759D5">
        <w:rPr>
          <w:rFonts w:eastAsia="Calibri"/>
          <w:sz w:val="28"/>
          <w:szCs w:val="28"/>
          <w:lang w:val="uk-UA"/>
        </w:rPr>
        <w:t xml:space="preserve">]. Результати нашого дослідження підтвердили літературні дані, так було встановлено, що </w:t>
      </w:r>
      <w:r w:rsidR="00821BED">
        <w:rPr>
          <w:rFonts w:eastAsia="Calibri"/>
          <w:sz w:val="28"/>
          <w:szCs w:val="28"/>
          <w:lang w:val="uk-UA"/>
        </w:rPr>
        <w:br/>
      </w:r>
      <w:r w:rsidRPr="001759D5">
        <w:rPr>
          <w:rFonts w:eastAsia="Calibri"/>
          <w:sz w:val="28"/>
          <w:szCs w:val="28"/>
          <w:lang w:val="uk-UA"/>
        </w:rPr>
        <w:t>4-бромбензальдегід і саліцилоїлгідразон 4-бромбензальдегіду проявляють протисудомну дію на рівні референс препарату впродовж 3 годин експерименту і роблять свій внесок у нейротропну активність комплексів.</w:t>
      </w:r>
    </w:p>
    <w:p w14:paraId="08B1C56C" w14:textId="67D88816" w:rsidR="00F05F4E" w:rsidRPr="008A6B7D" w:rsidRDefault="00F05F4E" w:rsidP="001759D5">
      <w:pPr>
        <w:pStyle w:val="a6"/>
        <w:adjustRightInd w:val="0"/>
        <w:snapToGrid w:val="0"/>
        <w:spacing w:before="0" w:beforeAutospacing="0" w:after="0" w:afterAutospacing="0" w:line="360" w:lineRule="auto"/>
        <w:ind w:firstLine="567"/>
        <w:contextualSpacing/>
        <w:jc w:val="both"/>
        <w:rPr>
          <w:sz w:val="28"/>
          <w:szCs w:val="28"/>
          <w:lang w:val="uk-UA"/>
        </w:rPr>
      </w:pPr>
      <w:r w:rsidRPr="008A6B7D">
        <w:rPr>
          <w:sz w:val="28"/>
          <w:szCs w:val="28"/>
          <w:lang w:val="uk-UA"/>
        </w:rPr>
        <w:t xml:space="preserve">Таким чином, на підставі комплексних фармакологічних досліджень було встановлено, що комплексні сполуки </w:t>
      </w:r>
      <w:r w:rsidRPr="001759D5">
        <w:rPr>
          <w:sz w:val="28"/>
          <w:szCs w:val="28"/>
          <w:lang w:val="uk-UA"/>
        </w:rPr>
        <w:t xml:space="preserve">SnCl4 </w:t>
      </w:r>
      <w:r w:rsidRPr="008A6B7D">
        <w:rPr>
          <w:sz w:val="28"/>
          <w:szCs w:val="28"/>
          <w:lang w:val="uk-UA"/>
        </w:rPr>
        <w:t>з саліцилоїлгідразонами бензальдегіду і 4-бромбензальдегіду є ефективними засобами для лікування широкого спектру захворювань. Встановлено, що комплексна сполука ІІ є більш ефективним антидепресивним та протизапальним засобом, у той час, як комплексна сполука І проявляє більш вира</w:t>
      </w:r>
      <w:r w:rsidR="00C57D1F" w:rsidRPr="008A6B7D">
        <w:rPr>
          <w:sz w:val="28"/>
          <w:szCs w:val="28"/>
          <w:lang w:val="uk-UA"/>
        </w:rPr>
        <w:t>зний</w:t>
      </w:r>
      <w:r w:rsidRPr="008A6B7D">
        <w:rPr>
          <w:sz w:val="28"/>
          <w:szCs w:val="28"/>
          <w:lang w:val="uk-UA"/>
        </w:rPr>
        <w:t xml:space="preserve"> протисудомний та аналгетичний ефекти.</w:t>
      </w:r>
      <w:r w:rsidR="00C57D1F" w:rsidRPr="008A6B7D">
        <w:rPr>
          <w:sz w:val="28"/>
          <w:szCs w:val="28"/>
          <w:lang w:val="uk-UA"/>
        </w:rPr>
        <w:t xml:space="preserve"> </w:t>
      </w:r>
    </w:p>
    <w:p w14:paraId="26EF7A88" w14:textId="77777777" w:rsidR="00F05F4E" w:rsidRPr="001759D5" w:rsidRDefault="00F05F4E" w:rsidP="001759D5">
      <w:pPr>
        <w:adjustRightInd w:val="0"/>
        <w:snapToGrid w:val="0"/>
        <w:spacing w:line="360" w:lineRule="auto"/>
        <w:ind w:firstLine="708"/>
        <w:contextualSpacing/>
        <w:jc w:val="both"/>
        <w:rPr>
          <w:rFonts w:eastAsia="Calibri"/>
          <w:sz w:val="28"/>
          <w:szCs w:val="28"/>
          <w:lang w:val="uk-UA"/>
        </w:rPr>
      </w:pPr>
      <w:r w:rsidRPr="001759D5">
        <w:rPr>
          <w:rFonts w:eastAsia="Calibri"/>
          <w:sz w:val="28"/>
          <w:szCs w:val="28"/>
          <w:lang w:val="uk-UA"/>
        </w:rPr>
        <w:t>Проведені експериментальні дослідження доводять доцільність подальшої роботи та розробки препаратів на основі комплексних сполук SnCl4 з саліцилоїлгідразонами бензальдегіду і 4-бромбензальдегіду у комплексній терапії коморбідних депресивних розладів.</w:t>
      </w:r>
    </w:p>
    <w:p w14:paraId="47030B9C" w14:textId="65F0DD96" w:rsidR="00C5074B" w:rsidRPr="008A6B7D" w:rsidRDefault="00C5074B" w:rsidP="001759D5">
      <w:pPr>
        <w:pStyle w:val="a6"/>
        <w:adjustRightInd w:val="0"/>
        <w:snapToGrid w:val="0"/>
        <w:spacing w:before="0" w:beforeAutospacing="0" w:after="0" w:afterAutospacing="0" w:line="360" w:lineRule="auto"/>
        <w:contextualSpacing/>
        <w:jc w:val="both"/>
        <w:rPr>
          <w:sz w:val="28"/>
          <w:szCs w:val="28"/>
          <w:lang w:val="uk-UA"/>
        </w:rPr>
      </w:pPr>
    </w:p>
    <w:p w14:paraId="04A5C9B0" w14:textId="26302BE7" w:rsidR="007C0C3C" w:rsidRPr="008A6B7D" w:rsidRDefault="001759D5" w:rsidP="001759D5">
      <w:pPr>
        <w:spacing w:before="40" w:after="40" w:line="360" w:lineRule="auto"/>
        <w:ind w:right="-7"/>
        <w:jc w:val="center"/>
        <w:rPr>
          <w:b/>
          <w:sz w:val="28"/>
          <w:szCs w:val="28"/>
          <w:lang w:val="uk-UA"/>
        </w:rPr>
      </w:pPr>
      <w:r>
        <w:rPr>
          <w:b/>
          <w:sz w:val="28"/>
          <w:szCs w:val="28"/>
          <w:lang w:val="uk-UA"/>
        </w:rPr>
        <w:br w:type="page"/>
      </w:r>
      <w:r w:rsidR="007C0C3C" w:rsidRPr="008A6B7D">
        <w:rPr>
          <w:b/>
          <w:sz w:val="28"/>
          <w:szCs w:val="28"/>
          <w:lang w:val="uk-UA"/>
        </w:rPr>
        <w:lastRenderedPageBreak/>
        <w:t xml:space="preserve">ВИСНОВКИ </w:t>
      </w:r>
    </w:p>
    <w:p w14:paraId="673709A6" w14:textId="77777777" w:rsidR="007C0C3C" w:rsidRPr="008A6B7D" w:rsidRDefault="007C0C3C" w:rsidP="007C0C3C">
      <w:pPr>
        <w:spacing w:before="40" w:after="40" w:line="360" w:lineRule="auto"/>
        <w:ind w:right="-7"/>
        <w:jc w:val="both"/>
        <w:rPr>
          <w:sz w:val="28"/>
          <w:szCs w:val="28"/>
          <w:lang w:val="uk-UA"/>
        </w:rPr>
      </w:pPr>
      <w:r w:rsidRPr="008A6B7D">
        <w:rPr>
          <w:sz w:val="28"/>
          <w:szCs w:val="28"/>
          <w:lang w:val="uk-UA"/>
        </w:rPr>
        <w:t>У дисертаційній роботі наведено теоретичне обґрунтування та вирішено актуальне завдання фармакології – встановлено спектр фармакологічної активності комплексних сполук SnCl</w:t>
      </w:r>
      <w:r w:rsidRPr="008A6B7D">
        <w:rPr>
          <w:sz w:val="28"/>
          <w:szCs w:val="28"/>
          <w:vertAlign w:val="subscript"/>
          <w:lang w:val="uk-UA"/>
        </w:rPr>
        <w:t xml:space="preserve">4 </w:t>
      </w:r>
      <w:r w:rsidRPr="008A6B7D">
        <w:rPr>
          <w:sz w:val="28"/>
          <w:szCs w:val="28"/>
          <w:lang w:val="uk-UA"/>
        </w:rPr>
        <w:t xml:space="preserve">з саліцилоїлгідразонами бензальдегіду та 4-бромбензальдегіду та експериментально обґрунтовано доцільність подальшої розробки нових лікарських препаратів з широким спектром фармакологічної активності на їхній основі. </w:t>
      </w:r>
    </w:p>
    <w:p w14:paraId="457A25A8" w14:textId="15D7A41A" w:rsidR="007C0C3C" w:rsidRPr="008A6B7D" w:rsidRDefault="007C0C3C" w:rsidP="007C0C3C">
      <w:pPr>
        <w:pStyle w:val="af0"/>
        <w:numPr>
          <w:ilvl w:val="0"/>
          <w:numId w:val="16"/>
        </w:numPr>
        <w:spacing w:line="360" w:lineRule="auto"/>
        <w:ind w:left="270" w:hanging="450"/>
        <w:jc w:val="both"/>
        <w:rPr>
          <w:bCs/>
          <w:sz w:val="28"/>
          <w:szCs w:val="28"/>
          <w:lang w:val="uk-UA"/>
        </w:rPr>
      </w:pPr>
      <w:r w:rsidRPr="008A6B7D">
        <w:rPr>
          <w:bCs/>
          <w:sz w:val="28"/>
          <w:szCs w:val="28"/>
          <w:lang w:val="uk-UA"/>
        </w:rPr>
        <w:t xml:space="preserve">За допомогою </w:t>
      </w:r>
      <w:r w:rsidRPr="008A6B7D">
        <w:rPr>
          <w:bCs/>
          <w:sz w:val="28"/>
          <w:szCs w:val="28"/>
          <w:lang w:val="en-US"/>
        </w:rPr>
        <w:t>PASS</w:t>
      </w:r>
      <w:r w:rsidRPr="008A6B7D">
        <w:rPr>
          <w:bCs/>
          <w:sz w:val="28"/>
          <w:szCs w:val="28"/>
          <w:lang w:val="uk-UA"/>
        </w:rPr>
        <w:t xml:space="preserve">-аналізу сполук, ліганди яких входять до структури досліджуваних комплексів, було спрогнозовано спектр фармакологічної активності комплексів </w:t>
      </w:r>
      <w:r w:rsidRPr="008A6B7D">
        <w:rPr>
          <w:bCs/>
          <w:sz w:val="28"/>
          <w:szCs w:val="28"/>
        </w:rPr>
        <w:t>SnCl</w:t>
      </w:r>
      <w:r w:rsidRPr="008A6B7D">
        <w:rPr>
          <w:bCs/>
          <w:sz w:val="28"/>
          <w:szCs w:val="28"/>
          <w:vertAlign w:val="subscript"/>
          <w:lang w:val="uk-UA"/>
        </w:rPr>
        <w:t>4</w:t>
      </w:r>
      <w:r w:rsidRPr="008A6B7D">
        <w:rPr>
          <w:bCs/>
          <w:sz w:val="28"/>
          <w:szCs w:val="28"/>
          <w:lang w:val="uk-UA"/>
        </w:rPr>
        <w:t xml:space="preserve"> з саліцилоїлгідразонами бензальдегіду та </w:t>
      </w:r>
      <w:r w:rsidR="00821BED">
        <w:rPr>
          <w:bCs/>
          <w:sz w:val="28"/>
          <w:szCs w:val="28"/>
          <w:lang w:val="uk-UA"/>
        </w:rPr>
        <w:br/>
      </w:r>
      <w:r w:rsidRPr="008A6B7D">
        <w:rPr>
          <w:bCs/>
          <w:sz w:val="28"/>
          <w:szCs w:val="28"/>
          <w:lang w:val="uk-UA"/>
        </w:rPr>
        <w:t>4-бромбензальдегіду і встановлено, що дані комплексні сполуки можуть проявляти аналгетичну (Ра</w:t>
      </w:r>
      <w:r w:rsidRPr="008A6B7D">
        <w:rPr>
          <w:bCs/>
          <w:sz w:val="28"/>
          <w:szCs w:val="28"/>
          <w:lang w:val="uk-UA"/>
        </w:rPr>
        <w:sym w:font="Symbol" w:char="F0A3"/>
      </w:r>
      <w:r w:rsidRPr="008A6B7D">
        <w:rPr>
          <w:bCs/>
          <w:sz w:val="28"/>
          <w:szCs w:val="28"/>
          <w:lang w:val="uk-UA"/>
        </w:rPr>
        <w:t>0,504-0,543), протизапальну (Ра</w:t>
      </w:r>
      <w:r w:rsidRPr="008A6B7D">
        <w:rPr>
          <w:bCs/>
          <w:sz w:val="28"/>
          <w:szCs w:val="28"/>
          <w:lang w:val="uk-UA"/>
        </w:rPr>
        <w:sym w:font="Symbol" w:char="F0A3"/>
      </w:r>
      <w:r w:rsidRPr="008A6B7D">
        <w:rPr>
          <w:bCs/>
          <w:sz w:val="28"/>
          <w:szCs w:val="28"/>
          <w:lang w:val="uk-UA"/>
        </w:rPr>
        <w:t>0,233-0,713), протисудомну (Ра</w:t>
      </w:r>
      <w:r w:rsidRPr="008A6B7D">
        <w:rPr>
          <w:bCs/>
          <w:sz w:val="28"/>
          <w:szCs w:val="28"/>
          <w:lang w:val="uk-UA"/>
        </w:rPr>
        <w:sym w:font="Symbol" w:char="F0A3"/>
      </w:r>
      <w:r w:rsidRPr="008A6B7D">
        <w:rPr>
          <w:bCs/>
          <w:sz w:val="28"/>
          <w:szCs w:val="28"/>
          <w:lang w:val="uk-UA"/>
        </w:rPr>
        <w:t>0,201-0,323), антипіретичну (Ра</w:t>
      </w:r>
      <w:r w:rsidRPr="008A6B7D">
        <w:rPr>
          <w:bCs/>
          <w:sz w:val="28"/>
          <w:szCs w:val="28"/>
          <w:lang w:val="uk-UA"/>
        </w:rPr>
        <w:sym w:font="Symbol" w:char="F0A3"/>
      </w:r>
      <w:r w:rsidRPr="008A6B7D">
        <w:rPr>
          <w:bCs/>
          <w:sz w:val="28"/>
          <w:szCs w:val="28"/>
          <w:lang w:val="uk-UA"/>
        </w:rPr>
        <w:t>0,274-0,765) та антидепресантну (Ра</w:t>
      </w:r>
      <w:r w:rsidRPr="008A6B7D">
        <w:rPr>
          <w:bCs/>
          <w:sz w:val="28"/>
          <w:szCs w:val="28"/>
          <w:lang w:val="uk-UA"/>
        </w:rPr>
        <w:sym w:font="Symbol" w:char="F0A3"/>
      </w:r>
      <w:r w:rsidRPr="008A6B7D">
        <w:rPr>
          <w:bCs/>
          <w:sz w:val="28"/>
          <w:szCs w:val="28"/>
          <w:lang w:val="uk-UA"/>
        </w:rPr>
        <w:t>0,182) активності.</w:t>
      </w:r>
    </w:p>
    <w:p w14:paraId="7A037DA3" w14:textId="77777777" w:rsidR="007C0C3C" w:rsidRPr="008A6B7D" w:rsidRDefault="007C0C3C" w:rsidP="007C0C3C">
      <w:pPr>
        <w:pStyle w:val="af0"/>
        <w:numPr>
          <w:ilvl w:val="0"/>
          <w:numId w:val="16"/>
        </w:numPr>
        <w:spacing w:line="360" w:lineRule="auto"/>
        <w:ind w:left="270" w:hanging="450"/>
        <w:jc w:val="both"/>
        <w:rPr>
          <w:bCs/>
          <w:sz w:val="28"/>
          <w:szCs w:val="28"/>
          <w:lang w:val="uk-UA"/>
        </w:rPr>
      </w:pPr>
      <w:r w:rsidRPr="008A6B7D">
        <w:rPr>
          <w:sz w:val="28"/>
          <w:szCs w:val="28"/>
          <w:lang w:val="uk-UA"/>
        </w:rPr>
        <w:t>Встановлено, що комплексні сполуки І та ІІ при пероральному введенні проявляють високу протизапальну активність, не поступаючись за ефективністю референс-препарату ібупрофену, пригнічуючи набряк на моделі формалін-індукованого запалення на 37,7% та 26,2% (перша доба лікування); трипсинового на 28,5% та 57,1% (1 година); гістамінового на 28,8% та 34% (1 година) та каррагінанового на 20,8% та 32% (1 доба) у порівнянні із контролем відповідно. Комплексна сполука ІІ проявляє більш виразну протизапальну дію на моделях формалін-, трипсин- і каррагінан-індукованного запалення, що може свідчити про її вплив на рецептори, які активуються протеїназами та на пригнічення циклооксигеназного шляху запалення.</w:t>
      </w:r>
    </w:p>
    <w:p w14:paraId="72F7CDB9" w14:textId="77777777" w:rsidR="007C0C3C" w:rsidRPr="008A6B7D" w:rsidRDefault="007C0C3C" w:rsidP="007C0C3C">
      <w:pPr>
        <w:pStyle w:val="af0"/>
        <w:numPr>
          <w:ilvl w:val="0"/>
          <w:numId w:val="16"/>
        </w:numPr>
        <w:spacing w:line="360" w:lineRule="auto"/>
        <w:ind w:left="270" w:hanging="450"/>
        <w:jc w:val="both"/>
        <w:rPr>
          <w:sz w:val="28"/>
          <w:szCs w:val="28"/>
          <w:lang w:val="uk-UA"/>
        </w:rPr>
      </w:pPr>
      <w:r w:rsidRPr="008A6B7D">
        <w:rPr>
          <w:sz w:val="28"/>
          <w:szCs w:val="28"/>
          <w:lang w:val="uk-UA"/>
        </w:rPr>
        <w:t xml:space="preserve">Доведено, що комплексні сполуки І і ІІ проявляють виразний аналгетичний ефект на моделях хімічного та термічного ноцицептивного подразнення, зменшуючи час ноцицептивної реакції у 2,5 і 2,3 рази на моделі капсаїцин- та у 1,9 і 2,9 рази на моделі алліл-індукованого болю, відповідно, що дає можливість припустити їх взаємодію з </w:t>
      </w:r>
      <w:r w:rsidRPr="008A6B7D">
        <w:rPr>
          <w:sz w:val="28"/>
          <w:szCs w:val="28"/>
          <w:lang w:val="en-US"/>
        </w:rPr>
        <w:t>TRPA</w:t>
      </w:r>
      <w:r w:rsidRPr="008A6B7D">
        <w:rPr>
          <w:sz w:val="28"/>
          <w:szCs w:val="28"/>
          <w:lang w:val="uk-UA"/>
        </w:rPr>
        <w:t xml:space="preserve">1 і </w:t>
      </w:r>
      <w:r w:rsidRPr="008A6B7D">
        <w:rPr>
          <w:sz w:val="28"/>
          <w:szCs w:val="28"/>
          <w:lang w:val="en-US"/>
        </w:rPr>
        <w:t>TRPV</w:t>
      </w:r>
      <w:r w:rsidRPr="008A6B7D">
        <w:rPr>
          <w:sz w:val="28"/>
          <w:szCs w:val="28"/>
          <w:lang w:val="uk-UA"/>
        </w:rPr>
        <w:t xml:space="preserve">1. Комплексна </w:t>
      </w:r>
      <w:r w:rsidRPr="008A6B7D">
        <w:rPr>
          <w:sz w:val="28"/>
          <w:szCs w:val="28"/>
          <w:lang w:val="uk-UA"/>
        </w:rPr>
        <w:lastRenderedPageBreak/>
        <w:t xml:space="preserve">сполука І переважала за виразністю аналгезії ібупрофен у 1,7 разів в тесті «гаряча пластина». </w:t>
      </w:r>
    </w:p>
    <w:p w14:paraId="279C279F" w14:textId="77777777" w:rsidR="007C0C3C" w:rsidRPr="008A6B7D" w:rsidRDefault="007C0C3C" w:rsidP="007C0C3C">
      <w:pPr>
        <w:pStyle w:val="af0"/>
        <w:numPr>
          <w:ilvl w:val="0"/>
          <w:numId w:val="16"/>
        </w:numPr>
        <w:spacing w:line="360" w:lineRule="auto"/>
        <w:ind w:left="270" w:hanging="450"/>
        <w:jc w:val="both"/>
        <w:rPr>
          <w:sz w:val="28"/>
          <w:szCs w:val="28"/>
          <w:lang w:val="uk-UA"/>
        </w:rPr>
      </w:pPr>
      <w:r w:rsidRPr="008A6B7D">
        <w:rPr>
          <w:sz w:val="28"/>
          <w:szCs w:val="28"/>
          <w:lang w:val="uk-UA"/>
        </w:rPr>
        <w:t>За показниками антидепресантної активності комплексні сполуки SnCl</w:t>
      </w:r>
      <w:r w:rsidRPr="008A6B7D">
        <w:rPr>
          <w:sz w:val="28"/>
          <w:szCs w:val="28"/>
          <w:vertAlign w:val="subscript"/>
          <w:lang w:val="uk-UA"/>
        </w:rPr>
        <w:t xml:space="preserve">4 </w:t>
      </w:r>
      <w:r w:rsidRPr="008A6B7D">
        <w:rPr>
          <w:sz w:val="28"/>
          <w:szCs w:val="28"/>
          <w:lang w:val="uk-UA"/>
        </w:rPr>
        <w:t xml:space="preserve">з саліцилоїлгідразонами бензальдегіду та 4-бромбензальдегіду у тесті активного плавання перевищували показники референс-препарату амітриптиліну у 2 та 6 рази відповідно. Імовірно, реалізація антидепресантного ефекту пов’язана із інгібуванням МАО, про що свідчать результати </w:t>
      </w:r>
      <w:r w:rsidRPr="008A6B7D">
        <w:rPr>
          <w:sz w:val="28"/>
          <w:szCs w:val="28"/>
          <w:lang w:val="en-US"/>
        </w:rPr>
        <w:t>P</w:t>
      </w:r>
      <w:r w:rsidRPr="008A6B7D">
        <w:rPr>
          <w:bCs/>
          <w:sz w:val="28"/>
          <w:szCs w:val="28"/>
          <w:lang w:val="en-US"/>
        </w:rPr>
        <w:t>ASS</w:t>
      </w:r>
      <w:r w:rsidRPr="008A6B7D">
        <w:rPr>
          <w:sz w:val="28"/>
          <w:szCs w:val="28"/>
          <w:lang w:val="uk-UA"/>
        </w:rPr>
        <w:t>-прогнозу. Також було встановлено, що антидепресантна активність комплексних сполук не пов’язана із ї</w:t>
      </w:r>
      <w:r w:rsidRPr="008A6B7D">
        <w:rPr>
          <w:sz w:val="28"/>
          <w:szCs w:val="28"/>
        </w:rPr>
        <w:t>хною</w:t>
      </w:r>
      <w:r w:rsidRPr="008A6B7D">
        <w:rPr>
          <w:sz w:val="28"/>
          <w:szCs w:val="28"/>
          <w:lang w:val="uk-UA"/>
        </w:rPr>
        <w:t xml:space="preserve"> психостимулюючою дією. В дозах 147 мг/кг (комплекс І) і 168 мг/кг (комплекс ІІ) сполуки не виявляли міорелаксантної дії. </w:t>
      </w:r>
    </w:p>
    <w:p w14:paraId="2CA8CA84" w14:textId="77777777" w:rsidR="007C0C3C" w:rsidRPr="008A6B7D" w:rsidRDefault="007C0C3C" w:rsidP="007C0C3C">
      <w:pPr>
        <w:pStyle w:val="af0"/>
        <w:numPr>
          <w:ilvl w:val="0"/>
          <w:numId w:val="16"/>
        </w:numPr>
        <w:spacing w:before="40" w:after="40" w:line="360" w:lineRule="auto"/>
        <w:ind w:left="270" w:right="-7" w:hanging="450"/>
        <w:jc w:val="both"/>
        <w:rPr>
          <w:color w:val="000000"/>
          <w:sz w:val="28"/>
          <w:szCs w:val="28"/>
          <w:lang w:val="uk-UA"/>
        </w:rPr>
      </w:pPr>
      <w:r w:rsidRPr="008A6B7D">
        <w:rPr>
          <w:color w:val="000000"/>
          <w:sz w:val="28"/>
          <w:szCs w:val="28"/>
          <w:lang w:val="uk-UA"/>
        </w:rPr>
        <w:t xml:space="preserve">Було встановлено, що пероральне введення комплексних сполук І і ІІ надає седативний ефект у тесті ВП, що також підтверджується у тесті «ПХЛ» і «ТСК». Введення комплексної сполуки І викликало більш виразний седативний ефект у порівнянні із комплексом ІІ через 3 (11,4%) та 5 (6,8%) годин експерименту. </w:t>
      </w:r>
    </w:p>
    <w:p w14:paraId="626DF5EE" w14:textId="0CBF30F8" w:rsidR="00C57D1F" w:rsidRPr="008A6B7D" w:rsidRDefault="007C0C3C" w:rsidP="007C0C3C">
      <w:pPr>
        <w:pStyle w:val="af0"/>
        <w:numPr>
          <w:ilvl w:val="0"/>
          <w:numId w:val="16"/>
        </w:numPr>
        <w:spacing w:before="40" w:after="40" w:line="360" w:lineRule="auto"/>
        <w:ind w:left="270" w:right="-7" w:hanging="450"/>
        <w:jc w:val="both"/>
        <w:rPr>
          <w:color w:val="000000"/>
          <w:sz w:val="28"/>
          <w:szCs w:val="28"/>
          <w:lang w:val="uk-UA"/>
        </w:rPr>
      </w:pPr>
      <w:r w:rsidRPr="008A6B7D">
        <w:rPr>
          <w:color w:val="000000"/>
          <w:sz w:val="28"/>
          <w:szCs w:val="28"/>
          <w:lang w:val="uk-UA"/>
        </w:rPr>
        <w:t xml:space="preserve">Комплексні сполуки І і ІІ проявляють виразну протисудомну активність по антагонізму з коразолом при його внутрішньовенному введенні </w:t>
      </w:r>
      <w:r w:rsidRPr="008A6B7D">
        <w:rPr>
          <w:sz w:val="28"/>
          <w:szCs w:val="28"/>
          <w:lang w:val="uk-UA"/>
        </w:rPr>
        <w:t>–</w:t>
      </w:r>
      <w:r w:rsidRPr="008A6B7D">
        <w:rPr>
          <w:color w:val="000000"/>
          <w:sz w:val="28"/>
          <w:szCs w:val="28"/>
          <w:lang w:val="uk-UA"/>
        </w:rPr>
        <w:t xml:space="preserve"> через годину після перорального введення протисудомний ефект більш активної сполуки ІІ (похідне саліцилоїлгідразону 4-бромбензальдегіду) за показниками клонічних судом та тонічної екстензії перевищував показники контрольної групи на 58 % та 57,9%, та був співставним з ефектом </w:t>
      </w:r>
      <w:r w:rsidR="00821BED">
        <w:rPr>
          <w:color w:val="000000"/>
          <w:sz w:val="28"/>
          <w:szCs w:val="28"/>
          <w:lang w:val="uk-UA"/>
        </w:rPr>
        <w:br/>
      </w:r>
      <w:r w:rsidRPr="008A6B7D">
        <w:rPr>
          <w:color w:val="000000"/>
          <w:sz w:val="28"/>
          <w:szCs w:val="28"/>
          <w:lang w:val="uk-UA"/>
        </w:rPr>
        <w:t>референс-препарату (вальпроєва кислота).</w:t>
      </w:r>
    </w:p>
    <w:p w14:paraId="019E2B05" w14:textId="4327FCD1" w:rsidR="00C57D1F" w:rsidRDefault="00C57D1F">
      <w:pPr>
        <w:rPr>
          <w:color w:val="000000"/>
          <w:sz w:val="28"/>
          <w:szCs w:val="28"/>
          <w:lang w:val="uk-UA"/>
        </w:rPr>
      </w:pPr>
      <w:r>
        <w:rPr>
          <w:color w:val="000000"/>
          <w:sz w:val="28"/>
          <w:szCs w:val="28"/>
          <w:lang w:val="uk-UA"/>
        </w:rPr>
        <w:br w:type="page"/>
      </w:r>
    </w:p>
    <w:p w14:paraId="6ADC15B0" w14:textId="77777777" w:rsidR="00112A09" w:rsidRDefault="00112A09" w:rsidP="00112A09">
      <w:pPr>
        <w:jc w:val="center"/>
        <w:rPr>
          <w:b/>
          <w:color w:val="000000"/>
          <w:sz w:val="28"/>
          <w:szCs w:val="28"/>
          <w:lang w:val="uk-UA"/>
        </w:rPr>
      </w:pPr>
    </w:p>
    <w:p w14:paraId="1B3065FC" w14:textId="740A38B7" w:rsidR="00F05F4E" w:rsidRDefault="00C57D1F" w:rsidP="00C57D1F">
      <w:pPr>
        <w:pStyle w:val="a6"/>
        <w:spacing w:before="0" w:beforeAutospacing="0" w:after="0" w:afterAutospacing="0" w:line="360" w:lineRule="auto"/>
        <w:jc w:val="center"/>
        <w:rPr>
          <w:b/>
          <w:sz w:val="28"/>
          <w:szCs w:val="28"/>
        </w:rPr>
      </w:pPr>
      <w:r w:rsidRPr="00D04612">
        <w:rPr>
          <w:b/>
          <w:sz w:val="28"/>
          <w:szCs w:val="28"/>
        </w:rPr>
        <w:t>ПЕРЕЛІК ВИКОРИСТАНИХ ДЖЕРЕЛ</w:t>
      </w:r>
    </w:p>
    <w:p w14:paraId="772C49B2" w14:textId="4D0EA8D5" w:rsidR="00B85935" w:rsidRPr="00821BED" w:rsidRDefault="00B85935" w:rsidP="00821BED">
      <w:pPr>
        <w:pStyle w:val="a6"/>
        <w:numPr>
          <w:ilvl w:val="3"/>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Varrassi, Giustino, et al. “Towards an Effective and Safe Treatment of Inflammatory Pain: A Delphi-Guided Expert Consensus.” </w:t>
      </w:r>
      <w:r w:rsidRPr="001759D5">
        <w:rPr>
          <w:rFonts w:eastAsia="Times New Roman"/>
          <w:i/>
          <w:iCs/>
          <w:color w:val="000000"/>
          <w:sz w:val="28"/>
          <w:szCs w:val="28"/>
          <w:lang w:val="en-US"/>
        </w:rPr>
        <w:t>Advances in Therapy</w:t>
      </w:r>
      <w:r w:rsidRPr="001759D5">
        <w:rPr>
          <w:rFonts w:eastAsia="Times New Roman"/>
          <w:color w:val="000000"/>
          <w:sz w:val="28"/>
          <w:szCs w:val="28"/>
          <w:lang w:val="en-US"/>
        </w:rPr>
        <w:t xml:space="preserve">, </w:t>
      </w:r>
      <w:r w:rsidR="00821BED">
        <w:rPr>
          <w:rFonts w:eastAsia="Times New Roman"/>
          <w:color w:val="000000"/>
          <w:sz w:val="28"/>
          <w:szCs w:val="28"/>
          <w:lang w:val="en-US"/>
        </w:rPr>
        <w:br/>
      </w:r>
      <w:r w:rsidRPr="00821BED">
        <w:rPr>
          <w:rFonts w:eastAsia="Times New Roman"/>
          <w:color w:val="000000"/>
          <w:sz w:val="28"/>
          <w:szCs w:val="28"/>
          <w:lang w:val="en-US"/>
        </w:rPr>
        <w:t>vol. 36, no. 10, 2019, pp. 2618–37. </w:t>
      </w:r>
      <w:r w:rsidRPr="00821BED">
        <w:rPr>
          <w:rFonts w:eastAsia="Times New Roman"/>
          <w:i/>
          <w:iCs/>
          <w:color w:val="000000"/>
          <w:sz w:val="28"/>
          <w:szCs w:val="28"/>
          <w:lang w:val="en-US"/>
        </w:rPr>
        <w:t>Crossref</w:t>
      </w:r>
      <w:r w:rsidRPr="00821BED">
        <w:rPr>
          <w:rFonts w:eastAsia="Times New Roman"/>
          <w:color w:val="000000"/>
          <w:sz w:val="28"/>
          <w:szCs w:val="28"/>
          <w:lang w:val="en-US"/>
        </w:rPr>
        <w:t>, doi:10.1007/s12325-019-01053-x.</w:t>
      </w:r>
    </w:p>
    <w:p w14:paraId="39FB4564" w14:textId="1DC6646D" w:rsidR="00B85935" w:rsidRPr="001759D5" w:rsidRDefault="00B85935" w:rsidP="001759D5">
      <w:pPr>
        <w:pStyle w:val="a6"/>
        <w:numPr>
          <w:ilvl w:val="3"/>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Hecke, O. van, et al. “Chronic Pain Epidemiology and Its Clinical Relevance.” </w:t>
      </w:r>
      <w:r w:rsidRPr="001759D5">
        <w:rPr>
          <w:rFonts w:eastAsia="Times New Roman"/>
          <w:i/>
          <w:iCs/>
          <w:color w:val="000000"/>
          <w:sz w:val="28"/>
          <w:szCs w:val="28"/>
          <w:lang w:val="en-US"/>
        </w:rPr>
        <w:t>British Journal of Anaesthesia</w:t>
      </w:r>
      <w:r w:rsidRPr="001759D5">
        <w:rPr>
          <w:rFonts w:eastAsia="Times New Roman"/>
          <w:color w:val="000000"/>
          <w:sz w:val="28"/>
          <w:szCs w:val="28"/>
          <w:lang w:val="en-US"/>
        </w:rPr>
        <w:t xml:space="preserve">, vol. 111, no. 1, 2013, </w:t>
      </w:r>
      <w:r w:rsidR="00821BED">
        <w:rPr>
          <w:rFonts w:eastAsia="Times New Roman"/>
          <w:color w:val="000000"/>
          <w:sz w:val="28"/>
          <w:szCs w:val="28"/>
          <w:lang w:val="en-US"/>
        </w:rPr>
        <w:br/>
      </w:r>
      <w:r w:rsidRPr="001759D5">
        <w:rPr>
          <w:rFonts w:eastAsia="Times New Roman"/>
          <w:color w:val="000000"/>
          <w:sz w:val="28"/>
          <w:szCs w:val="28"/>
          <w:lang w:val="en-US"/>
        </w:rPr>
        <w:t>pp. 13–18.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doi:10.1093/bja/aet123.</w:t>
      </w:r>
    </w:p>
    <w:p w14:paraId="1360FDD5" w14:textId="46CC8068" w:rsidR="00B85935" w:rsidRPr="001759D5" w:rsidRDefault="00B85935" w:rsidP="001759D5">
      <w:pPr>
        <w:pStyle w:val="a6"/>
        <w:numPr>
          <w:ilvl w:val="3"/>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Jackson, Tracy, et al. “A Systematic Review and Meta-Analysis of the Global Burden of Chronic Pain Without Clear Etiology in Low- and Middle-Income Countries.” </w:t>
      </w:r>
      <w:r w:rsidRPr="001759D5">
        <w:rPr>
          <w:rFonts w:eastAsia="Times New Roman"/>
          <w:i/>
          <w:iCs/>
          <w:color w:val="000000"/>
          <w:sz w:val="28"/>
          <w:szCs w:val="28"/>
          <w:lang w:val="en-US"/>
        </w:rPr>
        <w:t>Anesthesia &amp; Analgesia</w:t>
      </w:r>
      <w:r w:rsidRPr="001759D5">
        <w:rPr>
          <w:rFonts w:eastAsia="Times New Roman"/>
          <w:color w:val="000000"/>
          <w:sz w:val="28"/>
          <w:szCs w:val="28"/>
          <w:lang w:val="en-US"/>
        </w:rPr>
        <w:t>, vol. 123, no. 3, 2016, pp. 739–48.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doi:10.1213/ane.0000000000001389.</w:t>
      </w:r>
    </w:p>
    <w:p w14:paraId="0AF69F03" w14:textId="2E66EF19" w:rsidR="00B85935" w:rsidRPr="001759D5" w:rsidRDefault="00B85935" w:rsidP="001759D5">
      <w:pPr>
        <w:pStyle w:val="af0"/>
        <w:numPr>
          <w:ilvl w:val="3"/>
          <w:numId w:val="48"/>
        </w:numPr>
        <w:spacing w:line="360" w:lineRule="auto"/>
        <w:ind w:left="0" w:firstLine="0"/>
        <w:jc w:val="both"/>
        <w:textAlignment w:val="baseline"/>
        <w:rPr>
          <w:color w:val="000000"/>
          <w:sz w:val="28"/>
          <w:szCs w:val="28"/>
          <w:lang w:val="en-US"/>
        </w:rPr>
      </w:pPr>
      <w:r w:rsidRPr="001759D5">
        <w:rPr>
          <w:bCs/>
          <w:color w:val="000000"/>
          <w:sz w:val="28"/>
          <w:szCs w:val="28"/>
          <w:lang w:val="en-US"/>
        </w:rPr>
        <w:t>"Chronic Pain Treatment Market Research Report: By Product, Indication, Application, Distribution Channel, End User - Global Industry Analysis and Growth Forecast to 2030"</w:t>
      </w:r>
      <w:r w:rsidRPr="001759D5">
        <w:rPr>
          <w:color w:val="000000"/>
          <w:sz w:val="28"/>
          <w:szCs w:val="28"/>
          <w:lang w:val="en-US"/>
        </w:rPr>
        <w:t>: report /</w:t>
      </w:r>
      <w:r w:rsidRPr="001759D5">
        <w:rPr>
          <w:i/>
          <w:color w:val="000000"/>
          <w:sz w:val="28"/>
          <w:szCs w:val="28"/>
          <w:lang w:val="en-US"/>
        </w:rPr>
        <w:t>Prescient &amp; Strategic Intelligence Private Limited</w:t>
      </w:r>
      <w:r w:rsidRPr="001759D5">
        <w:rPr>
          <w:color w:val="000000"/>
          <w:sz w:val="28"/>
          <w:szCs w:val="28"/>
          <w:lang w:val="en-US"/>
        </w:rPr>
        <w:t>. Dublin. 2020. P. 403, No ID: 4749584</w:t>
      </w:r>
      <w:r w:rsidRPr="001759D5">
        <w:rPr>
          <w:rStyle w:val="apple-converted-space"/>
          <w:color w:val="000000"/>
          <w:sz w:val="28"/>
          <w:szCs w:val="28"/>
          <w:lang w:val="en-US"/>
        </w:rPr>
        <w:t> </w:t>
      </w:r>
    </w:p>
    <w:p w14:paraId="323EE645" w14:textId="5BB256D6" w:rsidR="00B85935" w:rsidRPr="001759D5" w:rsidRDefault="00B85935" w:rsidP="001759D5">
      <w:pPr>
        <w:pStyle w:val="af2"/>
        <w:numPr>
          <w:ilvl w:val="3"/>
          <w:numId w:val="48"/>
        </w:numPr>
        <w:spacing w:line="360" w:lineRule="auto"/>
        <w:ind w:left="0" w:firstLine="0"/>
        <w:jc w:val="both"/>
        <w:rPr>
          <w:sz w:val="28"/>
          <w:szCs w:val="28"/>
          <w:lang w:val="uk-UA"/>
        </w:rPr>
      </w:pPr>
      <w:r w:rsidRPr="001759D5">
        <w:rPr>
          <w:color w:val="000000"/>
          <w:sz w:val="28"/>
          <w:szCs w:val="28"/>
          <w:lang w:val="en-US"/>
        </w:rPr>
        <w:t>Vardeh, Daniel, et al. “Toward a Mechanism-Based Approach to Pain Diagnosis.” </w:t>
      </w:r>
      <w:r w:rsidRPr="001759D5">
        <w:rPr>
          <w:i/>
          <w:iCs/>
          <w:color w:val="000000"/>
          <w:sz w:val="28"/>
          <w:szCs w:val="28"/>
          <w:lang w:val="en-US"/>
        </w:rPr>
        <w:t>The Journal of Pain</w:t>
      </w:r>
      <w:r w:rsidRPr="001759D5">
        <w:rPr>
          <w:color w:val="000000"/>
          <w:sz w:val="28"/>
          <w:szCs w:val="28"/>
          <w:lang w:val="en-US"/>
        </w:rPr>
        <w:t>, vol. 17, no. 9, 2016, pp. T50–69. </w:t>
      </w:r>
      <w:r w:rsidRPr="001759D5">
        <w:rPr>
          <w:i/>
          <w:iCs/>
          <w:color w:val="000000"/>
          <w:sz w:val="28"/>
          <w:szCs w:val="28"/>
          <w:lang w:val="en-US"/>
        </w:rPr>
        <w:t>Crossref</w:t>
      </w:r>
      <w:r w:rsidRPr="001759D5">
        <w:rPr>
          <w:color w:val="000000"/>
          <w:sz w:val="28"/>
          <w:szCs w:val="28"/>
          <w:lang w:val="en-US"/>
        </w:rPr>
        <w:t>, doi:10.1016/j.jpain.2016.03.001.</w:t>
      </w:r>
    </w:p>
    <w:p w14:paraId="4C94E4B7" w14:textId="77777777" w:rsidR="00B85935" w:rsidRPr="001759D5" w:rsidRDefault="00B85935" w:rsidP="001759D5">
      <w:pPr>
        <w:pStyle w:val="a6"/>
        <w:numPr>
          <w:ilvl w:val="3"/>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Stein, Christoph, and Sarah Küchler. “Targeting Inflammation and Wound Healing by Opioids.” </w:t>
      </w:r>
      <w:r w:rsidRPr="001759D5">
        <w:rPr>
          <w:rFonts w:eastAsia="Times New Roman"/>
          <w:i/>
          <w:iCs/>
          <w:color w:val="000000"/>
          <w:sz w:val="28"/>
          <w:szCs w:val="28"/>
          <w:lang w:val="en-US"/>
        </w:rPr>
        <w:t>Trends in Pharmacological Sciences</w:t>
      </w:r>
      <w:r w:rsidRPr="001759D5">
        <w:rPr>
          <w:rFonts w:eastAsia="Times New Roman"/>
          <w:color w:val="000000"/>
          <w:sz w:val="28"/>
          <w:szCs w:val="28"/>
          <w:lang w:val="en-US"/>
        </w:rPr>
        <w:t>, vol. 34, no. 6, 2013, pp. 303–12.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doi:10.1016/j.tips.2013.03.006.</w:t>
      </w:r>
    </w:p>
    <w:p w14:paraId="6BC1CD45" w14:textId="77777777" w:rsidR="00B85935" w:rsidRPr="001759D5" w:rsidRDefault="00B85935" w:rsidP="001759D5">
      <w:pPr>
        <w:pStyle w:val="a6"/>
        <w:numPr>
          <w:ilvl w:val="3"/>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Scarpignato, Carmelo, et al. “Safe Prescribing of Non-Steroidal Anti-Inflammatory Drugs in Patients with Osteoarthritis – an Expert Consensus Addressing Benefits as Well as Gastrointestinal and Cardiovascular Risks.” </w:t>
      </w:r>
      <w:r w:rsidRPr="001759D5">
        <w:rPr>
          <w:rFonts w:eastAsia="Times New Roman"/>
          <w:i/>
          <w:iCs/>
          <w:color w:val="000000"/>
          <w:sz w:val="28"/>
          <w:szCs w:val="28"/>
          <w:lang w:val="en-US"/>
        </w:rPr>
        <w:t>BMC Medicine</w:t>
      </w:r>
      <w:r w:rsidRPr="001759D5">
        <w:rPr>
          <w:rFonts w:eastAsia="Times New Roman"/>
          <w:color w:val="000000"/>
          <w:sz w:val="28"/>
          <w:szCs w:val="28"/>
          <w:lang w:val="en-US"/>
        </w:rPr>
        <w:t>, vol. 13, no. 1, 2015.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doi:10.1186/s12916-015-0285-8.</w:t>
      </w:r>
    </w:p>
    <w:p w14:paraId="0CF64D40" w14:textId="399E6729" w:rsidR="00B85935" w:rsidRPr="001759D5" w:rsidRDefault="00B85935" w:rsidP="001759D5">
      <w:pPr>
        <w:pStyle w:val="a6"/>
        <w:numPr>
          <w:ilvl w:val="3"/>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O’Brien, T., et al. “European Pain Federation Position Paper on Appropriate Opioid Use in Chronic Pain Management.” </w:t>
      </w:r>
      <w:r w:rsidRPr="001759D5">
        <w:rPr>
          <w:rFonts w:eastAsia="Times New Roman"/>
          <w:i/>
          <w:iCs/>
          <w:color w:val="000000"/>
          <w:sz w:val="28"/>
          <w:szCs w:val="28"/>
          <w:lang w:val="en-US"/>
        </w:rPr>
        <w:t>European Journal of Pain</w:t>
      </w:r>
      <w:r w:rsidRPr="001759D5">
        <w:rPr>
          <w:rFonts w:eastAsia="Times New Roman"/>
          <w:color w:val="000000"/>
          <w:sz w:val="28"/>
          <w:szCs w:val="28"/>
          <w:lang w:val="en-US"/>
        </w:rPr>
        <w:t xml:space="preserve">, vol. 21, </w:t>
      </w:r>
      <w:r w:rsidR="00821BED">
        <w:rPr>
          <w:rFonts w:eastAsia="Times New Roman"/>
          <w:color w:val="000000"/>
          <w:sz w:val="28"/>
          <w:szCs w:val="28"/>
          <w:lang w:val="en-US"/>
        </w:rPr>
        <w:br/>
      </w:r>
      <w:r w:rsidRPr="001759D5">
        <w:rPr>
          <w:rFonts w:eastAsia="Times New Roman"/>
          <w:color w:val="000000"/>
          <w:sz w:val="28"/>
          <w:szCs w:val="28"/>
          <w:lang w:val="en-US"/>
        </w:rPr>
        <w:t>no. 1, 2016, pp. 3–19.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doi:10.1002/ejp.970.</w:t>
      </w:r>
    </w:p>
    <w:p w14:paraId="5920B46A" w14:textId="5F076444" w:rsidR="00B85935" w:rsidRPr="001759D5" w:rsidRDefault="00B85935" w:rsidP="001759D5">
      <w:pPr>
        <w:pStyle w:val="a6"/>
        <w:numPr>
          <w:ilvl w:val="3"/>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lastRenderedPageBreak/>
        <w:t>Nazimek, Katarzyna, et al. “The Role of Macrophages in Anti-Inflammatory Activity of Antidepressant Drugs.” </w:t>
      </w:r>
      <w:r w:rsidRPr="001759D5">
        <w:rPr>
          <w:rFonts w:eastAsia="Times New Roman"/>
          <w:i/>
          <w:iCs/>
          <w:color w:val="000000"/>
          <w:sz w:val="28"/>
          <w:szCs w:val="28"/>
          <w:lang w:val="en-US"/>
        </w:rPr>
        <w:t>Immunobiology</w:t>
      </w:r>
      <w:r w:rsidRPr="001759D5">
        <w:rPr>
          <w:rFonts w:eastAsia="Times New Roman"/>
          <w:color w:val="000000"/>
          <w:sz w:val="28"/>
          <w:szCs w:val="28"/>
          <w:lang w:val="en-US"/>
        </w:rPr>
        <w:t xml:space="preserve">, vol. 222, no. 6, 2017, </w:t>
      </w:r>
      <w:r w:rsidR="00821BED">
        <w:rPr>
          <w:rFonts w:eastAsia="Times New Roman"/>
          <w:color w:val="000000"/>
          <w:sz w:val="28"/>
          <w:szCs w:val="28"/>
          <w:lang w:val="en-US"/>
        </w:rPr>
        <w:br/>
      </w:r>
      <w:r w:rsidRPr="001759D5">
        <w:rPr>
          <w:rFonts w:eastAsia="Times New Roman"/>
          <w:color w:val="000000"/>
          <w:sz w:val="28"/>
          <w:szCs w:val="28"/>
          <w:lang w:val="en-US"/>
        </w:rPr>
        <w:t>pp. 823–30.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doi:10.1016/j.imbio.2016.07.001.</w:t>
      </w:r>
    </w:p>
    <w:p w14:paraId="118A6813" w14:textId="466FD503" w:rsidR="00B85935" w:rsidRPr="001759D5" w:rsidRDefault="00B85935" w:rsidP="001759D5">
      <w:pPr>
        <w:pStyle w:val="a6"/>
        <w:numPr>
          <w:ilvl w:val="3"/>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Hummig, Wagner, et al. “Pregabalin Reduces Acute Inflammatory and Persistent Pain Associated with Nerve Injury and Cancer in Rat Models of Orofacial Pain.” </w:t>
      </w:r>
      <w:r w:rsidRPr="001759D5">
        <w:rPr>
          <w:rFonts w:eastAsia="Times New Roman"/>
          <w:i/>
          <w:iCs/>
          <w:color w:val="000000"/>
          <w:sz w:val="28"/>
          <w:szCs w:val="28"/>
          <w:lang w:val="en-US"/>
        </w:rPr>
        <w:t>Journal of Oral &amp; Facial Pain and Headache</w:t>
      </w:r>
      <w:r w:rsidRPr="001759D5">
        <w:rPr>
          <w:rFonts w:eastAsia="Times New Roman"/>
          <w:color w:val="000000"/>
          <w:sz w:val="28"/>
          <w:szCs w:val="28"/>
          <w:lang w:val="en-US"/>
        </w:rPr>
        <w:t xml:space="preserve">, vol. 28, no. 4, 2018, </w:t>
      </w:r>
      <w:r w:rsidR="00821BED">
        <w:rPr>
          <w:rFonts w:eastAsia="Times New Roman"/>
          <w:color w:val="000000"/>
          <w:sz w:val="28"/>
          <w:szCs w:val="28"/>
          <w:lang w:val="en-US"/>
        </w:rPr>
        <w:br/>
      </w:r>
      <w:r w:rsidRPr="001759D5">
        <w:rPr>
          <w:rFonts w:eastAsia="Times New Roman"/>
          <w:color w:val="000000"/>
          <w:sz w:val="28"/>
          <w:szCs w:val="28"/>
          <w:lang w:val="en-US"/>
        </w:rPr>
        <w:t>pp. 350–59.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doi:10.11607/ofph.1317.</w:t>
      </w:r>
    </w:p>
    <w:p w14:paraId="26141E25" w14:textId="77777777" w:rsidR="0006377E"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Rhen, Turk, and John A. Cidlowski. “Antiinflammatory Action of Glucocorticoids — New Mechanisms for Old Drugs.” </w:t>
      </w:r>
      <w:r w:rsidRPr="001759D5">
        <w:rPr>
          <w:rFonts w:eastAsia="Times New Roman"/>
          <w:i/>
          <w:iCs/>
          <w:color w:val="000000"/>
          <w:sz w:val="28"/>
          <w:szCs w:val="28"/>
          <w:lang w:val="en-US"/>
        </w:rPr>
        <w:t>New England Journal of Medicine</w:t>
      </w:r>
      <w:r w:rsidRPr="001759D5">
        <w:rPr>
          <w:rFonts w:eastAsia="Times New Roman"/>
          <w:color w:val="000000"/>
          <w:sz w:val="28"/>
          <w:szCs w:val="28"/>
          <w:lang w:val="en-US"/>
        </w:rPr>
        <w:t>, vol. 353, no. 16, 2005, pp. 1711–23.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doi:10.1056/nejmra050541.</w:t>
      </w:r>
    </w:p>
    <w:p w14:paraId="0EF81F34" w14:textId="77777777" w:rsidR="0006377E"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06377E">
        <w:rPr>
          <w:rFonts w:eastAsia="Times New Roman"/>
          <w:color w:val="000000"/>
          <w:sz w:val="28"/>
          <w:szCs w:val="28"/>
          <w:lang w:val="en-US"/>
        </w:rPr>
        <w:t>Oliveira Carneiro Brum, Juliana de, et al. “Synthesis and Biological Activity of Hydrazones and Derivatives: A Review.” </w:t>
      </w:r>
      <w:r w:rsidRPr="0006377E">
        <w:rPr>
          <w:rFonts w:eastAsia="Times New Roman"/>
          <w:i/>
          <w:iCs/>
          <w:color w:val="000000"/>
          <w:sz w:val="28"/>
          <w:szCs w:val="28"/>
          <w:lang w:val="en-US"/>
        </w:rPr>
        <w:t>Mini-Reviews in Medicinal Chemistry</w:t>
      </w:r>
      <w:r w:rsidRPr="0006377E">
        <w:rPr>
          <w:rFonts w:eastAsia="Times New Roman"/>
          <w:color w:val="000000"/>
          <w:sz w:val="28"/>
          <w:szCs w:val="28"/>
          <w:lang w:val="en-US"/>
        </w:rPr>
        <w:t>, vol. 20, no. 5, 2020, pp. 342–68. </w:t>
      </w:r>
      <w:r w:rsidRPr="0006377E">
        <w:rPr>
          <w:rFonts w:eastAsia="Times New Roman"/>
          <w:i/>
          <w:iCs/>
          <w:color w:val="000000"/>
          <w:sz w:val="28"/>
          <w:szCs w:val="28"/>
          <w:lang w:val="en-US"/>
        </w:rPr>
        <w:t>Crossref</w:t>
      </w:r>
      <w:r w:rsidRPr="0006377E">
        <w:rPr>
          <w:rFonts w:eastAsia="Times New Roman"/>
          <w:color w:val="000000"/>
          <w:sz w:val="28"/>
          <w:szCs w:val="28"/>
          <w:lang w:val="en-US"/>
        </w:rPr>
        <w:t>, doi:10.2174/1389557519666191014142448.</w:t>
      </w:r>
    </w:p>
    <w:p w14:paraId="7F44AD76" w14:textId="77777777" w:rsidR="0006377E"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06377E">
        <w:rPr>
          <w:rFonts w:eastAsia="Times New Roman"/>
          <w:color w:val="000000"/>
          <w:sz w:val="28"/>
          <w:szCs w:val="28"/>
          <w:lang w:val="en-US"/>
        </w:rPr>
        <w:t>Zeeshan, Sara, et al. “N-Pyrazoloyl and N-Thiopheneacetyl Hydrazone of Isatin Exhibited Potent Anti-Inflammatory and Anti-Nociceptive Properties through Suppression of NF-</w:t>
      </w:r>
      <w:r w:rsidRPr="0006377E">
        <w:rPr>
          <w:rFonts w:eastAsia="Times New Roman"/>
          <w:color w:val="000000"/>
          <w:sz w:val="28"/>
          <w:szCs w:val="28"/>
        </w:rPr>
        <w:t>Κ</w:t>
      </w:r>
      <w:r w:rsidRPr="0006377E">
        <w:rPr>
          <w:rFonts w:eastAsia="Times New Roman"/>
          <w:color w:val="000000"/>
          <w:sz w:val="28"/>
          <w:szCs w:val="28"/>
          <w:lang w:val="en-US"/>
        </w:rPr>
        <w:t>B, MAPK and Oxidative Stress Signaling in Animal Models of Inflammation.” </w:t>
      </w:r>
      <w:r w:rsidRPr="0006377E">
        <w:rPr>
          <w:rFonts w:eastAsia="Times New Roman"/>
          <w:i/>
          <w:iCs/>
          <w:color w:val="000000"/>
          <w:sz w:val="28"/>
          <w:szCs w:val="28"/>
          <w:lang w:val="en-US"/>
        </w:rPr>
        <w:t>Inflammation Research</w:t>
      </w:r>
      <w:r w:rsidRPr="0006377E">
        <w:rPr>
          <w:rFonts w:eastAsia="Times New Roman"/>
          <w:color w:val="000000"/>
          <w:sz w:val="28"/>
          <w:szCs w:val="28"/>
          <w:lang w:val="en-US"/>
        </w:rPr>
        <w:t xml:space="preserve">, vol. 68, no. 7, 2019, </w:t>
      </w:r>
      <w:r w:rsidR="00821BED" w:rsidRPr="0006377E">
        <w:rPr>
          <w:rFonts w:eastAsia="Times New Roman"/>
          <w:color w:val="000000"/>
          <w:sz w:val="28"/>
          <w:szCs w:val="28"/>
          <w:lang w:val="en-US"/>
        </w:rPr>
        <w:br/>
      </w:r>
      <w:r w:rsidRPr="0006377E">
        <w:rPr>
          <w:rFonts w:eastAsia="Times New Roman"/>
          <w:color w:val="000000"/>
          <w:sz w:val="28"/>
          <w:szCs w:val="28"/>
          <w:lang w:val="en-US"/>
        </w:rPr>
        <w:t>pp. 613–32. </w:t>
      </w:r>
      <w:r w:rsidRPr="0006377E">
        <w:rPr>
          <w:rFonts w:eastAsia="Times New Roman"/>
          <w:i/>
          <w:iCs/>
          <w:color w:val="000000"/>
          <w:sz w:val="28"/>
          <w:szCs w:val="28"/>
          <w:lang w:val="en-US"/>
        </w:rPr>
        <w:t>Crossref</w:t>
      </w:r>
      <w:r w:rsidRPr="0006377E">
        <w:rPr>
          <w:rFonts w:eastAsia="Times New Roman"/>
          <w:color w:val="000000"/>
          <w:sz w:val="28"/>
          <w:szCs w:val="28"/>
          <w:lang w:val="en-US"/>
        </w:rPr>
        <w:t>, doi:10.1007/s00011-019-01245-9.</w:t>
      </w:r>
    </w:p>
    <w:p w14:paraId="3E5F4C94" w14:textId="77777777" w:rsidR="0006377E"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06377E">
        <w:rPr>
          <w:rFonts w:eastAsia="Times New Roman"/>
          <w:color w:val="000000"/>
          <w:sz w:val="28"/>
          <w:szCs w:val="28"/>
          <w:lang w:val="en-US"/>
        </w:rPr>
        <w:t>Misra, Suniti, et al. “Novel Dual Cyclooxygenase and Lipoxygenase Inhibitors Targeting Hyaluronan–CD44v6 Pathway and Inducing Cytotoxicity in Colon Cancer Cells.” </w:t>
      </w:r>
      <w:r w:rsidRPr="0006377E">
        <w:rPr>
          <w:rFonts w:eastAsia="Times New Roman"/>
          <w:i/>
          <w:iCs/>
          <w:color w:val="000000"/>
          <w:sz w:val="28"/>
          <w:szCs w:val="28"/>
          <w:lang w:val="en-US"/>
        </w:rPr>
        <w:t>Bioorganic &amp; Medicinal Chemistry</w:t>
      </w:r>
      <w:r w:rsidRPr="0006377E">
        <w:rPr>
          <w:rFonts w:eastAsia="Times New Roman"/>
          <w:color w:val="000000"/>
          <w:sz w:val="28"/>
          <w:szCs w:val="28"/>
          <w:lang w:val="en-US"/>
        </w:rPr>
        <w:t xml:space="preserve">, vol. 21, no. 9, 2013, </w:t>
      </w:r>
      <w:r w:rsidR="00821BED" w:rsidRPr="0006377E">
        <w:rPr>
          <w:rFonts w:eastAsia="Times New Roman"/>
          <w:color w:val="000000"/>
          <w:sz w:val="28"/>
          <w:szCs w:val="28"/>
          <w:lang w:val="en-US"/>
        </w:rPr>
        <w:br/>
      </w:r>
      <w:r w:rsidRPr="0006377E">
        <w:rPr>
          <w:rFonts w:eastAsia="Times New Roman"/>
          <w:color w:val="000000"/>
          <w:sz w:val="28"/>
          <w:szCs w:val="28"/>
          <w:lang w:val="en-US"/>
        </w:rPr>
        <w:t>pp. 2551–59. </w:t>
      </w:r>
      <w:r w:rsidRPr="0006377E">
        <w:rPr>
          <w:rFonts w:eastAsia="Times New Roman"/>
          <w:i/>
          <w:iCs/>
          <w:color w:val="000000"/>
          <w:sz w:val="28"/>
          <w:szCs w:val="28"/>
          <w:lang w:val="en-US"/>
        </w:rPr>
        <w:t>Crossref</w:t>
      </w:r>
      <w:r w:rsidRPr="0006377E">
        <w:rPr>
          <w:rFonts w:eastAsia="Times New Roman"/>
          <w:color w:val="000000"/>
          <w:sz w:val="28"/>
          <w:szCs w:val="28"/>
          <w:lang w:val="en-US"/>
        </w:rPr>
        <w:t>, doi:10.1016/j.bmc.2013.02.033.</w:t>
      </w:r>
    </w:p>
    <w:p w14:paraId="07399236" w14:textId="77777777" w:rsidR="0006377E"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06377E">
        <w:rPr>
          <w:rFonts w:eastAsia="Times New Roman"/>
          <w:color w:val="000000"/>
          <w:sz w:val="28"/>
          <w:szCs w:val="28"/>
          <w:lang w:val="en-US"/>
        </w:rPr>
        <w:t>Salgın-Gökşen, Umut, Nesrin Gökhan-Kelekçi, Samiye Yabanoglu-Çiftci, et al. “Synthesis, Molecular Modeling, and in Vitro Screening of Monoamine Oxidase Inhibitory Activities of Some Novel Hydrazone Derivatives.” </w:t>
      </w:r>
      <w:r w:rsidRPr="0006377E">
        <w:rPr>
          <w:rFonts w:eastAsia="Times New Roman"/>
          <w:i/>
          <w:iCs/>
          <w:color w:val="000000"/>
          <w:sz w:val="28"/>
          <w:szCs w:val="28"/>
          <w:lang w:val="en-US"/>
        </w:rPr>
        <w:t>Journal of Neural Transmission</w:t>
      </w:r>
      <w:r w:rsidRPr="0006377E">
        <w:rPr>
          <w:rFonts w:eastAsia="Times New Roman"/>
          <w:color w:val="000000"/>
          <w:sz w:val="28"/>
          <w:szCs w:val="28"/>
          <w:lang w:val="en-US"/>
        </w:rPr>
        <w:t>, vol. 120, no. 6, 2013, pp. 883–91.</w:t>
      </w:r>
      <w:r w:rsidR="00821BED" w:rsidRPr="0006377E">
        <w:rPr>
          <w:rFonts w:eastAsia="Times New Roman"/>
          <w:color w:val="000000"/>
          <w:sz w:val="28"/>
          <w:szCs w:val="28"/>
          <w:lang w:val="en-US"/>
        </w:rPr>
        <w:t xml:space="preserve"> </w:t>
      </w:r>
      <w:r w:rsidRPr="0006377E">
        <w:rPr>
          <w:rFonts w:eastAsia="Times New Roman"/>
          <w:i/>
          <w:iCs/>
          <w:color w:val="000000"/>
          <w:sz w:val="28"/>
          <w:szCs w:val="28"/>
          <w:lang w:val="en-US"/>
        </w:rPr>
        <w:t>Crossref</w:t>
      </w:r>
      <w:r w:rsidRPr="0006377E">
        <w:rPr>
          <w:rFonts w:eastAsia="Times New Roman"/>
          <w:color w:val="000000"/>
          <w:sz w:val="28"/>
          <w:szCs w:val="28"/>
          <w:lang w:val="en-US"/>
        </w:rPr>
        <w:t>, doi:10.1007/s00702-013-0968-2.</w:t>
      </w:r>
    </w:p>
    <w:p w14:paraId="13047E1A" w14:textId="77777777" w:rsidR="0006377E"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06377E">
        <w:rPr>
          <w:rFonts w:eastAsia="Times New Roman"/>
          <w:color w:val="000000"/>
          <w:sz w:val="28"/>
          <w:szCs w:val="28"/>
          <w:lang w:val="en-US"/>
        </w:rPr>
        <w:lastRenderedPageBreak/>
        <w:t>Alam, MohammadMumtaz, et al. “A Review Exploring Biological Activities of Hydrazones.” </w:t>
      </w:r>
      <w:r w:rsidRPr="0006377E">
        <w:rPr>
          <w:rFonts w:eastAsia="Times New Roman"/>
          <w:i/>
          <w:iCs/>
          <w:color w:val="000000"/>
          <w:sz w:val="28"/>
          <w:szCs w:val="28"/>
          <w:lang w:val="en-US"/>
        </w:rPr>
        <w:t>Journal of Pharmacy and Bioallied Sciences</w:t>
      </w:r>
      <w:r w:rsidRPr="0006377E">
        <w:rPr>
          <w:rFonts w:eastAsia="Times New Roman"/>
          <w:color w:val="000000"/>
          <w:sz w:val="28"/>
          <w:szCs w:val="28"/>
          <w:lang w:val="en-US"/>
        </w:rPr>
        <w:t xml:space="preserve">, vol. 6, no. 2, 2014, </w:t>
      </w:r>
      <w:r w:rsidR="00821BED" w:rsidRPr="0006377E">
        <w:rPr>
          <w:rFonts w:eastAsia="Times New Roman"/>
          <w:color w:val="000000"/>
          <w:sz w:val="28"/>
          <w:szCs w:val="28"/>
          <w:lang w:val="en-US"/>
        </w:rPr>
        <w:br/>
      </w:r>
      <w:r w:rsidRPr="0006377E">
        <w:rPr>
          <w:rFonts w:eastAsia="Times New Roman"/>
          <w:color w:val="000000"/>
          <w:sz w:val="28"/>
          <w:szCs w:val="28"/>
          <w:lang w:val="en-US"/>
        </w:rPr>
        <w:t>p. 69. </w:t>
      </w:r>
      <w:r w:rsidRPr="0006377E">
        <w:rPr>
          <w:rFonts w:eastAsia="Times New Roman"/>
          <w:i/>
          <w:iCs/>
          <w:color w:val="000000"/>
          <w:sz w:val="28"/>
          <w:szCs w:val="28"/>
          <w:lang w:val="en-US"/>
        </w:rPr>
        <w:t>Crossref</w:t>
      </w:r>
      <w:r w:rsidRPr="0006377E">
        <w:rPr>
          <w:rFonts w:eastAsia="Times New Roman"/>
          <w:color w:val="000000"/>
          <w:sz w:val="28"/>
          <w:szCs w:val="28"/>
          <w:lang w:val="en-US"/>
        </w:rPr>
        <w:t>, doi:10.4103/0975-7406.129170.</w:t>
      </w:r>
    </w:p>
    <w:p w14:paraId="12A7E8AF" w14:textId="77777777" w:rsidR="0006377E"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06377E">
        <w:rPr>
          <w:color w:val="000000"/>
          <w:sz w:val="28"/>
          <w:szCs w:val="28"/>
          <w:shd w:val="clear" w:color="auto" w:fill="FFFFFF"/>
          <w:lang w:val="en-US"/>
        </w:rPr>
        <w:t xml:space="preserve">Nesterkina M., Rakipov I., Kravchenko I. et al. “Anticonvulsant activity of substituted benzaldehyde salicyloyl hydrazones against ptz and mes induced seizures.” </w:t>
      </w:r>
      <w:r w:rsidRPr="0006377E">
        <w:rPr>
          <w:i/>
          <w:color w:val="000000"/>
          <w:sz w:val="28"/>
          <w:szCs w:val="28"/>
          <w:shd w:val="clear" w:color="auto" w:fill="FFFFFF"/>
          <w:lang w:val="en-US"/>
        </w:rPr>
        <w:t>Pharmacology online</w:t>
      </w:r>
      <w:r w:rsidRPr="0006377E">
        <w:rPr>
          <w:color w:val="000000"/>
          <w:sz w:val="28"/>
          <w:szCs w:val="28"/>
          <w:shd w:val="clear" w:color="auto" w:fill="FFFFFF"/>
          <w:lang w:val="en-US"/>
        </w:rPr>
        <w:t>, vol. 3, 2018, pp. 213–20.</w:t>
      </w:r>
    </w:p>
    <w:p w14:paraId="57BFEC84" w14:textId="77777777" w:rsidR="0006377E"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06377E">
        <w:rPr>
          <w:rFonts w:eastAsia="Times New Roman"/>
          <w:color w:val="000000"/>
          <w:sz w:val="28"/>
          <w:szCs w:val="28"/>
          <w:lang w:val="en-US"/>
        </w:rPr>
        <w:t>Vigato, Pietro Alessandro, and Sergio Tamburini. “The Challenge of Cyclic and Acyclic Schiff Bases and Related Derivatives.” </w:t>
      </w:r>
      <w:r w:rsidRPr="0006377E">
        <w:rPr>
          <w:rFonts w:eastAsia="Times New Roman"/>
          <w:i/>
          <w:iCs/>
          <w:color w:val="000000"/>
          <w:sz w:val="28"/>
          <w:szCs w:val="28"/>
          <w:lang w:val="en-US"/>
        </w:rPr>
        <w:t>Coordination Chemistry Reviews</w:t>
      </w:r>
      <w:r w:rsidRPr="0006377E">
        <w:rPr>
          <w:rFonts w:eastAsia="Times New Roman"/>
          <w:color w:val="000000"/>
          <w:sz w:val="28"/>
          <w:szCs w:val="28"/>
          <w:lang w:val="en-US"/>
        </w:rPr>
        <w:t>, vol. 248, no. 17–20, 2004, pp. 1717–2128. </w:t>
      </w:r>
      <w:r w:rsidRPr="0006377E">
        <w:rPr>
          <w:rFonts w:eastAsia="Times New Roman"/>
          <w:i/>
          <w:iCs/>
          <w:color w:val="000000"/>
          <w:sz w:val="28"/>
          <w:szCs w:val="28"/>
          <w:lang w:val="en-US"/>
        </w:rPr>
        <w:t>Crossref</w:t>
      </w:r>
      <w:r w:rsidRPr="0006377E">
        <w:rPr>
          <w:rFonts w:eastAsia="Times New Roman"/>
          <w:color w:val="000000"/>
          <w:sz w:val="28"/>
          <w:szCs w:val="28"/>
          <w:lang w:val="en-US"/>
        </w:rPr>
        <w:t>, doi:10.1016/j.cct.2003.09.003.</w:t>
      </w:r>
    </w:p>
    <w:p w14:paraId="0E7CB7CE" w14:textId="77777777" w:rsidR="0006377E"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06377E">
        <w:rPr>
          <w:rFonts w:eastAsia="Times New Roman"/>
          <w:color w:val="000000"/>
          <w:sz w:val="28"/>
          <w:szCs w:val="28"/>
          <w:lang w:val="en-US"/>
        </w:rPr>
        <w:t>Aman, Robina, and Garima Matela. “Tin(IV) Complexes of Schiff Base Derived from Amino Acid: Synthesis and Characteristic Spectral Studies.” </w:t>
      </w:r>
      <w:r w:rsidRPr="0006377E">
        <w:rPr>
          <w:rFonts w:eastAsia="Times New Roman"/>
          <w:i/>
          <w:iCs/>
          <w:color w:val="000000"/>
          <w:sz w:val="28"/>
          <w:szCs w:val="28"/>
          <w:lang w:val="en-US"/>
        </w:rPr>
        <w:t>Journal of Chemistry</w:t>
      </w:r>
      <w:r w:rsidRPr="0006377E">
        <w:rPr>
          <w:rFonts w:eastAsia="Times New Roman"/>
          <w:color w:val="000000"/>
          <w:sz w:val="28"/>
          <w:szCs w:val="28"/>
          <w:lang w:val="en-US"/>
        </w:rPr>
        <w:t>, vol. 2013, 2013, pp. 1–4. </w:t>
      </w:r>
      <w:r w:rsidRPr="0006377E">
        <w:rPr>
          <w:rFonts w:eastAsia="Times New Roman"/>
          <w:i/>
          <w:iCs/>
          <w:color w:val="000000"/>
          <w:sz w:val="28"/>
          <w:szCs w:val="28"/>
          <w:lang w:val="en-US"/>
        </w:rPr>
        <w:t>Crossref</w:t>
      </w:r>
      <w:r w:rsidRPr="0006377E">
        <w:rPr>
          <w:rFonts w:eastAsia="Times New Roman"/>
          <w:color w:val="000000"/>
          <w:sz w:val="28"/>
          <w:szCs w:val="28"/>
          <w:lang w:val="en-US"/>
        </w:rPr>
        <w:t>, doi:10.1155/2013/637290.</w:t>
      </w:r>
    </w:p>
    <w:p w14:paraId="7B5C4521" w14:textId="77777777" w:rsidR="0006377E"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06377E">
        <w:rPr>
          <w:rFonts w:eastAsia="Times New Roman"/>
          <w:color w:val="000000"/>
          <w:sz w:val="28"/>
          <w:szCs w:val="28"/>
          <w:lang w:val="en-US"/>
        </w:rPr>
        <w:t>“Synthesis, Characterization and Antimicrobial Activity of Some Organotin (IV) Complexes with a Potassium Hydrogen Ethanedioate Ligand.” </w:t>
      </w:r>
      <w:r w:rsidRPr="0006377E">
        <w:rPr>
          <w:rFonts w:eastAsia="Times New Roman"/>
          <w:i/>
          <w:iCs/>
          <w:color w:val="000000"/>
          <w:sz w:val="28"/>
          <w:szCs w:val="28"/>
          <w:lang w:val="en-US"/>
        </w:rPr>
        <w:t>International Journal of Science and Research (IJSR)</w:t>
      </w:r>
      <w:r w:rsidRPr="0006377E">
        <w:rPr>
          <w:rFonts w:eastAsia="Times New Roman"/>
          <w:color w:val="000000"/>
          <w:sz w:val="28"/>
          <w:szCs w:val="28"/>
          <w:lang w:val="en-US"/>
        </w:rPr>
        <w:t>, vol. 5, no. 4, 2016, pp. 1610–17. </w:t>
      </w:r>
      <w:r w:rsidRPr="0006377E">
        <w:rPr>
          <w:rFonts w:eastAsia="Times New Roman"/>
          <w:i/>
          <w:iCs/>
          <w:color w:val="000000"/>
          <w:sz w:val="28"/>
          <w:szCs w:val="28"/>
          <w:lang w:val="en-US"/>
        </w:rPr>
        <w:t>Crossref</w:t>
      </w:r>
      <w:r w:rsidRPr="0006377E">
        <w:rPr>
          <w:rFonts w:eastAsia="Times New Roman"/>
          <w:color w:val="000000"/>
          <w:sz w:val="28"/>
          <w:szCs w:val="28"/>
          <w:lang w:val="en-US"/>
        </w:rPr>
        <w:t>, doi:10.21275/v5i4.nov162907.</w:t>
      </w:r>
    </w:p>
    <w:p w14:paraId="5BDB9B86" w14:textId="77777777" w:rsidR="0006377E"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06377E">
        <w:rPr>
          <w:rFonts w:eastAsia="Times New Roman"/>
          <w:color w:val="000000"/>
          <w:sz w:val="28"/>
          <w:szCs w:val="28"/>
          <w:lang w:val="en-US"/>
        </w:rPr>
        <w:t xml:space="preserve">Saeed, Aamer, et al. “Design, Synthesis, Molecular Docking Studies of Organotin-Drug Derivatives as Multi-Target Agents against Antibacterial, Antifungal, </w:t>
      </w:r>
      <w:r w:rsidRPr="0006377E">
        <w:rPr>
          <w:rFonts w:eastAsia="Times New Roman"/>
          <w:color w:val="000000"/>
          <w:sz w:val="28"/>
          <w:szCs w:val="28"/>
        </w:rPr>
        <w:t>α</w:t>
      </w:r>
      <w:r w:rsidRPr="0006377E">
        <w:rPr>
          <w:rFonts w:eastAsia="Times New Roman"/>
          <w:color w:val="000000"/>
          <w:sz w:val="28"/>
          <w:szCs w:val="28"/>
          <w:lang w:val="en-US"/>
        </w:rPr>
        <w:t xml:space="preserve">-Amylase, </w:t>
      </w:r>
      <w:r w:rsidRPr="0006377E">
        <w:rPr>
          <w:rFonts w:eastAsia="Times New Roman"/>
          <w:color w:val="000000"/>
          <w:sz w:val="28"/>
          <w:szCs w:val="28"/>
        </w:rPr>
        <w:t>α</w:t>
      </w:r>
      <w:r w:rsidRPr="0006377E">
        <w:rPr>
          <w:rFonts w:eastAsia="Times New Roman"/>
          <w:color w:val="000000"/>
          <w:sz w:val="28"/>
          <w:szCs w:val="28"/>
          <w:lang w:val="en-US"/>
        </w:rPr>
        <w:t>-Glucosidase and Butyrylcholinesterase.” </w:t>
      </w:r>
      <w:r w:rsidRPr="0006377E">
        <w:rPr>
          <w:rFonts w:eastAsia="Times New Roman"/>
          <w:i/>
          <w:iCs/>
          <w:color w:val="000000"/>
          <w:sz w:val="28"/>
          <w:szCs w:val="28"/>
          <w:lang w:val="en-US"/>
        </w:rPr>
        <w:t>Inorganica Chimica Acta</w:t>
      </w:r>
      <w:r w:rsidRPr="0006377E">
        <w:rPr>
          <w:rFonts w:eastAsia="Times New Roman"/>
          <w:color w:val="000000"/>
          <w:sz w:val="28"/>
          <w:szCs w:val="28"/>
          <w:lang w:val="en-US"/>
        </w:rPr>
        <w:t>, vol. 464, 2017, pp. 204–13. </w:t>
      </w:r>
      <w:r w:rsidRPr="0006377E">
        <w:rPr>
          <w:rFonts w:eastAsia="Times New Roman"/>
          <w:i/>
          <w:iCs/>
          <w:color w:val="000000"/>
          <w:sz w:val="28"/>
          <w:szCs w:val="28"/>
          <w:lang w:val="en-US"/>
        </w:rPr>
        <w:t>Crossref</w:t>
      </w:r>
      <w:r w:rsidRPr="0006377E">
        <w:rPr>
          <w:rFonts w:eastAsia="Times New Roman"/>
          <w:color w:val="000000"/>
          <w:sz w:val="28"/>
          <w:szCs w:val="28"/>
          <w:lang w:val="en-US"/>
        </w:rPr>
        <w:t>, doi:10.1016/j.ica.2017.05.036.</w:t>
      </w:r>
    </w:p>
    <w:p w14:paraId="3F4D36C8" w14:textId="77777777" w:rsidR="0006377E"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06377E">
        <w:rPr>
          <w:rFonts w:eastAsia="Times New Roman"/>
          <w:color w:val="000000"/>
          <w:sz w:val="28"/>
          <w:szCs w:val="28"/>
          <w:lang w:val="en-US"/>
        </w:rPr>
        <w:t>Javed, Fatima, et al. “Organotin(IV) Derivatives of o-Isobutyl Carbonodithioate: Synthesis, Spectroscopic Characterization, X-Ray Structure, HOMO/LUMO and in Vitro Biological Activities.” </w:t>
      </w:r>
      <w:r w:rsidRPr="0006377E">
        <w:rPr>
          <w:rFonts w:eastAsia="Times New Roman"/>
          <w:i/>
          <w:iCs/>
          <w:color w:val="000000"/>
          <w:sz w:val="28"/>
          <w:szCs w:val="28"/>
          <w:lang w:val="en-US"/>
        </w:rPr>
        <w:t>Polyhedron</w:t>
      </w:r>
      <w:r w:rsidRPr="0006377E">
        <w:rPr>
          <w:rFonts w:eastAsia="Times New Roman"/>
          <w:color w:val="000000"/>
          <w:sz w:val="28"/>
          <w:szCs w:val="28"/>
          <w:lang w:val="en-US"/>
        </w:rPr>
        <w:t>, vol. 104, 2016, pp. 80–90. </w:t>
      </w:r>
      <w:r w:rsidRPr="0006377E">
        <w:rPr>
          <w:rFonts w:eastAsia="Times New Roman"/>
          <w:i/>
          <w:iCs/>
          <w:color w:val="000000"/>
          <w:sz w:val="28"/>
          <w:szCs w:val="28"/>
          <w:lang w:val="en-US"/>
        </w:rPr>
        <w:t>Crossref</w:t>
      </w:r>
      <w:r w:rsidRPr="0006377E">
        <w:rPr>
          <w:rFonts w:eastAsia="Times New Roman"/>
          <w:color w:val="000000"/>
          <w:sz w:val="28"/>
          <w:szCs w:val="28"/>
          <w:lang w:val="en-US"/>
        </w:rPr>
        <w:t>, doi:10.1016/j.poly.2015.11.041.</w:t>
      </w:r>
    </w:p>
    <w:p w14:paraId="7668FF14" w14:textId="77777777" w:rsidR="0006377E"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06377E">
        <w:rPr>
          <w:rFonts w:eastAsia="Times New Roman"/>
          <w:color w:val="000000"/>
          <w:sz w:val="28"/>
          <w:szCs w:val="28"/>
          <w:lang w:val="en-US"/>
        </w:rPr>
        <w:t>Raja, Srinivasa N., et al. “The Revised International Association for the Study of Pain Definition of Pain: Concepts, Challenges, and Compromises.” </w:t>
      </w:r>
      <w:r w:rsidRPr="0006377E">
        <w:rPr>
          <w:rFonts w:eastAsia="Times New Roman"/>
          <w:i/>
          <w:iCs/>
          <w:color w:val="000000"/>
          <w:sz w:val="28"/>
          <w:szCs w:val="28"/>
          <w:lang w:val="en-US"/>
        </w:rPr>
        <w:t>Pain</w:t>
      </w:r>
      <w:r w:rsidRPr="0006377E">
        <w:rPr>
          <w:rFonts w:eastAsia="Times New Roman"/>
          <w:color w:val="000000"/>
          <w:sz w:val="28"/>
          <w:szCs w:val="28"/>
          <w:lang w:val="en-US"/>
        </w:rPr>
        <w:t>, vol. 161, no. 9, 2020, pp. 1976–82. </w:t>
      </w:r>
      <w:r w:rsidRPr="0006377E">
        <w:rPr>
          <w:rFonts w:eastAsia="Times New Roman"/>
          <w:i/>
          <w:iCs/>
          <w:color w:val="000000"/>
          <w:sz w:val="28"/>
          <w:szCs w:val="28"/>
          <w:lang w:val="en-US"/>
        </w:rPr>
        <w:t>Crossref</w:t>
      </w:r>
      <w:r w:rsidRPr="0006377E">
        <w:rPr>
          <w:rFonts w:eastAsia="Times New Roman"/>
          <w:color w:val="000000"/>
          <w:sz w:val="28"/>
          <w:szCs w:val="28"/>
          <w:lang w:val="en-US"/>
        </w:rPr>
        <w:t>, doi:10.1097/j.pain.0000000000001939.</w:t>
      </w:r>
    </w:p>
    <w:p w14:paraId="58A81FEA" w14:textId="77777777" w:rsidR="00821EC9" w:rsidRDefault="00B85935" w:rsidP="0006377E">
      <w:pPr>
        <w:pStyle w:val="a6"/>
        <w:numPr>
          <w:ilvl w:val="3"/>
          <w:numId w:val="48"/>
        </w:numPr>
        <w:spacing w:line="360" w:lineRule="auto"/>
        <w:ind w:left="0" w:firstLine="0"/>
        <w:jc w:val="both"/>
        <w:rPr>
          <w:rFonts w:eastAsia="Times New Roman"/>
          <w:color w:val="000000"/>
          <w:sz w:val="28"/>
          <w:szCs w:val="28"/>
          <w:lang w:val="en-US"/>
        </w:rPr>
      </w:pPr>
      <w:r w:rsidRPr="0006377E">
        <w:rPr>
          <w:rFonts w:eastAsia="Times New Roman"/>
          <w:color w:val="000000"/>
          <w:sz w:val="28"/>
          <w:szCs w:val="28"/>
          <w:lang w:val="en-US"/>
        </w:rPr>
        <w:t>Woolf, Clifford J. “What Is This Thing Called Pain?” </w:t>
      </w:r>
      <w:r w:rsidRPr="0006377E">
        <w:rPr>
          <w:rFonts w:eastAsia="Times New Roman"/>
          <w:i/>
          <w:iCs/>
          <w:color w:val="000000"/>
          <w:sz w:val="28"/>
          <w:szCs w:val="28"/>
          <w:lang w:val="en-US"/>
        </w:rPr>
        <w:t>Journal of Clinical Investigation</w:t>
      </w:r>
      <w:r w:rsidRPr="0006377E">
        <w:rPr>
          <w:rFonts w:eastAsia="Times New Roman"/>
          <w:color w:val="000000"/>
          <w:sz w:val="28"/>
          <w:szCs w:val="28"/>
          <w:lang w:val="en-US"/>
        </w:rPr>
        <w:t>, vol. 120, no. 11, 2010, pp. 3742–44. </w:t>
      </w:r>
      <w:r w:rsidRPr="0006377E">
        <w:rPr>
          <w:rFonts w:eastAsia="Times New Roman"/>
          <w:i/>
          <w:iCs/>
          <w:color w:val="000000"/>
          <w:sz w:val="28"/>
          <w:szCs w:val="28"/>
          <w:lang w:val="en-US"/>
        </w:rPr>
        <w:t>Crossref</w:t>
      </w:r>
      <w:r w:rsidRPr="0006377E">
        <w:rPr>
          <w:rFonts w:eastAsia="Times New Roman"/>
          <w:color w:val="000000"/>
          <w:sz w:val="28"/>
          <w:szCs w:val="28"/>
          <w:lang w:val="en-US"/>
        </w:rPr>
        <w:t>, doi:10.1172/jci45178.</w:t>
      </w:r>
    </w:p>
    <w:p w14:paraId="179851AA"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06377E">
        <w:rPr>
          <w:rFonts w:eastAsia="Times New Roman"/>
          <w:color w:val="000000"/>
          <w:sz w:val="28"/>
          <w:szCs w:val="28"/>
          <w:lang w:val="en-US"/>
        </w:rPr>
        <w:lastRenderedPageBreak/>
        <w:t>Lim, Ji Yeon, et al. “Biological Roles of Resolvins and Related Substances in the Resolution of Pain.” </w:t>
      </w:r>
      <w:r w:rsidRPr="0006377E">
        <w:rPr>
          <w:rFonts w:eastAsia="Times New Roman"/>
          <w:i/>
          <w:iCs/>
          <w:color w:val="000000"/>
          <w:sz w:val="28"/>
          <w:szCs w:val="28"/>
          <w:lang w:val="en-US"/>
        </w:rPr>
        <w:t>BioMed Research International</w:t>
      </w:r>
      <w:r w:rsidRPr="0006377E">
        <w:rPr>
          <w:rFonts w:eastAsia="Times New Roman"/>
          <w:color w:val="000000"/>
          <w:sz w:val="28"/>
          <w:szCs w:val="28"/>
          <w:lang w:val="en-US"/>
        </w:rPr>
        <w:t xml:space="preserve">, vol. 2015, 2015, </w:t>
      </w:r>
      <w:r w:rsidR="00821BED" w:rsidRPr="0006377E">
        <w:rPr>
          <w:rFonts w:eastAsia="Times New Roman"/>
          <w:color w:val="000000"/>
          <w:sz w:val="28"/>
          <w:szCs w:val="28"/>
          <w:lang w:val="en-US"/>
        </w:rPr>
        <w:br/>
      </w:r>
      <w:r w:rsidRPr="0006377E">
        <w:rPr>
          <w:rFonts w:eastAsia="Times New Roman"/>
          <w:color w:val="000000"/>
          <w:sz w:val="28"/>
          <w:szCs w:val="28"/>
          <w:lang w:val="en-US"/>
        </w:rPr>
        <w:t>pp. 1–14. </w:t>
      </w:r>
      <w:r w:rsidRPr="0006377E">
        <w:rPr>
          <w:rFonts w:eastAsia="Times New Roman"/>
          <w:i/>
          <w:iCs/>
          <w:color w:val="000000"/>
          <w:sz w:val="28"/>
          <w:szCs w:val="28"/>
          <w:lang w:val="en-US"/>
        </w:rPr>
        <w:t>Crossref</w:t>
      </w:r>
      <w:r w:rsidRPr="0006377E">
        <w:rPr>
          <w:rFonts w:eastAsia="Times New Roman"/>
          <w:color w:val="000000"/>
          <w:sz w:val="28"/>
          <w:szCs w:val="28"/>
          <w:lang w:val="en-US"/>
        </w:rPr>
        <w:t>, doi:10.1155/2015/830930.</w:t>
      </w:r>
    </w:p>
    <w:p w14:paraId="2C8BF8E9"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Lipnik-Stangelj, Metoda. “Mediators of Inflammation as Targets for Chronic Pain Treatment.” </w:t>
      </w:r>
      <w:r w:rsidRPr="00821EC9">
        <w:rPr>
          <w:rFonts w:eastAsia="Times New Roman"/>
          <w:i/>
          <w:iCs/>
          <w:color w:val="000000"/>
          <w:sz w:val="28"/>
          <w:szCs w:val="28"/>
          <w:lang w:val="en-US"/>
        </w:rPr>
        <w:t>Mediators of Inflammation</w:t>
      </w:r>
      <w:r w:rsidRPr="00821EC9">
        <w:rPr>
          <w:rFonts w:eastAsia="Times New Roman"/>
          <w:color w:val="000000"/>
          <w:sz w:val="28"/>
          <w:szCs w:val="28"/>
          <w:lang w:val="en-US"/>
        </w:rPr>
        <w:t>, vol. 2013, 2013, pp. 1–3.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doi:10.1155/2013/783235.</w:t>
      </w:r>
    </w:p>
    <w:p w14:paraId="2BE49DF9"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Apkarian, A. Vania, et al. “Towards a Theory of Chronic Pain.” </w:t>
      </w:r>
      <w:r w:rsidRPr="00821EC9">
        <w:rPr>
          <w:rFonts w:eastAsia="Times New Roman"/>
          <w:i/>
          <w:iCs/>
          <w:color w:val="000000"/>
          <w:sz w:val="28"/>
          <w:szCs w:val="28"/>
          <w:lang w:val="en-US"/>
        </w:rPr>
        <w:t>Progress in Neurobiology</w:t>
      </w:r>
      <w:r w:rsidRPr="00821EC9">
        <w:rPr>
          <w:rFonts w:eastAsia="Times New Roman"/>
          <w:color w:val="000000"/>
          <w:sz w:val="28"/>
          <w:szCs w:val="28"/>
          <w:lang w:val="en-US"/>
        </w:rPr>
        <w:t>, vol. 87, no. 2, 2009, pp. 81–97.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doi:10.1016/j.pneurobio.2008.09.018.</w:t>
      </w:r>
    </w:p>
    <w:p w14:paraId="32C95AA8"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White, P. F. “Multimodal Pain Management – The Future Is Now!” </w:t>
      </w:r>
      <w:r w:rsidRPr="00821EC9">
        <w:rPr>
          <w:rFonts w:eastAsia="Times New Roman"/>
          <w:i/>
          <w:iCs/>
          <w:color w:val="000000"/>
          <w:sz w:val="28"/>
          <w:szCs w:val="28"/>
          <w:lang w:val="en-US"/>
        </w:rPr>
        <w:t>Curr Opin Investig Drugs</w:t>
      </w:r>
      <w:r w:rsidRPr="00821EC9">
        <w:rPr>
          <w:rFonts w:eastAsia="Times New Roman"/>
          <w:color w:val="000000"/>
          <w:sz w:val="28"/>
          <w:szCs w:val="28"/>
          <w:lang w:val="en-US"/>
        </w:rPr>
        <w:t>, vol. 8, no. 7, 2007, pp. 517–18.</w:t>
      </w:r>
    </w:p>
    <w:p w14:paraId="43B9730C"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Schug, Stephan A., and Chui Chong. “Pain Management after Ambulatory Surgery.” </w:t>
      </w:r>
      <w:r w:rsidRPr="00821EC9">
        <w:rPr>
          <w:rFonts w:eastAsia="Times New Roman"/>
          <w:i/>
          <w:iCs/>
          <w:color w:val="000000"/>
          <w:sz w:val="28"/>
          <w:szCs w:val="28"/>
          <w:lang w:val="en-US"/>
        </w:rPr>
        <w:t>Current Opinion in Anaesthesiology</w:t>
      </w:r>
      <w:r w:rsidRPr="00821EC9">
        <w:rPr>
          <w:rFonts w:eastAsia="Times New Roman"/>
          <w:color w:val="000000"/>
          <w:sz w:val="28"/>
          <w:szCs w:val="28"/>
          <w:lang w:val="en-US"/>
        </w:rPr>
        <w:t xml:space="preserve">, vol. 22, no. 6, 2009, </w:t>
      </w:r>
      <w:r w:rsidR="00821BED" w:rsidRPr="00821EC9">
        <w:rPr>
          <w:rFonts w:eastAsia="Times New Roman"/>
          <w:color w:val="000000"/>
          <w:sz w:val="28"/>
          <w:szCs w:val="28"/>
          <w:lang w:val="en-US"/>
        </w:rPr>
        <w:br/>
      </w:r>
      <w:r w:rsidRPr="00821EC9">
        <w:rPr>
          <w:rFonts w:eastAsia="Times New Roman"/>
          <w:color w:val="000000"/>
          <w:sz w:val="28"/>
          <w:szCs w:val="28"/>
          <w:lang w:val="en-US"/>
        </w:rPr>
        <w:t>pp. 738–43.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doi:10.1097/aco.0b013e32833020f4.</w:t>
      </w:r>
    </w:p>
    <w:p w14:paraId="3CA2B271"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Zhao, Yi-Lin, et al. “Chronic Opioid Potentiates Presynaptic but Impairs Postsynaptic N-Methyl-d-Aspartic Acid Receptor Activity in Spinal Cords.” </w:t>
      </w:r>
      <w:r w:rsidRPr="00821EC9">
        <w:rPr>
          <w:rFonts w:eastAsia="Times New Roman"/>
          <w:i/>
          <w:iCs/>
          <w:color w:val="000000"/>
          <w:sz w:val="28"/>
          <w:szCs w:val="28"/>
          <w:lang w:val="en-US"/>
        </w:rPr>
        <w:t>Journal of Biological Chemistry</w:t>
      </w:r>
      <w:r w:rsidRPr="00821EC9">
        <w:rPr>
          <w:rFonts w:eastAsia="Times New Roman"/>
          <w:color w:val="000000"/>
          <w:sz w:val="28"/>
          <w:szCs w:val="28"/>
          <w:lang w:val="en-US"/>
        </w:rPr>
        <w:t xml:space="preserve">, vol. 287, no. 30, 2012, </w:t>
      </w:r>
      <w:r w:rsidR="00821BED" w:rsidRPr="00821EC9">
        <w:rPr>
          <w:rFonts w:eastAsia="Times New Roman"/>
          <w:color w:val="000000"/>
          <w:sz w:val="28"/>
          <w:szCs w:val="28"/>
          <w:lang w:val="en-US"/>
        </w:rPr>
        <w:br/>
      </w:r>
      <w:r w:rsidRPr="00821EC9">
        <w:rPr>
          <w:rFonts w:eastAsia="Times New Roman"/>
          <w:color w:val="000000"/>
          <w:sz w:val="28"/>
          <w:szCs w:val="28"/>
          <w:lang w:val="en-US"/>
        </w:rPr>
        <w:t>pp. 25073–85.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doi:10.1074/jbc.m112.378737.</w:t>
      </w:r>
    </w:p>
    <w:p w14:paraId="2BA9DA96" w14:textId="77777777" w:rsidR="00821EC9" w:rsidRP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color w:val="000000"/>
          <w:sz w:val="28"/>
          <w:szCs w:val="28"/>
          <w:lang w:val="en-US"/>
        </w:rPr>
        <w:t>Guindon, Josée, et al. “Recent Advances in the Pharmacological Management of Pain.” </w:t>
      </w:r>
      <w:r w:rsidRPr="00821EC9">
        <w:rPr>
          <w:i/>
          <w:iCs/>
          <w:color w:val="000000"/>
          <w:sz w:val="28"/>
          <w:szCs w:val="28"/>
          <w:lang w:val="en-US"/>
        </w:rPr>
        <w:t>Drugs</w:t>
      </w:r>
      <w:r w:rsidRPr="00821EC9">
        <w:rPr>
          <w:color w:val="000000"/>
          <w:sz w:val="28"/>
          <w:szCs w:val="28"/>
          <w:lang w:val="en-US"/>
        </w:rPr>
        <w:t>, vol. 67, no. 15, 2007, pp. 2121–33. </w:t>
      </w:r>
      <w:r w:rsidRPr="00821EC9">
        <w:rPr>
          <w:i/>
          <w:iCs/>
          <w:color w:val="000000"/>
          <w:sz w:val="28"/>
          <w:szCs w:val="28"/>
          <w:lang w:val="en-US"/>
        </w:rPr>
        <w:t>Crossref</w:t>
      </w:r>
      <w:r w:rsidRPr="00821EC9">
        <w:rPr>
          <w:color w:val="000000"/>
          <w:sz w:val="28"/>
          <w:szCs w:val="28"/>
          <w:lang w:val="en-US"/>
        </w:rPr>
        <w:t>, doi:10.2165/00003495-200767150-00002.</w:t>
      </w:r>
    </w:p>
    <w:p w14:paraId="082F7701" w14:textId="77777777" w:rsidR="00821EC9" w:rsidRDefault="008A6B7D" w:rsidP="00821EC9">
      <w:pPr>
        <w:pStyle w:val="a6"/>
        <w:numPr>
          <w:ilvl w:val="3"/>
          <w:numId w:val="48"/>
        </w:numPr>
        <w:spacing w:line="360" w:lineRule="auto"/>
        <w:ind w:left="0" w:firstLine="0"/>
        <w:jc w:val="both"/>
        <w:rPr>
          <w:rFonts w:eastAsia="Times New Roman"/>
          <w:color w:val="000000"/>
          <w:sz w:val="28"/>
          <w:szCs w:val="28"/>
        </w:rPr>
      </w:pPr>
      <w:r w:rsidRPr="00821EC9">
        <w:rPr>
          <w:sz w:val="28"/>
          <w:szCs w:val="28"/>
        </w:rPr>
        <w:t>Арбух Д</w:t>
      </w:r>
      <w:r w:rsidRPr="00821EC9">
        <w:rPr>
          <w:sz w:val="28"/>
          <w:szCs w:val="28"/>
          <w:lang w:val="uk-UA"/>
        </w:rPr>
        <w:t>.</w:t>
      </w:r>
      <w:r w:rsidRPr="00821EC9">
        <w:rPr>
          <w:sz w:val="28"/>
          <w:szCs w:val="28"/>
        </w:rPr>
        <w:t xml:space="preserve"> М</w:t>
      </w:r>
      <w:r w:rsidRPr="00821EC9">
        <w:rPr>
          <w:sz w:val="28"/>
          <w:szCs w:val="28"/>
          <w:lang w:val="uk-UA"/>
        </w:rPr>
        <w:t>.</w:t>
      </w:r>
      <w:r w:rsidRPr="00821EC9">
        <w:rPr>
          <w:sz w:val="28"/>
          <w:szCs w:val="28"/>
        </w:rPr>
        <w:t>, Абузарова Г</w:t>
      </w:r>
      <w:r w:rsidRPr="00821EC9">
        <w:rPr>
          <w:sz w:val="28"/>
          <w:szCs w:val="28"/>
          <w:lang w:val="uk-UA"/>
        </w:rPr>
        <w:t>.</w:t>
      </w:r>
      <w:r w:rsidRPr="00821EC9">
        <w:rPr>
          <w:sz w:val="28"/>
          <w:szCs w:val="28"/>
        </w:rPr>
        <w:t xml:space="preserve"> Р</w:t>
      </w:r>
      <w:r w:rsidRPr="00821EC9">
        <w:rPr>
          <w:sz w:val="28"/>
          <w:szCs w:val="28"/>
          <w:lang w:val="uk-UA"/>
        </w:rPr>
        <w:t>.</w:t>
      </w:r>
      <w:r w:rsidRPr="00821EC9">
        <w:rPr>
          <w:sz w:val="28"/>
          <w:szCs w:val="28"/>
        </w:rPr>
        <w:t>, Алексеева Г</w:t>
      </w:r>
      <w:r w:rsidRPr="00821EC9">
        <w:rPr>
          <w:sz w:val="28"/>
          <w:szCs w:val="28"/>
          <w:lang w:val="uk-UA"/>
        </w:rPr>
        <w:t xml:space="preserve">. </w:t>
      </w:r>
      <w:r w:rsidRPr="00821EC9">
        <w:rPr>
          <w:sz w:val="28"/>
          <w:szCs w:val="28"/>
        </w:rPr>
        <w:t>С</w:t>
      </w:r>
      <w:r w:rsidRPr="00821EC9">
        <w:rPr>
          <w:sz w:val="28"/>
          <w:szCs w:val="28"/>
          <w:lang w:val="uk-UA"/>
        </w:rPr>
        <w:t>.</w:t>
      </w:r>
      <w:r w:rsidRPr="00821EC9">
        <w:rPr>
          <w:sz w:val="28"/>
          <w:szCs w:val="28"/>
        </w:rPr>
        <w:t xml:space="preserve"> Опиоидные анальгетики в терапии болевых синдромов (часть 2) // Вестник анестезиологии и реаниматологии</w:t>
      </w:r>
      <w:r w:rsidRPr="00821EC9">
        <w:rPr>
          <w:sz w:val="28"/>
          <w:szCs w:val="28"/>
          <w:lang w:val="uk-UA"/>
        </w:rPr>
        <w:t>.</w:t>
      </w:r>
      <w:r w:rsidRPr="00821EC9">
        <w:rPr>
          <w:sz w:val="28"/>
          <w:szCs w:val="28"/>
        </w:rPr>
        <w:t xml:space="preserve"> – 2017</w:t>
      </w:r>
      <w:r w:rsidRPr="00821EC9">
        <w:rPr>
          <w:sz w:val="28"/>
          <w:szCs w:val="28"/>
          <w:lang w:val="uk-UA"/>
        </w:rPr>
        <w:t xml:space="preserve">. </w:t>
      </w:r>
      <w:r w:rsidRPr="00821EC9">
        <w:rPr>
          <w:sz w:val="28"/>
          <w:szCs w:val="28"/>
        </w:rPr>
        <w:t>– Т</w:t>
      </w:r>
      <w:r w:rsidRPr="00821EC9">
        <w:rPr>
          <w:sz w:val="28"/>
          <w:szCs w:val="28"/>
          <w:lang w:val="uk-UA"/>
        </w:rPr>
        <w:t>.</w:t>
      </w:r>
      <w:r w:rsidRPr="00821EC9">
        <w:rPr>
          <w:sz w:val="28"/>
          <w:szCs w:val="28"/>
        </w:rPr>
        <w:t xml:space="preserve"> 14, No 4</w:t>
      </w:r>
      <w:r w:rsidRPr="00821EC9">
        <w:rPr>
          <w:sz w:val="28"/>
          <w:szCs w:val="28"/>
          <w:lang w:val="uk-UA"/>
        </w:rPr>
        <w:t>.</w:t>
      </w:r>
      <w:r w:rsidRPr="00821EC9">
        <w:rPr>
          <w:sz w:val="28"/>
          <w:szCs w:val="28"/>
        </w:rPr>
        <w:t xml:space="preserve"> – С</w:t>
      </w:r>
      <w:r w:rsidRPr="00821EC9">
        <w:rPr>
          <w:sz w:val="28"/>
          <w:szCs w:val="28"/>
          <w:lang w:val="uk-UA"/>
        </w:rPr>
        <w:t>.</w:t>
      </w:r>
      <w:r w:rsidRPr="00821EC9">
        <w:rPr>
          <w:sz w:val="28"/>
          <w:szCs w:val="28"/>
        </w:rPr>
        <w:t xml:space="preserve"> 61-71</w:t>
      </w:r>
      <w:r w:rsidRPr="00821EC9">
        <w:rPr>
          <w:sz w:val="28"/>
          <w:szCs w:val="28"/>
          <w:lang w:val="uk-UA"/>
        </w:rPr>
        <w:t>.</w:t>
      </w:r>
      <w:r w:rsidRPr="00821EC9">
        <w:rPr>
          <w:sz w:val="28"/>
          <w:szCs w:val="28"/>
        </w:rPr>
        <w:t xml:space="preserve"> </w:t>
      </w:r>
      <w:r w:rsidR="00821BED" w:rsidRPr="00821EC9">
        <w:rPr>
          <w:sz w:val="28"/>
          <w:szCs w:val="28"/>
        </w:rPr>
        <w:br/>
      </w:r>
      <w:r w:rsidRPr="00821EC9">
        <w:rPr>
          <w:sz w:val="28"/>
          <w:szCs w:val="28"/>
        </w:rPr>
        <w:t>DOI: 10</w:t>
      </w:r>
      <w:r w:rsidRPr="00821EC9">
        <w:rPr>
          <w:sz w:val="28"/>
          <w:szCs w:val="28"/>
          <w:lang w:val="uk-UA"/>
        </w:rPr>
        <w:t>.</w:t>
      </w:r>
      <w:r w:rsidRPr="00821EC9">
        <w:rPr>
          <w:sz w:val="28"/>
          <w:szCs w:val="28"/>
        </w:rPr>
        <w:t xml:space="preserve">21292/2078-5658-2017-14-4-61-71 </w:t>
      </w:r>
    </w:p>
    <w:p w14:paraId="0C5E8F3C" w14:textId="77777777" w:rsidR="00821EC9" w:rsidRP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Sehgal, Nalini, et al. “Peripherally Acting Opioids and Clinical Implications for Pain Control.” </w:t>
      </w:r>
      <w:r w:rsidRPr="00821EC9">
        <w:rPr>
          <w:rFonts w:eastAsia="Times New Roman"/>
          <w:i/>
          <w:iCs/>
          <w:color w:val="000000"/>
          <w:sz w:val="28"/>
          <w:szCs w:val="28"/>
          <w:lang w:val="en-US"/>
        </w:rPr>
        <w:t>Pain Physician</w:t>
      </w:r>
      <w:r w:rsidRPr="00821EC9">
        <w:rPr>
          <w:rFonts w:eastAsia="Times New Roman"/>
          <w:color w:val="000000"/>
          <w:sz w:val="28"/>
          <w:szCs w:val="28"/>
          <w:lang w:val="en-US"/>
        </w:rPr>
        <w:t>, vol. 14, 2011, pp. 249–58, dolor.org.co/biblioteca/articulos/Accvion%20peroiferica%20opioides.pdf.</w:t>
      </w:r>
    </w:p>
    <w:p w14:paraId="2B91FB6C" w14:textId="77777777" w:rsidR="00821EC9" w:rsidRPr="00821EC9" w:rsidRDefault="008A6B7D" w:rsidP="00821EC9">
      <w:pPr>
        <w:pStyle w:val="a6"/>
        <w:numPr>
          <w:ilvl w:val="3"/>
          <w:numId w:val="48"/>
        </w:numPr>
        <w:spacing w:line="360" w:lineRule="auto"/>
        <w:ind w:left="0" w:firstLine="0"/>
        <w:jc w:val="both"/>
        <w:rPr>
          <w:rFonts w:eastAsia="Times New Roman"/>
          <w:color w:val="000000"/>
          <w:sz w:val="28"/>
          <w:szCs w:val="28"/>
          <w:lang w:val="en-US"/>
        </w:rPr>
      </w:pPr>
      <w:r w:rsidRPr="00821EC9">
        <w:rPr>
          <w:color w:val="000000" w:themeColor="text1"/>
          <w:sz w:val="28"/>
          <w:szCs w:val="28"/>
          <w:shd w:val="clear" w:color="auto" w:fill="FFFFFF"/>
        </w:rPr>
        <w:lastRenderedPageBreak/>
        <w:t>В</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Б</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Кулик</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Механізми</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експресії</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та</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вивільнення</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ендогенних</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опіоїдів</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у</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периферичних</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тканинах</w:t>
      </w:r>
      <w:r w:rsidRPr="00821EC9">
        <w:rPr>
          <w:color w:val="000000" w:themeColor="text1"/>
          <w:sz w:val="28"/>
          <w:szCs w:val="28"/>
          <w:shd w:val="clear" w:color="auto" w:fill="FFFFFF"/>
          <w:lang w:val="en-US"/>
        </w:rPr>
        <w:t xml:space="preserve"> / </w:t>
      </w:r>
      <w:r w:rsidRPr="00821EC9">
        <w:rPr>
          <w:color w:val="000000" w:themeColor="text1"/>
          <w:sz w:val="28"/>
          <w:szCs w:val="28"/>
          <w:shd w:val="clear" w:color="auto" w:fill="FFFFFF"/>
        </w:rPr>
        <w:t>В</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Б</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Кулик</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Т</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М</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Волкова</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О</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О</w:t>
      </w:r>
      <w:r w:rsidRPr="00821EC9">
        <w:rPr>
          <w:color w:val="000000" w:themeColor="text1"/>
          <w:sz w:val="28"/>
          <w:szCs w:val="28"/>
          <w:shd w:val="clear" w:color="auto" w:fill="FFFFFF"/>
          <w:lang w:val="en-US"/>
        </w:rPr>
        <w:t xml:space="preserve">. </w:t>
      </w:r>
      <w:r w:rsidRPr="00821EC9">
        <w:rPr>
          <w:color w:val="000000" w:themeColor="text1"/>
          <w:sz w:val="28"/>
          <w:szCs w:val="28"/>
          <w:shd w:val="clear" w:color="auto" w:fill="FFFFFF"/>
        </w:rPr>
        <w:t>Кришталь</w:t>
      </w:r>
      <w:r w:rsidRPr="00821EC9">
        <w:rPr>
          <w:color w:val="000000" w:themeColor="text1"/>
          <w:sz w:val="28"/>
          <w:szCs w:val="28"/>
          <w:shd w:val="clear" w:color="auto" w:fill="FFFFFF"/>
          <w:lang w:val="en-US"/>
        </w:rPr>
        <w:t xml:space="preserve">. // Neurophysiology / </w:t>
      </w:r>
      <w:r w:rsidRPr="00821EC9">
        <w:rPr>
          <w:color w:val="000000" w:themeColor="text1"/>
          <w:sz w:val="28"/>
          <w:szCs w:val="28"/>
          <w:shd w:val="clear" w:color="auto" w:fill="FFFFFF"/>
        </w:rPr>
        <w:t>Нейрофизиология</w:t>
      </w:r>
      <w:r w:rsidRPr="00821EC9">
        <w:rPr>
          <w:color w:val="000000" w:themeColor="text1"/>
          <w:sz w:val="28"/>
          <w:szCs w:val="28"/>
          <w:shd w:val="clear" w:color="auto" w:fill="FFFFFF"/>
          <w:lang w:val="en-US"/>
        </w:rPr>
        <w:t xml:space="preserve">. – 2016. – </w:t>
      </w:r>
      <w:r w:rsidRPr="00821EC9">
        <w:rPr>
          <w:color w:val="000000" w:themeColor="text1"/>
          <w:sz w:val="28"/>
          <w:szCs w:val="28"/>
          <w:shd w:val="clear" w:color="auto" w:fill="FFFFFF"/>
        </w:rPr>
        <w:t>Т</w:t>
      </w:r>
      <w:r w:rsidRPr="00821EC9">
        <w:rPr>
          <w:color w:val="000000" w:themeColor="text1"/>
          <w:sz w:val="28"/>
          <w:szCs w:val="28"/>
          <w:shd w:val="clear" w:color="auto" w:fill="FFFFFF"/>
          <w:lang w:val="en-US"/>
        </w:rPr>
        <w:t xml:space="preserve">.48, №3. – </w:t>
      </w:r>
      <w:r w:rsidRPr="00821EC9">
        <w:rPr>
          <w:color w:val="000000" w:themeColor="text1"/>
          <w:sz w:val="28"/>
          <w:szCs w:val="28"/>
          <w:shd w:val="clear" w:color="auto" w:fill="FFFFFF"/>
        </w:rPr>
        <w:t>С</w:t>
      </w:r>
      <w:r w:rsidRPr="00821EC9">
        <w:rPr>
          <w:color w:val="000000" w:themeColor="text1"/>
          <w:sz w:val="28"/>
          <w:szCs w:val="28"/>
          <w:shd w:val="clear" w:color="auto" w:fill="FFFFFF"/>
          <w:lang w:val="en-US"/>
        </w:rPr>
        <w:t>. 227–239.</w:t>
      </w:r>
    </w:p>
    <w:p w14:paraId="0534496C"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Smischney, Nathan J., et al. “Serotonin Syndrome in the Perioperative Setting.” </w:t>
      </w:r>
      <w:r w:rsidRPr="00821EC9">
        <w:rPr>
          <w:rFonts w:eastAsia="Times New Roman"/>
          <w:i/>
          <w:iCs/>
          <w:color w:val="000000"/>
          <w:sz w:val="28"/>
          <w:szCs w:val="28"/>
          <w:lang w:val="en-US"/>
        </w:rPr>
        <w:t>American Journal of Case Reports</w:t>
      </w:r>
      <w:r w:rsidRPr="00821EC9">
        <w:rPr>
          <w:rFonts w:eastAsia="Times New Roman"/>
          <w:color w:val="000000"/>
          <w:sz w:val="28"/>
          <w:szCs w:val="28"/>
          <w:lang w:val="en-US"/>
        </w:rPr>
        <w:t>, vol. 19, 2018, pp. 833–35.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doi:10.12659/ajcr.909497.</w:t>
      </w:r>
    </w:p>
    <w:p w14:paraId="0E818064" w14:textId="77777777" w:rsidR="00821EC9" w:rsidRP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Brunton, Laurence, and TL Yaksh. “Opioid Analgesics and Pain Management.” </w:t>
      </w:r>
      <w:r w:rsidRPr="00821EC9">
        <w:rPr>
          <w:rFonts w:eastAsia="Times New Roman"/>
          <w:i/>
          <w:iCs/>
          <w:color w:val="000000"/>
          <w:sz w:val="28"/>
          <w:szCs w:val="28"/>
          <w:lang w:val="en-US"/>
        </w:rPr>
        <w:t>Goodman and Gilman’s The Pharmacological Basis of Therapeutics, Twelfth Edition</w:t>
      </w:r>
      <w:r w:rsidRPr="00821EC9">
        <w:rPr>
          <w:rFonts w:eastAsia="Times New Roman"/>
          <w:color w:val="000000"/>
          <w:sz w:val="28"/>
          <w:szCs w:val="28"/>
          <w:lang w:val="en-US"/>
        </w:rPr>
        <w:t>, 12th ed., McGraw-Hill Education / Medical, 2011, pp. 481–536.</w:t>
      </w:r>
    </w:p>
    <w:p w14:paraId="510F96D6"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Kolodny, Andrew, et al. “The Prescription Opioid and Heroin Crisis: A Public Health Approach to an Epidemic of Addiction.” </w:t>
      </w:r>
      <w:r w:rsidRPr="00821EC9">
        <w:rPr>
          <w:rFonts w:eastAsia="Times New Roman"/>
          <w:i/>
          <w:iCs/>
          <w:color w:val="000000"/>
          <w:sz w:val="28"/>
          <w:szCs w:val="28"/>
          <w:lang w:val="en-US"/>
        </w:rPr>
        <w:t>Annual Review of Public Health</w:t>
      </w:r>
      <w:r w:rsidRPr="00821EC9">
        <w:rPr>
          <w:rFonts w:eastAsia="Times New Roman"/>
          <w:color w:val="000000"/>
          <w:sz w:val="28"/>
          <w:szCs w:val="28"/>
          <w:lang w:val="en-US"/>
        </w:rPr>
        <w:t>, vol. 36, no. 1, 2015, pp. 559–74.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doi:10.1146/annurev-publhealth-031914-122957.</w:t>
      </w:r>
    </w:p>
    <w:p w14:paraId="1438E70F"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Berterame, Stefano, et al. “Use of and Barriers to Access to Opioid Analgesics: A Worldwide, Regional, and National Study.” </w:t>
      </w:r>
      <w:r w:rsidRPr="00821EC9">
        <w:rPr>
          <w:rFonts w:eastAsia="Times New Roman"/>
          <w:i/>
          <w:iCs/>
          <w:color w:val="000000"/>
          <w:sz w:val="28"/>
          <w:szCs w:val="28"/>
          <w:lang w:val="en-US"/>
        </w:rPr>
        <w:t>The Lancet</w:t>
      </w:r>
      <w:r w:rsidRPr="00821EC9">
        <w:rPr>
          <w:rFonts w:eastAsia="Times New Roman"/>
          <w:color w:val="000000"/>
          <w:sz w:val="28"/>
          <w:szCs w:val="28"/>
          <w:lang w:val="en-US"/>
        </w:rPr>
        <w:t xml:space="preserve">, vol. 387, </w:t>
      </w:r>
      <w:r w:rsidR="00821BED" w:rsidRPr="00821EC9">
        <w:rPr>
          <w:rFonts w:eastAsia="Times New Roman"/>
          <w:color w:val="000000"/>
          <w:sz w:val="28"/>
          <w:szCs w:val="28"/>
          <w:lang w:val="en-US"/>
        </w:rPr>
        <w:br/>
      </w:r>
      <w:r w:rsidRPr="00821EC9">
        <w:rPr>
          <w:rFonts w:eastAsia="Times New Roman"/>
          <w:color w:val="000000"/>
          <w:sz w:val="28"/>
          <w:szCs w:val="28"/>
          <w:lang w:val="en-US"/>
        </w:rPr>
        <w:t>no. 10028, 2016, pp. 1644–56.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doi:10.1016/s0140-6736(16)00161-6.</w:t>
      </w:r>
    </w:p>
    <w:p w14:paraId="5E384F45" w14:textId="77777777" w:rsidR="00821EC9" w:rsidRDefault="008A6B7D" w:rsidP="00821EC9">
      <w:pPr>
        <w:pStyle w:val="a6"/>
        <w:numPr>
          <w:ilvl w:val="3"/>
          <w:numId w:val="48"/>
        </w:numPr>
        <w:spacing w:line="360" w:lineRule="auto"/>
        <w:ind w:left="0" w:firstLine="0"/>
        <w:jc w:val="both"/>
        <w:rPr>
          <w:rFonts w:eastAsia="Times New Roman"/>
          <w:color w:val="000000"/>
          <w:sz w:val="28"/>
          <w:szCs w:val="28"/>
        </w:rPr>
      </w:pPr>
      <w:r w:rsidRPr="00821EC9">
        <w:rPr>
          <w:color w:val="000000" w:themeColor="text1"/>
          <w:sz w:val="28"/>
          <w:szCs w:val="28"/>
          <w:shd w:val="clear" w:color="auto" w:fill="FFFFFF"/>
        </w:rPr>
        <w:t xml:space="preserve">Дмитрієв Д. В. Опіоїди в лікуванні неспецифічного гострого та хронічного болю / Дмитрієв Д. В., Залецька О. А., Бортнік Д. І.. // </w:t>
      </w:r>
      <w:r w:rsidRPr="00821EC9">
        <w:rPr>
          <w:color w:val="000000" w:themeColor="text1"/>
          <w:sz w:val="28"/>
          <w:szCs w:val="28"/>
          <w:shd w:val="clear" w:color="auto" w:fill="FFFFFF"/>
          <w:lang w:val="en-US"/>
        </w:rPr>
        <w:t>PainMedicine</w:t>
      </w:r>
      <w:r w:rsidRPr="00821EC9">
        <w:rPr>
          <w:color w:val="000000" w:themeColor="text1"/>
          <w:sz w:val="28"/>
          <w:szCs w:val="28"/>
          <w:shd w:val="clear" w:color="auto" w:fill="FFFFFF"/>
        </w:rPr>
        <w:t xml:space="preserve"> </w:t>
      </w:r>
      <w:r w:rsidRPr="00821EC9">
        <w:rPr>
          <w:color w:val="000000" w:themeColor="text1"/>
          <w:sz w:val="28"/>
          <w:szCs w:val="28"/>
          <w:shd w:val="clear" w:color="auto" w:fill="FFFFFF"/>
          <w:lang w:val="en-US"/>
        </w:rPr>
        <w:t>Journal</w:t>
      </w:r>
      <w:r w:rsidRPr="00821EC9">
        <w:rPr>
          <w:color w:val="000000" w:themeColor="text1"/>
          <w:sz w:val="28"/>
          <w:szCs w:val="28"/>
          <w:shd w:val="clear" w:color="auto" w:fill="FFFFFF"/>
        </w:rPr>
        <w:t>. – 2019. – Т. 4, №1. – С. 22–36.</w:t>
      </w:r>
    </w:p>
    <w:p w14:paraId="68F7B4FD"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Hughes, Patrick A., et al. “Opioidergic Effects on Enteric and Sensory Nerves in the Lower GI Tract: Basic Mechanisms and Clinical Implications.” </w:t>
      </w:r>
      <w:r w:rsidRPr="00821EC9">
        <w:rPr>
          <w:rFonts w:eastAsia="Times New Roman"/>
          <w:i/>
          <w:iCs/>
          <w:color w:val="000000"/>
          <w:sz w:val="28"/>
          <w:szCs w:val="28"/>
          <w:lang w:val="en-US"/>
        </w:rPr>
        <w:t>American Journal of Physiology-Gastrointestinal and Liver Physiology</w:t>
      </w:r>
      <w:r w:rsidRPr="00821EC9">
        <w:rPr>
          <w:rFonts w:eastAsia="Times New Roman"/>
          <w:color w:val="000000"/>
          <w:sz w:val="28"/>
          <w:szCs w:val="28"/>
          <w:lang w:val="en-US"/>
        </w:rPr>
        <w:t>, vol. 311, no. 3, 2016, pp. G501–13.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doi:10.1152/ajpgi.00442.2015.</w:t>
      </w:r>
    </w:p>
    <w:p w14:paraId="0B9CE596" w14:textId="77777777" w:rsidR="00821EC9" w:rsidRDefault="008A6B7D" w:rsidP="00821EC9">
      <w:pPr>
        <w:pStyle w:val="a6"/>
        <w:numPr>
          <w:ilvl w:val="3"/>
          <w:numId w:val="48"/>
        </w:numPr>
        <w:spacing w:line="360" w:lineRule="auto"/>
        <w:ind w:left="0" w:firstLine="0"/>
        <w:jc w:val="both"/>
        <w:rPr>
          <w:rFonts w:eastAsia="Times New Roman"/>
          <w:color w:val="000000"/>
          <w:sz w:val="28"/>
          <w:szCs w:val="28"/>
        </w:rPr>
      </w:pPr>
      <w:r w:rsidRPr="00821EC9">
        <w:rPr>
          <w:color w:val="000000"/>
          <w:sz w:val="28"/>
          <w:szCs w:val="28"/>
          <w:shd w:val="clear" w:color="auto" w:fill="FFFFFF"/>
        </w:rPr>
        <w:t>Ю.М. Панчишин. Нестероїдні протизапальні препарати: відомі та нові проблеми / Ю.М. Панчишин, І.М. Осіїк. // Медицинские аспекты здоровья мужчины. – 2016. – Т. 23, №4. – С. 43–47.</w:t>
      </w:r>
    </w:p>
    <w:p w14:paraId="613A6AD0" w14:textId="77777777" w:rsidR="00821EC9" w:rsidRDefault="008A6B7D" w:rsidP="00821EC9">
      <w:pPr>
        <w:pStyle w:val="a6"/>
        <w:numPr>
          <w:ilvl w:val="3"/>
          <w:numId w:val="48"/>
        </w:numPr>
        <w:spacing w:line="360" w:lineRule="auto"/>
        <w:ind w:left="0" w:firstLine="0"/>
        <w:jc w:val="both"/>
        <w:rPr>
          <w:rFonts w:eastAsia="Times New Roman"/>
          <w:color w:val="000000"/>
          <w:sz w:val="28"/>
          <w:szCs w:val="28"/>
        </w:rPr>
      </w:pPr>
      <w:r w:rsidRPr="00821EC9">
        <w:rPr>
          <w:color w:val="000000"/>
          <w:sz w:val="28"/>
          <w:szCs w:val="28"/>
          <w:shd w:val="clear" w:color="auto" w:fill="FFFFFF"/>
        </w:rPr>
        <w:t>Олексій Терещенко. Простагландин Е2 та біль: нові дані / Олексій Терещенко. // Здоров’я України 21 сторіччя. – 2019. – Т. 452, №7. – С. 6.</w:t>
      </w:r>
    </w:p>
    <w:p w14:paraId="60831346"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lastRenderedPageBreak/>
        <w:t>Bjarnason, Ingvar, et al. “Mechanisms of Damage to the Gastrointestinal Tract From Nonsteroidal Anti-Inflammatory Drugs.” </w:t>
      </w:r>
      <w:r w:rsidRPr="00821EC9">
        <w:rPr>
          <w:rFonts w:eastAsia="Times New Roman"/>
          <w:i/>
          <w:iCs/>
          <w:color w:val="000000"/>
          <w:sz w:val="28"/>
          <w:szCs w:val="28"/>
          <w:lang w:val="en-US"/>
        </w:rPr>
        <w:t>Gastroenterology</w:t>
      </w:r>
      <w:r w:rsidRPr="00821EC9">
        <w:rPr>
          <w:rFonts w:eastAsia="Times New Roman"/>
          <w:color w:val="000000"/>
          <w:sz w:val="28"/>
          <w:szCs w:val="28"/>
          <w:lang w:val="en-US"/>
        </w:rPr>
        <w:t>, vol. 154, no. 3, 2018, pp. 500–14.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doi:10.1053/j.gastro.2017.10.049.</w:t>
      </w:r>
    </w:p>
    <w:p w14:paraId="5960E29D"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Ghosh, Rajeshwary, et al. “NSAIDs and Cardiovascular Diseases: Role of Reactive Oxygen Species.” </w:t>
      </w:r>
      <w:r w:rsidRPr="00821EC9">
        <w:rPr>
          <w:rFonts w:eastAsia="Times New Roman"/>
          <w:i/>
          <w:iCs/>
          <w:color w:val="000000"/>
          <w:sz w:val="28"/>
          <w:szCs w:val="28"/>
          <w:lang w:val="en-US"/>
        </w:rPr>
        <w:t>Oxidative Medicine and Cellular Longevity</w:t>
      </w:r>
      <w:r w:rsidRPr="00821EC9">
        <w:rPr>
          <w:rFonts w:eastAsia="Times New Roman"/>
          <w:color w:val="000000"/>
          <w:sz w:val="28"/>
          <w:szCs w:val="28"/>
          <w:lang w:val="en-US"/>
        </w:rPr>
        <w:t>, vol. 2015, 2015, pp. 1–25.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doi:10.1155/2015/536962.</w:t>
      </w:r>
    </w:p>
    <w:p w14:paraId="119ED0B3"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King, Michael. “Lipids: The Eicosanoids: Prostaglandins, Leukotrienes, and Thromboxanes.” </w:t>
      </w:r>
      <w:r w:rsidRPr="00821EC9">
        <w:rPr>
          <w:rFonts w:eastAsia="Times New Roman"/>
          <w:i/>
          <w:iCs/>
          <w:color w:val="000000"/>
          <w:sz w:val="28"/>
          <w:szCs w:val="28"/>
          <w:lang w:val="en-US"/>
        </w:rPr>
        <w:t>Integrative Medical Biochemistry</w:t>
      </w:r>
      <w:r w:rsidRPr="00821EC9">
        <w:rPr>
          <w:rFonts w:eastAsia="Times New Roman"/>
          <w:color w:val="000000"/>
          <w:sz w:val="28"/>
          <w:szCs w:val="28"/>
          <w:lang w:val="en-US"/>
        </w:rPr>
        <w:t>, 1st ed., McGraw-Hill Education / Medical, 2014.</w:t>
      </w:r>
    </w:p>
    <w:p w14:paraId="14D853F6" w14:textId="77777777" w:rsidR="00821EC9" w:rsidRP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Smyth, Emer M., et al. “Prostanoids in Health and Disease.” </w:t>
      </w:r>
      <w:r w:rsidRPr="00821EC9">
        <w:rPr>
          <w:rFonts w:eastAsia="Times New Roman"/>
          <w:i/>
          <w:iCs/>
          <w:color w:val="000000"/>
          <w:sz w:val="28"/>
          <w:szCs w:val="28"/>
          <w:lang w:val="en-US"/>
        </w:rPr>
        <w:t>Journal of Lipid Research</w:t>
      </w:r>
      <w:r w:rsidRPr="00821EC9">
        <w:rPr>
          <w:rFonts w:eastAsia="Times New Roman"/>
          <w:color w:val="000000"/>
          <w:sz w:val="28"/>
          <w:szCs w:val="28"/>
          <w:lang w:val="en-US"/>
        </w:rPr>
        <w:t>, vol. 50, 2009, pp. S423–28.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doi:10.1194/jlr.r800094-jlr200.</w:t>
      </w:r>
    </w:p>
    <w:p w14:paraId="3A84FE56" w14:textId="77777777" w:rsidR="00821EC9" w:rsidRP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color w:val="000000"/>
          <w:sz w:val="28"/>
          <w:szCs w:val="28"/>
          <w:lang w:val="en-US"/>
        </w:rPr>
        <w:t>Bjarnason, Ingvar, et al. “Mechanisms of Damage to the Gastrointestinal Tract From Nonsteroidal Anti-Inflammatory Drugs.” </w:t>
      </w:r>
      <w:r w:rsidRPr="00821EC9">
        <w:rPr>
          <w:i/>
          <w:iCs/>
          <w:color w:val="000000"/>
          <w:sz w:val="28"/>
          <w:szCs w:val="28"/>
          <w:lang w:val="en-US"/>
        </w:rPr>
        <w:t>Gastroenterology</w:t>
      </w:r>
      <w:r w:rsidRPr="00821EC9">
        <w:rPr>
          <w:color w:val="000000"/>
          <w:sz w:val="28"/>
          <w:szCs w:val="28"/>
          <w:lang w:val="en-US"/>
        </w:rPr>
        <w:t>, vol. 154, no. 3, 2018, pp. 500–14. </w:t>
      </w:r>
      <w:r w:rsidRPr="00821EC9">
        <w:rPr>
          <w:i/>
          <w:iCs/>
          <w:color w:val="000000"/>
          <w:sz w:val="28"/>
          <w:szCs w:val="28"/>
          <w:lang w:val="en-US"/>
        </w:rPr>
        <w:t>Crossref</w:t>
      </w:r>
      <w:r w:rsidRPr="00821EC9">
        <w:rPr>
          <w:color w:val="000000"/>
          <w:sz w:val="28"/>
          <w:szCs w:val="28"/>
          <w:lang w:val="en-US"/>
        </w:rPr>
        <w:t>, doi:10.1053/j.gastro.2017.10.049.</w:t>
      </w:r>
    </w:p>
    <w:p w14:paraId="58898ED9" w14:textId="77777777" w:rsidR="00821EC9" w:rsidRDefault="008A6B7D" w:rsidP="00821EC9">
      <w:pPr>
        <w:pStyle w:val="a6"/>
        <w:numPr>
          <w:ilvl w:val="3"/>
          <w:numId w:val="48"/>
        </w:numPr>
        <w:spacing w:line="360" w:lineRule="auto"/>
        <w:ind w:left="0" w:firstLine="0"/>
        <w:jc w:val="both"/>
        <w:rPr>
          <w:rFonts w:eastAsia="Times New Roman"/>
          <w:color w:val="000000"/>
          <w:sz w:val="28"/>
          <w:szCs w:val="28"/>
        </w:rPr>
      </w:pPr>
      <w:r w:rsidRPr="00821EC9">
        <w:rPr>
          <w:color w:val="000000"/>
          <w:sz w:val="28"/>
          <w:szCs w:val="28"/>
          <w:shd w:val="clear" w:color="auto" w:fill="FFFFFF"/>
        </w:rPr>
        <w:t>Лариса</w:t>
      </w:r>
      <w:r w:rsidRPr="00821EC9">
        <w:rPr>
          <w:color w:val="000000"/>
          <w:sz w:val="28"/>
          <w:szCs w:val="28"/>
          <w:shd w:val="clear" w:color="auto" w:fill="FFFFFF"/>
          <w:lang w:val="en-US"/>
        </w:rPr>
        <w:t xml:space="preserve"> </w:t>
      </w:r>
      <w:r w:rsidRPr="00821EC9">
        <w:rPr>
          <w:color w:val="000000"/>
          <w:sz w:val="28"/>
          <w:szCs w:val="28"/>
          <w:shd w:val="clear" w:color="auto" w:fill="FFFFFF"/>
        </w:rPr>
        <w:t>Стрільчук</w:t>
      </w:r>
      <w:r w:rsidRPr="00821EC9">
        <w:rPr>
          <w:color w:val="000000"/>
          <w:sz w:val="28"/>
          <w:szCs w:val="28"/>
          <w:shd w:val="clear" w:color="auto" w:fill="FFFFFF"/>
          <w:lang w:val="en-US"/>
        </w:rPr>
        <w:t xml:space="preserve">. </w:t>
      </w:r>
      <w:r w:rsidRPr="00821EC9">
        <w:rPr>
          <w:color w:val="000000"/>
          <w:sz w:val="28"/>
          <w:szCs w:val="28"/>
          <w:shd w:val="clear" w:color="auto" w:fill="FFFFFF"/>
        </w:rPr>
        <w:t>Нестероїдні</w:t>
      </w:r>
      <w:r w:rsidRPr="00821EC9">
        <w:rPr>
          <w:color w:val="000000"/>
          <w:sz w:val="28"/>
          <w:szCs w:val="28"/>
          <w:shd w:val="clear" w:color="auto" w:fill="FFFFFF"/>
          <w:lang w:val="en-US"/>
        </w:rPr>
        <w:t xml:space="preserve"> </w:t>
      </w:r>
      <w:r w:rsidRPr="00821EC9">
        <w:rPr>
          <w:color w:val="000000"/>
          <w:sz w:val="28"/>
          <w:szCs w:val="28"/>
          <w:shd w:val="clear" w:color="auto" w:fill="FFFFFF"/>
        </w:rPr>
        <w:t>протизапальні</w:t>
      </w:r>
      <w:r w:rsidRPr="00821EC9">
        <w:rPr>
          <w:color w:val="000000"/>
          <w:sz w:val="28"/>
          <w:szCs w:val="28"/>
          <w:shd w:val="clear" w:color="auto" w:fill="FFFFFF"/>
          <w:lang w:val="en-US"/>
        </w:rPr>
        <w:t xml:space="preserve"> </w:t>
      </w:r>
      <w:r w:rsidRPr="00821EC9">
        <w:rPr>
          <w:color w:val="000000"/>
          <w:sz w:val="28"/>
          <w:szCs w:val="28"/>
          <w:shd w:val="clear" w:color="auto" w:fill="FFFFFF"/>
        </w:rPr>
        <w:t>препарати</w:t>
      </w:r>
      <w:r w:rsidRPr="00821EC9">
        <w:rPr>
          <w:color w:val="000000"/>
          <w:sz w:val="28"/>
          <w:szCs w:val="28"/>
          <w:shd w:val="clear" w:color="auto" w:fill="FFFFFF"/>
          <w:lang w:val="en-US"/>
        </w:rPr>
        <w:t xml:space="preserve"> </w:t>
      </w:r>
      <w:r w:rsidRPr="00821EC9">
        <w:rPr>
          <w:color w:val="000000"/>
          <w:sz w:val="28"/>
          <w:szCs w:val="28"/>
          <w:shd w:val="clear" w:color="auto" w:fill="FFFFFF"/>
        </w:rPr>
        <w:t>та</w:t>
      </w:r>
      <w:r w:rsidRPr="00821EC9">
        <w:rPr>
          <w:color w:val="000000"/>
          <w:sz w:val="28"/>
          <w:szCs w:val="28"/>
          <w:shd w:val="clear" w:color="auto" w:fill="FFFFFF"/>
          <w:lang w:val="en-US"/>
        </w:rPr>
        <w:t xml:space="preserve"> </w:t>
      </w:r>
      <w:r w:rsidRPr="00821EC9">
        <w:rPr>
          <w:color w:val="000000"/>
          <w:sz w:val="28"/>
          <w:szCs w:val="28"/>
          <w:shd w:val="clear" w:color="auto" w:fill="FFFFFF"/>
        </w:rPr>
        <w:t>ризик</w:t>
      </w:r>
      <w:r w:rsidRPr="00821EC9">
        <w:rPr>
          <w:color w:val="000000"/>
          <w:sz w:val="28"/>
          <w:szCs w:val="28"/>
          <w:shd w:val="clear" w:color="auto" w:fill="FFFFFF"/>
          <w:lang w:val="en-US"/>
        </w:rPr>
        <w:t xml:space="preserve"> </w:t>
      </w:r>
      <w:r w:rsidRPr="00821EC9">
        <w:rPr>
          <w:color w:val="000000"/>
          <w:sz w:val="28"/>
          <w:szCs w:val="28"/>
          <w:shd w:val="clear" w:color="auto" w:fill="FFFFFF"/>
        </w:rPr>
        <w:t>серцево</w:t>
      </w:r>
      <w:r w:rsidRPr="00821EC9">
        <w:rPr>
          <w:color w:val="000000"/>
          <w:sz w:val="28"/>
          <w:szCs w:val="28"/>
          <w:shd w:val="clear" w:color="auto" w:fill="FFFFFF"/>
          <w:lang w:val="en-US"/>
        </w:rPr>
        <w:t>-</w:t>
      </w:r>
      <w:r w:rsidRPr="00821EC9">
        <w:rPr>
          <w:color w:val="000000"/>
          <w:sz w:val="28"/>
          <w:szCs w:val="28"/>
          <w:shd w:val="clear" w:color="auto" w:fill="FFFFFF"/>
        </w:rPr>
        <w:t>судинних</w:t>
      </w:r>
      <w:r w:rsidRPr="00821EC9">
        <w:rPr>
          <w:color w:val="000000"/>
          <w:sz w:val="28"/>
          <w:szCs w:val="28"/>
          <w:shd w:val="clear" w:color="auto" w:fill="FFFFFF"/>
          <w:lang w:val="en-US"/>
        </w:rPr>
        <w:t xml:space="preserve"> </w:t>
      </w:r>
      <w:r w:rsidRPr="00821EC9">
        <w:rPr>
          <w:color w:val="000000"/>
          <w:sz w:val="28"/>
          <w:szCs w:val="28"/>
          <w:shd w:val="clear" w:color="auto" w:fill="FFFFFF"/>
        </w:rPr>
        <w:t>ускладнень</w:t>
      </w:r>
      <w:r w:rsidRPr="00821EC9">
        <w:rPr>
          <w:color w:val="000000"/>
          <w:sz w:val="28"/>
          <w:szCs w:val="28"/>
          <w:shd w:val="clear" w:color="auto" w:fill="FFFFFF"/>
          <w:lang w:val="en-US"/>
        </w:rPr>
        <w:t xml:space="preserve"> / </w:t>
      </w:r>
      <w:r w:rsidRPr="00821EC9">
        <w:rPr>
          <w:color w:val="000000"/>
          <w:sz w:val="28"/>
          <w:szCs w:val="28"/>
          <w:shd w:val="clear" w:color="auto" w:fill="FFFFFF"/>
        </w:rPr>
        <w:t>Лариса</w:t>
      </w:r>
      <w:r w:rsidRPr="00821EC9">
        <w:rPr>
          <w:color w:val="000000"/>
          <w:sz w:val="28"/>
          <w:szCs w:val="28"/>
          <w:shd w:val="clear" w:color="auto" w:fill="FFFFFF"/>
          <w:lang w:val="en-US"/>
        </w:rPr>
        <w:t xml:space="preserve"> </w:t>
      </w:r>
      <w:r w:rsidRPr="00821EC9">
        <w:rPr>
          <w:color w:val="000000"/>
          <w:sz w:val="28"/>
          <w:szCs w:val="28"/>
          <w:shd w:val="clear" w:color="auto" w:fill="FFFFFF"/>
        </w:rPr>
        <w:t>Стрільчук</w:t>
      </w:r>
      <w:r w:rsidRPr="00821EC9">
        <w:rPr>
          <w:color w:val="000000"/>
          <w:sz w:val="28"/>
          <w:szCs w:val="28"/>
          <w:shd w:val="clear" w:color="auto" w:fill="FFFFFF"/>
          <w:lang w:val="en-US"/>
        </w:rPr>
        <w:t xml:space="preserve">. // </w:t>
      </w:r>
      <w:r w:rsidRPr="00821EC9">
        <w:rPr>
          <w:color w:val="000000"/>
          <w:sz w:val="28"/>
          <w:szCs w:val="28"/>
          <w:shd w:val="clear" w:color="auto" w:fill="FFFFFF"/>
        </w:rPr>
        <w:t>Здоров</w:t>
      </w:r>
      <w:r w:rsidRPr="00821EC9">
        <w:rPr>
          <w:color w:val="000000"/>
          <w:sz w:val="28"/>
          <w:szCs w:val="28"/>
          <w:shd w:val="clear" w:color="auto" w:fill="FFFFFF"/>
          <w:lang w:val="en-US"/>
        </w:rPr>
        <w:t>’</w:t>
      </w:r>
      <w:r w:rsidRPr="00821EC9">
        <w:rPr>
          <w:color w:val="000000"/>
          <w:sz w:val="28"/>
          <w:szCs w:val="28"/>
          <w:shd w:val="clear" w:color="auto" w:fill="FFFFFF"/>
        </w:rPr>
        <w:t>я</w:t>
      </w:r>
      <w:r w:rsidRPr="00821EC9">
        <w:rPr>
          <w:color w:val="000000"/>
          <w:sz w:val="28"/>
          <w:szCs w:val="28"/>
          <w:shd w:val="clear" w:color="auto" w:fill="FFFFFF"/>
          <w:lang w:val="en-US"/>
        </w:rPr>
        <w:t xml:space="preserve"> </w:t>
      </w:r>
      <w:r w:rsidRPr="00821EC9">
        <w:rPr>
          <w:color w:val="000000"/>
          <w:sz w:val="28"/>
          <w:szCs w:val="28"/>
          <w:shd w:val="clear" w:color="auto" w:fill="FFFFFF"/>
        </w:rPr>
        <w:t>України</w:t>
      </w:r>
      <w:r w:rsidRPr="00821EC9">
        <w:rPr>
          <w:color w:val="000000"/>
          <w:sz w:val="28"/>
          <w:szCs w:val="28"/>
          <w:shd w:val="clear" w:color="auto" w:fill="FFFFFF"/>
          <w:lang w:val="en-US"/>
        </w:rPr>
        <w:t xml:space="preserve"> 21 </w:t>
      </w:r>
      <w:r w:rsidRPr="00821EC9">
        <w:rPr>
          <w:color w:val="000000"/>
          <w:sz w:val="28"/>
          <w:szCs w:val="28"/>
          <w:shd w:val="clear" w:color="auto" w:fill="FFFFFF"/>
        </w:rPr>
        <w:t>сторіччя</w:t>
      </w:r>
      <w:r w:rsidRPr="00821EC9">
        <w:rPr>
          <w:color w:val="000000"/>
          <w:sz w:val="28"/>
          <w:szCs w:val="28"/>
          <w:shd w:val="clear" w:color="auto" w:fill="FFFFFF"/>
          <w:lang w:val="en-US"/>
        </w:rPr>
        <w:t xml:space="preserve">. – 2016. – </w:t>
      </w:r>
      <w:r w:rsidRPr="00821EC9">
        <w:rPr>
          <w:color w:val="000000"/>
          <w:sz w:val="28"/>
          <w:szCs w:val="28"/>
          <w:shd w:val="clear" w:color="auto" w:fill="FFFFFF"/>
        </w:rPr>
        <w:t>Т</w:t>
      </w:r>
      <w:r w:rsidRPr="00821EC9">
        <w:rPr>
          <w:color w:val="000000"/>
          <w:sz w:val="28"/>
          <w:szCs w:val="28"/>
          <w:shd w:val="clear" w:color="auto" w:fill="FFFFFF"/>
          <w:lang w:val="en-US"/>
        </w:rPr>
        <w:t xml:space="preserve">. 395, №22. – </w:t>
      </w:r>
      <w:r w:rsidRPr="00821EC9">
        <w:rPr>
          <w:color w:val="000000"/>
          <w:sz w:val="28"/>
          <w:szCs w:val="28"/>
          <w:shd w:val="clear" w:color="auto" w:fill="FFFFFF"/>
        </w:rPr>
        <w:t>С</w:t>
      </w:r>
      <w:r w:rsidRPr="00821EC9">
        <w:rPr>
          <w:color w:val="000000"/>
          <w:sz w:val="28"/>
          <w:szCs w:val="28"/>
          <w:shd w:val="clear" w:color="auto" w:fill="FFFFFF"/>
          <w:lang w:val="en-US"/>
        </w:rPr>
        <w:t>. 36–37.</w:t>
      </w:r>
    </w:p>
    <w:p w14:paraId="1CEE21CF"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Li, Tianci, et al. “TRPV1 Feed-Forward Sensitisation Depends on COX2 Upregulation in Primary Sensory Neurons.” </w:t>
      </w:r>
      <w:r w:rsidRPr="00821EC9">
        <w:rPr>
          <w:rFonts w:eastAsia="Times New Roman"/>
          <w:i/>
          <w:iCs/>
          <w:color w:val="000000"/>
          <w:sz w:val="28"/>
          <w:szCs w:val="28"/>
          <w:lang w:val="en-US"/>
        </w:rPr>
        <w:t>Scientific Reports</w:t>
      </w:r>
      <w:r w:rsidRPr="00821EC9">
        <w:rPr>
          <w:rFonts w:eastAsia="Times New Roman"/>
          <w:color w:val="000000"/>
          <w:sz w:val="28"/>
          <w:szCs w:val="28"/>
          <w:lang w:val="en-US"/>
        </w:rPr>
        <w:t>, vol. 11, no. 1, 2021.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doi:10.1038/s41598-021-82829-6.</w:t>
      </w:r>
    </w:p>
    <w:p w14:paraId="74D3DD17"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O. Yadlovskyi, et al. “Involvement of the Vanilloid Receptor 1 in the Mechanism of Analgetic Effect of Ketorolac.” </w:t>
      </w:r>
      <w:r w:rsidRPr="00821EC9">
        <w:rPr>
          <w:rFonts w:eastAsia="Times New Roman"/>
          <w:i/>
          <w:iCs/>
          <w:color w:val="000000"/>
          <w:sz w:val="28"/>
          <w:szCs w:val="28"/>
          <w:lang w:val="en-US"/>
        </w:rPr>
        <w:t>Acta Facultatis Pharmaceuticae Universitatis Comenianae</w:t>
      </w:r>
      <w:r w:rsidRPr="00821EC9">
        <w:rPr>
          <w:rFonts w:eastAsia="Times New Roman"/>
          <w:color w:val="000000"/>
          <w:sz w:val="28"/>
          <w:szCs w:val="28"/>
          <w:lang w:val="en-US"/>
        </w:rPr>
        <w:t>, vol. 60, no. 2, 2013, pp. 49–55. </w:t>
      </w:r>
      <w:r w:rsidRPr="00821EC9">
        <w:rPr>
          <w:rFonts w:eastAsia="Times New Roman"/>
          <w:i/>
          <w:iCs/>
          <w:color w:val="000000"/>
          <w:sz w:val="28"/>
          <w:szCs w:val="28"/>
          <w:lang w:val="en-US"/>
        </w:rPr>
        <w:t>Crossref</w:t>
      </w:r>
      <w:r w:rsidRPr="00821EC9">
        <w:rPr>
          <w:rFonts w:eastAsia="Times New Roman"/>
          <w:color w:val="000000"/>
          <w:sz w:val="28"/>
          <w:szCs w:val="28"/>
          <w:lang w:val="en-US"/>
        </w:rPr>
        <w:t>, doi:10.2478/afpuc-2013-0016.</w:t>
      </w:r>
    </w:p>
    <w:p w14:paraId="2484F4D3"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Vanegas, Horacio, et al. “NSAIDs, Opioids, Cannabinoids and the Control of Pain by the Central Nervous System.” </w:t>
      </w:r>
      <w:r w:rsidRPr="00821EC9">
        <w:rPr>
          <w:rFonts w:eastAsia="Times New Roman"/>
          <w:i/>
          <w:iCs/>
          <w:color w:val="000000"/>
          <w:sz w:val="28"/>
          <w:szCs w:val="28"/>
          <w:lang w:val="en-US"/>
        </w:rPr>
        <w:t>Pharmaceuticals</w:t>
      </w:r>
      <w:r w:rsidRPr="00821EC9">
        <w:rPr>
          <w:rFonts w:eastAsia="Times New Roman"/>
          <w:color w:val="000000"/>
          <w:sz w:val="28"/>
          <w:szCs w:val="28"/>
          <w:lang w:val="en-US"/>
        </w:rPr>
        <w:t>, vol. 3, no. 5, 2010, pp. 1335–47. </w:t>
      </w:r>
      <w:r w:rsidRPr="00821EC9">
        <w:rPr>
          <w:rFonts w:eastAsia="Times New Roman"/>
          <w:i/>
          <w:iCs/>
          <w:color w:val="000000"/>
          <w:sz w:val="28"/>
          <w:szCs w:val="28"/>
          <w:lang w:val="en-US"/>
        </w:rPr>
        <w:t>Crossref</w:t>
      </w:r>
      <w:r w:rsidRPr="00821EC9">
        <w:rPr>
          <w:rFonts w:eastAsia="Times New Roman"/>
          <w:color w:val="000000"/>
          <w:sz w:val="28"/>
          <w:szCs w:val="28"/>
          <w:lang w:val="en-US"/>
        </w:rPr>
        <w:t>, doi:10.3390/ph3051335.</w:t>
      </w:r>
    </w:p>
    <w:p w14:paraId="7546BF94"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Pierre, S. C., et al. “Inhibition of Cyclooxygenases by Dipyrone.” </w:t>
      </w:r>
      <w:r w:rsidRPr="00821EC9">
        <w:rPr>
          <w:rFonts w:eastAsia="Times New Roman"/>
          <w:i/>
          <w:iCs/>
          <w:color w:val="000000"/>
          <w:sz w:val="28"/>
          <w:szCs w:val="28"/>
          <w:lang w:val="en-US"/>
        </w:rPr>
        <w:t>British Journal of Pharmacology</w:t>
      </w:r>
      <w:r w:rsidRPr="00821EC9">
        <w:rPr>
          <w:rFonts w:eastAsia="Times New Roman"/>
          <w:color w:val="000000"/>
          <w:sz w:val="28"/>
          <w:szCs w:val="28"/>
          <w:lang w:val="en-US"/>
        </w:rPr>
        <w:t>, vol. 151, no. 4, 2007, pp. 494–503.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doi:10.1038/sj.bjp.0707239.</w:t>
      </w:r>
    </w:p>
    <w:p w14:paraId="1F20F025"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lastRenderedPageBreak/>
        <w:t>Fowler, Christopher J., et al. “Inhibitory Properties of Ibuprofen and Its Amide Analogues towards the Hydrolysis and Cyclooxygenation of the Endocannabinoid Anandamide.” </w:t>
      </w:r>
      <w:r w:rsidRPr="00821EC9">
        <w:rPr>
          <w:rFonts w:eastAsia="Times New Roman"/>
          <w:i/>
          <w:iCs/>
          <w:color w:val="000000"/>
          <w:sz w:val="28"/>
          <w:szCs w:val="28"/>
          <w:lang w:val="en-US"/>
        </w:rPr>
        <w:t>Journal of Enzyme Inhibition and Medicinal Chemistry</w:t>
      </w:r>
      <w:r w:rsidRPr="00821EC9">
        <w:rPr>
          <w:rFonts w:eastAsia="Times New Roman"/>
          <w:color w:val="000000"/>
          <w:sz w:val="28"/>
          <w:szCs w:val="28"/>
          <w:lang w:val="en-US"/>
        </w:rPr>
        <w:t>, vol. 28, no. 1, 2012, pp. 172–82. </w:t>
      </w:r>
      <w:r w:rsidRPr="00821EC9">
        <w:rPr>
          <w:rFonts w:eastAsia="Times New Roman"/>
          <w:i/>
          <w:iCs/>
          <w:color w:val="000000"/>
          <w:sz w:val="28"/>
          <w:szCs w:val="28"/>
          <w:lang w:val="en-US"/>
        </w:rPr>
        <w:t>Crossref</w:t>
      </w:r>
      <w:r w:rsidRPr="00821EC9">
        <w:rPr>
          <w:rFonts w:eastAsia="Times New Roman"/>
          <w:color w:val="000000"/>
          <w:sz w:val="28"/>
          <w:szCs w:val="28"/>
          <w:lang w:val="en-US"/>
        </w:rPr>
        <w:t>, doi:10.3109/14756366.2011.643304.</w:t>
      </w:r>
    </w:p>
    <w:p w14:paraId="632827E5"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Ohashi, Nobuko, and Tatsuro Kohno. “Analgesic Effect of Acetaminophen: A Review of Known and Novel Mechanisms of Action.” </w:t>
      </w:r>
      <w:r w:rsidRPr="00821EC9">
        <w:rPr>
          <w:rFonts w:eastAsia="Times New Roman"/>
          <w:i/>
          <w:iCs/>
          <w:color w:val="000000"/>
          <w:sz w:val="28"/>
          <w:szCs w:val="28"/>
          <w:lang w:val="en-US"/>
        </w:rPr>
        <w:t>Frontiers in Pharmacology</w:t>
      </w:r>
      <w:r w:rsidRPr="00821EC9">
        <w:rPr>
          <w:rFonts w:eastAsia="Times New Roman"/>
          <w:color w:val="000000"/>
          <w:sz w:val="28"/>
          <w:szCs w:val="28"/>
          <w:lang w:val="en-US"/>
        </w:rPr>
        <w:t>, vol. 11, 2020. </w:t>
      </w:r>
      <w:r w:rsidRPr="00821EC9">
        <w:rPr>
          <w:rFonts w:eastAsia="Times New Roman"/>
          <w:i/>
          <w:iCs/>
          <w:color w:val="000000"/>
          <w:sz w:val="28"/>
          <w:szCs w:val="28"/>
          <w:lang w:val="en-US"/>
        </w:rPr>
        <w:t>Crossref</w:t>
      </w:r>
      <w:r w:rsidRPr="00821EC9">
        <w:rPr>
          <w:rFonts w:eastAsia="Times New Roman"/>
          <w:color w:val="000000"/>
          <w:sz w:val="28"/>
          <w:szCs w:val="28"/>
          <w:lang w:val="en-US"/>
        </w:rPr>
        <w:t>, doi:10.3389/fphar.2020.580289.</w:t>
      </w:r>
    </w:p>
    <w:p w14:paraId="150C48AA"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Dreischulte, Tobias, et al. “Combined Use of Nonsteroidal Anti-Inflammatory Drugs with Diuretics and/or Renin–Angiotensin System Inhibitors in the Community Increases the Risk of Acute Kidney Injury.” </w:t>
      </w:r>
      <w:r w:rsidRPr="00821EC9">
        <w:rPr>
          <w:rFonts w:eastAsia="Times New Roman"/>
          <w:i/>
          <w:iCs/>
          <w:color w:val="000000"/>
          <w:sz w:val="28"/>
          <w:szCs w:val="28"/>
          <w:lang w:val="en-US"/>
        </w:rPr>
        <w:t>Kidney International</w:t>
      </w:r>
      <w:r w:rsidRPr="00821EC9">
        <w:rPr>
          <w:rFonts w:eastAsia="Times New Roman"/>
          <w:color w:val="000000"/>
          <w:sz w:val="28"/>
          <w:szCs w:val="28"/>
          <w:lang w:val="en-US"/>
        </w:rPr>
        <w:t xml:space="preserve">, </w:t>
      </w:r>
      <w:r w:rsidR="00821BED" w:rsidRPr="00821EC9">
        <w:rPr>
          <w:rFonts w:eastAsia="Times New Roman"/>
          <w:color w:val="000000"/>
          <w:sz w:val="28"/>
          <w:szCs w:val="28"/>
          <w:lang w:val="en-US"/>
        </w:rPr>
        <w:br/>
      </w:r>
      <w:r w:rsidRPr="00821EC9">
        <w:rPr>
          <w:rFonts w:eastAsia="Times New Roman"/>
          <w:color w:val="000000"/>
          <w:sz w:val="28"/>
          <w:szCs w:val="28"/>
          <w:lang w:val="en-US"/>
        </w:rPr>
        <w:t>vol. 88, no. 2, 2015, pp. 396–403.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doi:10.1038/ki.2015.101</w:t>
      </w:r>
    </w:p>
    <w:p w14:paraId="173EF96C"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Maletic, V., et al. “Neurobiology of Depression: An Integrated View of Key Findings.” </w:t>
      </w:r>
      <w:r w:rsidRPr="00821EC9">
        <w:rPr>
          <w:rFonts w:eastAsia="Times New Roman"/>
          <w:i/>
          <w:iCs/>
          <w:color w:val="000000"/>
          <w:sz w:val="28"/>
          <w:szCs w:val="28"/>
          <w:lang w:val="en-US"/>
        </w:rPr>
        <w:t>International Journal of Clinical Practice</w:t>
      </w:r>
      <w:r w:rsidRPr="00821EC9">
        <w:rPr>
          <w:rFonts w:eastAsia="Times New Roman"/>
          <w:color w:val="000000"/>
          <w:sz w:val="28"/>
          <w:szCs w:val="28"/>
          <w:lang w:val="en-US"/>
        </w:rPr>
        <w:t xml:space="preserve">, vol. 61, no. 12, 2007, </w:t>
      </w:r>
      <w:r w:rsidR="00821BED" w:rsidRPr="00821EC9">
        <w:rPr>
          <w:rFonts w:eastAsia="Times New Roman"/>
          <w:color w:val="000000"/>
          <w:sz w:val="28"/>
          <w:szCs w:val="28"/>
          <w:lang w:val="en-US"/>
        </w:rPr>
        <w:br/>
      </w:r>
      <w:r w:rsidRPr="00821EC9">
        <w:rPr>
          <w:rFonts w:eastAsia="Times New Roman"/>
          <w:color w:val="000000"/>
          <w:sz w:val="28"/>
          <w:szCs w:val="28"/>
          <w:lang w:val="en-US"/>
        </w:rPr>
        <w:t>pp. 2030–40.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doi:10.1111/j.1742-1241.2007.01602.x.</w:t>
      </w:r>
    </w:p>
    <w:p w14:paraId="66A8044D"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Rhee, Taeho Greg, and Robert A. Rosenheck. “Psychotropic Polypharmacy Reconsidered: Between-Class Polypharmacy in the Context of Multimorbidity in the Treatment of Depressive Disorders.” </w:t>
      </w:r>
      <w:r w:rsidRPr="00821EC9">
        <w:rPr>
          <w:rFonts w:eastAsia="Times New Roman"/>
          <w:i/>
          <w:iCs/>
          <w:color w:val="000000"/>
          <w:sz w:val="28"/>
          <w:szCs w:val="28"/>
          <w:lang w:val="en-US"/>
        </w:rPr>
        <w:t>Journal of Affective Disorders</w:t>
      </w:r>
      <w:r w:rsidRPr="00821EC9">
        <w:rPr>
          <w:rFonts w:eastAsia="Times New Roman"/>
          <w:color w:val="000000"/>
          <w:sz w:val="28"/>
          <w:szCs w:val="28"/>
          <w:lang w:val="en-US"/>
        </w:rPr>
        <w:t>, vol. 252, 2019, pp. 450–57.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doi:10.1016/j.jad.2019.04.018.</w:t>
      </w:r>
    </w:p>
    <w:p w14:paraId="5430FC6F"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Liu, Yan-Mei, et al. “Curcumol Allosterically Modulates GABA(A) Receptors in a Manner Distinct from Benzodiazepines.” </w:t>
      </w:r>
      <w:r w:rsidRPr="00821EC9">
        <w:rPr>
          <w:rFonts w:eastAsia="Times New Roman"/>
          <w:i/>
          <w:iCs/>
          <w:color w:val="000000"/>
          <w:sz w:val="28"/>
          <w:szCs w:val="28"/>
          <w:lang w:val="en-US"/>
        </w:rPr>
        <w:t>Scientific Reports</w:t>
      </w:r>
      <w:r w:rsidRPr="00821EC9">
        <w:rPr>
          <w:rFonts w:eastAsia="Times New Roman"/>
          <w:color w:val="000000"/>
          <w:sz w:val="28"/>
          <w:szCs w:val="28"/>
          <w:lang w:val="en-US"/>
        </w:rPr>
        <w:t>, vol. 7, no. 1, 2017.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doi:10.1038/srep46654.</w:t>
      </w:r>
    </w:p>
    <w:p w14:paraId="44C2C36D"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rPr>
      </w:pPr>
      <w:r w:rsidRPr="00821EC9">
        <w:rPr>
          <w:rFonts w:eastAsia="Times New Roman"/>
          <w:color w:val="000000"/>
          <w:sz w:val="28"/>
          <w:szCs w:val="28"/>
          <w:lang w:val="en-US"/>
        </w:rPr>
        <w:t>Denver, Robert John. “Structural and Functional Evolution of Vertebrate Neuroendocrine Stress Systems.” </w:t>
      </w:r>
      <w:r w:rsidRPr="00821EC9">
        <w:rPr>
          <w:rFonts w:eastAsia="Times New Roman"/>
          <w:i/>
          <w:iCs/>
          <w:color w:val="000000"/>
          <w:sz w:val="28"/>
          <w:szCs w:val="28"/>
          <w:lang w:val="en-US"/>
        </w:rPr>
        <w:t>Annals of the New York Academy of Sciences</w:t>
      </w:r>
      <w:r w:rsidRPr="00821EC9">
        <w:rPr>
          <w:rFonts w:eastAsia="Times New Roman"/>
          <w:color w:val="000000"/>
          <w:sz w:val="28"/>
          <w:szCs w:val="28"/>
          <w:lang w:val="en-US"/>
        </w:rPr>
        <w:t xml:space="preserve">, </w:t>
      </w:r>
      <w:r w:rsidR="00821BED" w:rsidRPr="00821EC9">
        <w:rPr>
          <w:rFonts w:eastAsia="Times New Roman"/>
          <w:color w:val="000000"/>
          <w:sz w:val="28"/>
          <w:szCs w:val="28"/>
          <w:lang w:val="en-US"/>
        </w:rPr>
        <w:br/>
      </w:r>
      <w:r w:rsidRPr="00821EC9">
        <w:rPr>
          <w:rFonts w:eastAsia="Times New Roman"/>
          <w:color w:val="000000"/>
          <w:sz w:val="28"/>
          <w:szCs w:val="28"/>
          <w:lang w:val="en-US"/>
        </w:rPr>
        <w:t>vol. 1163, no. 1, 2009, pp. 1–16.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doi:10.1111/j.1749-6632.2009.04433.x.</w:t>
      </w:r>
    </w:p>
    <w:p w14:paraId="65F74F2B"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“Psychopharmacologic Treatment of Borderline Personality Disorder.” </w:t>
      </w:r>
      <w:r w:rsidRPr="00821EC9">
        <w:rPr>
          <w:rFonts w:eastAsia="Times New Roman"/>
          <w:i/>
          <w:iCs/>
          <w:color w:val="000000"/>
          <w:sz w:val="28"/>
          <w:szCs w:val="28"/>
          <w:lang w:val="en-US"/>
        </w:rPr>
        <w:t>Personality Disorders</w:t>
      </w:r>
      <w:r w:rsidRPr="00821EC9">
        <w:rPr>
          <w:rFonts w:eastAsia="Times New Roman"/>
          <w:color w:val="000000"/>
          <w:sz w:val="28"/>
          <w:szCs w:val="28"/>
          <w:lang w:val="en-US"/>
        </w:rPr>
        <w:t>, vol. 15, no. 2, 2013, pp. 213–24. </w:t>
      </w:r>
      <w:r w:rsidRPr="00821EC9">
        <w:rPr>
          <w:rFonts w:eastAsia="Times New Roman"/>
          <w:i/>
          <w:iCs/>
          <w:color w:val="000000"/>
          <w:sz w:val="28"/>
          <w:szCs w:val="28"/>
          <w:lang w:val="en-US"/>
        </w:rPr>
        <w:t>Crossref</w:t>
      </w:r>
      <w:r w:rsidRPr="00821EC9">
        <w:rPr>
          <w:rFonts w:eastAsia="Times New Roman"/>
          <w:color w:val="000000"/>
          <w:sz w:val="28"/>
          <w:szCs w:val="28"/>
          <w:lang w:val="en-US"/>
        </w:rPr>
        <w:t>, doi:10.31887/dcns.2013.15.2/lripoll.</w:t>
      </w:r>
    </w:p>
    <w:p w14:paraId="5AE7BEA7"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lastRenderedPageBreak/>
        <w:t>Ravindran, Lakshmi N., and Murray B. Stein. “The Pharmacologic Treatment of Anxiety Disorders.” </w:t>
      </w:r>
      <w:r w:rsidRPr="00821EC9">
        <w:rPr>
          <w:rFonts w:eastAsia="Times New Roman"/>
          <w:i/>
          <w:iCs/>
          <w:color w:val="000000"/>
          <w:sz w:val="28"/>
          <w:szCs w:val="28"/>
          <w:lang w:val="en-US"/>
        </w:rPr>
        <w:t>The Journal of Clinical Psychiatry</w:t>
      </w:r>
      <w:r w:rsidRPr="00821EC9">
        <w:rPr>
          <w:rFonts w:eastAsia="Times New Roman"/>
          <w:color w:val="000000"/>
          <w:sz w:val="28"/>
          <w:szCs w:val="28"/>
          <w:lang w:val="en-US"/>
        </w:rPr>
        <w:t xml:space="preserve">, vol. 71, no. 07, 2010, </w:t>
      </w:r>
      <w:r w:rsidR="00821BED" w:rsidRPr="00821EC9">
        <w:rPr>
          <w:rFonts w:eastAsia="Times New Roman"/>
          <w:color w:val="000000"/>
          <w:sz w:val="28"/>
          <w:szCs w:val="28"/>
          <w:lang w:val="en-US"/>
        </w:rPr>
        <w:br/>
      </w:r>
      <w:r w:rsidRPr="00821EC9">
        <w:rPr>
          <w:rFonts w:eastAsia="Times New Roman"/>
          <w:color w:val="000000"/>
          <w:sz w:val="28"/>
          <w:szCs w:val="28"/>
          <w:lang w:val="en-US"/>
        </w:rPr>
        <w:t>pp. 839–54. </w:t>
      </w:r>
      <w:r w:rsidRPr="00821EC9">
        <w:rPr>
          <w:rFonts w:eastAsia="Times New Roman"/>
          <w:i/>
          <w:iCs/>
          <w:color w:val="000000"/>
          <w:sz w:val="28"/>
          <w:szCs w:val="28"/>
          <w:lang w:val="en-US"/>
        </w:rPr>
        <w:t>Crossref</w:t>
      </w:r>
      <w:r w:rsidRPr="00821EC9">
        <w:rPr>
          <w:rFonts w:eastAsia="Times New Roman"/>
          <w:color w:val="000000"/>
          <w:sz w:val="28"/>
          <w:szCs w:val="28"/>
          <w:lang w:val="en-US"/>
        </w:rPr>
        <w:t>, doi:10.4088/jcp.10r06218blu.</w:t>
      </w:r>
    </w:p>
    <w:p w14:paraId="321FB3F3"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Kamell, Andrew, and Lauren Kelley Smith. “Attitudes Toward Use of Benzodiazepines among U.S. Hospice Clinicians: Survey and Review of the Literature.” </w:t>
      </w:r>
      <w:r w:rsidRPr="00821EC9">
        <w:rPr>
          <w:rFonts w:eastAsia="Times New Roman"/>
          <w:i/>
          <w:iCs/>
          <w:color w:val="000000"/>
          <w:sz w:val="28"/>
          <w:szCs w:val="28"/>
          <w:lang w:val="en-US"/>
        </w:rPr>
        <w:t>Journal of Palliative Medicine</w:t>
      </w:r>
      <w:r w:rsidRPr="00821EC9">
        <w:rPr>
          <w:rFonts w:eastAsia="Times New Roman"/>
          <w:color w:val="000000"/>
          <w:sz w:val="28"/>
          <w:szCs w:val="28"/>
          <w:lang w:val="en-US"/>
        </w:rPr>
        <w:t xml:space="preserve">, vol. 19, no. 5, 2016, </w:t>
      </w:r>
      <w:r w:rsidR="00821BED" w:rsidRPr="00821EC9">
        <w:rPr>
          <w:rFonts w:eastAsia="Times New Roman"/>
          <w:color w:val="000000"/>
          <w:sz w:val="28"/>
          <w:szCs w:val="28"/>
          <w:lang w:val="en-US"/>
        </w:rPr>
        <w:br/>
      </w:r>
      <w:r w:rsidRPr="00821EC9">
        <w:rPr>
          <w:rFonts w:eastAsia="Times New Roman"/>
          <w:color w:val="000000"/>
          <w:sz w:val="28"/>
          <w:szCs w:val="28"/>
          <w:lang w:val="en-US"/>
        </w:rPr>
        <w:t>pp. 516–22.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doi:10.1089/jpm.2015.0376.</w:t>
      </w:r>
    </w:p>
    <w:p w14:paraId="7E7B2D8B"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Baldwin, David S., and Claire Polkinghorn. “Evidence-Based Pharmacotherapy of Generalized Anxiety Disorder.” </w:t>
      </w:r>
      <w:r w:rsidRPr="00821EC9">
        <w:rPr>
          <w:rFonts w:eastAsia="Times New Roman"/>
          <w:i/>
          <w:iCs/>
          <w:color w:val="000000"/>
          <w:sz w:val="28"/>
          <w:szCs w:val="28"/>
          <w:lang w:val="en-US"/>
        </w:rPr>
        <w:t>The International Journal of Neuropsychopharmacology</w:t>
      </w:r>
      <w:r w:rsidRPr="00821EC9">
        <w:rPr>
          <w:rFonts w:eastAsia="Times New Roman"/>
          <w:color w:val="000000"/>
          <w:sz w:val="28"/>
          <w:szCs w:val="28"/>
          <w:lang w:val="en-US"/>
        </w:rPr>
        <w:t>, vol. 8, no. 2, 2005, pp. 293–302.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doi:10.1017/s1461145704004870.</w:t>
      </w:r>
    </w:p>
    <w:p w14:paraId="20065231"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Due, Michael R., et al. “Carbamazepine Potentiates the Effectiveness of Morphine in a Rodent Model of Neuropathic Pain.” </w:t>
      </w:r>
      <w:r w:rsidRPr="00821EC9">
        <w:rPr>
          <w:rFonts w:eastAsia="Times New Roman"/>
          <w:i/>
          <w:iCs/>
          <w:color w:val="000000"/>
          <w:sz w:val="28"/>
          <w:szCs w:val="28"/>
          <w:lang w:val="en-US"/>
        </w:rPr>
        <w:t>PLoS ONE</w:t>
      </w:r>
      <w:r w:rsidRPr="00821EC9">
        <w:rPr>
          <w:rFonts w:eastAsia="Times New Roman"/>
          <w:color w:val="000000"/>
          <w:sz w:val="28"/>
          <w:szCs w:val="28"/>
          <w:lang w:val="en-US"/>
        </w:rPr>
        <w:t>, edited by Thiago Mattar Cunha, vol. 9, no. 9, 2014, p. e107399.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doi:10.1371/journal.pone.0107399.</w:t>
      </w:r>
    </w:p>
    <w:p w14:paraId="61E1F927"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Koliqi, Rozafa, et al. “Prevalence of Side Effects Treatment with Carbamazepine and Other Antiepileptics in Patients with Epilepsy.” </w:t>
      </w:r>
      <w:r w:rsidRPr="00821EC9">
        <w:rPr>
          <w:rFonts w:eastAsia="Times New Roman"/>
          <w:i/>
          <w:iCs/>
          <w:color w:val="000000"/>
          <w:sz w:val="28"/>
          <w:szCs w:val="28"/>
          <w:lang w:val="en-US"/>
        </w:rPr>
        <w:t>Materia Socio Medica</w:t>
      </w:r>
      <w:r w:rsidRPr="00821EC9">
        <w:rPr>
          <w:rFonts w:eastAsia="Times New Roman"/>
          <w:color w:val="000000"/>
          <w:sz w:val="28"/>
          <w:szCs w:val="28"/>
          <w:lang w:val="en-US"/>
        </w:rPr>
        <w:t>, vol. 27, no. 3, 2015, p. 167. </w:t>
      </w:r>
      <w:r w:rsidRPr="00821EC9">
        <w:rPr>
          <w:rFonts w:eastAsia="Times New Roman"/>
          <w:i/>
          <w:iCs/>
          <w:color w:val="000000"/>
          <w:sz w:val="28"/>
          <w:szCs w:val="28"/>
          <w:lang w:val="en-US"/>
        </w:rPr>
        <w:t>Crossref</w:t>
      </w:r>
      <w:r w:rsidRPr="00821EC9">
        <w:rPr>
          <w:rFonts w:eastAsia="Times New Roman"/>
          <w:color w:val="000000"/>
          <w:sz w:val="28"/>
          <w:szCs w:val="28"/>
          <w:lang w:val="en-US"/>
        </w:rPr>
        <w:t>, doi:10.5455/msm.2015.27.167-171.</w:t>
      </w:r>
    </w:p>
    <w:p w14:paraId="0CB4FD61"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Haase, Jana, and Eric Brown. “Integrating the Monoamine, Neurotrophin and Cytokine Hypotheses of Depression — A Central Role for the Serotonin Transporter?” </w:t>
      </w:r>
      <w:r w:rsidRPr="00821EC9">
        <w:rPr>
          <w:rFonts w:eastAsia="Times New Roman"/>
          <w:i/>
          <w:iCs/>
          <w:color w:val="000000"/>
          <w:sz w:val="28"/>
          <w:szCs w:val="28"/>
          <w:lang w:val="en-US"/>
        </w:rPr>
        <w:t>Pharmacology &amp; Therapeutics</w:t>
      </w:r>
      <w:r w:rsidRPr="00821EC9">
        <w:rPr>
          <w:rFonts w:eastAsia="Times New Roman"/>
          <w:color w:val="000000"/>
          <w:sz w:val="28"/>
          <w:szCs w:val="28"/>
          <w:lang w:val="en-US"/>
        </w:rPr>
        <w:t>, vol. 147, 2015, pp. 1–11.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doi:10.1016/j.pharmthera.2014.10.002.</w:t>
      </w:r>
    </w:p>
    <w:p w14:paraId="79E530AB"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Sagheddu, Claudia, et al. “Enhanced Serotonin and Mesolimbic Dopamine Transmissions in a Rat Model of Neuropathic Pain.” </w:t>
      </w:r>
      <w:r w:rsidRPr="00821EC9">
        <w:rPr>
          <w:rFonts w:eastAsia="Times New Roman"/>
          <w:i/>
          <w:iCs/>
          <w:color w:val="000000"/>
          <w:sz w:val="28"/>
          <w:szCs w:val="28"/>
          <w:lang w:val="en-US"/>
        </w:rPr>
        <w:t>Neuropharmacology</w:t>
      </w:r>
      <w:r w:rsidRPr="00821EC9">
        <w:rPr>
          <w:rFonts w:eastAsia="Times New Roman"/>
          <w:color w:val="000000"/>
          <w:sz w:val="28"/>
          <w:szCs w:val="28"/>
          <w:lang w:val="en-US"/>
        </w:rPr>
        <w:t>, vol. 97, 2015, pp. 383–93.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doi:10.1016/j.neuropharm.2015.06.003.</w:t>
      </w:r>
    </w:p>
    <w:p w14:paraId="7C39165F"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Huang, Dan, et al. “Evaluation on Monoamine Neurotransmitters Changes in Depression Rats given with Sertraline, Meloxicam or/and Caffeic Acid.” </w:t>
      </w:r>
      <w:r w:rsidRPr="00821EC9">
        <w:rPr>
          <w:rFonts w:eastAsia="Times New Roman"/>
          <w:i/>
          <w:iCs/>
          <w:color w:val="000000"/>
          <w:sz w:val="28"/>
          <w:szCs w:val="28"/>
          <w:lang w:val="en-US"/>
        </w:rPr>
        <w:t>Genes &amp; Diseases</w:t>
      </w:r>
      <w:r w:rsidRPr="00821EC9">
        <w:rPr>
          <w:rFonts w:eastAsia="Times New Roman"/>
          <w:color w:val="000000"/>
          <w:sz w:val="28"/>
          <w:szCs w:val="28"/>
          <w:lang w:val="en-US"/>
        </w:rPr>
        <w:t>, vol. 6, no. 2, 2019, pp. 167–75.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doi:10.1016/j.gendis.2018.05.005.</w:t>
      </w:r>
    </w:p>
    <w:p w14:paraId="71C0055D"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lastRenderedPageBreak/>
        <w:t>Meerwijk, Esther L., et al. “Brain Regions Associated with Psychological Pain: Implications for a Neural Network and Its Relationship to Physical Pain.” </w:t>
      </w:r>
      <w:r w:rsidRPr="00821EC9">
        <w:rPr>
          <w:rFonts w:eastAsia="Times New Roman"/>
          <w:i/>
          <w:iCs/>
          <w:color w:val="000000"/>
          <w:sz w:val="28"/>
          <w:szCs w:val="28"/>
          <w:lang w:val="en-US"/>
        </w:rPr>
        <w:t>Brain Imaging and Behavior</w:t>
      </w:r>
      <w:r w:rsidRPr="00821EC9">
        <w:rPr>
          <w:rFonts w:eastAsia="Times New Roman"/>
          <w:color w:val="000000"/>
          <w:sz w:val="28"/>
          <w:szCs w:val="28"/>
          <w:lang w:val="en-US"/>
        </w:rPr>
        <w:t>, vol. 7, no. 1, 2012, pp. 1–14.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doi:10.1007/s11682-012-9179-y.</w:t>
      </w:r>
    </w:p>
    <w:p w14:paraId="028BE069"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Blackburn, Thomas P. “Depressive Disorders: Treatment Failures and Poor Prognosis over the Last 50 Years.” </w:t>
      </w:r>
      <w:r w:rsidRPr="00821EC9">
        <w:rPr>
          <w:rFonts w:eastAsia="Times New Roman"/>
          <w:i/>
          <w:iCs/>
          <w:color w:val="000000"/>
          <w:sz w:val="28"/>
          <w:szCs w:val="28"/>
          <w:lang w:val="en-US"/>
        </w:rPr>
        <w:t>Pharmacology Research &amp; Perspectives</w:t>
      </w:r>
      <w:r w:rsidRPr="00821EC9">
        <w:rPr>
          <w:rFonts w:eastAsia="Times New Roman"/>
          <w:color w:val="000000"/>
          <w:sz w:val="28"/>
          <w:szCs w:val="28"/>
          <w:lang w:val="en-US"/>
        </w:rPr>
        <w:t>, vol. 7, no. 3, 2019, p. e00472.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doi:10.1002/prp2.472.</w:t>
      </w:r>
    </w:p>
    <w:p w14:paraId="0030C413"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Häuser, Winfried, et al. “Treatment of Fibromyalgia Syndrome With Antidepressants.” </w:t>
      </w:r>
      <w:r w:rsidRPr="00821EC9">
        <w:rPr>
          <w:rFonts w:eastAsia="Times New Roman"/>
          <w:i/>
          <w:iCs/>
          <w:color w:val="000000"/>
          <w:sz w:val="28"/>
          <w:szCs w:val="28"/>
          <w:lang w:val="en-US"/>
        </w:rPr>
        <w:t>JAMA</w:t>
      </w:r>
      <w:r w:rsidRPr="00821EC9">
        <w:rPr>
          <w:rFonts w:eastAsia="Times New Roman"/>
          <w:color w:val="000000"/>
          <w:sz w:val="28"/>
          <w:szCs w:val="28"/>
          <w:lang w:val="en-US"/>
        </w:rPr>
        <w:t>, vol. 301, no. 2, 2009, p. 198.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doi:10.1001/jama.2008.944.</w:t>
      </w:r>
    </w:p>
    <w:p w14:paraId="430412D3"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Cusack, Bernadette, et al. “Binding of Antidepressants to Human Brain Receptors: Focus on Newer Generation Compounds.” </w:t>
      </w:r>
      <w:r w:rsidRPr="00821EC9">
        <w:rPr>
          <w:rFonts w:eastAsia="Times New Roman"/>
          <w:i/>
          <w:iCs/>
          <w:color w:val="000000"/>
          <w:sz w:val="28"/>
          <w:szCs w:val="28"/>
          <w:lang w:val="en-US"/>
        </w:rPr>
        <w:t>Psychopharmacology</w:t>
      </w:r>
      <w:r w:rsidRPr="00821EC9">
        <w:rPr>
          <w:rFonts w:eastAsia="Times New Roman"/>
          <w:color w:val="000000"/>
          <w:sz w:val="28"/>
          <w:szCs w:val="28"/>
          <w:lang w:val="en-US"/>
        </w:rPr>
        <w:t>, vol. 114, no. 4, 1994, pp. 559–65.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doi:10.1007/bf02244985.</w:t>
      </w:r>
      <w:r w:rsidRPr="00821EC9">
        <w:rPr>
          <w:sz w:val="28"/>
          <w:szCs w:val="28"/>
          <w:lang w:val="en-US"/>
        </w:rPr>
        <w:t xml:space="preserve"> </w:t>
      </w:r>
    </w:p>
    <w:p w14:paraId="0686FDF5"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Sánchez, Connie, and John Hyttel. “Comparison of the Effects of Antidepressants and Their Metabolites on Reuptake of Biogenic Amines and on Receptor Binding.” </w:t>
      </w:r>
      <w:r w:rsidRPr="00821EC9">
        <w:rPr>
          <w:rFonts w:eastAsia="Times New Roman"/>
          <w:i/>
          <w:iCs/>
          <w:color w:val="000000"/>
          <w:sz w:val="28"/>
          <w:szCs w:val="28"/>
          <w:lang w:val="en-US"/>
        </w:rPr>
        <w:t>Cellular and Molecular Neurobiology</w:t>
      </w:r>
      <w:r w:rsidRPr="00821EC9">
        <w:rPr>
          <w:rFonts w:eastAsia="Times New Roman"/>
          <w:color w:val="000000"/>
          <w:sz w:val="28"/>
          <w:szCs w:val="28"/>
          <w:lang w:val="en-US"/>
        </w:rPr>
        <w:t xml:space="preserve">, vol. 19, no. 4, 1999, </w:t>
      </w:r>
      <w:r w:rsidR="00821BED" w:rsidRPr="00821EC9">
        <w:rPr>
          <w:rFonts w:eastAsia="Times New Roman"/>
          <w:color w:val="000000"/>
          <w:sz w:val="28"/>
          <w:szCs w:val="28"/>
          <w:lang w:val="en-US"/>
        </w:rPr>
        <w:br/>
      </w:r>
      <w:r w:rsidRPr="00821EC9">
        <w:rPr>
          <w:rFonts w:eastAsia="Times New Roman"/>
          <w:color w:val="000000"/>
          <w:sz w:val="28"/>
          <w:szCs w:val="28"/>
          <w:lang w:val="en-US"/>
        </w:rPr>
        <w:t>pp. 467–89.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doi:10.1023/a:1006986824213.</w:t>
      </w:r>
    </w:p>
    <w:p w14:paraId="62FD3DC0"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Girard, Philippe, et al. “Nefopam Analgesia and Its Role in Multimodal Analgesia: A Review of Preclinical and Clinical Studies.” </w:t>
      </w:r>
      <w:r w:rsidRPr="00821EC9">
        <w:rPr>
          <w:rFonts w:eastAsia="Times New Roman"/>
          <w:i/>
          <w:iCs/>
          <w:color w:val="000000"/>
          <w:sz w:val="28"/>
          <w:szCs w:val="28"/>
          <w:lang w:val="en-US"/>
        </w:rPr>
        <w:t>Clinical and Experimental Pharmacology and Physiology</w:t>
      </w:r>
      <w:r w:rsidRPr="00821EC9">
        <w:rPr>
          <w:rFonts w:eastAsia="Times New Roman"/>
          <w:color w:val="000000"/>
          <w:sz w:val="28"/>
          <w:szCs w:val="28"/>
          <w:lang w:val="en-US"/>
        </w:rPr>
        <w:t xml:space="preserve">, vol. 43, no. 1, 2015, </w:t>
      </w:r>
      <w:r w:rsidR="00821BED" w:rsidRPr="00821EC9">
        <w:rPr>
          <w:rFonts w:eastAsia="Times New Roman"/>
          <w:color w:val="000000"/>
          <w:sz w:val="28"/>
          <w:szCs w:val="28"/>
          <w:lang w:val="en-US"/>
        </w:rPr>
        <w:br/>
      </w:r>
      <w:r w:rsidRPr="00821EC9">
        <w:rPr>
          <w:rFonts w:eastAsia="Times New Roman"/>
          <w:color w:val="000000"/>
          <w:sz w:val="28"/>
          <w:szCs w:val="28"/>
          <w:lang w:val="en-US"/>
        </w:rPr>
        <w:t>pp. 3–12.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doi:10.1111/1440-1681.12506.</w:t>
      </w:r>
    </w:p>
    <w:p w14:paraId="799893EE"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Uher, Rudolf, et al. “Adverse Reactions to Antidepressants.” </w:t>
      </w:r>
      <w:r w:rsidRPr="00821EC9">
        <w:rPr>
          <w:rFonts w:eastAsia="Times New Roman"/>
          <w:i/>
          <w:iCs/>
          <w:color w:val="000000"/>
          <w:sz w:val="28"/>
          <w:szCs w:val="28"/>
          <w:lang w:val="en-US"/>
        </w:rPr>
        <w:t>British Journal of Psychiatry</w:t>
      </w:r>
      <w:r w:rsidRPr="00821EC9">
        <w:rPr>
          <w:rFonts w:eastAsia="Times New Roman"/>
          <w:color w:val="000000"/>
          <w:sz w:val="28"/>
          <w:szCs w:val="28"/>
          <w:lang w:val="en-US"/>
        </w:rPr>
        <w:t>, vol. 195, no. 3, 2009, pp. 202–10.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doi:10.1192/bjp.bp.108.061960.</w:t>
      </w:r>
    </w:p>
    <w:p w14:paraId="0093AB99"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Ates-Alagoz, Zeynep, and Adeboye Adejare. “NMDA Receptor Antagonists for Treatment of Depression.” </w:t>
      </w:r>
      <w:r w:rsidRPr="00821EC9">
        <w:rPr>
          <w:rFonts w:eastAsia="Times New Roman"/>
          <w:i/>
          <w:iCs/>
          <w:color w:val="000000"/>
          <w:sz w:val="28"/>
          <w:szCs w:val="28"/>
          <w:lang w:val="en-US"/>
        </w:rPr>
        <w:t>Pharmaceuticals</w:t>
      </w:r>
      <w:r w:rsidRPr="00821EC9">
        <w:rPr>
          <w:rFonts w:eastAsia="Times New Roman"/>
          <w:color w:val="000000"/>
          <w:sz w:val="28"/>
          <w:szCs w:val="28"/>
          <w:lang w:val="en-US"/>
        </w:rPr>
        <w:t xml:space="preserve">, vol. 6, no. 4, 2013, </w:t>
      </w:r>
      <w:r w:rsidR="00821BED" w:rsidRPr="00821EC9">
        <w:rPr>
          <w:rFonts w:eastAsia="Times New Roman"/>
          <w:color w:val="000000"/>
          <w:sz w:val="28"/>
          <w:szCs w:val="28"/>
          <w:lang w:val="en-US"/>
        </w:rPr>
        <w:br/>
      </w:r>
      <w:r w:rsidRPr="00821EC9">
        <w:rPr>
          <w:rFonts w:eastAsia="Times New Roman"/>
          <w:color w:val="000000"/>
          <w:sz w:val="28"/>
          <w:szCs w:val="28"/>
          <w:lang w:val="en-US"/>
        </w:rPr>
        <w:t>pp. 480–99. </w:t>
      </w:r>
      <w:r w:rsidRPr="00821EC9">
        <w:rPr>
          <w:rFonts w:eastAsia="Times New Roman"/>
          <w:i/>
          <w:iCs/>
          <w:color w:val="000000"/>
          <w:sz w:val="28"/>
          <w:szCs w:val="28"/>
          <w:lang w:val="en-US"/>
        </w:rPr>
        <w:t>Crossref</w:t>
      </w:r>
      <w:r w:rsidRPr="00821EC9">
        <w:rPr>
          <w:rFonts w:eastAsia="Times New Roman"/>
          <w:color w:val="000000"/>
          <w:sz w:val="28"/>
          <w:szCs w:val="28"/>
          <w:lang w:val="en-US"/>
        </w:rPr>
        <w:t>, doi:10.3390/ph6040480.</w:t>
      </w:r>
    </w:p>
    <w:p w14:paraId="4F7C2EEA"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Guthrie, Bruce, et al. “The Rising Tide of Polypharmacy and Drug-Drug Interactions: Population Database Analysis 1995–2010.” </w:t>
      </w:r>
      <w:r w:rsidRPr="00821EC9">
        <w:rPr>
          <w:rFonts w:eastAsia="Times New Roman"/>
          <w:i/>
          <w:iCs/>
          <w:color w:val="000000"/>
          <w:sz w:val="28"/>
          <w:szCs w:val="28"/>
          <w:lang w:val="en-US"/>
        </w:rPr>
        <w:t>BMC Medicine</w:t>
      </w:r>
      <w:r w:rsidRPr="00821EC9">
        <w:rPr>
          <w:rFonts w:eastAsia="Times New Roman"/>
          <w:color w:val="000000"/>
          <w:sz w:val="28"/>
          <w:szCs w:val="28"/>
          <w:lang w:val="en-US"/>
        </w:rPr>
        <w:t>, vol. 13, no. 1, 2015.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doi:10.1186/s12916-015-0322-7.</w:t>
      </w:r>
    </w:p>
    <w:p w14:paraId="724F816A"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lastRenderedPageBreak/>
        <w:t>Kremer, Mélanie, et al. “Antidepressants and Gabapentinoids in Neuropathic Pain: Mechanistic Insights.” </w:t>
      </w:r>
      <w:r w:rsidRPr="00821EC9">
        <w:rPr>
          <w:rFonts w:eastAsia="Times New Roman"/>
          <w:i/>
          <w:iCs/>
          <w:color w:val="000000"/>
          <w:sz w:val="28"/>
          <w:szCs w:val="28"/>
          <w:lang w:val="en-US"/>
        </w:rPr>
        <w:t>Neuroscience</w:t>
      </w:r>
      <w:r w:rsidRPr="00821EC9">
        <w:rPr>
          <w:rFonts w:eastAsia="Times New Roman"/>
          <w:color w:val="000000"/>
          <w:sz w:val="28"/>
          <w:szCs w:val="28"/>
          <w:lang w:val="en-US"/>
        </w:rPr>
        <w:t>, vol. 338, 2016, pp. 183–206.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doi:10.1016/j.neuroscience.2016.06.057.</w:t>
      </w:r>
    </w:p>
    <w:p w14:paraId="75EF08A9"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 xml:space="preserve">Ferreira, Giovanni E., et al. “Efficacy and Safety of Antidepressants for the Treatment of Back Pain and Osteoarthritis: Systematic Review and </w:t>
      </w:r>
      <w:r w:rsidR="00821BED" w:rsidRPr="00821EC9">
        <w:rPr>
          <w:rFonts w:eastAsia="Times New Roman"/>
          <w:color w:val="000000"/>
          <w:sz w:val="28"/>
          <w:szCs w:val="28"/>
          <w:lang w:val="en-US"/>
        </w:rPr>
        <w:br/>
      </w:r>
      <w:r w:rsidRPr="00821EC9">
        <w:rPr>
          <w:rFonts w:eastAsia="Times New Roman"/>
          <w:color w:val="000000"/>
          <w:sz w:val="28"/>
          <w:szCs w:val="28"/>
          <w:lang w:val="en-US"/>
        </w:rPr>
        <w:t>Meta-Analysis.” </w:t>
      </w:r>
      <w:r w:rsidRPr="00821EC9">
        <w:rPr>
          <w:rFonts w:eastAsia="Times New Roman"/>
          <w:i/>
          <w:iCs/>
          <w:color w:val="000000"/>
          <w:sz w:val="28"/>
          <w:szCs w:val="28"/>
          <w:lang w:val="en-US"/>
        </w:rPr>
        <w:t>BMJ</w:t>
      </w:r>
      <w:r w:rsidRPr="00821EC9">
        <w:rPr>
          <w:rFonts w:eastAsia="Times New Roman"/>
          <w:color w:val="000000"/>
          <w:sz w:val="28"/>
          <w:szCs w:val="28"/>
          <w:lang w:val="en-US"/>
        </w:rPr>
        <w:t>, 2021, p. m4825.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doi:10.1136/bmj.m4825.</w:t>
      </w:r>
    </w:p>
    <w:p w14:paraId="20130321"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Flaherty, J. H., et al. “Polypharmacy and Hospitalization Among Older Home Care Patients.” </w:t>
      </w:r>
      <w:r w:rsidRPr="00821EC9">
        <w:rPr>
          <w:rFonts w:eastAsia="Times New Roman"/>
          <w:i/>
          <w:iCs/>
          <w:color w:val="000000"/>
          <w:sz w:val="28"/>
          <w:szCs w:val="28"/>
          <w:lang w:val="en-US"/>
        </w:rPr>
        <w:t>The Journals of Gerontology Series A: Biological Sciences and Medical Sciences</w:t>
      </w:r>
      <w:r w:rsidRPr="00821EC9">
        <w:rPr>
          <w:rFonts w:eastAsia="Times New Roman"/>
          <w:color w:val="000000"/>
          <w:sz w:val="28"/>
          <w:szCs w:val="28"/>
          <w:lang w:val="en-US"/>
        </w:rPr>
        <w:t>, vol. 55, no. 10, 2000, pp. M554–59.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doi:10.1093/gerona/55.10.m554.</w:t>
      </w:r>
    </w:p>
    <w:p w14:paraId="6A2C23FC"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Veehof, L., et al. “The Development of Polypharmacy. A Longitudinal Study.” </w:t>
      </w:r>
      <w:r w:rsidRPr="00821EC9">
        <w:rPr>
          <w:rFonts w:eastAsia="Times New Roman"/>
          <w:i/>
          <w:iCs/>
          <w:color w:val="000000"/>
          <w:sz w:val="28"/>
          <w:szCs w:val="28"/>
          <w:lang w:val="en-US"/>
        </w:rPr>
        <w:t>Family Practice</w:t>
      </w:r>
      <w:r w:rsidRPr="00821EC9">
        <w:rPr>
          <w:rFonts w:eastAsia="Times New Roman"/>
          <w:color w:val="000000"/>
          <w:sz w:val="28"/>
          <w:szCs w:val="28"/>
          <w:lang w:val="en-US"/>
        </w:rPr>
        <w:t>, vol. 17, no. 3, 2000, pp. 261–67.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doi:10.1093/fampra/17.3.261.</w:t>
      </w:r>
    </w:p>
    <w:p w14:paraId="166805E5"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Kuh, Diana, et al. “The MRC National Survey of Health and Development Reaches Age 70: Maintaining Participation at Older Ages in a Birth Cohort Study.” </w:t>
      </w:r>
      <w:r w:rsidRPr="00821EC9">
        <w:rPr>
          <w:rFonts w:eastAsia="Times New Roman"/>
          <w:i/>
          <w:iCs/>
          <w:color w:val="000000"/>
          <w:sz w:val="28"/>
          <w:szCs w:val="28"/>
          <w:lang w:val="en-US"/>
        </w:rPr>
        <w:t>European Journal of Epidemiology</w:t>
      </w:r>
      <w:r w:rsidRPr="00821EC9">
        <w:rPr>
          <w:rFonts w:eastAsia="Times New Roman"/>
          <w:color w:val="000000"/>
          <w:sz w:val="28"/>
          <w:szCs w:val="28"/>
          <w:lang w:val="en-US"/>
        </w:rPr>
        <w:t xml:space="preserve">, vol. 31, no. 11, 2016, </w:t>
      </w:r>
      <w:r w:rsidR="00821BED" w:rsidRPr="00821EC9">
        <w:rPr>
          <w:rFonts w:eastAsia="Times New Roman"/>
          <w:color w:val="000000"/>
          <w:sz w:val="28"/>
          <w:szCs w:val="28"/>
          <w:lang w:val="en-US"/>
        </w:rPr>
        <w:br/>
      </w:r>
      <w:r w:rsidRPr="00821EC9">
        <w:rPr>
          <w:rFonts w:eastAsia="Times New Roman"/>
          <w:color w:val="000000"/>
          <w:sz w:val="28"/>
          <w:szCs w:val="28"/>
          <w:lang w:val="en-US"/>
        </w:rPr>
        <w:t>pp. 1135–47.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doi:10.1007/s10654-016-0217-8.</w:t>
      </w:r>
    </w:p>
    <w:p w14:paraId="1101507C"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Belskaya, Nataliya P., et al. “Synthesis and Properties of Hydrazones Bearing Amide, Thioamide and Amidine Functions.” </w:t>
      </w:r>
      <w:r w:rsidRPr="00821EC9">
        <w:rPr>
          <w:rFonts w:eastAsia="Times New Roman"/>
          <w:i/>
          <w:iCs/>
          <w:color w:val="000000"/>
          <w:sz w:val="28"/>
          <w:szCs w:val="28"/>
          <w:lang w:val="en-US"/>
        </w:rPr>
        <w:t>Arkivoc</w:t>
      </w:r>
      <w:r w:rsidRPr="00821EC9">
        <w:rPr>
          <w:rFonts w:eastAsia="Times New Roman"/>
          <w:color w:val="000000"/>
          <w:sz w:val="28"/>
          <w:szCs w:val="28"/>
          <w:lang w:val="en-US"/>
        </w:rPr>
        <w:t>, edited by Viktor V. Zhdankin, vol. 2010, no. 1, 2010, pp. 275–332. </w:t>
      </w:r>
      <w:r w:rsidRPr="00821EC9">
        <w:rPr>
          <w:rFonts w:eastAsia="Times New Roman"/>
          <w:i/>
          <w:iCs/>
          <w:color w:val="000000"/>
          <w:sz w:val="28"/>
          <w:szCs w:val="28"/>
          <w:lang w:val="en-US"/>
        </w:rPr>
        <w:t>Crossref</w:t>
      </w:r>
      <w:r w:rsidRPr="00821EC9">
        <w:rPr>
          <w:rFonts w:eastAsia="Times New Roman"/>
          <w:color w:val="000000"/>
          <w:sz w:val="28"/>
          <w:szCs w:val="28"/>
          <w:lang w:val="en-US"/>
        </w:rPr>
        <w:t>, doi:10.3998/ark.5550190.0011.108.</w:t>
      </w:r>
    </w:p>
    <w:p w14:paraId="609AF8CE"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 xml:space="preserve">Cornelissen, Joost P., et al. “Synthesis and Properties of Isostructural Transition-Metal (Copper, Nickel, Cobalt, and Iron) Compounds with </w:t>
      </w:r>
      <w:r w:rsidR="00821BED" w:rsidRPr="00821EC9">
        <w:rPr>
          <w:rFonts w:eastAsia="Times New Roman"/>
          <w:color w:val="000000"/>
          <w:sz w:val="28"/>
          <w:szCs w:val="28"/>
          <w:lang w:val="en-US"/>
        </w:rPr>
        <w:br/>
      </w:r>
      <w:r w:rsidRPr="00821EC9">
        <w:rPr>
          <w:rFonts w:eastAsia="Times New Roman"/>
          <w:color w:val="000000"/>
          <w:sz w:val="28"/>
          <w:szCs w:val="28"/>
          <w:lang w:val="en-US"/>
        </w:rPr>
        <w:t>7,7’,8,8’-Tetracyanoquinodimethanide(1-) in an Unusual Monodentate Coordination Mode: Crystal Structure of Bis(3,5-Bis(Pyridin-2-Yl)-4-Amino-</w:t>
      </w:r>
      <w:r w:rsidR="00821BED" w:rsidRPr="00821EC9">
        <w:rPr>
          <w:rFonts w:eastAsia="Times New Roman"/>
          <w:color w:val="000000"/>
          <w:sz w:val="28"/>
          <w:szCs w:val="28"/>
          <w:lang w:val="en-US"/>
        </w:rPr>
        <w:br/>
      </w:r>
      <w:r w:rsidRPr="00821EC9">
        <w:rPr>
          <w:rFonts w:eastAsia="Times New Roman"/>
          <w:color w:val="000000"/>
          <w:sz w:val="28"/>
          <w:szCs w:val="28"/>
          <w:lang w:val="en-US"/>
        </w:rPr>
        <w:t>1,2,4-Triazole)Bis(7,7’,8,8’-Tetracyanoquinodimethanido)Copper(II).” </w:t>
      </w:r>
      <w:r w:rsidRPr="00821EC9">
        <w:rPr>
          <w:rFonts w:eastAsia="Times New Roman"/>
          <w:i/>
          <w:iCs/>
          <w:color w:val="000000"/>
          <w:sz w:val="28"/>
          <w:szCs w:val="28"/>
          <w:lang w:val="en-US"/>
        </w:rPr>
        <w:t>Inorganic Chemistry</w:t>
      </w:r>
      <w:r w:rsidRPr="00821EC9">
        <w:rPr>
          <w:rFonts w:eastAsia="Times New Roman"/>
          <w:color w:val="000000"/>
          <w:sz w:val="28"/>
          <w:szCs w:val="28"/>
          <w:lang w:val="en-US"/>
        </w:rPr>
        <w:t>, vol. 31, no. 2, 1992, pp. 198–202.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doi:10.1021/ic00028a014.</w:t>
      </w:r>
    </w:p>
    <w:p w14:paraId="511FBDB5"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Johnstone, Timothy C., et al. “The Next Generation of Platinum Drugs: Targeted Pt(II) Agents, Nanoparticle Delivery, and Pt(IV) Prodrugs.” </w:t>
      </w:r>
      <w:r w:rsidRPr="00821EC9">
        <w:rPr>
          <w:rFonts w:eastAsia="Times New Roman"/>
          <w:i/>
          <w:iCs/>
          <w:color w:val="000000"/>
          <w:sz w:val="28"/>
          <w:szCs w:val="28"/>
          <w:lang w:val="en-US"/>
        </w:rPr>
        <w:t>Chemical Reviews</w:t>
      </w:r>
      <w:r w:rsidRPr="00821EC9">
        <w:rPr>
          <w:rFonts w:eastAsia="Times New Roman"/>
          <w:color w:val="000000"/>
          <w:sz w:val="28"/>
          <w:szCs w:val="28"/>
          <w:lang w:val="en-US"/>
        </w:rPr>
        <w:t>, vol. 116, no. 5, 2016, pp. 3436–86.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doi:10.1021/acs.chemrev.5b00597.</w:t>
      </w:r>
    </w:p>
    <w:p w14:paraId="10178DA5"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lastRenderedPageBreak/>
        <w:t>Marzano, Cristina, et al. “Copper Complexes as Anticancer Agents.” </w:t>
      </w:r>
      <w:r w:rsidR="00821BED" w:rsidRPr="00821EC9">
        <w:rPr>
          <w:rFonts w:eastAsia="Times New Roman"/>
          <w:color w:val="000000"/>
          <w:sz w:val="28"/>
          <w:szCs w:val="28"/>
          <w:lang w:val="en-US"/>
        </w:rPr>
        <w:br/>
      </w:r>
      <w:r w:rsidRPr="00821EC9">
        <w:rPr>
          <w:rFonts w:eastAsia="Times New Roman"/>
          <w:i/>
          <w:iCs/>
          <w:color w:val="000000"/>
          <w:sz w:val="28"/>
          <w:szCs w:val="28"/>
          <w:lang w:val="en-US"/>
        </w:rPr>
        <w:t>Anti-Cancer Agents in Medicinal Chemistry</w:t>
      </w:r>
      <w:r w:rsidRPr="00821EC9">
        <w:rPr>
          <w:rFonts w:eastAsia="Times New Roman"/>
          <w:color w:val="000000"/>
          <w:sz w:val="28"/>
          <w:szCs w:val="28"/>
          <w:lang w:val="en-US"/>
        </w:rPr>
        <w:t>, vol. 9, no. 2, 2009, pp. 185–211. </w:t>
      </w:r>
      <w:r w:rsidRPr="00821EC9">
        <w:rPr>
          <w:rFonts w:eastAsia="Times New Roman"/>
          <w:i/>
          <w:iCs/>
          <w:color w:val="000000"/>
          <w:sz w:val="28"/>
          <w:szCs w:val="28"/>
          <w:lang w:val="en-US"/>
        </w:rPr>
        <w:t>Crossref</w:t>
      </w:r>
      <w:r w:rsidRPr="00821EC9">
        <w:rPr>
          <w:rFonts w:eastAsia="Times New Roman"/>
          <w:color w:val="000000"/>
          <w:sz w:val="28"/>
          <w:szCs w:val="28"/>
          <w:lang w:val="en-US"/>
        </w:rPr>
        <w:t>, doi:10.2174/187152009787313837.</w:t>
      </w:r>
    </w:p>
    <w:p w14:paraId="5DA0F279"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Saif, M., et al. “Synthesis, Characterization, and Antioxidant/Cytotoxic Activity of New Chromone Schiff Base Nano-Complexes of Zn(II), Cu(II), Ni(II) and Co(II).” </w:t>
      </w:r>
      <w:r w:rsidRPr="00821EC9">
        <w:rPr>
          <w:rFonts w:eastAsia="Times New Roman"/>
          <w:i/>
          <w:iCs/>
          <w:color w:val="000000"/>
          <w:sz w:val="28"/>
          <w:szCs w:val="28"/>
          <w:lang w:val="en-US"/>
        </w:rPr>
        <w:t>Journal of Molecular Structure</w:t>
      </w:r>
      <w:r w:rsidRPr="00821EC9">
        <w:rPr>
          <w:rFonts w:eastAsia="Times New Roman"/>
          <w:color w:val="000000"/>
          <w:sz w:val="28"/>
          <w:szCs w:val="28"/>
          <w:lang w:val="en-US"/>
        </w:rPr>
        <w:t>, vol. 1118, 2016, pp. 75–82.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doi:10.1016/j.molstruc.2016.03.060.</w:t>
      </w:r>
    </w:p>
    <w:p w14:paraId="72C417C4"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 xml:space="preserve">Ajlouni, Abdulaziz M., et al. “Synthesis, Characterization, Biological Activities and Luminescent Properties of Lanthanide Complexes with </w:t>
      </w:r>
      <w:r w:rsidR="00821BED" w:rsidRPr="00821EC9">
        <w:rPr>
          <w:rFonts w:eastAsia="Times New Roman"/>
          <w:color w:val="000000"/>
          <w:sz w:val="28"/>
          <w:szCs w:val="28"/>
          <w:lang w:val="en-US"/>
        </w:rPr>
        <w:br/>
      </w:r>
      <w:r w:rsidRPr="00821EC9">
        <w:rPr>
          <w:rFonts w:eastAsia="Times New Roman"/>
          <w:color w:val="000000"/>
          <w:sz w:val="28"/>
          <w:szCs w:val="28"/>
          <w:lang w:val="en-US"/>
        </w:rPr>
        <w:t>[2-Thiophenecarboxylic Acid, 2-(2-Pyridinylmethylene)Hydrazide] Schiff Bases Ligand.” </w:t>
      </w:r>
      <w:r w:rsidRPr="00821EC9">
        <w:rPr>
          <w:rFonts w:eastAsia="Times New Roman"/>
          <w:i/>
          <w:iCs/>
          <w:color w:val="000000"/>
          <w:sz w:val="28"/>
          <w:szCs w:val="28"/>
          <w:lang w:val="en-US"/>
        </w:rPr>
        <w:t>Journal of Rare Earths</w:t>
      </w:r>
      <w:r w:rsidRPr="00821EC9">
        <w:rPr>
          <w:rFonts w:eastAsia="Times New Roman"/>
          <w:color w:val="000000"/>
          <w:sz w:val="28"/>
          <w:szCs w:val="28"/>
          <w:lang w:val="en-US"/>
        </w:rPr>
        <w:t>, vol. 34, no. 10, 2016, pp. 986–93. </w:t>
      </w:r>
      <w:r w:rsidRPr="00821EC9">
        <w:rPr>
          <w:rFonts w:eastAsia="Times New Roman"/>
          <w:i/>
          <w:iCs/>
          <w:color w:val="000000"/>
          <w:sz w:val="28"/>
          <w:szCs w:val="28"/>
          <w:lang w:val="en-US"/>
        </w:rPr>
        <w:t>Crossref</w:t>
      </w:r>
      <w:r w:rsidRPr="00821EC9">
        <w:rPr>
          <w:rFonts w:eastAsia="Times New Roman"/>
          <w:color w:val="000000"/>
          <w:sz w:val="28"/>
          <w:szCs w:val="28"/>
          <w:lang w:val="en-US"/>
        </w:rPr>
        <w:t xml:space="preserve">, </w:t>
      </w:r>
      <w:r w:rsidRPr="00821EC9">
        <w:rPr>
          <w:rFonts w:eastAsia="Times New Roman"/>
          <w:color w:val="000000" w:themeColor="text1"/>
          <w:sz w:val="28"/>
          <w:szCs w:val="28"/>
          <w:lang w:val="en-US"/>
        </w:rPr>
        <w:t>doi:10.1016/s1002-0721(16)60125-4.</w:t>
      </w:r>
    </w:p>
    <w:p w14:paraId="155067FA"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color w:val="000000" w:themeColor="text1"/>
          <w:sz w:val="28"/>
          <w:szCs w:val="28"/>
          <w:lang w:val="en-US"/>
        </w:rPr>
        <w:t xml:space="preserve">Piló, Elisa D. L., et al. “Effect of Coordination to Antimony(III) on the Antifungal </w:t>
      </w:r>
      <w:r w:rsidRPr="00821EC9">
        <w:rPr>
          <w:color w:val="000000"/>
          <w:sz w:val="28"/>
          <w:szCs w:val="28"/>
          <w:lang w:val="en-US"/>
        </w:rPr>
        <w:t>Activity of 2-Acetylpyridine- and 2-Benzoylpyridine-Derived Hydrazones.” </w:t>
      </w:r>
      <w:r w:rsidRPr="00821EC9">
        <w:rPr>
          <w:i/>
          <w:iCs/>
          <w:color w:val="000000"/>
          <w:sz w:val="28"/>
          <w:szCs w:val="28"/>
          <w:lang w:val="en-US"/>
        </w:rPr>
        <w:t>Polyhedron</w:t>
      </w:r>
      <w:r w:rsidRPr="00821EC9">
        <w:rPr>
          <w:color w:val="000000"/>
          <w:sz w:val="28"/>
          <w:szCs w:val="28"/>
          <w:lang w:val="en-US"/>
        </w:rPr>
        <w:t>, vol. 97, 2015, pp. 30–38. </w:t>
      </w:r>
      <w:r w:rsidRPr="00821EC9">
        <w:rPr>
          <w:i/>
          <w:iCs/>
          <w:color w:val="000000"/>
          <w:sz w:val="28"/>
          <w:szCs w:val="28"/>
          <w:lang w:val="en-US"/>
        </w:rPr>
        <w:t>Crossref</w:t>
      </w:r>
      <w:r w:rsidRPr="00821EC9">
        <w:rPr>
          <w:color w:val="000000"/>
          <w:sz w:val="28"/>
          <w:szCs w:val="28"/>
          <w:lang w:val="en-US"/>
        </w:rPr>
        <w:t>, doi:10.1016/j.poly.2015.05.004.</w:t>
      </w:r>
    </w:p>
    <w:p w14:paraId="41399464"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 xml:space="preserve">Johnell, Kristina, et al. “Sex Differences in Inappropriate Drug Use: </w:t>
      </w:r>
      <w:r w:rsidR="00821BED" w:rsidRPr="00821EC9">
        <w:rPr>
          <w:rFonts w:eastAsia="Times New Roman"/>
          <w:color w:val="000000"/>
          <w:sz w:val="28"/>
          <w:szCs w:val="28"/>
          <w:lang w:val="en-US"/>
        </w:rPr>
        <w:br/>
      </w:r>
      <w:r w:rsidRPr="00821EC9">
        <w:rPr>
          <w:rFonts w:eastAsia="Times New Roman"/>
          <w:color w:val="000000"/>
          <w:sz w:val="28"/>
          <w:szCs w:val="28"/>
          <w:lang w:val="en-US"/>
        </w:rPr>
        <w:t>A Register-Based Study of Over 600,000 Older People.” </w:t>
      </w:r>
      <w:r w:rsidRPr="00821EC9">
        <w:rPr>
          <w:rFonts w:eastAsia="Times New Roman"/>
          <w:i/>
          <w:iCs/>
          <w:color w:val="000000"/>
          <w:sz w:val="28"/>
          <w:szCs w:val="28"/>
          <w:lang w:val="en-US"/>
        </w:rPr>
        <w:t>Annals of Pharmacotherapy</w:t>
      </w:r>
      <w:r w:rsidRPr="00821EC9">
        <w:rPr>
          <w:rFonts w:eastAsia="Times New Roman"/>
          <w:color w:val="000000"/>
          <w:sz w:val="28"/>
          <w:szCs w:val="28"/>
          <w:lang w:val="en-US"/>
        </w:rPr>
        <w:t>, vol. 43, no. 7–8, 2009, pp. 1233–38.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doi:10.1345/aph.1m147.</w:t>
      </w:r>
    </w:p>
    <w:p w14:paraId="7B02BDE8"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Von Korff, Michael, et al. “Chronic Spinal Pain and Physical–Mental Comorbidity in the United States: Results from the National Comorbidity Survey Replication.” </w:t>
      </w:r>
      <w:r w:rsidRPr="00821EC9">
        <w:rPr>
          <w:rFonts w:eastAsia="Times New Roman"/>
          <w:i/>
          <w:iCs/>
          <w:color w:val="000000"/>
          <w:sz w:val="28"/>
          <w:szCs w:val="28"/>
          <w:lang w:val="en-US"/>
        </w:rPr>
        <w:t>Pain</w:t>
      </w:r>
      <w:r w:rsidRPr="00821EC9">
        <w:rPr>
          <w:rFonts w:eastAsia="Times New Roman"/>
          <w:color w:val="000000"/>
          <w:sz w:val="28"/>
          <w:szCs w:val="28"/>
          <w:lang w:val="en-US"/>
        </w:rPr>
        <w:t>, vol. 113, no. 3, 2005, pp. 331–39.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doi:10.1016/j.pain.2004.11.010.</w:t>
      </w:r>
    </w:p>
    <w:p w14:paraId="39372810"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Kessler, Ronald C., et al. “Comorbid Mental Disorders Account for the Role Impairment of Commonly Occurring Chronic Physical Disorders: Results From the National Comorbidity Survey.” </w:t>
      </w:r>
      <w:r w:rsidRPr="00821EC9">
        <w:rPr>
          <w:rFonts w:eastAsia="Times New Roman"/>
          <w:i/>
          <w:iCs/>
          <w:color w:val="000000"/>
          <w:sz w:val="28"/>
          <w:szCs w:val="28"/>
          <w:lang w:val="en-US"/>
        </w:rPr>
        <w:t>Journal of Occupational and Environmental Medicine</w:t>
      </w:r>
      <w:r w:rsidRPr="00821EC9">
        <w:rPr>
          <w:rFonts w:eastAsia="Times New Roman"/>
          <w:color w:val="000000"/>
          <w:sz w:val="28"/>
          <w:szCs w:val="28"/>
          <w:lang w:val="en-US"/>
        </w:rPr>
        <w:t>, vol. 45, no. 12, 2003, pp. 1257–66.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doi:10.1097/01.jom.0000100000.70011.bb.</w:t>
      </w:r>
    </w:p>
    <w:p w14:paraId="0D93A5A6"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lastRenderedPageBreak/>
        <w:t>“Design and synthesis of novel hydrazones of ethyl3-amino-4-hydroxybenzoate as promising anticonvulsant agents.” </w:t>
      </w:r>
      <w:r w:rsidRPr="00821EC9">
        <w:rPr>
          <w:rFonts w:eastAsia="Times New Roman"/>
          <w:i/>
          <w:iCs/>
          <w:color w:val="000000"/>
          <w:sz w:val="28"/>
          <w:szCs w:val="28"/>
          <w:lang w:val="en-US"/>
        </w:rPr>
        <w:t>International Journal of Pharmaceutical Sciences and Research</w:t>
      </w:r>
      <w:r w:rsidRPr="00821EC9">
        <w:rPr>
          <w:rFonts w:eastAsia="Times New Roman"/>
          <w:color w:val="000000"/>
          <w:sz w:val="28"/>
          <w:szCs w:val="28"/>
          <w:lang w:val="en-US"/>
        </w:rPr>
        <w:t>, vol. 11, no. 1, 2020.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doi:10.13040/ijpsr.0975-8232.11(1).137-45.</w:t>
      </w:r>
    </w:p>
    <w:p w14:paraId="142FFECE"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Livermore, David M. “Antibiotic Resistance in Staphylococci.” </w:t>
      </w:r>
      <w:r w:rsidRPr="00821EC9">
        <w:rPr>
          <w:rFonts w:eastAsia="Times New Roman"/>
          <w:i/>
          <w:iCs/>
          <w:color w:val="000000"/>
          <w:sz w:val="28"/>
          <w:szCs w:val="28"/>
          <w:lang w:val="en-US"/>
        </w:rPr>
        <w:t>International Journal of Antimicrobial Agents</w:t>
      </w:r>
      <w:r w:rsidRPr="00821EC9">
        <w:rPr>
          <w:rFonts w:eastAsia="Times New Roman"/>
          <w:color w:val="000000"/>
          <w:sz w:val="28"/>
          <w:szCs w:val="28"/>
          <w:lang w:val="en-US"/>
        </w:rPr>
        <w:t>, vol. 16, 2000, pp. 3–10.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doi:10.1016/s0924-8579(00)00299-5.</w:t>
      </w:r>
    </w:p>
    <w:p w14:paraId="34016044"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Almasirad, Ali, et al. “Synthesis and Analgesic Activity of N-Arylhydrazone Derivatives of Mefenamic Acid.” </w:t>
      </w:r>
      <w:r w:rsidRPr="00821EC9">
        <w:rPr>
          <w:rFonts w:eastAsia="Times New Roman"/>
          <w:i/>
          <w:iCs/>
          <w:color w:val="000000"/>
          <w:sz w:val="28"/>
          <w:szCs w:val="28"/>
          <w:lang w:val="en-US"/>
        </w:rPr>
        <w:t>J Pharm Pharmaceut Sci</w:t>
      </w:r>
      <w:r w:rsidRPr="00821EC9">
        <w:rPr>
          <w:rFonts w:eastAsia="Times New Roman"/>
          <w:color w:val="000000"/>
          <w:sz w:val="28"/>
          <w:szCs w:val="28"/>
          <w:lang w:val="en-US"/>
        </w:rPr>
        <w:t xml:space="preserve">, vol. 8, no. 3, 2005, </w:t>
      </w:r>
      <w:r w:rsidR="00821BED" w:rsidRPr="00821EC9">
        <w:rPr>
          <w:rFonts w:eastAsia="Times New Roman"/>
          <w:color w:val="000000"/>
          <w:sz w:val="28"/>
          <w:szCs w:val="28"/>
          <w:lang w:val="en-US"/>
        </w:rPr>
        <w:br/>
      </w:r>
      <w:r w:rsidRPr="00821EC9">
        <w:rPr>
          <w:rFonts w:eastAsia="Times New Roman"/>
          <w:color w:val="000000"/>
          <w:sz w:val="28"/>
          <w:szCs w:val="28"/>
          <w:lang w:val="en-US"/>
        </w:rPr>
        <w:t>pp. 419–25, sites.ualberta.ca/~csps/JPPS8(3)/A.Shafiee/mefenamic.htm.</w:t>
      </w:r>
    </w:p>
    <w:p w14:paraId="03662812" w14:textId="77777777"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color w:val="000000"/>
          <w:sz w:val="28"/>
          <w:szCs w:val="28"/>
          <w:lang w:val="en-US"/>
        </w:rPr>
        <w:t>Kandile, Nadia G., et al. “Synthesis of New Schiff Bases Bearing 1,2,4-Triazole, Thiazolidine and Chloroazetidine Moieties and Their Pharmacological Evaluation.”</w:t>
      </w:r>
      <w:r w:rsidRPr="00821EC9">
        <w:rPr>
          <w:rStyle w:val="apple-converted-space"/>
          <w:color w:val="000000"/>
          <w:sz w:val="28"/>
          <w:szCs w:val="28"/>
          <w:lang w:val="en-US"/>
        </w:rPr>
        <w:t> </w:t>
      </w:r>
      <w:r w:rsidRPr="00821EC9">
        <w:rPr>
          <w:i/>
          <w:iCs/>
          <w:color w:val="000000"/>
          <w:sz w:val="28"/>
          <w:szCs w:val="28"/>
          <w:lang w:val="en-US"/>
        </w:rPr>
        <w:t>Journal of Enzyme Inhibition and Medicinal Chemistry</w:t>
      </w:r>
      <w:r w:rsidRPr="00821EC9">
        <w:rPr>
          <w:color w:val="000000"/>
          <w:sz w:val="28"/>
          <w:szCs w:val="28"/>
          <w:lang w:val="en-US"/>
        </w:rPr>
        <w:t>, vol. 32, no. 1, 2016, pp. 119–29.</w:t>
      </w:r>
      <w:r w:rsidRPr="00821EC9">
        <w:rPr>
          <w:rStyle w:val="apple-converted-space"/>
          <w:color w:val="000000"/>
          <w:sz w:val="28"/>
          <w:szCs w:val="28"/>
          <w:lang w:val="en-US"/>
        </w:rPr>
        <w:t> </w:t>
      </w:r>
      <w:r w:rsidRPr="00821EC9">
        <w:rPr>
          <w:i/>
          <w:iCs/>
          <w:color w:val="000000"/>
          <w:sz w:val="28"/>
          <w:szCs w:val="28"/>
          <w:lang w:val="en-US"/>
        </w:rPr>
        <w:t>Crossref</w:t>
      </w:r>
      <w:r w:rsidRPr="00821EC9">
        <w:rPr>
          <w:color w:val="000000"/>
          <w:sz w:val="28"/>
          <w:szCs w:val="28"/>
          <w:lang w:val="en-US"/>
        </w:rPr>
        <w:t>, doi:10.1080/14756366.2016.1238365.</w:t>
      </w:r>
    </w:p>
    <w:p w14:paraId="19B5F91B" w14:textId="0F32405C"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Hamdy, Nehal A., et al. “Convenient Synthesis, Anti-Inflammatory, Analgesic and Ulcerogenic Activites of Some New Bis-Hydrazones and Pyrazole Derivatives.” </w:t>
      </w:r>
      <w:r w:rsidRPr="00821EC9">
        <w:rPr>
          <w:rFonts w:eastAsia="Times New Roman"/>
          <w:i/>
          <w:iCs/>
          <w:color w:val="000000"/>
          <w:sz w:val="28"/>
          <w:szCs w:val="28"/>
          <w:lang w:val="en-US"/>
        </w:rPr>
        <w:t>Acta Poloniae Pharmaceutica</w:t>
      </w:r>
      <w:r w:rsidRPr="00821EC9">
        <w:rPr>
          <w:rFonts w:eastAsia="Times New Roman"/>
          <w:color w:val="000000"/>
          <w:sz w:val="28"/>
          <w:szCs w:val="28"/>
          <w:lang w:val="en-US"/>
        </w:rPr>
        <w:t xml:space="preserve">, vol. 70, no. 3, 2013, pp. 469–80, </w:t>
      </w:r>
      <w:r w:rsidR="00821EC9" w:rsidRPr="00821EC9">
        <w:rPr>
          <w:rFonts w:eastAsia="Times New Roman"/>
          <w:color w:val="000000"/>
          <w:sz w:val="28"/>
          <w:szCs w:val="28"/>
          <w:lang w:val="en-US"/>
        </w:rPr>
        <w:t>www.ptfarm.pl/pub/File/Acta_Poloniae/2013/3/469.pdf</w:t>
      </w:r>
      <w:r w:rsidRPr="00821EC9">
        <w:rPr>
          <w:rFonts w:eastAsia="Times New Roman"/>
          <w:color w:val="000000"/>
          <w:sz w:val="28"/>
          <w:szCs w:val="28"/>
          <w:lang w:val="en-US"/>
        </w:rPr>
        <w:t>.</w:t>
      </w:r>
    </w:p>
    <w:p w14:paraId="3C69C63F" w14:textId="41210DA5" w:rsid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Sivakumar, K. K., et al. “Synthesis and Evaluation of Anti-Microbial Analgesic Activity of Some (4Z)-3-Methyl-1-[(2-Oxo-2H-Chromen-4-Yl) Carbonyl]-1H-Pyrazole-4, 5-Dione-4-[(Substitutedphenyl) Hydrazone].” </w:t>
      </w:r>
      <w:r w:rsidRPr="00821EC9">
        <w:rPr>
          <w:rFonts w:eastAsia="Times New Roman"/>
          <w:i/>
          <w:iCs/>
          <w:color w:val="000000"/>
          <w:sz w:val="28"/>
          <w:szCs w:val="28"/>
          <w:lang w:val="en-US"/>
        </w:rPr>
        <w:t>Der Pharmacia Lettre</w:t>
      </w:r>
      <w:r w:rsidRPr="00821EC9">
        <w:rPr>
          <w:rFonts w:eastAsia="Times New Roman"/>
          <w:color w:val="000000"/>
          <w:sz w:val="28"/>
          <w:szCs w:val="28"/>
          <w:lang w:val="en-US"/>
        </w:rPr>
        <w:t xml:space="preserve">, vol. 2, no. 1, 2010, pp. 211–19, </w:t>
      </w:r>
      <w:r w:rsidR="00821EC9" w:rsidRPr="00821EC9">
        <w:rPr>
          <w:rFonts w:eastAsia="Times New Roman"/>
          <w:color w:val="000000"/>
          <w:sz w:val="28"/>
          <w:szCs w:val="28"/>
          <w:lang w:val="en-US"/>
        </w:rPr>
        <w:t>www.scholarsresearchlibrary.com/articles/synthesis-and-evaluation-of-antimicrobial-and-analgesic-activity-of-some-4z-3methyl12oxo2hchromen4yl-carbonyl1hpyrazole4.pdf</w:t>
      </w:r>
      <w:r w:rsidRPr="00821EC9">
        <w:rPr>
          <w:rFonts w:eastAsia="Times New Roman"/>
          <w:color w:val="000000"/>
          <w:sz w:val="28"/>
          <w:szCs w:val="28"/>
          <w:lang w:val="en-US"/>
        </w:rPr>
        <w:t>.</w:t>
      </w:r>
    </w:p>
    <w:p w14:paraId="579D014D" w14:textId="2525F662" w:rsidR="00B85935" w:rsidRPr="00821EC9" w:rsidRDefault="00B85935" w:rsidP="00821EC9">
      <w:pPr>
        <w:pStyle w:val="a6"/>
        <w:numPr>
          <w:ilvl w:val="3"/>
          <w:numId w:val="48"/>
        </w:numPr>
        <w:spacing w:line="360" w:lineRule="auto"/>
        <w:ind w:left="0" w:firstLine="0"/>
        <w:jc w:val="both"/>
        <w:rPr>
          <w:rFonts w:eastAsia="Times New Roman"/>
          <w:color w:val="000000"/>
          <w:sz w:val="28"/>
          <w:szCs w:val="28"/>
          <w:lang w:val="en-US"/>
        </w:rPr>
      </w:pPr>
      <w:r w:rsidRPr="00821EC9">
        <w:rPr>
          <w:rFonts w:eastAsia="Times New Roman"/>
          <w:color w:val="000000"/>
          <w:sz w:val="28"/>
          <w:szCs w:val="28"/>
          <w:lang w:val="en-US"/>
        </w:rPr>
        <w:t>Khan, Khalid Mohammed, et al. “Synthesis of Bis-Schiff Bases of Isatins and Their Antiglycation Activity.” </w:t>
      </w:r>
      <w:r w:rsidRPr="00821EC9">
        <w:rPr>
          <w:rFonts w:eastAsia="Times New Roman"/>
          <w:i/>
          <w:iCs/>
          <w:color w:val="000000"/>
          <w:sz w:val="28"/>
          <w:szCs w:val="28"/>
          <w:lang w:val="en-US"/>
        </w:rPr>
        <w:t>Bioorganic &amp; Medicinal Chemistry</w:t>
      </w:r>
      <w:r w:rsidRPr="00821EC9">
        <w:rPr>
          <w:rFonts w:eastAsia="Times New Roman"/>
          <w:color w:val="000000"/>
          <w:sz w:val="28"/>
          <w:szCs w:val="28"/>
          <w:lang w:val="en-US"/>
        </w:rPr>
        <w:t>, vol. 17, no. 22, 2009, pp. 7795–801.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doi:10.1016/j.bmc.2009.09.028.</w:t>
      </w:r>
    </w:p>
    <w:p w14:paraId="2CF0A9D9" w14:textId="77777777" w:rsidR="00821EC9" w:rsidRDefault="00B85935" w:rsidP="00821EC9">
      <w:pPr>
        <w:pStyle w:val="a6"/>
        <w:numPr>
          <w:ilvl w:val="3"/>
          <w:numId w:val="48"/>
        </w:numPr>
        <w:spacing w:line="360" w:lineRule="auto"/>
        <w:ind w:left="90" w:hanging="90"/>
        <w:jc w:val="both"/>
        <w:rPr>
          <w:rFonts w:eastAsia="Times New Roman"/>
          <w:color w:val="000000"/>
          <w:sz w:val="28"/>
          <w:szCs w:val="28"/>
          <w:lang w:val="en-US"/>
        </w:rPr>
      </w:pPr>
      <w:r w:rsidRPr="001759D5">
        <w:rPr>
          <w:rFonts w:eastAsia="Times New Roman"/>
          <w:color w:val="000000"/>
          <w:sz w:val="28"/>
          <w:szCs w:val="28"/>
          <w:lang w:val="en-US"/>
        </w:rPr>
        <w:t>Gökçe, Mehtap, et al. “Synthesis and Analgesic and Anti-Inflammatory Activities</w:t>
      </w:r>
      <w:r w:rsidR="00821BED" w:rsidRPr="00821BED">
        <w:rPr>
          <w:rFonts w:eastAsia="Times New Roman"/>
          <w:color w:val="000000"/>
          <w:sz w:val="28"/>
          <w:szCs w:val="28"/>
          <w:lang w:val="en-US"/>
        </w:rPr>
        <w:t xml:space="preserve"> </w:t>
      </w:r>
      <w:r w:rsidRPr="001759D5">
        <w:rPr>
          <w:rFonts w:eastAsia="Times New Roman"/>
          <w:color w:val="000000"/>
          <w:sz w:val="28"/>
          <w:szCs w:val="28"/>
          <w:lang w:val="en-US"/>
        </w:rPr>
        <w:t>6-Substituted-3(2H)-Pyridazinone-2-Acetyl-2-(p-</w:t>
      </w:r>
      <w:r w:rsidRPr="001759D5">
        <w:rPr>
          <w:rFonts w:eastAsia="Times New Roman"/>
          <w:color w:val="000000"/>
          <w:sz w:val="28"/>
          <w:szCs w:val="28"/>
          <w:lang w:val="en-US"/>
        </w:rPr>
        <w:lastRenderedPageBreak/>
        <w:t>Substituted/Nonsubstituted Benzal)Hydrazone Derivatives.” </w:t>
      </w:r>
      <w:r w:rsidRPr="001759D5">
        <w:rPr>
          <w:rFonts w:eastAsia="Times New Roman"/>
          <w:i/>
          <w:iCs/>
          <w:color w:val="000000"/>
          <w:sz w:val="28"/>
          <w:szCs w:val="28"/>
          <w:lang w:val="en-US"/>
        </w:rPr>
        <w:t>European Journal of Medicinal Chemistry</w:t>
      </w:r>
      <w:r w:rsidRPr="001759D5">
        <w:rPr>
          <w:rFonts w:eastAsia="Times New Roman"/>
          <w:color w:val="000000"/>
          <w:sz w:val="28"/>
          <w:szCs w:val="28"/>
          <w:lang w:val="en-US"/>
        </w:rPr>
        <w:t>, vol. 44, no. 9, 2009, pp. 3760–64.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doi:10.1016/j.ejmech.2009.04.048.</w:t>
      </w:r>
    </w:p>
    <w:p w14:paraId="0643ABA6" w14:textId="12E316DC" w:rsidR="00B85935" w:rsidRPr="00821EC9" w:rsidRDefault="00B85935" w:rsidP="00821EC9">
      <w:pPr>
        <w:pStyle w:val="a6"/>
        <w:numPr>
          <w:ilvl w:val="3"/>
          <w:numId w:val="48"/>
        </w:numPr>
        <w:spacing w:line="360" w:lineRule="auto"/>
        <w:ind w:left="90" w:hanging="90"/>
        <w:jc w:val="both"/>
        <w:rPr>
          <w:rFonts w:eastAsia="Times New Roman"/>
          <w:color w:val="000000"/>
          <w:sz w:val="28"/>
          <w:szCs w:val="28"/>
          <w:lang w:val="en-US"/>
        </w:rPr>
      </w:pPr>
      <w:r w:rsidRPr="00821EC9">
        <w:rPr>
          <w:rFonts w:eastAsia="Times New Roman"/>
          <w:color w:val="000000"/>
          <w:sz w:val="28"/>
          <w:szCs w:val="28"/>
          <w:lang w:val="en-US"/>
        </w:rPr>
        <w:t>Fraga, Aline G. M., et al. “Synthesis and Pharmacological Evaluation of Novel Heterotricyclic Acylhydrazone Derivatives, Designed as PAF Antagonists.” </w:t>
      </w:r>
      <w:r w:rsidRPr="00821EC9">
        <w:rPr>
          <w:rFonts w:eastAsia="Times New Roman"/>
          <w:i/>
          <w:iCs/>
          <w:color w:val="000000"/>
          <w:sz w:val="28"/>
          <w:szCs w:val="28"/>
          <w:lang w:val="en-US"/>
        </w:rPr>
        <w:t>European Journal of Pharmaceutical Sciences</w:t>
      </w:r>
      <w:r w:rsidRPr="00821EC9">
        <w:rPr>
          <w:rFonts w:eastAsia="Times New Roman"/>
          <w:color w:val="000000"/>
          <w:sz w:val="28"/>
          <w:szCs w:val="28"/>
          <w:lang w:val="en-US"/>
        </w:rPr>
        <w:t>, vol. 11, no. 4, 2000, pp. 285–90. </w:t>
      </w:r>
      <w:r w:rsidRPr="00821EC9">
        <w:rPr>
          <w:rFonts w:eastAsia="Times New Roman"/>
          <w:i/>
          <w:iCs/>
          <w:color w:val="000000"/>
          <w:sz w:val="28"/>
          <w:szCs w:val="28"/>
          <w:lang w:val="en-US"/>
        </w:rPr>
        <w:t>Crossref</w:t>
      </w:r>
      <w:r w:rsidRPr="00821EC9">
        <w:rPr>
          <w:rFonts w:eastAsia="Times New Roman"/>
          <w:color w:val="000000"/>
          <w:sz w:val="28"/>
          <w:szCs w:val="28"/>
          <w:lang w:val="en-US"/>
        </w:rPr>
        <w:t>, doi:10.1016/s0928-0987(00)00102-0.</w:t>
      </w:r>
    </w:p>
    <w:p w14:paraId="6D1CC150" w14:textId="32EBC908"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Ventafridda, V., et al. “Antidepressants for Cancer Pain and Other Painful Syndromes with Deafferentation Component: Comparison of Amitriptyline and Trazodone.” </w:t>
      </w:r>
      <w:r w:rsidRPr="001759D5">
        <w:rPr>
          <w:rFonts w:eastAsia="Times New Roman"/>
          <w:i/>
          <w:iCs/>
          <w:color w:val="000000"/>
          <w:sz w:val="28"/>
          <w:szCs w:val="28"/>
          <w:lang w:val="en-US"/>
        </w:rPr>
        <w:t>The Italian Journal of Neurological Sciences</w:t>
      </w:r>
      <w:r w:rsidRPr="001759D5">
        <w:rPr>
          <w:rFonts w:eastAsia="Times New Roman"/>
          <w:color w:val="000000"/>
          <w:sz w:val="28"/>
          <w:szCs w:val="28"/>
          <w:lang w:val="en-US"/>
        </w:rPr>
        <w:t xml:space="preserve">, vol. 8, no. 6, 1987, </w:t>
      </w:r>
      <w:r w:rsidR="00821BED">
        <w:rPr>
          <w:rFonts w:eastAsia="Times New Roman"/>
          <w:color w:val="000000"/>
          <w:sz w:val="28"/>
          <w:szCs w:val="28"/>
          <w:lang w:val="en-US"/>
        </w:rPr>
        <w:br/>
      </w:r>
      <w:r w:rsidRPr="001759D5">
        <w:rPr>
          <w:rFonts w:eastAsia="Times New Roman"/>
          <w:color w:val="000000"/>
          <w:sz w:val="28"/>
          <w:szCs w:val="28"/>
          <w:lang w:val="en-US"/>
        </w:rPr>
        <w:t>pp. 579–87.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doi:10.1007/bf02333665.</w:t>
      </w:r>
    </w:p>
    <w:p w14:paraId="03311B3E" w14:textId="5EB3CDD2"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Amer, Atef, et al. “Synthesis, Characterization and Evaluation of Anti-Inflammatory and Analgesic Activity of Some Novel Quinoline Based Thiazolidinone Heterocycles.” </w:t>
      </w:r>
      <w:r w:rsidRPr="001759D5">
        <w:rPr>
          <w:rFonts w:eastAsia="Times New Roman"/>
          <w:i/>
          <w:iCs/>
          <w:color w:val="000000"/>
          <w:sz w:val="28"/>
          <w:szCs w:val="28"/>
          <w:lang w:val="en-US"/>
        </w:rPr>
        <w:t>Egyptian Journal of Chemistry</w:t>
      </w:r>
      <w:r w:rsidRPr="001759D5">
        <w:rPr>
          <w:rFonts w:eastAsia="Times New Roman"/>
          <w:color w:val="000000"/>
          <w:sz w:val="28"/>
          <w:szCs w:val="28"/>
          <w:lang w:val="en-US"/>
        </w:rPr>
        <w:t xml:space="preserve">, vol. 61, </w:t>
      </w:r>
      <w:r w:rsidR="00821BED">
        <w:rPr>
          <w:rFonts w:eastAsia="Times New Roman"/>
          <w:color w:val="000000"/>
          <w:sz w:val="28"/>
          <w:szCs w:val="28"/>
          <w:lang w:val="en-US"/>
        </w:rPr>
        <w:br/>
      </w:r>
      <w:r w:rsidRPr="001759D5">
        <w:rPr>
          <w:rFonts w:eastAsia="Times New Roman"/>
          <w:color w:val="000000"/>
          <w:sz w:val="28"/>
          <w:szCs w:val="28"/>
          <w:lang w:val="en-US"/>
        </w:rPr>
        <w:t>no. Conference issue, 2018, pp. 60–70. </w:t>
      </w:r>
      <w:r w:rsidRPr="001759D5">
        <w:rPr>
          <w:rFonts w:eastAsia="Times New Roman"/>
          <w:i/>
          <w:iCs/>
          <w:color w:val="000000"/>
          <w:sz w:val="28"/>
          <w:szCs w:val="28"/>
          <w:lang w:val="en-US"/>
        </w:rPr>
        <w:t>Crossref</w:t>
      </w:r>
      <w:r w:rsidRPr="001759D5">
        <w:rPr>
          <w:rFonts w:eastAsia="Times New Roman"/>
          <w:color w:val="000000"/>
          <w:sz w:val="28"/>
          <w:szCs w:val="28"/>
          <w:lang w:val="en-US"/>
        </w:rPr>
        <w:t>, doi:10.21608/ejchem.2018.5155.1456.</w:t>
      </w:r>
    </w:p>
    <w:p w14:paraId="0DEED2B2" w14:textId="1A8C0649"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Salgın-Gökşen, Umut, et al. “1-Acylthiosemicarbazides, 1,2,4-Triazole-5(4H)-Thiones, 1,3,4-Thiadiazoles and Hydrazones Containing 5-Methyl-2-Benzoxazolinones: Synthesis, Analgesic-Anti-Inflammatory and Antimicrobial Activities.” </w:t>
      </w:r>
      <w:r w:rsidRPr="001759D5">
        <w:rPr>
          <w:rFonts w:eastAsia="Times New Roman"/>
          <w:i/>
          <w:iCs/>
          <w:color w:val="000000"/>
          <w:sz w:val="28"/>
          <w:szCs w:val="28"/>
          <w:lang w:val="en-US"/>
        </w:rPr>
        <w:t>Bioorganic &amp; Medicinal Chemistry</w:t>
      </w:r>
      <w:r w:rsidRPr="001759D5">
        <w:rPr>
          <w:rFonts w:eastAsia="Times New Roman"/>
          <w:color w:val="000000"/>
          <w:sz w:val="28"/>
          <w:szCs w:val="28"/>
          <w:lang w:val="en-US"/>
        </w:rPr>
        <w:t xml:space="preserve">, vol. 15, no. 17, 2007, </w:t>
      </w:r>
      <w:r w:rsidR="00821BED">
        <w:rPr>
          <w:rFonts w:eastAsia="Times New Roman"/>
          <w:color w:val="000000"/>
          <w:sz w:val="28"/>
          <w:szCs w:val="28"/>
          <w:lang w:val="en-US"/>
        </w:rPr>
        <w:br/>
      </w:r>
      <w:r w:rsidRPr="001759D5">
        <w:rPr>
          <w:rFonts w:eastAsia="Times New Roman"/>
          <w:color w:val="000000"/>
          <w:sz w:val="28"/>
          <w:szCs w:val="28"/>
          <w:lang w:val="en-US"/>
        </w:rPr>
        <w:t>pp. 5738–51.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doi:10.1016/j.bmc.2007.06.006.</w:t>
      </w:r>
    </w:p>
    <w:p w14:paraId="1E15C0D9" w14:textId="491E0C9A"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Miranda, Amanda de, et al. “Design, Synthesis, Antinociceptive and Anti-Inflammatory Activities of Novel Piroxicam Analogues.” </w:t>
      </w:r>
      <w:r w:rsidRPr="001759D5">
        <w:rPr>
          <w:rFonts w:eastAsia="Times New Roman"/>
          <w:i/>
          <w:iCs/>
          <w:color w:val="000000"/>
          <w:sz w:val="28"/>
          <w:szCs w:val="28"/>
          <w:lang w:val="en-US"/>
        </w:rPr>
        <w:t>Molecules</w:t>
      </w:r>
      <w:r w:rsidRPr="001759D5">
        <w:rPr>
          <w:rFonts w:eastAsia="Times New Roman"/>
          <w:color w:val="000000"/>
          <w:sz w:val="28"/>
          <w:szCs w:val="28"/>
          <w:lang w:val="en-US"/>
        </w:rPr>
        <w:t>, vol. 17, no. 12, 2012, pp. 14126–45.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doi:10.3390/molecules171214126.</w:t>
      </w:r>
    </w:p>
    <w:p w14:paraId="43940891" w14:textId="08D9D1D9"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Silva, Yolanda Karla Cupertino da, et al. “Synthesis and Pharmacological Evaluation of Pyrazine N-Acylhydrazone Derivatives Designed as Novel Analgesic and Anti-Inflammatory Drug Candidates.” </w:t>
      </w:r>
      <w:r w:rsidRPr="001759D5">
        <w:rPr>
          <w:rFonts w:eastAsia="Times New Roman"/>
          <w:i/>
          <w:iCs/>
          <w:color w:val="000000"/>
          <w:sz w:val="28"/>
          <w:szCs w:val="28"/>
          <w:lang w:val="en-US"/>
        </w:rPr>
        <w:t>Bioorganic &amp; Medicinal Chemistry</w:t>
      </w:r>
      <w:r w:rsidRPr="001759D5">
        <w:rPr>
          <w:rFonts w:eastAsia="Times New Roman"/>
          <w:color w:val="000000"/>
          <w:sz w:val="28"/>
          <w:szCs w:val="28"/>
          <w:lang w:val="en-US"/>
        </w:rPr>
        <w:t xml:space="preserve">, </w:t>
      </w:r>
      <w:r w:rsidR="00821BED">
        <w:rPr>
          <w:rFonts w:eastAsia="Times New Roman"/>
          <w:color w:val="000000"/>
          <w:sz w:val="28"/>
          <w:szCs w:val="28"/>
          <w:lang w:val="en-US"/>
        </w:rPr>
        <w:br/>
      </w:r>
      <w:r w:rsidRPr="001759D5">
        <w:rPr>
          <w:rFonts w:eastAsia="Times New Roman"/>
          <w:color w:val="000000"/>
          <w:sz w:val="28"/>
          <w:szCs w:val="28"/>
          <w:lang w:val="en-US"/>
        </w:rPr>
        <w:t>vol. 18, no. 14, 2010, pp. 5007–15.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doi:10.1016/j.bmc.2010.06.002.</w:t>
      </w:r>
    </w:p>
    <w:p w14:paraId="2119844F" w14:textId="57C276BA"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 xml:space="preserve">Kamat, Vinuta, et al. “Pyridine- and Thiazole-Based Hydrazides with Promising Anti-Inflammatory and Antimicrobial Activities along with Their In </w:t>
      </w:r>
      <w:r w:rsidRPr="001759D5">
        <w:rPr>
          <w:rFonts w:eastAsia="Times New Roman"/>
          <w:color w:val="000000"/>
          <w:sz w:val="28"/>
          <w:szCs w:val="28"/>
          <w:lang w:val="en-US"/>
        </w:rPr>
        <w:lastRenderedPageBreak/>
        <w:t>Silico Studies.” </w:t>
      </w:r>
      <w:r w:rsidRPr="001759D5">
        <w:rPr>
          <w:rFonts w:eastAsia="Times New Roman"/>
          <w:i/>
          <w:iCs/>
          <w:color w:val="000000"/>
          <w:sz w:val="28"/>
          <w:szCs w:val="28"/>
          <w:lang w:val="en-US"/>
        </w:rPr>
        <w:t>ACS Omega</w:t>
      </w:r>
      <w:r w:rsidRPr="001759D5">
        <w:rPr>
          <w:rFonts w:eastAsia="Times New Roman"/>
          <w:color w:val="000000"/>
          <w:sz w:val="28"/>
          <w:szCs w:val="28"/>
          <w:lang w:val="en-US"/>
        </w:rPr>
        <w:t>, vol. 5, no. 39, 2020, pp. 25228–39.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doi:10.1021/acsomega.0c03386.</w:t>
      </w:r>
    </w:p>
    <w:p w14:paraId="6AF5982C" w14:textId="5A519190"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Júnior, Walfrido Bispo, et al. “Analgesic and Anti-Inflammatory Activities of Salicylaldehyde 2-Chlorobenzoyl Hydrazone (H2LASSBio-466), Salicylaldehyde 4-Chlorobenzoyl Hydrazone (H2LASSBio-1064) and Their Zinc(II) Complexes.” </w:t>
      </w:r>
      <w:r w:rsidRPr="001759D5">
        <w:rPr>
          <w:rFonts w:eastAsia="Times New Roman"/>
          <w:i/>
          <w:iCs/>
          <w:color w:val="000000"/>
          <w:sz w:val="28"/>
          <w:szCs w:val="28"/>
          <w:lang w:val="en-US"/>
        </w:rPr>
        <w:t>Molecules</w:t>
      </w:r>
      <w:r w:rsidRPr="001759D5">
        <w:rPr>
          <w:rFonts w:eastAsia="Times New Roman"/>
          <w:color w:val="000000"/>
          <w:sz w:val="28"/>
          <w:szCs w:val="28"/>
          <w:lang w:val="en-US"/>
        </w:rPr>
        <w:t>, vol. 16, no. 8, 2011, pp. 6902–15.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doi:10.3390/molecules16086902.</w:t>
      </w:r>
    </w:p>
    <w:p w14:paraId="6ADBC924" w14:textId="27543592"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Shaveta, et al. “Hybrid Molecules: The Privileged Scaffolds for Various Pharmaceuticals.” </w:t>
      </w:r>
      <w:r w:rsidRPr="001759D5">
        <w:rPr>
          <w:rFonts w:eastAsia="Times New Roman"/>
          <w:i/>
          <w:iCs/>
          <w:color w:val="000000"/>
          <w:sz w:val="28"/>
          <w:szCs w:val="28"/>
          <w:lang w:val="en-US"/>
        </w:rPr>
        <w:t>European Journal of Medicinal Chemistry</w:t>
      </w:r>
      <w:r w:rsidRPr="001759D5">
        <w:rPr>
          <w:rFonts w:eastAsia="Times New Roman"/>
          <w:color w:val="000000"/>
          <w:sz w:val="28"/>
          <w:szCs w:val="28"/>
          <w:lang w:val="en-US"/>
        </w:rPr>
        <w:t xml:space="preserve">, vol. 124, 2016, </w:t>
      </w:r>
      <w:r w:rsidR="00821BED">
        <w:rPr>
          <w:rFonts w:eastAsia="Times New Roman"/>
          <w:color w:val="000000"/>
          <w:sz w:val="28"/>
          <w:szCs w:val="28"/>
          <w:lang w:val="en-US"/>
        </w:rPr>
        <w:br/>
      </w:r>
      <w:r w:rsidRPr="001759D5">
        <w:rPr>
          <w:rFonts w:eastAsia="Times New Roman"/>
          <w:color w:val="000000"/>
          <w:sz w:val="28"/>
          <w:szCs w:val="28"/>
          <w:lang w:val="en-US"/>
        </w:rPr>
        <w:t>pp. 500–36.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doi:10.1016/j.ejmech.2016.08.039.</w:t>
      </w:r>
    </w:p>
    <w:p w14:paraId="0CC05F58" w14:textId="678FAFD7"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Eswayah, Asma, et al. “Synthesis and Analgesic Activity Evaluation of Some New Benzimidazole Derivatives.” </w:t>
      </w:r>
      <w:r w:rsidRPr="001759D5">
        <w:rPr>
          <w:rFonts w:eastAsia="Times New Roman"/>
          <w:i/>
          <w:iCs/>
          <w:color w:val="000000"/>
          <w:sz w:val="28"/>
          <w:szCs w:val="28"/>
          <w:lang w:val="en-US"/>
        </w:rPr>
        <w:t>American Journal of Chemistry and Application</w:t>
      </w:r>
      <w:r w:rsidRPr="001759D5">
        <w:rPr>
          <w:rFonts w:eastAsia="Times New Roman"/>
          <w:color w:val="000000"/>
          <w:sz w:val="28"/>
          <w:szCs w:val="28"/>
          <w:lang w:val="en-US"/>
        </w:rPr>
        <w:t>, vol. 4, no. 5, 2017, pp. 30–35, www.aascit.org/journal/archive2?journalId=905&amp;paperId=5198.</w:t>
      </w:r>
    </w:p>
    <w:p w14:paraId="4B1670C9" w14:textId="0E59C8D7"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Moldovan, Cristina Mariana, et al. “Synthesis and Anti-Inflammatory Evaluation of Some New Acyl-Hydrazones Bearing 2-Aryl-Thiazole.” </w:t>
      </w:r>
      <w:r w:rsidRPr="001759D5">
        <w:rPr>
          <w:rFonts w:eastAsia="Times New Roman"/>
          <w:i/>
          <w:iCs/>
          <w:color w:val="000000"/>
          <w:sz w:val="28"/>
          <w:szCs w:val="28"/>
          <w:lang w:val="en-US"/>
        </w:rPr>
        <w:t>European Journal of Medicinal Chemistry</w:t>
      </w:r>
      <w:r w:rsidRPr="001759D5">
        <w:rPr>
          <w:rFonts w:eastAsia="Times New Roman"/>
          <w:color w:val="000000"/>
          <w:sz w:val="28"/>
          <w:szCs w:val="28"/>
          <w:lang w:val="en-US"/>
        </w:rPr>
        <w:t>, vol. 46, no. 2, 2011, pp. 526–34.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doi:10.1016/j.ejmech.2010.11.032.</w:t>
      </w:r>
    </w:p>
    <w:p w14:paraId="36F1A33D" w14:textId="257A8BA4"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Rollason, Victoria, and Nicole Vogt. “Reduction of Polypharmacy in the Elderly.” </w:t>
      </w:r>
      <w:r w:rsidRPr="001759D5">
        <w:rPr>
          <w:rFonts w:eastAsia="Times New Roman"/>
          <w:i/>
          <w:iCs/>
          <w:color w:val="000000"/>
          <w:sz w:val="28"/>
          <w:szCs w:val="28"/>
          <w:lang w:val="en-US"/>
        </w:rPr>
        <w:t>Drugs &amp; Aging</w:t>
      </w:r>
      <w:r w:rsidRPr="001759D5">
        <w:rPr>
          <w:rFonts w:eastAsia="Times New Roman"/>
          <w:color w:val="000000"/>
          <w:sz w:val="28"/>
          <w:szCs w:val="28"/>
          <w:lang w:val="en-US"/>
        </w:rPr>
        <w:t>, vol. 20, no. 11, 2003, pp. 817–32. </w:t>
      </w:r>
      <w:r w:rsidRPr="001759D5">
        <w:rPr>
          <w:rFonts w:eastAsia="Times New Roman"/>
          <w:i/>
          <w:iCs/>
          <w:color w:val="000000"/>
          <w:sz w:val="28"/>
          <w:szCs w:val="28"/>
          <w:lang w:val="en-US"/>
        </w:rPr>
        <w:t>Crossref</w:t>
      </w:r>
      <w:r w:rsidRPr="001759D5">
        <w:rPr>
          <w:rFonts w:eastAsia="Times New Roman"/>
          <w:color w:val="000000"/>
          <w:sz w:val="28"/>
          <w:szCs w:val="28"/>
          <w:lang w:val="en-US"/>
        </w:rPr>
        <w:t>, doi:10.2165/00002512-200320110-00003.</w:t>
      </w:r>
    </w:p>
    <w:p w14:paraId="6F103B4A" w14:textId="6497DD4E"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Shrivastava, Amresh, et al. “Polypharmacy in Psychiatry: A Review.” </w:t>
      </w:r>
      <w:r w:rsidRPr="001759D5">
        <w:rPr>
          <w:rFonts w:eastAsia="Times New Roman"/>
          <w:i/>
          <w:iCs/>
          <w:color w:val="000000"/>
          <w:sz w:val="28"/>
          <w:szCs w:val="28"/>
          <w:lang w:val="en-US"/>
        </w:rPr>
        <w:t>Mens Sana Monographs</w:t>
      </w:r>
      <w:r w:rsidRPr="001759D5">
        <w:rPr>
          <w:rFonts w:eastAsia="Times New Roman"/>
          <w:color w:val="000000"/>
          <w:sz w:val="28"/>
          <w:szCs w:val="28"/>
          <w:lang w:val="en-US"/>
        </w:rPr>
        <w:t>, vol. 11, no. 1, 2013, p. 82. </w:t>
      </w:r>
      <w:r w:rsidRPr="001759D5">
        <w:rPr>
          <w:rFonts w:eastAsia="Times New Roman"/>
          <w:i/>
          <w:iCs/>
          <w:color w:val="000000"/>
          <w:sz w:val="28"/>
          <w:szCs w:val="28"/>
          <w:lang w:val="en-US"/>
        </w:rPr>
        <w:t>Crossref</w:t>
      </w:r>
      <w:r w:rsidRPr="001759D5">
        <w:rPr>
          <w:rFonts w:eastAsia="Times New Roman"/>
          <w:color w:val="000000"/>
          <w:sz w:val="28"/>
          <w:szCs w:val="28"/>
          <w:lang w:val="en-US"/>
        </w:rPr>
        <w:t xml:space="preserve">, </w:t>
      </w:r>
      <w:r w:rsidR="00821BED">
        <w:rPr>
          <w:rFonts w:eastAsia="Times New Roman"/>
          <w:color w:val="000000"/>
          <w:sz w:val="28"/>
          <w:szCs w:val="28"/>
          <w:lang w:val="en-US"/>
        </w:rPr>
        <w:br/>
      </w:r>
      <w:r w:rsidRPr="001759D5">
        <w:rPr>
          <w:rFonts w:eastAsia="Times New Roman"/>
          <w:color w:val="000000"/>
          <w:sz w:val="28"/>
          <w:szCs w:val="28"/>
          <w:lang w:val="en-US"/>
        </w:rPr>
        <w:t>doi:10.4103/0973-1229.104497.</w:t>
      </w:r>
    </w:p>
    <w:p w14:paraId="5CBF87CF" w14:textId="1E0A9574"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Mojtabai, Ramin, and Mark Olfson. “National Trends in Psychotropic Medication Polypharmacy in Office-Based Psychiatry.” </w:t>
      </w:r>
      <w:r w:rsidRPr="001759D5">
        <w:rPr>
          <w:rFonts w:eastAsia="Times New Roman"/>
          <w:i/>
          <w:iCs/>
          <w:color w:val="000000"/>
          <w:sz w:val="28"/>
          <w:szCs w:val="28"/>
          <w:lang w:val="en-US"/>
        </w:rPr>
        <w:t>Archives of General Psychiatry</w:t>
      </w:r>
      <w:r w:rsidRPr="001759D5">
        <w:rPr>
          <w:rFonts w:eastAsia="Times New Roman"/>
          <w:color w:val="000000"/>
          <w:sz w:val="28"/>
          <w:szCs w:val="28"/>
          <w:lang w:val="en-US"/>
        </w:rPr>
        <w:t>, vol. 67, no. 1, 2010, p. 26.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doi:10.1001/archgenpsychiatry.2009.175.</w:t>
      </w:r>
    </w:p>
    <w:p w14:paraId="3AC9E8D7" w14:textId="17145005"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lastRenderedPageBreak/>
        <w:t>Rittmannsberger, H. “The Use of Drug Monotherapy in Psychiatric Inpatient Treatment.” </w:t>
      </w:r>
      <w:r w:rsidRPr="001759D5">
        <w:rPr>
          <w:rFonts w:eastAsia="Times New Roman"/>
          <w:i/>
          <w:iCs/>
          <w:color w:val="000000"/>
          <w:sz w:val="28"/>
          <w:szCs w:val="28"/>
          <w:lang w:val="en-US"/>
        </w:rPr>
        <w:t>Progress in Neuro-Psychopharmacology and Biological Psychiatry</w:t>
      </w:r>
      <w:r w:rsidRPr="001759D5">
        <w:rPr>
          <w:rFonts w:eastAsia="Times New Roman"/>
          <w:color w:val="000000"/>
          <w:sz w:val="28"/>
          <w:szCs w:val="28"/>
          <w:lang w:val="en-US"/>
        </w:rPr>
        <w:t>, vol. 26, no. 3, 2002, pp. 547–51.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doi:10.1016/s0278-5846(01)00306-2.</w:t>
      </w:r>
    </w:p>
    <w:p w14:paraId="6EF6555F" w14:textId="3111ED2D"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Ziere, G., et al. “Polypharmacy and Falls in the Middle Age and Elderly Population.” </w:t>
      </w:r>
      <w:r w:rsidRPr="001759D5">
        <w:rPr>
          <w:rFonts w:eastAsia="Times New Roman"/>
          <w:i/>
          <w:iCs/>
          <w:color w:val="000000"/>
          <w:sz w:val="28"/>
          <w:szCs w:val="28"/>
          <w:lang w:val="en-US"/>
        </w:rPr>
        <w:t>British Journal of Clinical Pharmacology</w:t>
      </w:r>
      <w:r w:rsidRPr="001759D5">
        <w:rPr>
          <w:rFonts w:eastAsia="Times New Roman"/>
          <w:color w:val="000000"/>
          <w:sz w:val="28"/>
          <w:szCs w:val="28"/>
          <w:lang w:val="en-US"/>
        </w:rPr>
        <w:t xml:space="preserve">, vol. 61, no. 2, 2006, </w:t>
      </w:r>
      <w:r w:rsidR="00821BED">
        <w:rPr>
          <w:rFonts w:eastAsia="Times New Roman"/>
          <w:color w:val="000000"/>
          <w:sz w:val="28"/>
          <w:szCs w:val="28"/>
          <w:lang w:val="en-US"/>
        </w:rPr>
        <w:br/>
      </w:r>
      <w:r w:rsidRPr="001759D5">
        <w:rPr>
          <w:rFonts w:eastAsia="Times New Roman"/>
          <w:color w:val="000000"/>
          <w:sz w:val="28"/>
          <w:szCs w:val="28"/>
          <w:lang w:val="en-US"/>
        </w:rPr>
        <w:t>pp. 218–23.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doi:10.1111/j.1365-2125.2005.02543.x.</w:t>
      </w:r>
    </w:p>
    <w:p w14:paraId="7B361279" w14:textId="17C4AA25"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Liu, W. Q., et al. “Equivalency of Tricyclic Antidepressants in Open-Label Neuropathic Pain Study.” </w:t>
      </w:r>
      <w:r w:rsidRPr="001759D5">
        <w:rPr>
          <w:rFonts w:eastAsia="Times New Roman"/>
          <w:i/>
          <w:iCs/>
          <w:color w:val="000000"/>
          <w:sz w:val="28"/>
          <w:szCs w:val="28"/>
          <w:lang w:val="en-US"/>
        </w:rPr>
        <w:t>Acta Neurologica Scandinavica</w:t>
      </w:r>
      <w:r w:rsidRPr="001759D5">
        <w:rPr>
          <w:rFonts w:eastAsia="Times New Roman"/>
          <w:color w:val="000000"/>
          <w:sz w:val="28"/>
          <w:szCs w:val="28"/>
          <w:lang w:val="en-US"/>
        </w:rPr>
        <w:t xml:space="preserve">, vol. 129, no. 2, 2013, </w:t>
      </w:r>
      <w:r w:rsidR="00821BED">
        <w:rPr>
          <w:rFonts w:eastAsia="Times New Roman"/>
          <w:color w:val="000000"/>
          <w:sz w:val="28"/>
          <w:szCs w:val="28"/>
          <w:lang w:val="en-US"/>
        </w:rPr>
        <w:br/>
      </w:r>
      <w:r w:rsidRPr="001759D5">
        <w:rPr>
          <w:rFonts w:eastAsia="Times New Roman"/>
          <w:color w:val="000000"/>
          <w:sz w:val="28"/>
          <w:szCs w:val="28"/>
          <w:lang w:val="en-US"/>
        </w:rPr>
        <w:t>pp. 132–41.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doi:10.1111/ane.12169.</w:t>
      </w:r>
    </w:p>
    <w:p w14:paraId="646F9AA0" w14:textId="5E85F16C"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Yamada, M. “Clinical Pharmacology of MAO Inhibitors: Safety and Future.” </w:t>
      </w:r>
      <w:r w:rsidRPr="001759D5">
        <w:rPr>
          <w:rFonts w:eastAsia="Times New Roman"/>
          <w:i/>
          <w:iCs/>
          <w:color w:val="000000"/>
          <w:sz w:val="28"/>
          <w:szCs w:val="28"/>
          <w:lang w:val="en-US"/>
        </w:rPr>
        <w:t>NeuroToxicology</w:t>
      </w:r>
      <w:r w:rsidRPr="001759D5">
        <w:rPr>
          <w:rFonts w:eastAsia="Times New Roman"/>
          <w:color w:val="000000"/>
          <w:sz w:val="28"/>
          <w:szCs w:val="28"/>
          <w:lang w:val="en-US"/>
        </w:rPr>
        <w:t>, vol. 25, no. 1–2, 2004, pp. 215–21.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doi:10.1016/s0161-813x(03)00097-4.</w:t>
      </w:r>
    </w:p>
    <w:p w14:paraId="288BD0E8" w14:textId="538BB53E"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Citraro, Rita, et al. “Antidepressants but Not Antipsychotics Have Antiepileptogenic Effects with Limited Effects on Comorbid Depressive-like Behaviour in the WAG/Rij Rat Model of Absence Epilepsy.” </w:t>
      </w:r>
      <w:r w:rsidRPr="001759D5">
        <w:rPr>
          <w:rFonts w:eastAsia="Times New Roman"/>
          <w:i/>
          <w:iCs/>
          <w:color w:val="000000"/>
          <w:sz w:val="28"/>
          <w:szCs w:val="28"/>
          <w:lang w:val="en-US"/>
        </w:rPr>
        <w:t>British Journal of Pharmacology</w:t>
      </w:r>
      <w:r w:rsidRPr="001759D5">
        <w:rPr>
          <w:rFonts w:eastAsia="Times New Roman"/>
          <w:color w:val="000000"/>
          <w:sz w:val="28"/>
          <w:szCs w:val="28"/>
          <w:lang w:val="en-US"/>
        </w:rPr>
        <w:t>, vol. 172, no. 12, 2015, pp. 3177–88.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doi:10.1111/bph.13121.</w:t>
      </w:r>
    </w:p>
    <w:p w14:paraId="16DA1386" w14:textId="31B4F2C7"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D’Ascenzio, Melissa, et al. “(Thiazol-2-Yl)Hydrazone Derivatives from Acetylpyridines as Dual Inhibitors of MAO and AChE: Synthesis, Biological Evaluation and Molecular Modeling Studies.” </w:t>
      </w:r>
      <w:r w:rsidRPr="001759D5">
        <w:rPr>
          <w:rFonts w:eastAsia="Times New Roman"/>
          <w:i/>
          <w:iCs/>
          <w:color w:val="000000"/>
          <w:sz w:val="28"/>
          <w:szCs w:val="28"/>
          <w:lang w:val="en-US"/>
        </w:rPr>
        <w:t>Journal of Enzyme Inhibition and Medicinal Chemistry</w:t>
      </w:r>
      <w:r w:rsidRPr="001759D5">
        <w:rPr>
          <w:rFonts w:eastAsia="Times New Roman"/>
          <w:color w:val="000000"/>
          <w:sz w:val="28"/>
          <w:szCs w:val="28"/>
          <w:lang w:val="en-US"/>
        </w:rPr>
        <w:t>, vol. 30, no. 6, 2015, pp. 908–19. </w:t>
      </w:r>
      <w:r w:rsidRPr="001759D5">
        <w:rPr>
          <w:rFonts w:eastAsia="Times New Roman"/>
          <w:i/>
          <w:iCs/>
          <w:color w:val="000000"/>
          <w:sz w:val="28"/>
          <w:szCs w:val="28"/>
          <w:lang w:val="en-US"/>
        </w:rPr>
        <w:t>Crossref</w:t>
      </w:r>
      <w:r w:rsidRPr="001759D5">
        <w:rPr>
          <w:rFonts w:eastAsia="Times New Roman"/>
          <w:color w:val="000000"/>
          <w:sz w:val="28"/>
          <w:szCs w:val="28"/>
          <w:lang w:val="en-US"/>
        </w:rPr>
        <w:t>, doi:10.3109/14756366.2014.987138.</w:t>
      </w:r>
    </w:p>
    <w:p w14:paraId="472BBAD8" w14:textId="05D27B50"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Calandre, Elena P., et al. “Trazodone plus Pregabalin Combination in the Treatment of Fibromyalgia: A Two-Phase, 24-Week, Open-Label Uncontrolled Study.” </w:t>
      </w:r>
      <w:r w:rsidRPr="001759D5">
        <w:rPr>
          <w:rFonts w:eastAsia="Times New Roman"/>
          <w:i/>
          <w:iCs/>
          <w:color w:val="000000"/>
          <w:sz w:val="28"/>
          <w:szCs w:val="28"/>
          <w:lang w:val="en-US"/>
        </w:rPr>
        <w:t>BMC Musculoskeletal Disorders</w:t>
      </w:r>
      <w:r w:rsidRPr="001759D5">
        <w:rPr>
          <w:rFonts w:eastAsia="Times New Roman"/>
          <w:color w:val="000000"/>
          <w:sz w:val="28"/>
          <w:szCs w:val="28"/>
          <w:lang w:val="en-US"/>
        </w:rPr>
        <w:t>, vol. 12, no. 1, 2011.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doi:10.1186/1471-2474-12-95.</w:t>
      </w:r>
    </w:p>
    <w:p w14:paraId="73ABCF07" w14:textId="76D15652"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Dimmock, Jonathan R., et al. “Anticonvulsant Properties of Various Acetylhydrazones, Oxamoylhydrazones and Semicarbazones Derived from Aromatic and Unsaturated Carbonyl Compounds.” </w:t>
      </w:r>
      <w:r w:rsidRPr="001759D5">
        <w:rPr>
          <w:rFonts w:eastAsia="Times New Roman"/>
          <w:i/>
          <w:iCs/>
          <w:color w:val="000000"/>
          <w:sz w:val="28"/>
          <w:szCs w:val="28"/>
          <w:lang w:val="en-US"/>
        </w:rPr>
        <w:t xml:space="preserve">European Journal of Medicinal </w:t>
      </w:r>
      <w:r w:rsidRPr="001759D5">
        <w:rPr>
          <w:rFonts w:eastAsia="Times New Roman"/>
          <w:i/>
          <w:iCs/>
          <w:color w:val="000000"/>
          <w:sz w:val="28"/>
          <w:szCs w:val="28"/>
          <w:lang w:val="en-US"/>
        </w:rPr>
        <w:lastRenderedPageBreak/>
        <w:t>Chemistry</w:t>
      </w:r>
      <w:r w:rsidRPr="001759D5">
        <w:rPr>
          <w:rFonts w:eastAsia="Times New Roman"/>
          <w:color w:val="000000"/>
          <w:sz w:val="28"/>
          <w:szCs w:val="28"/>
          <w:lang w:val="en-US"/>
        </w:rPr>
        <w:t>, vol. 35, no. 2, 2000, pp. 241–48.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doi:10.1016/s0223-5234(00)00123-9.</w:t>
      </w:r>
    </w:p>
    <w:p w14:paraId="2132223A" w14:textId="57E972B6"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Pandeya, Surendra Nath, et al. “Synthesis of Isatin Semicarbazones as Novel Anticonvulsants-Role of Hydrogen Bonding.” </w:t>
      </w:r>
      <w:r w:rsidRPr="001759D5">
        <w:rPr>
          <w:rFonts w:eastAsia="Times New Roman"/>
          <w:i/>
          <w:iCs/>
          <w:color w:val="000000"/>
          <w:sz w:val="28"/>
          <w:szCs w:val="28"/>
          <w:lang w:val="en-US"/>
        </w:rPr>
        <w:t>Journal of Pharmacy &amp; Pharmaceutical Sciences</w:t>
      </w:r>
      <w:r w:rsidRPr="001759D5">
        <w:rPr>
          <w:rFonts w:eastAsia="Times New Roman"/>
          <w:color w:val="000000"/>
          <w:sz w:val="28"/>
          <w:szCs w:val="28"/>
          <w:lang w:val="en-US"/>
        </w:rPr>
        <w:t>, vol. 5, no. 3, 2002, pp. 266–71, sites.ualberta.ca/~csps/JPPS5(3)/S.Pandeya/isatin.htm.</w:t>
      </w:r>
    </w:p>
    <w:p w14:paraId="1B57C717" w14:textId="31E291C0"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Dehestani, Leila, et al. “Design, Synthesis, in Vivo and in Silico Evaluation of Phenacyl Triazole Hydrazones as New Anticonvulsant Agents.” </w:t>
      </w:r>
      <w:r w:rsidRPr="001759D5">
        <w:rPr>
          <w:rFonts w:eastAsia="Times New Roman"/>
          <w:i/>
          <w:iCs/>
          <w:color w:val="000000"/>
          <w:sz w:val="28"/>
          <w:szCs w:val="28"/>
          <w:lang w:val="en-US"/>
        </w:rPr>
        <w:t>Bioorganic Chemistry</w:t>
      </w:r>
      <w:r w:rsidRPr="001759D5">
        <w:rPr>
          <w:rFonts w:eastAsia="Times New Roman"/>
          <w:color w:val="000000"/>
          <w:sz w:val="28"/>
          <w:szCs w:val="28"/>
          <w:lang w:val="en-US"/>
        </w:rPr>
        <w:t>, vol. 78, 2018, pp. 119–29.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doi:10.1016/j.bioorg.2018.03.001.</w:t>
      </w:r>
    </w:p>
    <w:p w14:paraId="117D83CB" w14:textId="6EC01C43"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Eisenberger, Naomi I., et al. “Inflammation and Social Experience: An Inflammatory Challenge Induces Feelings of Social Disconnection in Addition to Depressed Mood.” </w:t>
      </w:r>
      <w:r w:rsidRPr="001759D5">
        <w:rPr>
          <w:rFonts w:eastAsia="Times New Roman"/>
          <w:i/>
          <w:iCs/>
          <w:color w:val="000000"/>
          <w:sz w:val="28"/>
          <w:szCs w:val="28"/>
          <w:lang w:val="en-US"/>
        </w:rPr>
        <w:t>Brain, Behavior, and Immunity</w:t>
      </w:r>
      <w:r w:rsidRPr="001759D5">
        <w:rPr>
          <w:rFonts w:eastAsia="Times New Roman"/>
          <w:color w:val="000000"/>
          <w:sz w:val="28"/>
          <w:szCs w:val="28"/>
          <w:lang w:val="en-US"/>
        </w:rPr>
        <w:t xml:space="preserve">, vol. 24, no. 4, 2010, </w:t>
      </w:r>
      <w:r w:rsidR="00821BED">
        <w:rPr>
          <w:rFonts w:eastAsia="Times New Roman"/>
          <w:color w:val="000000"/>
          <w:sz w:val="28"/>
          <w:szCs w:val="28"/>
          <w:lang w:val="en-US"/>
        </w:rPr>
        <w:br/>
      </w:r>
      <w:r w:rsidRPr="001759D5">
        <w:rPr>
          <w:rFonts w:eastAsia="Times New Roman"/>
          <w:color w:val="000000"/>
          <w:sz w:val="28"/>
          <w:szCs w:val="28"/>
          <w:lang w:val="en-US"/>
        </w:rPr>
        <w:t>pp. 558–63.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doi:10.1016/j.bbi.2009.12.009.</w:t>
      </w:r>
    </w:p>
    <w:p w14:paraId="1735AC56" w14:textId="5B0939D6"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Dooley, Larissa N., et al. “The Role of Inflammation in Core Features of Depression: Insights from Paradigms Using Exogenously-Induced Inflammation.” </w:t>
      </w:r>
      <w:r w:rsidRPr="001759D5">
        <w:rPr>
          <w:rFonts w:eastAsia="Times New Roman"/>
          <w:i/>
          <w:iCs/>
          <w:color w:val="000000"/>
          <w:sz w:val="28"/>
          <w:szCs w:val="28"/>
          <w:lang w:val="en-US"/>
        </w:rPr>
        <w:t>Neuroscience &amp; Biobehavioral Reviews</w:t>
      </w:r>
      <w:r w:rsidRPr="001759D5">
        <w:rPr>
          <w:rFonts w:eastAsia="Times New Roman"/>
          <w:color w:val="000000"/>
          <w:sz w:val="28"/>
          <w:szCs w:val="28"/>
          <w:lang w:val="en-US"/>
        </w:rPr>
        <w:t xml:space="preserve">, vol. 94, 2018, </w:t>
      </w:r>
      <w:r w:rsidR="00821BED">
        <w:rPr>
          <w:rFonts w:eastAsia="Times New Roman"/>
          <w:color w:val="000000"/>
          <w:sz w:val="28"/>
          <w:szCs w:val="28"/>
          <w:lang w:val="en-US"/>
        </w:rPr>
        <w:br/>
      </w:r>
      <w:r w:rsidRPr="001759D5">
        <w:rPr>
          <w:rFonts w:eastAsia="Times New Roman"/>
          <w:color w:val="000000"/>
          <w:sz w:val="28"/>
          <w:szCs w:val="28"/>
          <w:lang w:val="en-US"/>
        </w:rPr>
        <w:t>pp. 219–37.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doi:10.1016/j.neubiorev.2018.09.006.</w:t>
      </w:r>
    </w:p>
    <w:p w14:paraId="01210B74" w14:textId="5350EA79"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Cao, Wei, et al. “Synthesis, Characterization, Theoretical and Antimicrobial Studies of</w:t>
      </w:r>
      <w:r w:rsidRPr="001759D5">
        <w:rPr>
          <w:rFonts w:eastAsia="Times New Roman"/>
          <w:color w:val="000000"/>
          <w:sz w:val="28"/>
          <w:szCs w:val="28"/>
          <w:lang w:val="uk-UA"/>
        </w:rPr>
        <w:t xml:space="preserve"> </w:t>
      </w:r>
      <w:r w:rsidRPr="001759D5">
        <w:rPr>
          <w:rFonts w:eastAsia="Times New Roman"/>
          <w:color w:val="000000"/>
          <w:sz w:val="28"/>
          <w:szCs w:val="28"/>
          <w:lang w:val="en-US"/>
        </w:rPr>
        <w:t>Tridentate Hydrazone Metal Complexes of Zn(II), Cd(II), Cu(II) and Co(III).” </w:t>
      </w:r>
      <w:r w:rsidRPr="001759D5">
        <w:rPr>
          <w:rFonts w:eastAsia="Times New Roman"/>
          <w:i/>
          <w:iCs/>
          <w:color w:val="000000"/>
          <w:sz w:val="28"/>
          <w:szCs w:val="28"/>
          <w:lang w:val="en-US"/>
        </w:rPr>
        <w:t>Polyhedron</w:t>
      </w:r>
      <w:r w:rsidRPr="001759D5">
        <w:rPr>
          <w:rFonts w:eastAsia="Times New Roman"/>
          <w:color w:val="000000"/>
          <w:sz w:val="28"/>
          <w:szCs w:val="28"/>
          <w:lang w:val="en-US"/>
        </w:rPr>
        <w:t>, vol. 147, 2018, pp. 62–68.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doi:10.1016/j.poly.2018.03.012.</w:t>
      </w:r>
    </w:p>
    <w:p w14:paraId="6BC11B0F" w14:textId="0BFCBE8E"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rPr>
        <w:t>Протизапальна</w:t>
      </w:r>
      <w:r w:rsidRPr="001759D5">
        <w:rPr>
          <w:color w:val="000000"/>
          <w:sz w:val="28"/>
          <w:szCs w:val="28"/>
          <w:shd w:val="clear" w:color="auto" w:fill="FFFFFF"/>
          <w:lang w:val="en-US"/>
        </w:rPr>
        <w:t xml:space="preserve"> </w:t>
      </w:r>
      <w:r w:rsidRPr="001759D5">
        <w:rPr>
          <w:color w:val="000000"/>
          <w:sz w:val="28"/>
          <w:szCs w:val="28"/>
          <w:shd w:val="clear" w:color="auto" w:fill="FFFFFF"/>
        </w:rPr>
        <w:t>активність</w:t>
      </w:r>
      <w:r w:rsidRPr="001759D5">
        <w:rPr>
          <w:color w:val="000000"/>
          <w:sz w:val="28"/>
          <w:szCs w:val="28"/>
          <w:shd w:val="clear" w:color="auto" w:fill="FFFFFF"/>
          <w:lang w:val="en-US"/>
        </w:rPr>
        <w:t xml:space="preserve"> </w:t>
      </w:r>
      <w:r w:rsidRPr="001759D5">
        <w:rPr>
          <w:color w:val="000000"/>
          <w:sz w:val="28"/>
          <w:szCs w:val="28"/>
          <w:shd w:val="clear" w:color="auto" w:fill="FFFFFF"/>
        </w:rPr>
        <w:t>комплексів</w:t>
      </w:r>
      <w:r w:rsidRPr="001759D5">
        <w:rPr>
          <w:color w:val="000000"/>
          <w:sz w:val="28"/>
          <w:szCs w:val="28"/>
          <w:shd w:val="clear" w:color="auto" w:fill="FFFFFF"/>
          <w:lang w:val="en-US"/>
        </w:rPr>
        <w:t xml:space="preserve"> </w:t>
      </w:r>
      <w:r w:rsidRPr="001759D5">
        <w:rPr>
          <w:color w:val="000000"/>
          <w:sz w:val="28"/>
          <w:szCs w:val="28"/>
          <w:shd w:val="clear" w:color="auto" w:fill="FFFFFF"/>
        </w:rPr>
        <w:t>германію</w:t>
      </w:r>
      <w:r w:rsidRPr="001759D5">
        <w:rPr>
          <w:color w:val="000000"/>
          <w:sz w:val="28"/>
          <w:szCs w:val="28"/>
          <w:shd w:val="clear" w:color="auto" w:fill="FFFFFF"/>
          <w:lang w:val="en-US"/>
        </w:rPr>
        <w:t xml:space="preserve"> (IV) </w:t>
      </w:r>
      <w:r w:rsidRPr="001759D5">
        <w:rPr>
          <w:color w:val="000000"/>
          <w:sz w:val="28"/>
          <w:szCs w:val="28"/>
          <w:shd w:val="clear" w:color="auto" w:fill="FFFFFF"/>
        </w:rPr>
        <w:t>з</w:t>
      </w:r>
      <w:r w:rsidRPr="001759D5">
        <w:rPr>
          <w:color w:val="000000"/>
          <w:sz w:val="28"/>
          <w:szCs w:val="28"/>
          <w:shd w:val="clear" w:color="auto" w:fill="FFFFFF"/>
          <w:lang w:val="en-US"/>
        </w:rPr>
        <w:t xml:space="preserve"> </w:t>
      </w:r>
      <w:r w:rsidRPr="001759D5">
        <w:rPr>
          <w:color w:val="000000"/>
          <w:sz w:val="28"/>
          <w:szCs w:val="28"/>
          <w:shd w:val="clear" w:color="auto" w:fill="FFFFFF"/>
        </w:rPr>
        <w:t>саліцилальгідразонами</w:t>
      </w:r>
      <w:r w:rsidRPr="001759D5">
        <w:rPr>
          <w:color w:val="000000"/>
          <w:sz w:val="28"/>
          <w:szCs w:val="28"/>
          <w:shd w:val="clear" w:color="auto" w:fill="FFFFFF"/>
          <w:lang w:val="en-US"/>
        </w:rPr>
        <w:t xml:space="preserve"> </w:t>
      </w:r>
      <w:r w:rsidRPr="001759D5">
        <w:rPr>
          <w:color w:val="000000"/>
          <w:sz w:val="28"/>
          <w:szCs w:val="28"/>
          <w:shd w:val="clear" w:color="auto" w:fill="FFFFFF"/>
        </w:rPr>
        <w:t>хлорбензойної</w:t>
      </w:r>
      <w:r w:rsidRPr="001759D5">
        <w:rPr>
          <w:color w:val="000000"/>
          <w:sz w:val="28"/>
          <w:szCs w:val="28"/>
          <w:shd w:val="clear" w:color="auto" w:fill="FFFFFF"/>
          <w:lang w:val="en-US"/>
        </w:rPr>
        <w:t xml:space="preserve"> </w:t>
      </w:r>
      <w:r w:rsidRPr="001759D5">
        <w:rPr>
          <w:color w:val="000000"/>
          <w:sz w:val="28"/>
          <w:szCs w:val="28"/>
          <w:shd w:val="clear" w:color="auto" w:fill="FFFFFF"/>
        </w:rPr>
        <w:t>кислоти</w:t>
      </w:r>
      <w:r w:rsidRPr="001759D5">
        <w:rPr>
          <w:color w:val="000000"/>
          <w:sz w:val="28"/>
          <w:szCs w:val="28"/>
          <w:shd w:val="clear" w:color="auto" w:fill="FFFFFF"/>
          <w:lang w:val="en-US"/>
        </w:rPr>
        <w:t xml:space="preserve"> / </w:t>
      </w:r>
      <w:r w:rsidRPr="001759D5">
        <w:rPr>
          <w:color w:val="000000"/>
          <w:sz w:val="28"/>
          <w:szCs w:val="28"/>
          <w:shd w:val="clear" w:color="auto" w:fill="FFFFFF"/>
        </w:rPr>
        <w:t>Нікітін</w:t>
      </w:r>
      <w:r w:rsidRPr="001759D5">
        <w:rPr>
          <w:color w:val="000000"/>
          <w:sz w:val="28"/>
          <w:szCs w:val="28"/>
          <w:shd w:val="clear" w:color="auto" w:fill="FFFFFF"/>
          <w:lang w:val="en-US"/>
        </w:rPr>
        <w:t xml:space="preserve"> </w:t>
      </w:r>
      <w:r w:rsidRPr="001759D5">
        <w:rPr>
          <w:color w:val="000000"/>
          <w:sz w:val="28"/>
          <w:szCs w:val="28"/>
          <w:shd w:val="clear" w:color="auto" w:fill="FFFFFF"/>
        </w:rPr>
        <w:t>О</w:t>
      </w:r>
      <w:r w:rsidRPr="001759D5">
        <w:rPr>
          <w:color w:val="000000"/>
          <w:sz w:val="28"/>
          <w:szCs w:val="28"/>
          <w:shd w:val="clear" w:color="auto" w:fill="FFFFFF"/>
          <w:lang w:val="en-US"/>
        </w:rPr>
        <w:t>.</w:t>
      </w:r>
      <w:r w:rsidRPr="001759D5">
        <w:rPr>
          <w:color w:val="000000"/>
          <w:sz w:val="28"/>
          <w:szCs w:val="28"/>
          <w:shd w:val="clear" w:color="auto" w:fill="FFFFFF"/>
        </w:rPr>
        <w:t>В</w:t>
      </w:r>
      <w:r w:rsidRPr="001759D5">
        <w:rPr>
          <w:color w:val="000000"/>
          <w:sz w:val="28"/>
          <w:szCs w:val="28"/>
          <w:shd w:val="clear" w:color="auto" w:fill="FFFFFF"/>
          <w:lang w:val="en-US"/>
        </w:rPr>
        <w:t xml:space="preserve">., </w:t>
      </w:r>
      <w:r w:rsidRPr="001759D5">
        <w:rPr>
          <w:color w:val="000000"/>
          <w:sz w:val="28"/>
          <w:szCs w:val="28"/>
          <w:shd w:val="clear" w:color="auto" w:fill="FFFFFF"/>
        </w:rPr>
        <w:t>Галкін</w:t>
      </w:r>
      <w:r w:rsidRPr="001759D5">
        <w:rPr>
          <w:color w:val="000000"/>
          <w:sz w:val="28"/>
          <w:szCs w:val="28"/>
          <w:shd w:val="clear" w:color="auto" w:fill="FFFFFF"/>
          <w:lang w:val="en-US"/>
        </w:rPr>
        <w:t xml:space="preserve"> </w:t>
      </w:r>
      <w:r w:rsidRPr="001759D5">
        <w:rPr>
          <w:color w:val="000000"/>
          <w:sz w:val="28"/>
          <w:szCs w:val="28"/>
          <w:shd w:val="clear" w:color="auto" w:fill="FFFFFF"/>
        </w:rPr>
        <w:t>Б</w:t>
      </w:r>
      <w:r w:rsidRPr="001759D5">
        <w:rPr>
          <w:color w:val="000000"/>
          <w:sz w:val="28"/>
          <w:szCs w:val="28"/>
          <w:shd w:val="clear" w:color="auto" w:fill="FFFFFF"/>
          <w:lang w:val="en-US"/>
        </w:rPr>
        <w:t>.</w:t>
      </w:r>
      <w:r w:rsidRPr="001759D5">
        <w:rPr>
          <w:color w:val="000000"/>
          <w:sz w:val="28"/>
          <w:szCs w:val="28"/>
          <w:shd w:val="clear" w:color="auto" w:fill="FFFFFF"/>
        </w:rPr>
        <w:t>М</w:t>
      </w:r>
      <w:r w:rsidRPr="001759D5">
        <w:rPr>
          <w:color w:val="000000"/>
          <w:sz w:val="28"/>
          <w:szCs w:val="28"/>
          <w:shd w:val="clear" w:color="auto" w:fill="FFFFFF"/>
          <w:lang w:val="en-US"/>
        </w:rPr>
        <w:t xml:space="preserve">., </w:t>
      </w:r>
      <w:r w:rsidRPr="001759D5">
        <w:rPr>
          <w:color w:val="000000"/>
          <w:sz w:val="28"/>
          <w:szCs w:val="28"/>
          <w:shd w:val="clear" w:color="auto" w:fill="FFFFFF"/>
        </w:rPr>
        <w:t>Сейфулліна</w:t>
      </w:r>
      <w:r w:rsidRPr="001759D5">
        <w:rPr>
          <w:color w:val="000000"/>
          <w:sz w:val="28"/>
          <w:szCs w:val="28"/>
          <w:shd w:val="clear" w:color="auto" w:fill="FFFFFF"/>
          <w:lang w:val="en-US"/>
        </w:rPr>
        <w:t xml:space="preserve"> I.</w:t>
      </w:r>
      <w:r w:rsidRPr="001759D5">
        <w:rPr>
          <w:color w:val="000000"/>
          <w:sz w:val="28"/>
          <w:szCs w:val="28"/>
          <w:shd w:val="clear" w:color="auto" w:fill="FFFFFF"/>
        </w:rPr>
        <w:t>Й</w:t>
      </w:r>
      <w:r w:rsidRPr="001759D5">
        <w:rPr>
          <w:color w:val="000000"/>
          <w:sz w:val="28"/>
          <w:szCs w:val="28"/>
          <w:shd w:val="clear" w:color="auto" w:fill="FFFFFF"/>
          <w:lang w:val="en-US"/>
        </w:rPr>
        <w:t xml:space="preserve">. </w:t>
      </w:r>
      <w:r w:rsidRPr="001759D5">
        <w:rPr>
          <w:color w:val="000000"/>
          <w:sz w:val="28"/>
          <w:szCs w:val="28"/>
          <w:shd w:val="clear" w:color="auto" w:fill="FFFFFF"/>
        </w:rPr>
        <w:t>та</w:t>
      </w:r>
      <w:r w:rsidRPr="001759D5">
        <w:rPr>
          <w:color w:val="000000"/>
          <w:sz w:val="28"/>
          <w:szCs w:val="28"/>
          <w:shd w:val="clear" w:color="auto" w:fill="FFFFFF"/>
          <w:lang w:val="en-US"/>
        </w:rPr>
        <w:t xml:space="preserve"> </w:t>
      </w:r>
      <w:r w:rsidRPr="001759D5">
        <w:rPr>
          <w:color w:val="000000"/>
          <w:sz w:val="28"/>
          <w:szCs w:val="28"/>
          <w:shd w:val="clear" w:color="auto" w:fill="FFFFFF"/>
        </w:rPr>
        <w:t>ін</w:t>
      </w:r>
      <w:r w:rsidRPr="001759D5">
        <w:rPr>
          <w:color w:val="000000"/>
          <w:sz w:val="28"/>
          <w:szCs w:val="28"/>
          <w:shd w:val="clear" w:color="auto" w:fill="FFFFFF"/>
          <w:lang w:val="en-US"/>
        </w:rPr>
        <w:t xml:space="preserve">.]. // </w:t>
      </w:r>
      <w:r w:rsidRPr="001759D5">
        <w:rPr>
          <w:color w:val="000000"/>
          <w:sz w:val="28"/>
          <w:szCs w:val="28"/>
          <w:shd w:val="clear" w:color="auto" w:fill="FFFFFF"/>
        </w:rPr>
        <w:t>Одеський</w:t>
      </w:r>
      <w:r w:rsidRPr="001759D5">
        <w:rPr>
          <w:color w:val="000000"/>
          <w:sz w:val="28"/>
          <w:szCs w:val="28"/>
          <w:shd w:val="clear" w:color="auto" w:fill="FFFFFF"/>
          <w:lang w:val="en-US"/>
        </w:rPr>
        <w:t xml:space="preserve"> </w:t>
      </w:r>
      <w:r w:rsidRPr="001759D5">
        <w:rPr>
          <w:color w:val="000000"/>
          <w:sz w:val="28"/>
          <w:szCs w:val="28"/>
          <w:shd w:val="clear" w:color="auto" w:fill="FFFFFF"/>
        </w:rPr>
        <w:t>медичний</w:t>
      </w:r>
      <w:r w:rsidRPr="001759D5">
        <w:rPr>
          <w:color w:val="000000"/>
          <w:sz w:val="28"/>
          <w:szCs w:val="28"/>
          <w:shd w:val="clear" w:color="auto" w:fill="FFFFFF"/>
          <w:lang w:val="en-US"/>
        </w:rPr>
        <w:t xml:space="preserve"> </w:t>
      </w:r>
      <w:r w:rsidRPr="001759D5">
        <w:rPr>
          <w:color w:val="000000"/>
          <w:sz w:val="28"/>
          <w:szCs w:val="28"/>
          <w:shd w:val="clear" w:color="auto" w:fill="FFFFFF"/>
        </w:rPr>
        <w:t>журнал</w:t>
      </w:r>
      <w:r w:rsidRPr="001759D5">
        <w:rPr>
          <w:color w:val="000000"/>
          <w:sz w:val="28"/>
          <w:szCs w:val="28"/>
          <w:shd w:val="clear" w:color="auto" w:fill="FFFFFF"/>
          <w:lang w:val="en-US"/>
        </w:rPr>
        <w:t xml:space="preserve">. – 2003. – №12. – </w:t>
      </w:r>
      <w:r w:rsidR="00821BED">
        <w:rPr>
          <w:color w:val="000000"/>
          <w:sz w:val="28"/>
          <w:szCs w:val="28"/>
          <w:shd w:val="clear" w:color="auto" w:fill="FFFFFF"/>
          <w:lang w:val="en-US"/>
        </w:rPr>
        <w:br/>
      </w:r>
      <w:r w:rsidRPr="001759D5">
        <w:rPr>
          <w:color w:val="000000"/>
          <w:sz w:val="28"/>
          <w:szCs w:val="28"/>
          <w:shd w:val="clear" w:color="auto" w:fill="FFFFFF"/>
        </w:rPr>
        <w:t>С</w:t>
      </w:r>
      <w:r w:rsidRPr="001759D5">
        <w:rPr>
          <w:color w:val="000000"/>
          <w:sz w:val="28"/>
          <w:szCs w:val="28"/>
          <w:shd w:val="clear" w:color="auto" w:fill="FFFFFF"/>
          <w:lang w:val="en-US"/>
        </w:rPr>
        <w:t>. 21–23.</w:t>
      </w:r>
    </w:p>
    <w:p w14:paraId="6A37F7F2" w14:textId="4C76C717"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rPr>
        <w:t>Фармакологічні</w:t>
      </w:r>
      <w:r w:rsidRPr="001759D5">
        <w:rPr>
          <w:color w:val="000000"/>
          <w:sz w:val="28"/>
          <w:szCs w:val="28"/>
          <w:shd w:val="clear" w:color="auto" w:fill="FFFFFF"/>
          <w:lang w:val="en-US"/>
        </w:rPr>
        <w:t xml:space="preserve"> </w:t>
      </w:r>
      <w:r w:rsidRPr="001759D5">
        <w:rPr>
          <w:color w:val="000000"/>
          <w:sz w:val="28"/>
          <w:szCs w:val="28"/>
          <w:shd w:val="clear" w:color="auto" w:fill="FFFFFF"/>
        </w:rPr>
        <w:t>ефекти</w:t>
      </w:r>
      <w:r w:rsidRPr="001759D5">
        <w:rPr>
          <w:color w:val="000000"/>
          <w:sz w:val="28"/>
          <w:szCs w:val="28"/>
          <w:shd w:val="clear" w:color="auto" w:fill="FFFFFF"/>
          <w:lang w:val="en-US"/>
        </w:rPr>
        <w:t xml:space="preserve"> </w:t>
      </w:r>
      <w:r w:rsidRPr="001759D5">
        <w:rPr>
          <w:color w:val="000000"/>
          <w:sz w:val="28"/>
          <w:szCs w:val="28"/>
          <w:shd w:val="clear" w:color="auto" w:fill="FFFFFF"/>
        </w:rPr>
        <w:t>германієорганічних</w:t>
      </w:r>
      <w:r w:rsidRPr="001759D5">
        <w:rPr>
          <w:color w:val="000000"/>
          <w:sz w:val="28"/>
          <w:szCs w:val="28"/>
          <w:shd w:val="clear" w:color="auto" w:fill="FFFFFF"/>
          <w:lang w:val="en-US"/>
        </w:rPr>
        <w:t xml:space="preserve"> </w:t>
      </w:r>
      <w:r w:rsidRPr="001759D5">
        <w:rPr>
          <w:color w:val="000000"/>
          <w:sz w:val="28"/>
          <w:szCs w:val="28"/>
          <w:shd w:val="clear" w:color="auto" w:fill="FFFFFF"/>
        </w:rPr>
        <w:t>сполук</w:t>
      </w:r>
      <w:r w:rsidRPr="001759D5">
        <w:rPr>
          <w:color w:val="000000"/>
          <w:sz w:val="28"/>
          <w:szCs w:val="28"/>
          <w:shd w:val="clear" w:color="auto" w:fill="FFFFFF"/>
          <w:lang w:val="en-US"/>
        </w:rPr>
        <w:t xml:space="preserve"> / </w:t>
      </w:r>
      <w:r w:rsidRPr="001759D5">
        <w:rPr>
          <w:color w:val="000000"/>
          <w:sz w:val="28"/>
          <w:szCs w:val="28"/>
          <w:shd w:val="clear" w:color="auto" w:fill="FFFFFF"/>
        </w:rPr>
        <w:t>Сейфулліна</w:t>
      </w:r>
      <w:r w:rsidRPr="001759D5">
        <w:rPr>
          <w:color w:val="000000"/>
          <w:sz w:val="28"/>
          <w:szCs w:val="28"/>
          <w:shd w:val="clear" w:color="auto" w:fill="FFFFFF"/>
          <w:lang w:val="en-US"/>
        </w:rPr>
        <w:t xml:space="preserve"> </w:t>
      </w:r>
      <w:r w:rsidRPr="001759D5">
        <w:rPr>
          <w:color w:val="000000"/>
          <w:sz w:val="28"/>
          <w:szCs w:val="28"/>
          <w:shd w:val="clear" w:color="auto" w:fill="FFFFFF"/>
        </w:rPr>
        <w:t>І</w:t>
      </w:r>
      <w:r w:rsidRPr="001759D5">
        <w:rPr>
          <w:color w:val="000000"/>
          <w:sz w:val="28"/>
          <w:szCs w:val="28"/>
          <w:shd w:val="clear" w:color="auto" w:fill="FFFFFF"/>
          <w:lang w:val="en-US"/>
        </w:rPr>
        <w:t>.</w:t>
      </w:r>
      <w:r w:rsidRPr="001759D5">
        <w:rPr>
          <w:color w:val="000000"/>
          <w:sz w:val="28"/>
          <w:szCs w:val="28"/>
          <w:shd w:val="clear" w:color="auto" w:fill="FFFFFF"/>
        </w:rPr>
        <w:t>Й</w:t>
      </w:r>
      <w:r w:rsidRPr="001759D5">
        <w:rPr>
          <w:color w:val="000000"/>
          <w:sz w:val="28"/>
          <w:szCs w:val="28"/>
          <w:shd w:val="clear" w:color="auto" w:fill="FFFFFF"/>
          <w:lang w:val="en-US"/>
        </w:rPr>
        <w:t xml:space="preserve">., </w:t>
      </w:r>
      <w:r w:rsidRPr="001759D5">
        <w:rPr>
          <w:color w:val="000000"/>
          <w:sz w:val="28"/>
          <w:szCs w:val="28"/>
          <w:shd w:val="clear" w:color="auto" w:fill="FFFFFF"/>
        </w:rPr>
        <w:t>Немятих</w:t>
      </w:r>
      <w:r w:rsidRPr="001759D5">
        <w:rPr>
          <w:color w:val="000000"/>
          <w:sz w:val="28"/>
          <w:szCs w:val="28"/>
          <w:shd w:val="clear" w:color="auto" w:fill="FFFFFF"/>
          <w:lang w:val="en-US"/>
        </w:rPr>
        <w:t xml:space="preserve"> </w:t>
      </w:r>
      <w:r w:rsidRPr="001759D5">
        <w:rPr>
          <w:color w:val="000000"/>
          <w:sz w:val="28"/>
          <w:szCs w:val="28"/>
          <w:shd w:val="clear" w:color="auto" w:fill="FFFFFF"/>
        </w:rPr>
        <w:t>О</w:t>
      </w:r>
      <w:r w:rsidRPr="001759D5">
        <w:rPr>
          <w:color w:val="000000"/>
          <w:sz w:val="28"/>
          <w:szCs w:val="28"/>
          <w:shd w:val="clear" w:color="auto" w:fill="FFFFFF"/>
          <w:lang w:val="en-US"/>
        </w:rPr>
        <w:t>.</w:t>
      </w:r>
      <w:r w:rsidRPr="001759D5">
        <w:rPr>
          <w:color w:val="000000"/>
          <w:sz w:val="28"/>
          <w:szCs w:val="28"/>
          <w:shd w:val="clear" w:color="auto" w:fill="FFFFFF"/>
        </w:rPr>
        <w:t>Д</w:t>
      </w:r>
      <w:r w:rsidRPr="001759D5">
        <w:rPr>
          <w:color w:val="000000"/>
          <w:sz w:val="28"/>
          <w:szCs w:val="28"/>
          <w:shd w:val="clear" w:color="auto" w:fill="FFFFFF"/>
          <w:lang w:val="en-US"/>
        </w:rPr>
        <w:t xml:space="preserve">., </w:t>
      </w:r>
      <w:r w:rsidRPr="001759D5">
        <w:rPr>
          <w:color w:val="000000"/>
          <w:sz w:val="28"/>
          <w:szCs w:val="28"/>
          <w:shd w:val="clear" w:color="auto" w:fill="FFFFFF"/>
        </w:rPr>
        <w:t>Лук</w:t>
      </w:r>
      <w:r w:rsidRPr="001759D5">
        <w:rPr>
          <w:color w:val="000000"/>
          <w:sz w:val="28"/>
          <w:szCs w:val="28"/>
          <w:shd w:val="clear" w:color="auto" w:fill="FFFFFF"/>
          <w:lang w:val="en-US"/>
        </w:rPr>
        <w:t>’</w:t>
      </w:r>
      <w:r w:rsidRPr="001759D5">
        <w:rPr>
          <w:color w:val="000000"/>
          <w:sz w:val="28"/>
          <w:szCs w:val="28"/>
          <w:shd w:val="clear" w:color="auto" w:fill="FFFFFF"/>
        </w:rPr>
        <w:t>янчук</w:t>
      </w:r>
      <w:r w:rsidRPr="001759D5">
        <w:rPr>
          <w:color w:val="000000"/>
          <w:sz w:val="28"/>
          <w:szCs w:val="28"/>
          <w:shd w:val="clear" w:color="auto" w:fill="FFFFFF"/>
          <w:lang w:val="en-US"/>
        </w:rPr>
        <w:t xml:space="preserve"> </w:t>
      </w:r>
      <w:r w:rsidRPr="001759D5">
        <w:rPr>
          <w:color w:val="000000"/>
          <w:sz w:val="28"/>
          <w:szCs w:val="28"/>
          <w:shd w:val="clear" w:color="auto" w:fill="FFFFFF"/>
        </w:rPr>
        <w:t>В</w:t>
      </w:r>
      <w:r w:rsidRPr="001759D5">
        <w:rPr>
          <w:color w:val="000000"/>
          <w:sz w:val="28"/>
          <w:szCs w:val="28"/>
          <w:shd w:val="clear" w:color="auto" w:fill="FFFFFF"/>
          <w:lang w:val="en-US"/>
        </w:rPr>
        <w:t>.</w:t>
      </w:r>
      <w:r w:rsidRPr="001759D5">
        <w:rPr>
          <w:color w:val="000000"/>
          <w:sz w:val="28"/>
          <w:szCs w:val="28"/>
          <w:shd w:val="clear" w:color="auto" w:fill="FFFFFF"/>
        </w:rPr>
        <w:t>Д</w:t>
      </w:r>
      <w:r w:rsidRPr="001759D5">
        <w:rPr>
          <w:color w:val="000000"/>
          <w:sz w:val="28"/>
          <w:szCs w:val="28"/>
          <w:shd w:val="clear" w:color="auto" w:fill="FFFFFF"/>
          <w:lang w:val="en-US"/>
        </w:rPr>
        <w:t xml:space="preserve">. </w:t>
      </w:r>
      <w:r w:rsidRPr="001759D5">
        <w:rPr>
          <w:color w:val="000000"/>
          <w:sz w:val="28"/>
          <w:szCs w:val="28"/>
          <w:shd w:val="clear" w:color="auto" w:fill="FFFFFF"/>
        </w:rPr>
        <w:t>та</w:t>
      </w:r>
      <w:r w:rsidRPr="001759D5">
        <w:rPr>
          <w:color w:val="000000"/>
          <w:sz w:val="28"/>
          <w:szCs w:val="28"/>
          <w:shd w:val="clear" w:color="auto" w:fill="FFFFFF"/>
          <w:lang w:val="en-US"/>
        </w:rPr>
        <w:t xml:space="preserve"> </w:t>
      </w:r>
      <w:r w:rsidRPr="001759D5">
        <w:rPr>
          <w:color w:val="000000"/>
          <w:sz w:val="28"/>
          <w:szCs w:val="28"/>
          <w:shd w:val="clear" w:color="auto" w:fill="FFFFFF"/>
        </w:rPr>
        <w:t>ін</w:t>
      </w:r>
      <w:r w:rsidRPr="001759D5">
        <w:rPr>
          <w:color w:val="000000"/>
          <w:sz w:val="28"/>
          <w:szCs w:val="28"/>
          <w:shd w:val="clear" w:color="auto" w:fill="FFFFFF"/>
          <w:lang w:val="en-US"/>
        </w:rPr>
        <w:t xml:space="preserve">.]. // </w:t>
      </w:r>
      <w:r w:rsidRPr="001759D5">
        <w:rPr>
          <w:color w:val="000000"/>
          <w:sz w:val="28"/>
          <w:szCs w:val="28"/>
          <w:shd w:val="clear" w:color="auto" w:fill="FFFFFF"/>
        </w:rPr>
        <w:t>Одеський</w:t>
      </w:r>
      <w:r w:rsidRPr="001759D5">
        <w:rPr>
          <w:color w:val="000000"/>
          <w:sz w:val="28"/>
          <w:szCs w:val="28"/>
          <w:shd w:val="clear" w:color="auto" w:fill="FFFFFF"/>
          <w:lang w:val="en-US"/>
        </w:rPr>
        <w:t xml:space="preserve"> </w:t>
      </w:r>
      <w:r w:rsidRPr="001759D5">
        <w:rPr>
          <w:color w:val="000000"/>
          <w:sz w:val="28"/>
          <w:szCs w:val="28"/>
          <w:shd w:val="clear" w:color="auto" w:fill="FFFFFF"/>
        </w:rPr>
        <w:t>медичний</w:t>
      </w:r>
      <w:r w:rsidRPr="001759D5">
        <w:rPr>
          <w:color w:val="000000"/>
          <w:sz w:val="28"/>
          <w:szCs w:val="28"/>
          <w:shd w:val="clear" w:color="auto" w:fill="FFFFFF"/>
          <w:lang w:val="en-US"/>
        </w:rPr>
        <w:t xml:space="preserve"> </w:t>
      </w:r>
      <w:r w:rsidRPr="001759D5">
        <w:rPr>
          <w:color w:val="000000"/>
          <w:sz w:val="28"/>
          <w:szCs w:val="28"/>
          <w:shd w:val="clear" w:color="auto" w:fill="FFFFFF"/>
        </w:rPr>
        <w:t>журнал</w:t>
      </w:r>
      <w:r w:rsidRPr="001759D5">
        <w:rPr>
          <w:color w:val="000000"/>
          <w:sz w:val="28"/>
          <w:szCs w:val="28"/>
          <w:shd w:val="clear" w:color="auto" w:fill="FFFFFF"/>
          <w:lang w:val="en-US"/>
        </w:rPr>
        <w:t xml:space="preserve">. – 2003. – №6. – </w:t>
      </w:r>
      <w:r w:rsidRPr="001759D5">
        <w:rPr>
          <w:color w:val="000000"/>
          <w:sz w:val="28"/>
          <w:szCs w:val="28"/>
          <w:shd w:val="clear" w:color="auto" w:fill="FFFFFF"/>
        </w:rPr>
        <w:t>С</w:t>
      </w:r>
      <w:r w:rsidRPr="001759D5">
        <w:rPr>
          <w:color w:val="000000"/>
          <w:sz w:val="28"/>
          <w:szCs w:val="28"/>
          <w:shd w:val="clear" w:color="auto" w:fill="FFFFFF"/>
          <w:lang w:val="en-US"/>
        </w:rPr>
        <w:t>. 110–114.</w:t>
      </w:r>
    </w:p>
    <w:p w14:paraId="00300112" w14:textId="7A271211"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rPr>
        <w:t>Вплив</w:t>
      </w:r>
      <w:r w:rsidRPr="001759D5">
        <w:rPr>
          <w:color w:val="000000"/>
          <w:sz w:val="28"/>
          <w:szCs w:val="28"/>
          <w:shd w:val="clear" w:color="auto" w:fill="FFFFFF"/>
          <w:lang w:val="en-US"/>
        </w:rPr>
        <w:t xml:space="preserve"> </w:t>
      </w:r>
      <w:r w:rsidRPr="001759D5">
        <w:rPr>
          <w:color w:val="000000"/>
          <w:sz w:val="28"/>
          <w:szCs w:val="28"/>
          <w:shd w:val="clear" w:color="auto" w:fill="FFFFFF"/>
        </w:rPr>
        <w:t>ізоникотиноїлгідразонів</w:t>
      </w:r>
      <w:r w:rsidRPr="001759D5">
        <w:rPr>
          <w:color w:val="000000"/>
          <w:sz w:val="28"/>
          <w:szCs w:val="28"/>
          <w:shd w:val="clear" w:color="auto" w:fill="FFFFFF"/>
          <w:lang w:val="en-US"/>
        </w:rPr>
        <w:t xml:space="preserve"> 2-</w:t>
      </w:r>
      <w:r w:rsidRPr="001759D5">
        <w:rPr>
          <w:color w:val="000000"/>
          <w:sz w:val="28"/>
          <w:szCs w:val="28"/>
          <w:shd w:val="clear" w:color="auto" w:fill="FFFFFF"/>
        </w:rPr>
        <w:t>гидроксинафт</w:t>
      </w:r>
      <w:r w:rsidRPr="001759D5">
        <w:rPr>
          <w:color w:val="000000"/>
          <w:sz w:val="28"/>
          <w:szCs w:val="28"/>
          <w:shd w:val="clear" w:color="auto" w:fill="FFFFFF"/>
          <w:lang w:val="en-US"/>
        </w:rPr>
        <w:t xml:space="preserve">-, </w:t>
      </w:r>
      <w:r w:rsidR="00821BED">
        <w:rPr>
          <w:color w:val="000000"/>
          <w:sz w:val="28"/>
          <w:szCs w:val="28"/>
          <w:shd w:val="clear" w:color="auto" w:fill="FFFFFF"/>
          <w:lang w:val="en-US"/>
        </w:rPr>
        <w:br/>
      </w:r>
      <w:r w:rsidRPr="001759D5">
        <w:rPr>
          <w:color w:val="000000"/>
          <w:sz w:val="28"/>
          <w:szCs w:val="28"/>
          <w:shd w:val="clear" w:color="auto" w:fill="FFFFFF"/>
          <w:lang w:val="en-US"/>
        </w:rPr>
        <w:t xml:space="preserve">4- </w:t>
      </w:r>
      <w:r w:rsidRPr="001759D5">
        <w:rPr>
          <w:color w:val="000000"/>
          <w:sz w:val="28"/>
          <w:szCs w:val="28"/>
          <w:shd w:val="clear" w:color="auto" w:fill="FFFFFF"/>
        </w:rPr>
        <w:t>діаметиламінобензальдегідів</w:t>
      </w:r>
      <w:r w:rsidRPr="001759D5">
        <w:rPr>
          <w:color w:val="000000"/>
          <w:sz w:val="28"/>
          <w:szCs w:val="28"/>
          <w:shd w:val="clear" w:color="auto" w:fill="FFFFFF"/>
          <w:lang w:val="en-US"/>
        </w:rPr>
        <w:t xml:space="preserve"> </w:t>
      </w:r>
      <w:r w:rsidRPr="001759D5">
        <w:rPr>
          <w:color w:val="000000"/>
          <w:sz w:val="28"/>
          <w:szCs w:val="28"/>
          <w:shd w:val="clear" w:color="auto" w:fill="FFFFFF"/>
        </w:rPr>
        <w:t>комплексів</w:t>
      </w:r>
      <w:r w:rsidRPr="001759D5">
        <w:rPr>
          <w:color w:val="000000"/>
          <w:sz w:val="28"/>
          <w:szCs w:val="28"/>
          <w:shd w:val="clear" w:color="auto" w:fill="FFFFFF"/>
          <w:lang w:val="en-US"/>
        </w:rPr>
        <w:t xml:space="preserve"> </w:t>
      </w:r>
      <w:r w:rsidRPr="001759D5">
        <w:rPr>
          <w:color w:val="000000"/>
          <w:sz w:val="28"/>
          <w:szCs w:val="28"/>
          <w:shd w:val="clear" w:color="auto" w:fill="FFFFFF"/>
        </w:rPr>
        <w:t>зі</w:t>
      </w:r>
      <w:r w:rsidRPr="001759D5">
        <w:rPr>
          <w:color w:val="000000"/>
          <w:sz w:val="28"/>
          <w:szCs w:val="28"/>
          <w:shd w:val="clear" w:color="auto" w:fill="FFFFFF"/>
          <w:lang w:val="en-US"/>
        </w:rPr>
        <w:t xml:space="preserve"> Sn(IV) </w:t>
      </w:r>
      <w:r w:rsidRPr="001759D5">
        <w:rPr>
          <w:color w:val="000000"/>
          <w:sz w:val="28"/>
          <w:szCs w:val="28"/>
          <w:shd w:val="clear" w:color="auto" w:fill="FFFFFF"/>
        </w:rPr>
        <w:t>на</w:t>
      </w:r>
      <w:r w:rsidRPr="001759D5">
        <w:rPr>
          <w:color w:val="000000"/>
          <w:sz w:val="28"/>
          <w:szCs w:val="28"/>
          <w:shd w:val="clear" w:color="auto" w:fill="FFFFFF"/>
          <w:lang w:val="en-US"/>
        </w:rPr>
        <w:t xml:space="preserve"> </w:t>
      </w:r>
      <w:r w:rsidRPr="001759D5">
        <w:rPr>
          <w:color w:val="000000"/>
          <w:sz w:val="28"/>
          <w:szCs w:val="28"/>
          <w:shd w:val="clear" w:color="auto" w:fill="FFFFFF"/>
        </w:rPr>
        <w:t>ріст</w:t>
      </w:r>
      <w:r w:rsidRPr="001759D5">
        <w:rPr>
          <w:color w:val="000000"/>
          <w:sz w:val="28"/>
          <w:szCs w:val="28"/>
          <w:shd w:val="clear" w:color="auto" w:fill="FFFFFF"/>
          <w:lang w:val="en-US"/>
        </w:rPr>
        <w:t xml:space="preserve"> </w:t>
      </w:r>
      <w:r w:rsidRPr="001759D5">
        <w:rPr>
          <w:color w:val="000000"/>
          <w:sz w:val="28"/>
          <w:szCs w:val="28"/>
          <w:shd w:val="clear" w:color="auto" w:fill="FFFFFF"/>
        </w:rPr>
        <w:t>умовно</w:t>
      </w:r>
      <w:r w:rsidRPr="001759D5">
        <w:rPr>
          <w:color w:val="000000"/>
          <w:sz w:val="28"/>
          <w:szCs w:val="28"/>
          <w:shd w:val="clear" w:color="auto" w:fill="FFFFFF"/>
          <w:lang w:val="en-US"/>
        </w:rPr>
        <w:t>-</w:t>
      </w:r>
      <w:r w:rsidRPr="001759D5">
        <w:rPr>
          <w:color w:val="000000"/>
          <w:sz w:val="28"/>
          <w:szCs w:val="28"/>
          <w:shd w:val="clear" w:color="auto" w:fill="FFFFFF"/>
        </w:rPr>
        <w:lastRenderedPageBreak/>
        <w:t>патогенних</w:t>
      </w:r>
      <w:r w:rsidRPr="001759D5">
        <w:rPr>
          <w:color w:val="000000"/>
          <w:sz w:val="28"/>
          <w:szCs w:val="28"/>
          <w:shd w:val="clear" w:color="auto" w:fill="FFFFFF"/>
          <w:lang w:val="en-US"/>
        </w:rPr>
        <w:t xml:space="preserve"> </w:t>
      </w:r>
      <w:r w:rsidRPr="001759D5">
        <w:rPr>
          <w:color w:val="000000"/>
          <w:sz w:val="28"/>
          <w:szCs w:val="28"/>
          <w:shd w:val="clear" w:color="auto" w:fill="FFFFFF"/>
        </w:rPr>
        <w:t>бактерій</w:t>
      </w:r>
      <w:r w:rsidRPr="001759D5">
        <w:rPr>
          <w:color w:val="000000"/>
          <w:sz w:val="28"/>
          <w:szCs w:val="28"/>
          <w:shd w:val="clear" w:color="auto" w:fill="FFFFFF"/>
          <w:lang w:val="en-US"/>
        </w:rPr>
        <w:t xml:space="preserve">. / </w:t>
      </w:r>
      <w:r w:rsidRPr="001759D5">
        <w:rPr>
          <w:color w:val="000000"/>
          <w:sz w:val="28"/>
          <w:szCs w:val="28"/>
          <w:shd w:val="clear" w:color="auto" w:fill="FFFFFF"/>
        </w:rPr>
        <w:t>Шматкова</w:t>
      </w:r>
      <w:r w:rsidRPr="001759D5">
        <w:rPr>
          <w:color w:val="000000"/>
          <w:sz w:val="28"/>
          <w:szCs w:val="28"/>
          <w:shd w:val="clear" w:color="auto" w:fill="FFFFFF"/>
          <w:lang w:val="en-US"/>
        </w:rPr>
        <w:t xml:space="preserve"> </w:t>
      </w:r>
      <w:r w:rsidRPr="001759D5">
        <w:rPr>
          <w:color w:val="000000"/>
          <w:sz w:val="28"/>
          <w:szCs w:val="28"/>
          <w:shd w:val="clear" w:color="auto" w:fill="FFFFFF"/>
        </w:rPr>
        <w:t>Н</w:t>
      </w:r>
      <w:r w:rsidRPr="001759D5">
        <w:rPr>
          <w:color w:val="000000"/>
          <w:sz w:val="28"/>
          <w:szCs w:val="28"/>
          <w:shd w:val="clear" w:color="auto" w:fill="FFFFFF"/>
          <w:lang w:val="en-US"/>
        </w:rPr>
        <w:t>.</w:t>
      </w:r>
      <w:r w:rsidRPr="001759D5">
        <w:rPr>
          <w:color w:val="000000"/>
          <w:sz w:val="28"/>
          <w:szCs w:val="28"/>
          <w:shd w:val="clear" w:color="auto" w:fill="FFFFFF"/>
        </w:rPr>
        <w:t>В</w:t>
      </w:r>
      <w:r w:rsidRPr="001759D5">
        <w:rPr>
          <w:color w:val="000000"/>
          <w:sz w:val="28"/>
          <w:szCs w:val="28"/>
          <w:shd w:val="clear" w:color="auto" w:fill="FFFFFF"/>
          <w:lang w:val="en-US"/>
        </w:rPr>
        <w:t xml:space="preserve">., </w:t>
      </w:r>
      <w:r w:rsidRPr="001759D5">
        <w:rPr>
          <w:color w:val="000000"/>
          <w:sz w:val="28"/>
          <w:szCs w:val="28"/>
          <w:shd w:val="clear" w:color="auto" w:fill="FFFFFF"/>
        </w:rPr>
        <w:t>Зінченко</w:t>
      </w:r>
      <w:r w:rsidRPr="001759D5">
        <w:rPr>
          <w:color w:val="000000"/>
          <w:sz w:val="28"/>
          <w:szCs w:val="28"/>
          <w:shd w:val="clear" w:color="auto" w:fill="FFFFFF"/>
          <w:lang w:val="en-US"/>
        </w:rPr>
        <w:t xml:space="preserve"> </w:t>
      </w:r>
      <w:r w:rsidRPr="001759D5">
        <w:rPr>
          <w:color w:val="000000"/>
          <w:sz w:val="28"/>
          <w:szCs w:val="28"/>
          <w:shd w:val="clear" w:color="auto" w:fill="FFFFFF"/>
        </w:rPr>
        <w:t>О</w:t>
      </w:r>
      <w:r w:rsidRPr="001759D5">
        <w:rPr>
          <w:color w:val="000000"/>
          <w:sz w:val="28"/>
          <w:szCs w:val="28"/>
          <w:shd w:val="clear" w:color="auto" w:fill="FFFFFF"/>
          <w:lang w:val="en-US"/>
        </w:rPr>
        <w:t>.</w:t>
      </w:r>
      <w:r w:rsidRPr="001759D5">
        <w:rPr>
          <w:color w:val="000000"/>
          <w:sz w:val="28"/>
          <w:szCs w:val="28"/>
          <w:shd w:val="clear" w:color="auto" w:fill="FFFFFF"/>
        </w:rPr>
        <w:t>Ю</w:t>
      </w:r>
      <w:r w:rsidRPr="001759D5">
        <w:rPr>
          <w:color w:val="000000"/>
          <w:sz w:val="28"/>
          <w:szCs w:val="28"/>
          <w:shd w:val="clear" w:color="auto" w:fill="FFFFFF"/>
          <w:lang w:val="en-US"/>
        </w:rPr>
        <w:t xml:space="preserve">., </w:t>
      </w:r>
      <w:r w:rsidRPr="001759D5">
        <w:rPr>
          <w:color w:val="000000"/>
          <w:sz w:val="28"/>
          <w:szCs w:val="28"/>
          <w:shd w:val="clear" w:color="auto" w:fill="FFFFFF"/>
        </w:rPr>
        <w:t>Філіпова</w:t>
      </w:r>
      <w:r w:rsidRPr="001759D5">
        <w:rPr>
          <w:color w:val="000000"/>
          <w:sz w:val="28"/>
          <w:szCs w:val="28"/>
          <w:shd w:val="clear" w:color="auto" w:fill="FFFFFF"/>
          <w:lang w:val="en-US"/>
        </w:rPr>
        <w:t xml:space="preserve"> </w:t>
      </w:r>
      <w:r w:rsidRPr="001759D5">
        <w:rPr>
          <w:color w:val="000000"/>
          <w:sz w:val="28"/>
          <w:szCs w:val="28"/>
          <w:shd w:val="clear" w:color="auto" w:fill="FFFFFF"/>
        </w:rPr>
        <w:t>Т</w:t>
      </w:r>
      <w:r w:rsidRPr="001759D5">
        <w:rPr>
          <w:color w:val="000000"/>
          <w:sz w:val="28"/>
          <w:szCs w:val="28"/>
          <w:shd w:val="clear" w:color="auto" w:fill="FFFFFF"/>
          <w:lang w:val="en-US"/>
        </w:rPr>
        <w:t>.</w:t>
      </w:r>
      <w:r w:rsidRPr="001759D5">
        <w:rPr>
          <w:color w:val="000000"/>
          <w:sz w:val="28"/>
          <w:szCs w:val="28"/>
          <w:shd w:val="clear" w:color="auto" w:fill="FFFFFF"/>
        </w:rPr>
        <w:t>О</w:t>
      </w:r>
      <w:r w:rsidRPr="001759D5">
        <w:rPr>
          <w:color w:val="000000"/>
          <w:sz w:val="28"/>
          <w:szCs w:val="28"/>
          <w:shd w:val="clear" w:color="auto" w:fill="FFFFFF"/>
          <w:lang w:val="en-US"/>
        </w:rPr>
        <w:t xml:space="preserve">. </w:t>
      </w:r>
      <w:r w:rsidRPr="001759D5">
        <w:rPr>
          <w:color w:val="000000"/>
          <w:sz w:val="28"/>
          <w:szCs w:val="28"/>
          <w:shd w:val="clear" w:color="auto" w:fill="FFFFFF"/>
        </w:rPr>
        <w:t>та</w:t>
      </w:r>
      <w:r w:rsidRPr="001759D5">
        <w:rPr>
          <w:color w:val="000000"/>
          <w:sz w:val="28"/>
          <w:szCs w:val="28"/>
          <w:shd w:val="clear" w:color="auto" w:fill="FFFFFF"/>
          <w:lang w:val="en-US"/>
        </w:rPr>
        <w:t xml:space="preserve"> </w:t>
      </w:r>
      <w:r w:rsidRPr="001759D5">
        <w:rPr>
          <w:color w:val="000000"/>
          <w:sz w:val="28"/>
          <w:szCs w:val="28"/>
          <w:shd w:val="clear" w:color="auto" w:fill="FFFFFF"/>
        </w:rPr>
        <w:t>ін</w:t>
      </w:r>
      <w:r w:rsidRPr="001759D5">
        <w:rPr>
          <w:color w:val="000000"/>
          <w:sz w:val="28"/>
          <w:szCs w:val="28"/>
          <w:shd w:val="clear" w:color="auto" w:fill="FFFFFF"/>
          <w:lang w:val="en-US"/>
        </w:rPr>
        <w:t xml:space="preserve">.]. // </w:t>
      </w:r>
      <w:r w:rsidRPr="001759D5">
        <w:rPr>
          <w:color w:val="000000"/>
          <w:sz w:val="28"/>
          <w:szCs w:val="28"/>
          <w:shd w:val="clear" w:color="auto" w:fill="FFFFFF"/>
        </w:rPr>
        <w:t>Вісник</w:t>
      </w:r>
      <w:r w:rsidRPr="001759D5">
        <w:rPr>
          <w:color w:val="000000"/>
          <w:sz w:val="28"/>
          <w:szCs w:val="28"/>
          <w:shd w:val="clear" w:color="auto" w:fill="FFFFFF"/>
          <w:lang w:val="en-US"/>
        </w:rPr>
        <w:t xml:space="preserve"> </w:t>
      </w:r>
      <w:r w:rsidRPr="001759D5">
        <w:rPr>
          <w:color w:val="000000"/>
          <w:sz w:val="28"/>
          <w:szCs w:val="28"/>
          <w:shd w:val="clear" w:color="auto" w:fill="FFFFFF"/>
        </w:rPr>
        <w:t>ОНУ</w:t>
      </w:r>
      <w:r w:rsidRPr="001759D5">
        <w:rPr>
          <w:color w:val="000000"/>
          <w:sz w:val="28"/>
          <w:szCs w:val="28"/>
          <w:shd w:val="clear" w:color="auto" w:fill="FFFFFF"/>
          <w:lang w:val="en-US"/>
        </w:rPr>
        <w:t xml:space="preserve">: </w:t>
      </w:r>
      <w:r w:rsidRPr="001759D5">
        <w:rPr>
          <w:color w:val="000000"/>
          <w:sz w:val="28"/>
          <w:szCs w:val="28"/>
          <w:shd w:val="clear" w:color="auto" w:fill="FFFFFF"/>
        </w:rPr>
        <w:t>Хімія</w:t>
      </w:r>
      <w:r w:rsidRPr="001759D5">
        <w:rPr>
          <w:color w:val="000000"/>
          <w:sz w:val="28"/>
          <w:szCs w:val="28"/>
          <w:shd w:val="clear" w:color="auto" w:fill="FFFFFF"/>
          <w:lang w:val="en-US"/>
        </w:rPr>
        <w:t xml:space="preserve">. – 2009. – </w:t>
      </w:r>
      <w:r w:rsidRPr="001759D5">
        <w:rPr>
          <w:color w:val="000000"/>
          <w:sz w:val="28"/>
          <w:szCs w:val="28"/>
          <w:shd w:val="clear" w:color="auto" w:fill="FFFFFF"/>
        </w:rPr>
        <w:t>Т</w:t>
      </w:r>
      <w:r w:rsidRPr="001759D5">
        <w:rPr>
          <w:color w:val="000000"/>
          <w:sz w:val="28"/>
          <w:szCs w:val="28"/>
          <w:shd w:val="clear" w:color="auto" w:fill="FFFFFF"/>
          <w:lang w:val="en-US"/>
        </w:rPr>
        <w:t xml:space="preserve">. 14, №12. – </w:t>
      </w:r>
      <w:r w:rsidRPr="001759D5">
        <w:rPr>
          <w:color w:val="000000"/>
          <w:sz w:val="28"/>
          <w:szCs w:val="28"/>
          <w:shd w:val="clear" w:color="auto" w:fill="FFFFFF"/>
        </w:rPr>
        <w:t>С</w:t>
      </w:r>
      <w:r w:rsidRPr="001759D5">
        <w:rPr>
          <w:color w:val="000000"/>
          <w:sz w:val="28"/>
          <w:szCs w:val="28"/>
          <w:shd w:val="clear" w:color="auto" w:fill="FFFFFF"/>
          <w:lang w:val="en-US"/>
        </w:rPr>
        <w:t>. 154–162.</w:t>
      </w:r>
    </w:p>
    <w:p w14:paraId="4CA5B035" w14:textId="0FF65982"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Husain, Asif, et al. “Synthesis, Reactions and Biological Activity of 3-Arylidene-5-(4-Methylphenyl)-2(3H)-Furanones?” </w:t>
      </w:r>
      <w:r w:rsidRPr="001759D5">
        <w:rPr>
          <w:rFonts w:eastAsia="Times New Roman"/>
          <w:i/>
          <w:iCs/>
          <w:color w:val="000000"/>
          <w:sz w:val="28"/>
          <w:szCs w:val="28"/>
          <w:lang w:val="en-US"/>
        </w:rPr>
        <w:t>Journal of the Serbian Chemical Society</w:t>
      </w:r>
      <w:r w:rsidRPr="001759D5">
        <w:rPr>
          <w:rFonts w:eastAsia="Times New Roman"/>
          <w:color w:val="000000"/>
          <w:sz w:val="28"/>
          <w:szCs w:val="28"/>
          <w:lang w:val="en-US"/>
        </w:rPr>
        <w:t>, vol. 74, no. 2, 2009, pp. 103–15.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doi:10.2298/jsc0902103h.</w:t>
      </w:r>
    </w:p>
    <w:p w14:paraId="0B65C297" w14:textId="78D49A7A"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Nath, Mala, Hitendra Singh, Parvinder Kumar, et al. “Organotin(IV) Tryptophanylglycinates: Potential Non-Steroidal Antiinflammatory Agents; Crystal Structure of Dibutyltin(IV) Tryptophanylglycinate.” </w:t>
      </w:r>
      <w:r w:rsidRPr="001759D5">
        <w:rPr>
          <w:rFonts w:eastAsia="Times New Roman"/>
          <w:i/>
          <w:iCs/>
          <w:color w:val="000000"/>
          <w:sz w:val="28"/>
          <w:szCs w:val="28"/>
          <w:lang w:val="en-US"/>
        </w:rPr>
        <w:t>Applied Organometallic Chemistry</w:t>
      </w:r>
      <w:r w:rsidRPr="001759D5">
        <w:rPr>
          <w:rFonts w:eastAsia="Times New Roman"/>
          <w:color w:val="000000"/>
          <w:sz w:val="28"/>
          <w:szCs w:val="28"/>
          <w:lang w:val="en-US"/>
        </w:rPr>
        <w:t>, vol. 23, no. 9, 2009, pp. 347–58.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doi:10.1002/aoc.1514.</w:t>
      </w:r>
    </w:p>
    <w:p w14:paraId="59E6DAD8" w14:textId="0F373AC0"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Rehman, Wajid, et al. “Synthesis, Spectral Characterization and Bio-Analysis of Some Organotin(IV) Complexes.” </w:t>
      </w:r>
      <w:r w:rsidRPr="001759D5">
        <w:rPr>
          <w:rFonts w:eastAsia="Times New Roman"/>
          <w:i/>
          <w:iCs/>
          <w:color w:val="000000"/>
          <w:sz w:val="28"/>
          <w:szCs w:val="28"/>
          <w:lang w:val="en-US"/>
        </w:rPr>
        <w:t>European Journal of Medicinal Chemistry</w:t>
      </w:r>
      <w:r w:rsidRPr="001759D5">
        <w:rPr>
          <w:rFonts w:eastAsia="Times New Roman"/>
          <w:color w:val="000000"/>
          <w:sz w:val="28"/>
          <w:szCs w:val="28"/>
          <w:lang w:val="en-US"/>
        </w:rPr>
        <w:t>, vol. 43, no. 11, 2008, pp. 2380–85.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doi:10.1016/j.ejmech.2008.01.019.</w:t>
      </w:r>
    </w:p>
    <w:p w14:paraId="08666EF5" w14:textId="54D5981D"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Nath, Mala, et al. “New Di- and Triorganotin(IV) Complexes of Tripodal Schiff Base Ligand Containing Three Imidazole Arms: Synthesis, Structural Characterization, Anti-Inflammatory Activity and Thermal Studies.” </w:t>
      </w:r>
      <w:r w:rsidRPr="001759D5">
        <w:rPr>
          <w:rFonts w:eastAsia="Times New Roman"/>
          <w:i/>
          <w:iCs/>
          <w:color w:val="000000"/>
          <w:sz w:val="28"/>
          <w:szCs w:val="28"/>
          <w:lang w:val="en-US"/>
        </w:rPr>
        <w:t>Journal of Organometallic Chemistry</w:t>
      </w:r>
      <w:r w:rsidRPr="001759D5">
        <w:rPr>
          <w:rFonts w:eastAsia="Times New Roman"/>
          <w:color w:val="000000"/>
          <w:sz w:val="28"/>
          <w:szCs w:val="28"/>
          <w:lang w:val="en-US"/>
        </w:rPr>
        <w:t>, vol. 695, no. 9, 2010, pp. 1353–62.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doi:10.1016/j.jorganchem.2010.02.009.</w:t>
      </w:r>
    </w:p>
    <w:p w14:paraId="5CBB625A" w14:textId="47ED1721"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Nath, Mala, Hitendra Singh, et al. “Interaction of Organotin(IV) Moieties with Nucleic Acid Constituent: Synthesis, Structural Characterization and Anti-Inflammatory Activity of Tri-i-Propyltin(IV) and Diorganotin(IV) Derivatives of Guanosine.” </w:t>
      </w:r>
      <w:r w:rsidRPr="001759D5">
        <w:rPr>
          <w:rFonts w:eastAsia="Times New Roman"/>
          <w:i/>
          <w:iCs/>
          <w:color w:val="000000"/>
          <w:sz w:val="28"/>
          <w:szCs w:val="28"/>
          <w:lang w:val="en-US"/>
        </w:rPr>
        <w:t>Inorganic Chemistry Communications</w:t>
      </w:r>
      <w:r w:rsidRPr="001759D5">
        <w:rPr>
          <w:rFonts w:eastAsia="Times New Roman"/>
          <w:color w:val="000000"/>
          <w:sz w:val="28"/>
          <w:szCs w:val="28"/>
          <w:lang w:val="en-US"/>
        </w:rPr>
        <w:t xml:space="preserve">, vol. 14, no. 9, 2011, </w:t>
      </w:r>
      <w:r w:rsidR="00821BED">
        <w:rPr>
          <w:rFonts w:eastAsia="Times New Roman"/>
          <w:color w:val="000000"/>
          <w:sz w:val="28"/>
          <w:szCs w:val="28"/>
          <w:lang w:val="en-US"/>
        </w:rPr>
        <w:br/>
      </w:r>
      <w:r w:rsidRPr="001759D5">
        <w:rPr>
          <w:rFonts w:eastAsia="Times New Roman"/>
          <w:color w:val="000000"/>
          <w:sz w:val="28"/>
          <w:szCs w:val="28"/>
          <w:lang w:val="en-US"/>
        </w:rPr>
        <w:t>pp. 1381–85.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doi:10.1016/j.inoche.2011.05.027.</w:t>
      </w:r>
    </w:p>
    <w:p w14:paraId="1BB8FD20" w14:textId="6D9D17B0"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Nath, Mala, Monika Vats, et al. “Tri- and Diorganotin(IV) Complexes of Biologically Important Orotic Acid: Synthesis, Spectroscopic Studies, in Vitro Anti-Cancer, DNA Fragmentation, Enzyme Assays and in Vivo Anti-Inflammatory Activities.” </w:t>
      </w:r>
      <w:r w:rsidRPr="001759D5">
        <w:rPr>
          <w:rFonts w:eastAsia="Times New Roman"/>
          <w:i/>
          <w:iCs/>
          <w:color w:val="000000"/>
          <w:sz w:val="28"/>
          <w:szCs w:val="28"/>
          <w:lang w:val="en-US"/>
        </w:rPr>
        <w:t>European Journal of Medicinal Chemistry</w:t>
      </w:r>
      <w:r w:rsidRPr="001759D5">
        <w:rPr>
          <w:rFonts w:eastAsia="Times New Roman"/>
          <w:color w:val="000000"/>
          <w:sz w:val="28"/>
          <w:szCs w:val="28"/>
          <w:lang w:val="en-US"/>
        </w:rPr>
        <w:t xml:space="preserve">, vol. 59, 2013, </w:t>
      </w:r>
      <w:r w:rsidR="00821BED">
        <w:rPr>
          <w:rFonts w:eastAsia="Times New Roman"/>
          <w:color w:val="000000"/>
          <w:sz w:val="28"/>
          <w:szCs w:val="28"/>
          <w:lang w:val="en-US"/>
        </w:rPr>
        <w:br/>
      </w:r>
      <w:r w:rsidRPr="001759D5">
        <w:rPr>
          <w:rFonts w:eastAsia="Times New Roman"/>
          <w:color w:val="000000"/>
          <w:sz w:val="28"/>
          <w:szCs w:val="28"/>
          <w:lang w:val="en-US"/>
        </w:rPr>
        <w:t>pp. 310–21.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doi:10.1016/j.ejmech.2012.11.023.</w:t>
      </w:r>
    </w:p>
    <w:p w14:paraId="22D373B7" w14:textId="0332269D"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 xml:space="preserve">Romero-Chávez, Maria M., et al. “Organotin(IV) Compounds Derived from Ibuprofen and Cinnamic Acids, an Alternative into Design of Anti-Inflammatory by </w:t>
      </w:r>
      <w:r w:rsidRPr="001759D5">
        <w:rPr>
          <w:rFonts w:eastAsia="Times New Roman"/>
          <w:color w:val="000000"/>
          <w:sz w:val="28"/>
          <w:szCs w:val="28"/>
          <w:lang w:val="en-US"/>
        </w:rPr>
        <w:lastRenderedPageBreak/>
        <w:t>the Cyclooxygenases (COX-1 and COX-2) Pathway.” </w:t>
      </w:r>
      <w:r w:rsidRPr="001759D5">
        <w:rPr>
          <w:rFonts w:eastAsia="Times New Roman"/>
          <w:i/>
          <w:iCs/>
          <w:color w:val="000000"/>
          <w:sz w:val="28"/>
          <w:szCs w:val="28"/>
          <w:lang w:val="en-US"/>
        </w:rPr>
        <w:t>Journal of Organometallic Chemistry</w:t>
      </w:r>
      <w:r w:rsidRPr="001759D5">
        <w:rPr>
          <w:rFonts w:eastAsia="Times New Roman"/>
          <w:color w:val="000000"/>
          <w:sz w:val="28"/>
          <w:szCs w:val="28"/>
          <w:lang w:val="en-US"/>
        </w:rPr>
        <w:t>, vol. 862, 2018, pp. 58–70.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doi:10.1016/j.jorganchem.2018.02.049.</w:t>
      </w:r>
    </w:p>
    <w:p w14:paraId="250B0B13" w14:textId="36000284"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González, Arturo, et al. “Heptacoordinate Tin(IV) Compounds Derived from Pyridine Schiff Bases: Synthesis, Characterization, in Vitro Cytotoxicity, Anti-Inflammatory and Antioxidant Activity.” </w:t>
      </w:r>
      <w:r w:rsidRPr="001759D5">
        <w:rPr>
          <w:rFonts w:eastAsia="Times New Roman"/>
          <w:i/>
          <w:iCs/>
          <w:color w:val="000000"/>
          <w:sz w:val="28"/>
          <w:szCs w:val="28"/>
          <w:lang w:val="en-US"/>
        </w:rPr>
        <w:t>Chemical and Pharmaceutical Bulletin</w:t>
      </w:r>
      <w:r w:rsidRPr="001759D5">
        <w:rPr>
          <w:rFonts w:eastAsia="Times New Roman"/>
          <w:color w:val="000000"/>
          <w:sz w:val="28"/>
          <w:szCs w:val="28"/>
          <w:lang w:val="en-US"/>
        </w:rPr>
        <w:t>, vol. 57, no. 1, 2009, pp. 5–15.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doi:10.1248/cpb.57.5.</w:t>
      </w:r>
    </w:p>
    <w:p w14:paraId="33B49857" w14:textId="396D659C"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Hattori, Toshimi, and Hiroshi Maehashi. “Stannous Chloride-Induced Increase in Calcium Entry into Motor Nerve Terminals of the Frog.” </w:t>
      </w:r>
      <w:r w:rsidRPr="001759D5">
        <w:rPr>
          <w:rFonts w:eastAsia="Times New Roman"/>
          <w:i/>
          <w:iCs/>
          <w:color w:val="000000"/>
          <w:sz w:val="28"/>
          <w:szCs w:val="28"/>
          <w:lang w:val="en-US"/>
        </w:rPr>
        <w:t>European Journal of Pharmacology</w:t>
      </w:r>
      <w:r w:rsidRPr="001759D5">
        <w:rPr>
          <w:rFonts w:eastAsia="Times New Roman"/>
          <w:color w:val="000000"/>
          <w:sz w:val="28"/>
          <w:szCs w:val="28"/>
          <w:lang w:val="en-US"/>
        </w:rPr>
        <w:t>, vol. 166, no. 3, 1989, pp. 527–30.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doi:10.1016/0014-2999(89)90369-5.</w:t>
      </w:r>
    </w:p>
    <w:p w14:paraId="3245238A" w14:textId="34DFF27B"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Hattori, Toshimi, and Hiroshi Maehashi. “Interaction between Stannous Chloride and Calcium Channel Blockers on the Calcium Influx into Motor Nerve Terminals.” </w:t>
      </w:r>
      <w:r w:rsidRPr="001759D5">
        <w:rPr>
          <w:rFonts w:eastAsia="Times New Roman"/>
          <w:i/>
          <w:iCs/>
          <w:color w:val="000000"/>
          <w:sz w:val="28"/>
          <w:szCs w:val="28"/>
          <w:lang w:val="en-US"/>
        </w:rPr>
        <w:t>Japanese Journal of Pharmacology</w:t>
      </w:r>
      <w:r w:rsidRPr="001759D5">
        <w:rPr>
          <w:rFonts w:eastAsia="Times New Roman"/>
          <w:color w:val="000000"/>
          <w:sz w:val="28"/>
          <w:szCs w:val="28"/>
          <w:lang w:val="en-US"/>
        </w:rPr>
        <w:t>, vol. 61, 1993, p. 253.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doi:10.1016/s0021-5198(19)51875-3.</w:t>
      </w:r>
    </w:p>
    <w:p w14:paraId="2171281F" w14:textId="3EA2BED0"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House, S. D., et al. “Effects of Heat Shock, Stannous Chloride, and Gallium Nitrate on the Rat Inflammatory Response.” </w:t>
      </w:r>
      <w:r w:rsidRPr="001759D5">
        <w:rPr>
          <w:rFonts w:eastAsia="Times New Roman"/>
          <w:i/>
          <w:iCs/>
          <w:color w:val="000000"/>
          <w:sz w:val="28"/>
          <w:szCs w:val="28"/>
          <w:lang w:val="en-US"/>
        </w:rPr>
        <w:t>Cell Stress &amp; Chaperones</w:t>
      </w:r>
      <w:r w:rsidRPr="001759D5">
        <w:rPr>
          <w:rFonts w:eastAsia="Times New Roman"/>
          <w:color w:val="000000"/>
          <w:sz w:val="28"/>
          <w:szCs w:val="28"/>
          <w:lang w:val="en-US"/>
        </w:rPr>
        <w:t xml:space="preserve">, vol. 6, </w:t>
      </w:r>
      <w:r w:rsidR="00821BED">
        <w:rPr>
          <w:rFonts w:eastAsia="Times New Roman"/>
          <w:color w:val="000000"/>
          <w:sz w:val="28"/>
          <w:szCs w:val="28"/>
          <w:lang w:val="en-US"/>
        </w:rPr>
        <w:br/>
      </w:r>
      <w:r w:rsidRPr="001759D5">
        <w:rPr>
          <w:rFonts w:eastAsia="Times New Roman"/>
          <w:color w:val="000000"/>
          <w:sz w:val="28"/>
          <w:szCs w:val="28"/>
          <w:lang w:val="en-US"/>
        </w:rPr>
        <w:t>no. 2, 2001, p. 164.</w:t>
      </w:r>
    </w:p>
    <w:p w14:paraId="0D1CEF94" w14:textId="7FD5A58F"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Sahoo, Jyotirmaya, and Sudhir Kumar Paidesetty. “Antimicrobial, Analgesic, Antioxidant and in Silico Study of Synthesized Salicylic Acid Congeners and Their Structural Interpretation.” </w:t>
      </w:r>
      <w:r w:rsidRPr="001759D5">
        <w:rPr>
          <w:rFonts w:eastAsia="Times New Roman"/>
          <w:i/>
          <w:iCs/>
          <w:color w:val="000000"/>
          <w:sz w:val="28"/>
          <w:szCs w:val="28"/>
          <w:lang w:val="en-US"/>
        </w:rPr>
        <w:t>Egyptian Journal of Basic and Applied Sciences</w:t>
      </w:r>
      <w:r w:rsidRPr="001759D5">
        <w:rPr>
          <w:rFonts w:eastAsia="Times New Roman"/>
          <w:color w:val="000000"/>
          <w:sz w:val="28"/>
          <w:szCs w:val="28"/>
          <w:lang w:val="en-US"/>
        </w:rPr>
        <w:t>, vol. 2, no. 4, 2015, pp. 268–80.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doi:10.1016/j.ejbas.2015.07.006.</w:t>
      </w:r>
    </w:p>
    <w:p w14:paraId="2A1FAABA" w14:textId="047EFF6B"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Bala, Suman, et al. “Design, Characterization, Computational Studies, and Pharmacological Evaluation of Substituted-N′-[(1E) Substituted-Phenylmethylidene]Benzohydrazide Analogs.” </w:t>
      </w:r>
      <w:r w:rsidRPr="001759D5">
        <w:rPr>
          <w:rFonts w:eastAsia="Times New Roman"/>
          <w:i/>
          <w:iCs/>
          <w:color w:val="000000"/>
          <w:sz w:val="28"/>
          <w:szCs w:val="28"/>
          <w:lang w:val="en-US"/>
        </w:rPr>
        <w:t>Medicinal Chemistry Research</w:t>
      </w:r>
      <w:r w:rsidRPr="001759D5">
        <w:rPr>
          <w:rFonts w:eastAsia="Times New Roman"/>
          <w:color w:val="000000"/>
          <w:sz w:val="28"/>
          <w:szCs w:val="28"/>
          <w:lang w:val="en-US"/>
        </w:rPr>
        <w:t xml:space="preserve">, </w:t>
      </w:r>
      <w:r w:rsidR="00821BED">
        <w:rPr>
          <w:rFonts w:eastAsia="Times New Roman"/>
          <w:color w:val="000000"/>
          <w:sz w:val="28"/>
          <w:szCs w:val="28"/>
          <w:lang w:val="en-US"/>
        </w:rPr>
        <w:br/>
      </w:r>
      <w:r w:rsidRPr="001759D5">
        <w:rPr>
          <w:rFonts w:eastAsia="Times New Roman"/>
          <w:color w:val="000000"/>
          <w:sz w:val="28"/>
          <w:szCs w:val="28"/>
          <w:lang w:val="en-US"/>
        </w:rPr>
        <w:t>vol. 22, no. 6, 2012, pp. 2755–67.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doi:10.1007/s00044-012-0270-0.</w:t>
      </w:r>
    </w:p>
    <w:p w14:paraId="1BE5709F" w14:textId="4533870A"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Anupama, B., et al. “Synthesis, Spectral Characterization, DNA Binding Studies and Antimicrobial Activity of Co(II), Ni(II), Zn(II), Fe(III) and VO(IV) Complexes with 4-Aminoantipyrine Schiff Base of Ortho-Vanillin.” </w:t>
      </w:r>
      <w:r w:rsidRPr="001759D5">
        <w:rPr>
          <w:rFonts w:eastAsia="Times New Roman"/>
          <w:i/>
          <w:iCs/>
          <w:color w:val="000000"/>
          <w:sz w:val="28"/>
          <w:szCs w:val="28"/>
          <w:lang w:val="en-US"/>
        </w:rPr>
        <w:t xml:space="preserve">Journal of </w:t>
      </w:r>
      <w:r w:rsidRPr="001759D5">
        <w:rPr>
          <w:rFonts w:eastAsia="Times New Roman"/>
          <w:i/>
          <w:iCs/>
          <w:color w:val="000000"/>
          <w:sz w:val="28"/>
          <w:szCs w:val="28"/>
          <w:lang w:val="en-US"/>
        </w:rPr>
        <w:lastRenderedPageBreak/>
        <w:t>Fluorescence</w:t>
      </w:r>
      <w:r w:rsidRPr="001759D5">
        <w:rPr>
          <w:rFonts w:eastAsia="Times New Roman"/>
          <w:color w:val="000000"/>
          <w:sz w:val="28"/>
          <w:szCs w:val="28"/>
          <w:lang w:val="en-US"/>
        </w:rPr>
        <w:t>, vol. 24, no. 4, 2014, pp. 1067–76.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doi:10.1007/s10895-014-1386-z.</w:t>
      </w:r>
    </w:p>
    <w:p w14:paraId="4C1E4F70" w14:textId="171954C9"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Jang, Tae Young, et al. “Benzaldehyde Suppresses Murine Allergic Asthma and Rhinitis.” </w:t>
      </w:r>
      <w:r w:rsidRPr="001759D5">
        <w:rPr>
          <w:rFonts w:eastAsia="Times New Roman"/>
          <w:i/>
          <w:iCs/>
          <w:color w:val="000000"/>
          <w:sz w:val="28"/>
          <w:szCs w:val="28"/>
          <w:lang w:val="en-US"/>
        </w:rPr>
        <w:t>International Immunopharmacology</w:t>
      </w:r>
      <w:r w:rsidRPr="001759D5">
        <w:rPr>
          <w:rFonts w:eastAsia="Times New Roman"/>
          <w:color w:val="000000"/>
          <w:sz w:val="28"/>
          <w:szCs w:val="28"/>
          <w:lang w:val="en-US"/>
        </w:rPr>
        <w:t xml:space="preserve">, vol. 22, no. 2, 2014, </w:t>
      </w:r>
      <w:r w:rsidR="00821BED">
        <w:rPr>
          <w:rFonts w:eastAsia="Times New Roman"/>
          <w:color w:val="000000"/>
          <w:sz w:val="28"/>
          <w:szCs w:val="28"/>
          <w:lang w:val="en-US"/>
        </w:rPr>
        <w:br/>
      </w:r>
      <w:r w:rsidRPr="001759D5">
        <w:rPr>
          <w:rFonts w:eastAsia="Times New Roman"/>
          <w:color w:val="000000"/>
          <w:sz w:val="28"/>
          <w:szCs w:val="28"/>
          <w:lang w:val="en-US"/>
        </w:rPr>
        <w:t>pp. 444–50.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doi:10.1016/j.intimp.2014.07.029.</w:t>
      </w:r>
    </w:p>
    <w:p w14:paraId="41DA670F" w14:textId="28EAB04C" w:rsidR="00B85935" w:rsidRPr="001759D5" w:rsidRDefault="00B85935" w:rsidP="001759D5">
      <w:pPr>
        <w:pStyle w:val="a6"/>
        <w:numPr>
          <w:ilvl w:val="0"/>
          <w:numId w:val="48"/>
        </w:numPr>
        <w:spacing w:line="360" w:lineRule="auto"/>
        <w:ind w:left="0" w:firstLine="0"/>
        <w:jc w:val="both"/>
        <w:rPr>
          <w:rFonts w:eastAsia="Times New Roman"/>
          <w:sz w:val="28"/>
          <w:szCs w:val="28"/>
        </w:rPr>
      </w:pPr>
      <w:r w:rsidRPr="001759D5">
        <w:rPr>
          <w:rFonts w:eastAsia="Times New Roman"/>
          <w:sz w:val="28"/>
          <w:szCs w:val="28"/>
        </w:rPr>
        <w:t xml:space="preserve">Науково–практичні рекомендації з утримання лабораторних тварин та роботи з ними / Ю.М. Кожемякін, О.С. Хромов, М.А. Филоненко [та ін.]. – Київ, 2002. – 155 с. </w:t>
      </w:r>
    </w:p>
    <w:p w14:paraId="72B08F73" w14:textId="4E7A0E34" w:rsidR="00B85935" w:rsidRPr="001759D5" w:rsidRDefault="00B85935" w:rsidP="001759D5">
      <w:pPr>
        <w:pStyle w:val="af0"/>
        <w:numPr>
          <w:ilvl w:val="0"/>
          <w:numId w:val="48"/>
        </w:numPr>
        <w:autoSpaceDE w:val="0"/>
        <w:autoSpaceDN w:val="0"/>
        <w:adjustRightInd w:val="0"/>
        <w:spacing w:line="360" w:lineRule="auto"/>
        <w:ind w:left="0" w:firstLine="0"/>
        <w:jc w:val="both"/>
        <w:rPr>
          <w:rFonts w:eastAsiaTheme="minorHAnsi"/>
          <w:sz w:val="28"/>
          <w:szCs w:val="28"/>
          <w:lang w:eastAsia="en-US"/>
        </w:rPr>
      </w:pPr>
      <w:r w:rsidRPr="001759D5">
        <w:rPr>
          <w:rFonts w:eastAsiaTheme="minorHAnsi"/>
          <w:bCs/>
          <w:sz w:val="28"/>
          <w:szCs w:val="28"/>
          <w:lang w:eastAsia="en-US"/>
        </w:rPr>
        <w:t>О новых комплексах олова (IV) с 5-бром-салицилоил гидразонами замещенных бензойного альдегида</w:t>
      </w:r>
      <w:r w:rsidRPr="001759D5">
        <w:rPr>
          <w:rFonts w:eastAsiaTheme="minorHAnsi"/>
          <w:sz w:val="28"/>
          <w:szCs w:val="28"/>
          <w:lang w:eastAsia="en-US"/>
        </w:rPr>
        <w:t> / Н. В. Шматкова, И. И. Сейфуллина, А. И. Александрова, И. А. Кравченко, А. А. Коберник // </w:t>
      </w:r>
      <w:r w:rsidRPr="001759D5">
        <w:rPr>
          <w:rFonts w:eastAsiaTheme="minorHAnsi"/>
          <w:color w:val="000000" w:themeColor="text1"/>
          <w:sz w:val="28"/>
          <w:szCs w:val="28"/>
          <w:lang w:eastAsia="en-US"/>
        </w:rPr>
        <w:t>Вісн. Одес. нац. ун-ту. Хімія. -</w:t>
      </w:r>
      <w:r w:rsidRPr="001759D5">
        <w:rPr>
          <w:rFonts w:eastAsiaTheme="minorHAnsi"/>
          <w:sz w:val="28"/>
          <w:szCs w:val="28"/>
          <w:lang w:eastAsia="en-US"/>
        </w:rPr>
        <w:t xml:space="preserve"> 2013. - 18, вип. 3. - С. 53-60. - Библиогр.: 16 назв. - рус.</w:t>
      </w:r>
    </w:p>
    <w:p w14:paraId="7A7C2948" w14:textId="3B7FBC61" w:rsidR="00B85935" w:rsidRPr="001759D5" w:rsidRDefault="00B85935" w:rsidP="001759D5">
      <w:pPr>
        <w:pStyle w:val="af0"/>
        <w:numPr>
          <w:ilvl w:val="0"/>
          <w:numId w:val="48"/>
        </w:numPr>
        <w:spacing w:line="360" w:lineRule="auto"/>
        <w:ind w:left="0" w:firstLine="0"/>
        <w:jc w:val="both"/>
        <w:rPr>
          <w:sz w:val="28"/>
          <w:szCs w:val="28"/>
        </w:rPr>
      </w:pPr>
      <w:r w:rsidRPr="001759D5">
        <w:rPr>
          <w:sz w:val="28"/>
          <w:szCs w:val="28"/>
        </w:rPr>
        <w:t>Иванова Л.А. Технология лекарственных форм: учебник в 2-х т. / Иванова Л.А. - М.: Медицина, 2008. - 544с.</w:t>
      </w:r>
    </w:p>
    <w:p w14:paraId="0848AEC3" w14:textId="2E6AA6C3"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lang w:val="en-US"/>
        </w:rPr>
        <w:t xml:space="preserve">New experimental data on the central effects of an old analgesic—paracetamol. / Epureanu F. B., Paunescu H., Ghita I. </w:t>
      </w:r>
      <w:r w:rsidRPr="001759D5">
        <w:rPr>
          <w:sz w:val="28"/>
          <w:szCs w:val="28"/>
          <w:lang w:val="en-US"/>
        </w:rPr>
        <w:t>et al.].</w:t>
      </w:r>
      <w:r w:rsidRPr="001759D5">
        <w:rPr>
          <w:color w:val="000000"/>
          <w:sz w:val="28"/>
          <w:szCs w:val="28"/>
          <w:shd w:val="clear" w:color="auto" w:fill="FFFFFF"/>
          <w:lang w:val="en-US"/>
        </w:rPr>
        <w:t xml:space="preserve">// Farmacia. – 2019. – No 67. – </w:t>
      </w:r>
      <w:r w:rsidRPr="001759D5">
        <w:rPr>
          <w:color w:val="000000"/>
          <w:sz w:val="28"/>
          <w:szCs w:val="28"/>
          <w:shd w:val="clear" w:color="auto" w:fill="FFFFFF"/>
        </w:rPr>
        <w:t>С</w:t>
      </w:r>
      <w:r w:rsidRPr="001759D5">
        <w:rPr>
          <w:color w:val="000000"/>
          <w:sz w:val="28"/>
          <w:szCs w:val="28"/>
          <w:shd w:val="clear" w:color="auto" w:fill="FFFFFF"/>
          <w:lang w:val="en-US"/>
        </w:rPr>
        <w:t>. 648–655.</w:t>
      </w:r>
    </w:p>
    <w:p w14:paraId="67652F33" w14:textId="4C8C524B"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lang w:val="en-US"/>
        </w:rPr>
        <w:t xml:space="preserve">The anticonvulsant effects of SR 57227 on pentylenetetrazole-induced seizure in mice / Li B., Wang L., Sun Z. </w:t>
      </w:r>
      <w:r w:rsidRPr="001759D5">
        <w:rPr>
          <w:color w:val="000000"/>
          <w:sz w:val="28"/>
          <w:szCs w:val="28"/>
          <w:shd w:val="clear" w:color="auto" w:fill="FFFFFF"/>
        </w:rPr>
        <w:t>та</w:t>
      </w:r>
      <w:r w:rsidRPr="001759D5">
        <w:rPr>
          <w:color w:val="000000"/>
          <w:sz w:val="28"/>
          <w:szCs w:val="28"/>
          <w:shd w:val="clear" w:color="auto" w:fill="FFFFFF"/>
          <w:lang w:val="en-US"/>
        </w:rPr>
        <w:t xml:space="preserve"> </w:t>
      </w:r>
      <w:r w:rsidRPr="001759D5">
        <w:rPr>
          <w:color w:val="000000"/>
          <w:sz w:val="28"/>
          <w:szCs w:val="28"/>
          <w:shd w:val="clear" w:color="auto" w:fill="FFFFFF"/>
        </w:rPr>
        <w:t>ін</w:t>
      </w:r>
      <w:r w:rsidRPr="001759D5">
        <w:rPr>
          <w:color w:val="000000"/>
          <w:sz w:val="28"/>
          <w:szCs w:val="28"/>
          <w:shd w:val="clear" w:color="auto" w:fill="FFFFFF"/>
          <w:lang w:val="en-US"/>
        </w:rPr>
        <w:t xml:space="preserve">.]. // PLoS One. – 2014. – </w:t>
      </w:r>
      <w:r w:rsidRPr="001759D5">
        <w:rPr>
          <w:color w:val="000000"/>
          <w:sz w:val="28"/>
          <w:szCs w:val="28"/>
          <w:lang w:val="en-US"/>
        </w:rPr>
        <w:t xml:space="preserve">Vol. 9, No 14. </w:t>
      </w:r>
      <w:r w:rsidRPr="001759D5">
        <w:rPr>
          <w:color w:val="000000"/>
          <w:sz w:val="28"/>
          <w:szCs w:val="28"/>
          <w:shd w:val="clear" w:color="auto" w:fill="FFFFFF"/>
          <w:lang w:val="en-US"/>
        </w:rPr>
        <w:t xml:space="preserve">– </w:t>
      </w:r>
      <w:r w:rsidRPr="001759D5">
        <w:rPr>
          <w:color w:val="000000"/>
          <w:sz w:val="28"/>
          <w:szCs w:val="28"/>
          <w:shd w:val="clear" w:color="auto" w:fill="FFFFFF"/>
        </w:rPr>
        <w:t>С</w:t>
      </w:r>
      <w:r w:rsidRPr="001759D5">
        <w:rPr>
          <w:color w:val="000000"/>
          <w:sz w:val="28"/>
          <w:szCs w:val="28"/>
          <w:shd w:val="clear" w:color="auto" w:fill="FFFFFF"/>
          <w:lang w:val="en-US"/>
        </w:rPr>
        <w:t>. 1–6.</w:t>
      </w:r>
    </w:p>
    <w:p w14:paraId="2FD0B8DB" w14:textId="3E3DDDB7" w:rsidR="00B85935" w:rsidRPr="001759D5" w:rsidRDefault="00B85935" w:rsidP="001759D5">
      <w:pPr>
        <w:pStyle w:val="af2"/>
        <w:numPr>
          <w:ilvl w:val="0"/>
          <w:numId w:val="48"/>
        </w:numPr>
        <w:spacing w:line="360" w:lineRule="auto"/>
        <w:ind w:left="0" w:firstLine="0"/>
        <w:jc w:val="both"/>
        <w:rPr>
          <w:sz w:val="28"/>
          <w:szCs w:val="28"/>
          <w:lang w:val="en-US"/>
        </w:rPr>
      </w:pPr>
      <w:r w:rsidRPr="001759D5">
        <w:rPr>
          <w:color w:val="000000"/>
          <w:sz w:val="28"/>
          <w:szCs w:val="28"/>
          <w:shd w:val="clear" w:color="auto" w:fill="FFFFFF"/>
          <w:lang w:val="en-US"/>
        </w:rPr>
        <w:t>Foley PL. Clinical Management of Pain in Rodents. / Foley PL, Kendall LV, Turner PV. // Comp Med. – 2019. – Vol.69,</w:t>
      </w:r>
      <w:r w:rsidRPr="001759D5">
        <w:rPr>
          <w:color w:val="212121"/>
          <w:sz w:val="28"/>
          <w:szCs w:val="28"/>
          <w:shd w:val="clear" w:color="auto" w:fill="FFFFFF"/>
          <w:lang w:val="en-US"/>
        </w:rPr>
        <w:t xml:space="preserve"> No 6.</w:t>
      </w:r>
      <w:r w:rsidRPr="001759D5">
        <w:rPr>
          <w:color w:val="000000"/>
          <w:sz w:val="28"/>
          <w:szCs w:val="28"/>
          <w:shd w:val="clear" w:color="auto" w:fill="FFFFFF"/>
          <w:lang w:val="en-US"/>
        </w:rPr>
        <w:t xml:space="preserve"> – </w:t>
      </w:r>
      <w:r w:rsidRPr="001759D5">
        <w:rPr>
          <w:color w:val="000000"/>
          <w:sz w:val="28"/>
          <w:szCs w:val="28"/>
          <w:shd w:val="clear" w:color="auto" w:fill="FFFFFF"/>
        </w:rPr>
        <w:t>С</w:t>
      </w:r>
      <w:r w:rsidRPr="001759D5">
        <w:rPr>
          <w:color w:val="000000"/>
          <w:sz w:val="28"/>
          <w:szCs w:val="28"/>
          <w:shd w:val="clear" w:color="auto" w:fill="FFFFFF"/>
          <w:lang w:val="en-US"/>
        </w:rPr>
        <w:t>. 468–489.</w:t>
      </w:r>
    </w:p>
    <w:p w14:paraId="755070AA" w14:textId="666F807B" w:rsidR="00B85935" w:rsidRPr="001759D5" w:rsidRDefault="00B85935" w:rsidP="001759D5">
      <w:pPr>
        <w:pStyle w:val="af0"/>
        <w:numPr>
          <w:ilvl w:val="0"/>
          <w:numId w:val="48"/>
        </w:numPr>
        <w:spacing w:line="360" w:lineRule="auto"/>
        <w:ind w:left="0" w:firstLine="0"/>
        <w:jc w:val="both"/>
        <w:rPr>
          <w:sz w:val="28"/>
          <w:szCs w:val="28"/>
        </w:rPr>
      </w:pPr>
      <w:r w:rsidRPr="001759D5">
        <w:rPr>
          <w:color w:val="000000"/>
          <w:sz w:val="28"/>
          <w:szCs w:val="28"/>
          <w:shd w:val="clear" w:color="auto" w:fill="FFFFFF"/>
        </w:rPr>
        <w:t xml:space="preserve">Фармакокинетика афобазола у крыс / Серединин С.Б., Виглинская А.О., Колыванов Г.Б. та ін.]. // Экспериментальная и клиническая фармакология. – 2007. </w:t>
      </w:r>
      <w:r w:rsidRPr="001759D5">
        <w:rPr>
          <w:color w:val="000000"/>
          <w:sz w:val="28"/>
          <w:szCs w:val="28"/>
          <w:shd w:val="clear" w:color="auto" w:fill="FFFFFF"/>
          <w:lang w:val="uk-UA"/>
        </w:rPr>
        <w:t xml:space="preserve">– Т. 70, </w:t>
      </w:r>
      <w:r w:rsidRPr="001759D5">
        <w:rPr>
          <w:sz w:val="28"/>
          <w:szCs w:val="28"/>
        </w:rPr>
        <w:t>No</w:t>
      </w:r>
      <w:r w:rsidRPr="001759D5">
        <w:rPr>
          <w:color w:val="000000"/>
          <w:sz w:val="28"/>
          <w:szCs w:val="28"/>
          <w:shd w:val="clear" w:color="auto" w:fill="FFFFFF"/>
        </w:rPr>
        <w:t xml:space="preserve"> 2. – С. 59–64.</w:t>
      </w:r>
    </w:p>
    <w:p w14:paraId="29FF120F" w14:textId="5EA0E811" w:rsidR="00B85935" w:rsidRPr="001759D5" w:rsidRDefault="00B85935" w:rsidP="001759D5">
      <w:pPr>
        <w:pStyle w:val="a6"/>
        <w:numPr>
          <w:ilvl w:val="0"/>
          <w:numId w:val="48"/>
        </w:numPr>
        <w:spacing w:line="360" w:lineRule="auto"/>
        <w:ind w:left="0" w:firstLine="0"/>
        <w:jc w:val="both"/>
        <w:rPr>
          <w:rFonts w:eastAsia="Times New Roman"/>
          <w:sz w:val="28"/>
          <w:szCs w:val="28"/>
          <w:lang w:val="en-US"/>
        </w:rPr>
      </w:pPr>
      <w:r w:rsidRPr="001759D5">
        <w:rPr>
          <w:rFonts w:eastAsia="Times New Roman"/>
          <w:sz w:val="28"/>
          <w:szCs w:val="28"/>
          <w:lang w:val="en-US"/>
        </w:rPr>
        <w:t>Poroikov VV.How to acquire new biological activities in old compounds by computer prediction. / Poroikov VV., Filimonov DA. // J. Comput. Aid.Molec.Des. - 2002</w:t>
      </w:r>
      <w:r w:rsidRPr="001759D5">
        <w:rPr>
          <w:rFonts w:eastAsia="Times New Roman"/>
          <w:sz w:val="28"/>
          <w:szCs w:val="28"/>
          <w:lang w:val="uk-UA"/>
        </w:rPr>
        <w:t>.</w:t>
      </w:r>
      <w:r w:rsidRPr="001759D5">
        <w:rPr>
          <w:rFonts w:eastAsia="Times New Roman"/>
          <w:sz w:val="28"/>
          <w:szCs w:val="28"/>
          <w:lang w:val="en-US"/>
        </w:rPr>
        <w:t xml:space="preserve"> – Vol. 16, No 11. – P. 819-824. </w:t>
      </w:r>
    </w:p>
    <w:p w14:paraId="22537EC4" w14:textId="41D65D3D" w:rsidR="00B85935" w:rsidRPr="001759D5" w:rsidRDefault="00B85935" w:rsidP="001759D5">
      <w:pPr>
        <w:pStyle w:val="af0"/>
        <w:numPr>
          <w:ilvl w:val="0"/>
          <w:numId w:val="48"/>
        </w:numPr>
        <w:spacing w:before="100" w:beforeAutospacing="1" w:after="100" w:afterAutospacing="1" w:line="360" w:lineRule="auto"/>
        <w:ind w:left="0" w:firstLine="0"/>
        <w:jc w:val="both"/>
        <w:rPr>
          <w:sz w:val="28"/>
          <w:szCs w:val="28"/>
        </w:rPr>
      </w:pPr>
      <w:r w:rsidRPr="001759D5">
        <w:rPr>
          <w:sz w:val="28"/>
          <w:szCs w:val="28"/>
          <w:lang w:val="en-US"/>
        </w:rPr>
        <w:lastRenderedPageBreak/>
        <w:t xml:space="preserve">Prediction of the biological activity spectra of organic compounds using of the PASS online web resource / Pogodin P.V., Lagunin A.A., Filimonov D.A. </w:t>
      </w:r>
      <w:r w:rsidR="00821BED">
        <w:rPr>
          <w:sz w:val="28"/>
          <w:szCs w:val="28"/>
          <w:lang w:val="en-US"/>
        </w:rPr>
        <w:br/>
      </w:r>
      <w:r w:rsidRPr="001759D5">
        <w:rPr>
          <w:sz w:val="28"/>
          <w:szCs w:val="28"/>
          <w:lang w:val="en-US"/>
        </w:rPr>
        <w:t>[et al.] // Chem. Heteroc</w:t>
      </w:r>
      <w:r w:rsidRPr="001759D5">
        <w:rPr>
          <w:sz w:val="28"/>
          <w:szCs w:val="28"/>
        </w:rPr>
        <w:t xml:space="preserve">. </w:t>
      </w:r>
      <w:r w:rsidRPr="001759D5">
        <w:rPr>
          <w:sz w:val="28"/>
          <w:szCs w:val="28"/>
          <w:lang w:val="en-US"/>
        </w:rPr>
        <w:t>Comp</w:t>
      </w:r>
      <w:r w:rsidRPr="001759D5">
        <w:rPr>
          <w:sz w:val="28"/>
          <w:szCs w:val="28"/>
        </w:rPr>
        <w:t xml:space="preserve">. – 2014. – </w:t>
      </w:r>
      <w:r w:rsidRPr="001759D5">
        <w:rPr>
          <w:sz w:val="28"/>
          <w:szCs w:val="28"/>
          <w:lang w:val="en-US"/>
        </w:rPr>
        <w:t>V</w:t>
      </w:r>
      <w:r w:rsidRPr="001759D5">
        <w:rPr>
          <w:sz w:val="28"/>
          <w:szCs w:val="28"/>
        </w:rPr>
        <w:t>о</w:t>
      </w:r>
      <w:r w:rsidRPr="001759D5">
        <w:rPr>
          <w:sz w:val="28"/>
          <w:szCs w:val="28"/>
          <w:lang w:val="en-US"/>
        </w:rPr>
        <w:t>l</w:t>
      </w:r>
      <w:r w:rsidRPr="001759D5">
        <w:rPr>
          <w:sz w:val="28"/>
          <w:szCs w:val="28"/>
        </w:rPr>
        <w:t xml:space="preserve">. 50, </w:t>
      </w:r>
      <w:r w:rsidRPr="001759D5">
        <w:rPr>
          <w:sz w:val="28"/>
          <w:szCs w:val="28"/>
          <w:lang w:val="en-US"/>
        </w:rPr>
        <w:t>No</w:t>
      </w:r>
      <w:r w:rsidRPr="001759D5">
        <w:rPr>
          <w:sz w:val="28"/>
          <w:szCs w:val="28"/>
        </w:rPr>
        <w:t xml:space="preserve"> 3. – Р. 444-457. </w:t>
      </w:r>
    </w:p>
    <w:p w14:paraId="4520D6C8" w14:textId="77777777" w:rsidR="008A6B7D" w:rsidRPr="001759D5" w:rsidRDefault="008A6B7D" w:rsidP="001759D5">
      <w:pPr>
        <w:pStyle w:val="a6"/>
        <w:numPr>
          <w:ilvl w:val="0"/>
          <w:numId w:val="48"/>
        </w:numPr>
        <w:spacing w:line="360" w:lineRule="auto"/>
        <w:ind w:left="0" w:firstLine="0"/>
        <w:jc w:val="both"/>
        <w:rPr>
          <w:rFonts w:eastAsia="Times New Roman"/>
          <w:sz w:val="28"/>
          <w:szCs w:val="28"/>
        </w:rPr>
      </w:pPr>
      <w:r w:rsidRPr="001759D5">
        <w:rPr>
          <w:rFonts w:eastAsia="Times New Roman"/>
          <w:sz w:val="28"/>
          <w:szCs w:val="28"/>
        </w:rPr>
        <w:t>Поройков В. В. Прогноз спектра биологической активности органических соединений / В. В. Поройков, Д. А. Филимонов // Рос. хим. журн. (журн. рос. хим. об-ва им. Д. И. Менделеева). – 2006. – Т. 1, No 2. – С. 66-75.</w:t>
      </w:r>
    </w:p>
    <w:p w14:paraId="029B4CBA" w14:textId="1B346C06" w:rsidR="00B85935" w:rsidRPr="001759D5" w:rsidRDefault="00B85935" w:rsidP="001759D5">
      <w:pPr>
        <w:pStyle w:val="a6"/>
        <w:numPr>
          <w:ilvl w:val="0"/>
          <w:numId w:val="48"/>
        </w:numPr>
        <w:spacing w:line="360" w:lineRule="auto"/>
        <w:ind w:left="0" w:firstLine="0"/>
        <w:jc w:val="both"/>
        <w:rPr>
          <w:rFonts w:eastAsia="Times New Roman"/>
          <w:sz w:val="28"/>
          <w:szCs w:val="28"/>
          <w:lang w:val="en-US"/>
        </w:rPr>
      </w:pPr>
      <w:r w:rsidRPr="001759D5">
        <w:rPr>
          <w:rFonts w:eastAsia="Times New Roman"/>
          <w:sz w:val="28"/>
          <w:szCs w:val="28"/>
        </w:rPr>
        <w:t xml:space="preserve">Прозоровский В. Б. Табличный экспресс-метод определения средних эффективных мер воздействия на биологические объекты / В. Б. Прозоровский // Токс. вестник. – 1998.– </w:t>
      </w:r>
      <w:r w:rsidRPr="001759D5">
        <w:rPr>
          <w:rFonts w:eastAsia="Times New Roman"/>
          <w:sz w:val="28"/>
          <w:szCs w:val="28"/>
          <w:lang w:val="en-US"/>
        </w:rPr>
        <w:t xml:space="preserve">No 1. – </w:t>
      </w:r>
      <w:r w:rsidRPr="001759D5">
        <w:rPr>
          <w:rFonts w:eastAsia="Times New Roman"/>
          <w:sz w:val="28"/>
          <w:szCs w:val="28"/>
        </w:rPr>
        <w:t>С</w:t>
      </w:r>
      <w:r w:rsidRPr="001759D5">
        <w:rPr>
          <w:rFonts w:eastAsia="Times New Roman"/>
          <w:sz w:val="28"/>
          <w:szCs w:val="28"/>
          <w:lang w:val="en-US"/>
        </w:rPr>
        <w:t xml:space="preserve">. 28-32. </w:t>
      </w:r>
    </w:p>
    <w:p w14:paraId="1ADB2BD4" w14:textId="5C881C71" w:rsidR="00B85935" w:rsidRPr="001759D5" w:rsidRDefault="00B85935" w:rsidP="001759D5">
      <w:pPr>
        <w:pStyle w:val="a6"/>
        <w:numPr>
          <w:ilvl w:val="0"/>
          <w:numId w:val="48"/>
        </w:numPr>
        <w:spacing w:line="360" w:lineRule="auto"/>
        <w:ind w:left="0" w:firstLine="0"/>
        <w:jc w:val="both"/>
        <w:rPr>
          <w:rFonts w:eastAsia="Times New Roman"/>
          <w:sz w:val="28"/>
          <w:szCs w:val="28"/>
          <w:lang w:val="en-US"/>
        </w:rPr>
      </w:pPr>
      <w:r w:rsidRPr="001759D5">
        <w:rPr>
          <w:color w:val="000000"/>
          <w:sz w:val="28"/>
          <w:szCs w:val="28"/>
          <w:shd w:val="clear" w:color="auto" w:fill="FFFFFF"/>
          <w:lang w:val="en-US"/>
        </w:rPr>
        <w:t>OECD (2008), </w:t>
      </w:r>
      <w:r w:rsidRPr="001759D5">
        <w:rPr>
          <w:iCs/>
          <w:color w:val="000000"/>
          <w:sz w:val="28"/>
          <w:szCs w:val="28"/>
          <w:lang w:val="en-US"/>
        </w:rPr>
        <w:t>Test No. 425: Acute Oral Toxicity: Up-and-Down Procedure</w:t>
      </w:r>
      <w:r w:rsidRPr="001759D5">
        <w:rPr>
          <w:color w:val="000000"/>
          <w:sz w:val="28"/>
          <w:szCs w:val="28"/>
          <w:shd w:val="clear" w:color="auto" w:fill="FFFFFF"/>
          <w:lang w:val="en-US"/>
        </w:rPr>
        <w:t>, OECD Guidelines for the Testing of Chemicals, Section 4, OECD Publishing, Paris</w:t>
      </w:r>
    </w:p>
    <w:p w14:paraId="652D1698" w14:textId="6CB808AB" w:rsidR="00B85935" w:rsidRPr="001759D5" w:rsidRDefault="00B85935" w:rsidP="001759D5">
      <w:pPr>
        <w:pStyle w:val="af0"/>
        <w:numPr>
          <w:ilvl w:val="0"/>
          <w:numId w:val="48"/>
        </w:numPr>
        <w:spacing w:line="360" w:lineRule="auto"/>
        <w:ind w:left="0" w:firstLine="0"/>
        <w:jc w:val="both"/>
        <w:rPr>
          <w:color w:val="000000" w:themeColor="text1"/>
          <w:sz w:val="28"/>
          <w:szCs w:val="28"/>
        </w:rPr>
      </w:pPr>
      <w:r w:rsidRPr="001759D5">
        <w:rPr>
          <w:rStyle w:val="afd"/>
          <w:bCs/>
          <w:i w:val="0"/>
          <w:color w:val="000000" w:themeColor="text1"/>
          <w:sz w:val="28"/>
          <w:szCs w:val="28"/>
        </w:rPr>
        <w:t>Руководство</w:t>
      </w:r>
      <w:r w:rsidRPr="001759D5">
        <w:rPr>
          <w:rStyle w:val="apple-converted-space"/>
          <w:i/>
          <w:color w:val="000000" w:themeColor="text1"/>
          <w:sz w:val="28"/>
          <w:szCs w:val="28"/>
          <w:shd w:val="clear" w:color="auto" w:fill="FFFFFF"/>
        </w:rPr>
        <w:t> </w:t>
      </w:r>
      <w:r w:rsidRPr="001759D5">
        <w:rPr>
          <w:color w:val="000000" w:themeColor="text1"/>
          <w:sz w:val="28"/>
          <w:szCs w:val="28"/>
          <w:shd w:val="clear" w:color="auto" w:fill="FFFFFF"/>
        </w:rPr>
        <w:t>по</w:t>
      </w:r>
      <w:r w:rsidRPr="001759D5">
        <w:rPr>
          <w:rStyle w:val="apple-converted-space"/>
          <w:i/>
          <w:color w:val="000000" w:themeColor="text1"/>
          <w:sz w:val="28"/>
          <w:szCs w:val="28"/>
          <w:shd w:val="clear" w:color="auto" w:fill="FFFFFF"/>
        </w:rPr>
        <w:t> </w:t>
      </w:r>
      <w:r w:rsidRPr="001759D5">
        <w:rPr>
          <w:rStyle w:val="afd"/>
          <w:bCs/>
          <w:i w:val="0"/>
          <w:color w:val="000000" w:themeColor="text1"/>
          <w:sz w:val="28"/>
          <w:szCs w:val="28"/>
        </w:rPr>
        <w:t>иммунофармакологии.</w:t>
      </w:r>
      <w:r w:rsidRPr="001759D5">
        <w:rPr>
          <w:i/>
          <w:color w:val="000000" w:themeColor="text1"/>
          <w:sz w:val="28"/>
          <w:szCs w:val="28"/>
          <w:shd w:val="clear" w:color="auto" w:fill="FFFFFF"/>
        </w:rPr>
        <w:t xml:space="preserve"> </w:t>
      </w:r>
      <w:r w:rsidRPr="001759D5">
        <w:rPr>
          <w:color w:val="000000" w:themeColor="text1"/>
          <w:sz w:val="28"/>
          <w:szCs w:val="28"/>
          <w:shd w:val="clear" w:color="auto" w:fill="FFFFFF"/>
        </w:rPr>
        <w:t>Р</w:t>
      </w:r>
      <w:r w:rsidRPr="001759D5">
        <w:rPr>
          <w:i/>
          <w:color w:val="000000" w:themeColor="text1"/>
          <w:sz w:val="28"/>
          <w:szCs w:val="28"/>
          <w:shd w:val="clear" w:color="auto" w:fill="FFFFFF"/>
        </w:rPr>
        <w:t xml:space="preserve">. </w:t>
      </w:r>
      <w:r w:rsidRPr="001759D5">
        <w:rPr>
          <w:color w:val="000000" w:themeColor="text1"/>
          <w:sz w:val="28"/>
          <w:szCs w:val="28"/>
          <w:shd w:val="clear" w:color="auto" w:fill="FFFFFF"/>
        </w:rPr>
        <w:t>84</w:t>
      </w:r>
      <w:r w:rsidRPr="001759D5">
        <w:rPr>
          <w:rStyle w:val="apple-converted-space"/>
          <w:color w:val="000000" w:themeColor="text1"/>
          <w:sz w:val="28"/>
          <w:szCs w:val="28"/>
          <w:shd w:val="clear" w:color="auto" w:fill="FFFFFF"/>
        </w:rPr>
        <w:t> </w:t>
      </w:r>
      <w:r w:rsidRPr="001759D5">
        <w:rPr>
          <w:i/>
          <w:color w:val="000000" w:themeColor="text1"/>
          <w:sz w:val="28"/>
          <w:szCs w:val="28"/>
          <w:shd w:val="clear" w:color="auto" w:fill="FFFFFF"/>
        </w:rPr>
        <w:t xml:space="preserve"> </w:t>
      </w:r>
      <w:r w:rsidRPr="001759D5">
        <w:rPr>
          <w:i/>
          <w:color w:val="000000" w:themeColor="text1"/>
          <w:sz w:val="28"/>
          <w:szCs w:val="28"/>
          <w:shd w:val="clear" w:color="auto" w:fill="FFFFFF"/>
          <w:lang w:val="uk-UA"/>
        </w:rPr>
        <w:t xml:space="preserve">/ </w:t>
      </w:r>
      <w:r w:rsidRPr="001759D5">
        <w:rPr>
          <w:rStyle w:val="afd"/>
          <w:bCs/>
          <w:i w:val="0"/>
          <w:color w:val="000000" w:themeColor="text1"/>
          <w:sz w:val="28"/>
          <w:szCs w:val="28"/>
        </w:rPr>
        <w:t>М</w:t>
      </w:r>
      <w:r w:rsidRPr="001759D5">
        <w:rPr>
          <w:i/>
          <w:color w:val="000000" w:themeColor="text1"/>
          <w:sz w:val="28"/>
          <w:szCs w:val="28"/>
          <w:shd w:val="clear" w:color="auto" w:fill="FFFFFF"/>
        </w:rPr>
        <w:t>.</w:t>
      </w:r>
      <w:r w:rsidRPr="001759D5">
        <w:rPr>
          <w:rStyle w:val="afd"/>
          <w:bCs/>
          <w:i w:val="0"/>
          <w:color w:val="000000" w:themeColor="text1"/>
          <w:sz w:val="28"/>
          <w:szCs w:val="28"/>
        </w:rPr>
        <w:t>М</w:t>
      </w:r>
      <w:r w:rsidRPr="001759D5">
        <w:rPr>
          <w:i/>
          <w:color w:val="000000" w:themeColor="text1"/>
          <w:sz w:val="28"/>
          <w:szCs w:val="28"/>
          <w:shd w:val="clear" w:color="auto" w:fill="FFFFFF"/>
        </w:rPr>
        <w:t>.</w:t>
      </w:r>
      <w:r w:rsidRPr="001759D5">
        <w:rPr>
          <w:rStyle w:val="apple-converted-space"/>
          <w:i/>
          <w:color w:val="000000" w:themeColor="text1"/>
          <w:sz w:val="28"/>
          <w:szCs w:val="28"/>
          <w:shd w:val="clear" w:color="auto" w:fill="FFFFFF"/>
        </w:rPr>
        <w:t> </w:t>
      </w:r>
      <w:r w:rsidRPr="001759D5">
        <w:rPr>
          <w:rStyle w:val="afd"/>
          <w:bCs/>
          <w:i w:val="0"/>
          <w:color w:val="000000" w:themeColor="text1"/>
          <w:sz w:val="28"/>
          <w:szCs w:val="28"/>
        </w:rPr>
        <w:t>Дейла</w:t>
      </w:r>
      <w:r w:rsidRPr="001759D5">
        <w:rPr>
          <w:i/>
          <w:color w:val="000000" w:themeColor="text1"/>
          <w:sz w:val="28"/>
          <w:szCs w:val="28"/>
          <w:shd w:val="clear" w:color="auto" w:fill="FFFFFF"/>
        </w:rPr>
        <w:t>,</w:t>
      </w:r>
      <w:r w:rsidRPr="001759D5">
        <w:rPr>
          <w:rStyle w:val="apple-converted-space"/>
          <w:i/>
          <w:color w:val="000000" w:themeColor="text1"/>
          <w:sz w:val="28"/>
          <w:szCs w:val="28"/>
          <w:shd w:val="clear" w:color="auto" w:fill="FFFFFF"/>
        </w:rPr>
        <w:t> </w:t>
      </w:r>
      <w:r w:rsidRPr="001759D5">
        <w:rPr>
          <w:rStyle w:val="afd"/>
          <w:bCs/>
          <w:i w:val="0"/>
          <w:color w:val="000000" w:themeColor="text1"/>
          <w:sz w:val="28"/>
          <w:szCs w:val="28"/>
        </w:rPr>
        <w:t>Дж</w:t>
      </w:r>
      <w:r w:rsidRPr="001759D5">
        <w:rPr>
          <w:i/>
          <w:color w:val="000000" w:themeColor="text1"/>
          <w:sz w:val="28"/>
          <w:szCs w:val="28"/>
          <w:shd w:val="clear" w:color="auto" w:fill="FFFFFF"/>
        </w:rPr>
        <w:t xml:space="preserve">. </w:t>
      </w:r>
      <w:r w:rsidRPr="001759D5">
        <w:rPr>
          <w:color w:val="000000" w:themeColor="text1"/>
          <w:sz w:val="28"/>
          <w:szCs w:val="28"/>
          <w:shd w:val="clear" w:color="auto" w:fill="FFFFFF"/>
        </w:rPr>
        <w:t>К.</w:t>
      </w:r>
      <w:r w:rsidRPr="001759D5">
        <w:rPr>
          <w:rStyle w:val="apple-converted-space"/>
          <w:i/>
          <w:color w:val="000000" w:themeColor="text1"/>
          <w:sz w:val="28"/>
          <w:szCs w:val="28"/>
          <w:shd w:val="clear" w:color="auto" w:fill="FFFFFF"/>
        </w:rPr>
        <w:t> </w:t>
      </w:r>
      <w:r w:rsidRPr="001759D5">
        <w:rPr>
          <w:rStyle w:val="afd"/>
          <w:bCs/>
          <w:i w:val="0"/>
          <w:color w:val="000000" w:themeColor="text1"/>
          <w:sz w:val="28"/>
          <w:szCs w:val="28"/>
        </w:rPr>
        <w:t>Формена</w:t>
      </w:r>
      <w:r w:rsidRPr="001759D5">
        <w:rPr>
          <w:i/>
          <w:color w:val="000000" w:themeColor="text1"/>
          <w:sz w:val="28"/>
          <w:szCs w:val="28"/>
          <w:shd w:val="clear" w:color="auto" w:fill="FFFFFF"/>
        </w:rPr>
        <w:t xml:space="preserve">; </w:t>
      </w:r>
      <w:r w:rsidRPr="001759D5">
        <w:rPr>
          <w:rStyle w:val="afd"/>
          <w:bCs/>
          <w:i w:val="0"/>
          <w:color w:val="000000" w:themeColor="text1"/>
          <w:sz w:val="28"/>
          <w:szCs w:val="28"/>
          <w:lang w:val="uk-UA"/>
        </w:rPr>
        <w:t>п</w:t>
      </w:r>
      <w:r w:rsidRPr="001759D5">
        <w:rPr>
          <w:rStyle w:val="afd"/>
          <w:bCs/>
          <w:i w:val="0"/>
          <w:color w:val="000000" w:themeColor="text1"/>
          <w:sz w:val="28"/>
          <w:szCs w:val="28"/>
        </w:rPr>
        <w:t>ер</w:t>
      </w:r>
      <w:r w:rsidRPr="001759D5">
        <w:rPr>
          <w:i/>
          <w:color w:val="000000" w:themeColor="text1"/>
          <w:sz w:val="28"/>
          <w:szCs w:val="28"/>
          <w:shd w:val="clear" w:color="auto" w:fill="FFFFFF"/>
        </w:rPr>
        <w:t xml:space="preserve">. </w:t>
      </w:r>
      <w:r w:rsidRPr="001759D5">
        <w:rPr>
          <w:color w:val="000000" w:themeColor="text1"/>
          <w:sz w:val="28"/>
          <w:szCs w:val="28"/>
          <w:shd w:val="clear" w:color="auto" w:fill="FFFFFF"/>
        </w:rPr>
        <w:t>с</w:t>
      </w:r>
      <w:r w:rsidRPr="001759D5">
        <w:rPr>
          <w:rStyle w:val="apple-converted-space"/>
          <w:color w:val="000000" w:themeColor="text1"/>
          <w:sz w:val="28"/>
          <w:szCs w:val="28"/>
          <w:shd w:val="clear" w:color="auto" w:fill="FFFFFF"/>
        </w:rPr>
        <w:t> </w:t>
      </w:r>
      <w:r w:rsidRPr="001759D5">
        <w:rPr>
          <w:rStyle w:val="afd"/>
          <w:bCs/>
          <w:i w:val="0"/>
          <w:color w:val="000000" w:themeColor="text1"/>
          <w:sz w:val="28"/>
          <w:szCs w:val="28"/>
        </w:rPr>
        <w:t>англ</w:t>
      </w:r>
      <w:r w:rsidRPr="001759D5">
        <w:rPr>
          <w:color w:val="000000" w:themeColor="text1"/>
          <w:sz w:val="28"/>
          <w:szCs w:val="28"/>
          <w:shd w:val="clear" w:color="auto" w:fill="FFFFFF"/>
        </w:rPr>
        <w:t xml:space="preserve">. </w:t>
      </w:r>
      <w:r w:rsidRPr="001759D5">
        <w:rPr>
          <w:color w:val="000000" w:themeColor="text1"/>
          <w:sz w:val="28"/>
          <w:szCs w:val="28"/>
          <w:shd w:val="clear" w:color="auto" w:fill="FFFFFF"/>
          <w:lang w:val="uk-UA"/>
        </w:rPr>
        <w:t>п</w:t>
      </w:r>
      <w:r w:rsidRPr="001759D5">
        <w:rPr>
          <w:color w:val="000000" w:themeColor="text1"/>
          <w:sz w:val="28"/>
          <w:szCs w:val="28"/>
          <w:shd w:val="clear" w:color="auto" w:fill="FFFFFF"/>
        </w:rPr>
        <w:t>од ред.</w:t>
      </w:r>
      <w:r w:rsidRPr="001759D5">
        <w:rPr>
          <w:color w:val="000000" w:themeColor="text1"/>
          <w:sz w:val="28"/>
          <w:szCs w:val="28"/>
          <w:shd w:val="clear" w:color="auto" w:fill="FFFFFF"/>
          <w:lang w:val="uk-UA"/>
        </w:rPr>
        <w:t>:</w:t>
      </w:r>
      <w:r w:rsidRPr="001759D5">
        <w:rPr>
          <w:i/>
          <w:color w:val="000000" w:themeColor="text1"/>
          <w:sz w:val="28"/>
          <w:szCs w:val="28"/>
          <w:shd w:val="clear" w:color="auto" w:fill="FFFFFF"/>
          <w:lang w:val="uk-UA"/>
        </w:rPr>
        <w:t xml:space="preserve"> </w:t>
      </w:r>
      <w:r w:rsidRPr="001759D5">
        <w:rPr>
          <w:rStyle w:val="afd"/>
          <w:bCs/>
          <w:i w:val="0"/>
          <w:color w:val="000000" w:themeColor="text1"/>
          <w:sz w:val="28"/>
          <w:szCs w:val="28"/>
        </w:rPr>
        <w:t>М</w:t>
      </w:r>
      <w:r w:rsidRPr="001759D5">
        <w:rPr>
          <w:i/>
          <w:color w:val="000000" w:themeColor="text1"/>
          <w:sz w:val="28"/>
          <w:szCs w:val="28"/>
          <w:shd w:val="clear" w:color="auto" w:fill="FFFFFF"/>
        </w:rPr>
        <w:t>.</w:t>
      </w:r>
      <w:r w:rsidRPr="001759D5">
        <w:rPr>
          <w:rStyle w:val="afd"/>
          <w:bCs/>
          <w:i w:val="0"/>
          <w:color w:val="000000" w:themeColor="text1"/>
          <w:sz w:val="28"/>
          <w:szCs w:val="28"/>
        </w:rPr>
        <w:t>М</w:t>
      </w:r>
      <w:r w:rsidRPr="001759D5">
        <w:rPr>
          <w:i/>
          <w:color w:val="000000" w:themeColor="text1"/>
          <w:sz w:val="28"/>
          <w:szCs w:val="28"/>
          <w:shd w:val="clear" w:color="auto" w:fill="FFFFFF"/>
        </w:rPr>
        <w:t>.</w:t>
      </w:r>
      <w:r w:rsidRPr="001759D5">
        <w:rPr>
          <w:rStyle w:val="apple-converted-space"/>
          <w:i/>
          <w:color w:val="000000" w:themeColor="text1"/>
          <w:sz w:val="28"/>
          <w:szCs w:val="28"/>
          <w:shd w:val="clear" w:color="auto" w:fill="FFFFFF"/>
        </w:rPr>
        <w:t> </w:t>
      </w:r>
      <w:r w:rsidRPr="001759D5">
        <w:rPr>
          <w:rStyle w:val="afd"/>
          <w:bCs/>
          <w:i w:val="0"/>
          <w:color w:val="000000" w:themeColor="text1"/>
          <w:sz w:val="28"/>
          <w:szCs w:val="28"/>
        </w:rPr>
        <w:t>Дейла</w:t>
      </w:r>
      <w:r w:rsidRPr="001759D5">
        <w:rPr>
          <w:i/>
          <w:color w:val="000000" w:themeColor="text1"/>
          <w:sz w:val="28"/>
          <w:szCs w:val="28"/>
          <w:shd w:val="clear" w:color="auto" w:fill="FFFFFF"/>
        </w:rPr>
        <w:t>,</w:t>
      </w:r>
      <w:r w:rsidRPr="001759D5">
        <w:rPr>
          <w:rStyle w:val="apple-converted-space"/>
          <w:i/>
          <w:color w:val="000000" w:themeColor="text1"/>
          <w:sz w:val="28"/>
          <w:szCs w:val="28"/>
          <w:shd w:val="clear" w:color="auto" w:fill="FFFFFF"/>
        </w:rPr>
        <w:t> </w:t>
      </w:r>
      <w:r w:rsidRPr="001759D5">
        <w:rPr>
          <w:rStyle w:val="afd"/>
          <w:bCs/>
          <w:i w:val="0"/>
          <w:color w:val="000000" w:themeColor="text1"/>
          <w:sz w:val="28"/>
          <w:szCs w:val="28"/>
        </w:rPr>
        <w:t>Дж</w:t>
      </w:r>
      <w:r w:rsidRPr="001759D5">
        <w:rPr>
          <w:i/>
          <w:color w:val="000000" w:themeColor="text1"/>
          <w:sz w:val="28"/>
          <w:szCs w:val="28"/>
          <w:shd w:val="clear" w:color="auto" w:fill="FFFFFF"/>
        </w:rPr>
        <w:t xml:space="preserve">. </w:t>
      </w:r>
      <w:r w:rsidRPr="001759D5">
        <w:rPr>
          <w:color w:val="000000" w:themeColor="text1"/>
          <w:sz w:val="28"/>
          <w:szCs w:val="28"/>
          <w:shd w:val="clear" w:color="auto" w:fill="FFFFFF"/>
        </w:rPr>
        <w:t>К.</w:t>
      </w:r>
      <w:r w:rsidRPr="001759D5">
        <w:rPr>
          <w:rStyle w:val="apple-converted-space"/>
          <w:color w:val="000000" w:themeColor="text1"/>
          <w:sz w:val="28"/>
          <w:szCs w:val="28"/>
          <w:shd w:val="clear" w:color="auto" w:fill="FFFFFF"/>
        </w:rPr>
        <w:t> </w:t>
      </w:r>
      <w:r w:rsidRPr="001759D5">
        <w:rPr>
          <w:rStyle w:val="afd"/>
          <w:bCs/>
          <w:i w:val="0"/>
          <w:color w:val="000000" w:themeColor="text1"/>
          <w:sz w:val="28"/>
          <w:szCs w:val="28"/>
        </w:rPr>
        <w:t>Формена</w:t>
      </w:r>
      <w:r w:rsidRPr="001759D5">
        <w:rPr>
          <w:rStyle w:val="afd"/>
          <w:bCs/>
          <w:i w:val="0"/>
          <w:color w:val="000000" w:themeColor="text1"/>
          <w:sz w:val="28"/>
          <w:szCs w:val="28"/>
          <w:lang w:val="uk-UA"/>
        </w:rPr>
        <w:t>. -</w:t>
      </w:r>
      <w:r w:rsidRPr="001759D5">
        <w:rPr>
          <w:i/>
          <w:color w:val="000000" w:themeColor="text1"/>
          <w:sz w:val="28"/>
          <w:szCs w:val="28"/>
          <w:shd w:val="clear" w:color="auto" w:fill="FFFFFF"/>
          <w:lang w:val="uk-UA"/>
        </w:rPr>
        <w:t xml:space="preserve"> </w:t>
      </w:r>
      <w:r w:rsidRPr="001759D5">
        <w:rPr>
          <w:color w:val="000000" w:themeColor="text1"/>
          <w:sz w:val="28"/>
          <w:szCs w:val="28"/>
          <w:shd w:val="clear" w:color="auto" w:fill="FFFFFF"/>
        </w:rPr>
        <w:t>М:</w:t>
      </w:r>
      <w:r w:rsidRPr="001759D5">
        <w:rPr>
          <w:rStyle w:val="apple-converted-space"/>
          <w:i/>
          <w:color w:val="000000" w:themeColor="text1"/>
          <w:sz w:val="28"/>
          <w:szCs w:val="28"/>
          <w:shd w:val="clear" w:color="auto" w:fill="FFFFFF"/>
        </w:rPr>
        <w:t> </w:t>
      </w:r>
      <w:r w:rsidRPr="001759D5">
        <w:rPr>
          <w:rStyle w:val="afd"/>
          <w:bCs/>
          <w:i w:val="0"/>
          <w:color w:val="000000" w:themeColor="text1"/>
          <w:sz w:val="28"/>
          <w:szCs w:val="28"/>
        </w:rPr>
        <w:t>Медицина</w:t>
      </w:r>
      <w:r w:rsidRPr="001759D5">
        <w:rPr>
          <w:i/>
          <w:color w:val="000000" w:themeColor="text1"/>
          <w:sz w:val="28"/>
          <w:szCs w:val="28"/>
          <w:shd w:val="clear" w:color="auto" w:fill="FFFFFF"/>
          <w:lang w:val="uk-UA"/>
        </w:rPr>
        <w:t xml:space="preserve">, </w:t>
      </w:r>
      <w:r w:rsidRPr="001759D5">
        <w:rPr>
          <w:rStyle w:val="afd"/>
          <w:bCs/>
          <w:i w:val="0"/>
          <w:color w:val="000000" w:themeColor="text1"/>
          <w:sz w:val="28"/>
          <w:szCs w:val="28"/>
        </w:rPr>
        <w:t>1998. - 332 с</w:t>
      </w:r>
      <w:r w:rsidRPr="001759D5">
        <w:rPr>
          <w:i/>
          <w:color w:val="000000" w:themeColor="text1"/>
          <w:sz w:val="28"/>
          <w:szCs w:val="28"/>
          <w:shd w:val="clear" w:color="auto" w:fill="FFFFFF"/>
        </w:rPr>
        <w:t xml:space="preserve">. </w:t>
      </w:r>
      <w:r w:rsidRPr="001759D5">
        <w:rPr>
          <w:color w:val="000000" w:themeColor="text1"/>
          <w:sz w:val="28"/>
          <w:szCs w:val="28"/>
          <w:shd w:val="clear" w:color="auto" w:fill="FFFFFF"/>
        </w:rPr>
        <w:t>ISBN 5-225-00567-5.</w:t>
      </w:r>
    </w:p>
    <w:p w14:paraId="0DC8A701" w14:textId="6B317E5B" w:rsidR="00B85935" w:rsidRPr="001759D5" w:rsidRDefault="00B85935" w:rsidP="001759D5">
      <w:pPr>
        <w:pStyle w:val="af0"/>
        <w:numPr>
          <w:ilvl w:val="0"/>
          <w:numId w:val="48"/>
        </w:numPr>
        <w:spacing w:line="360" w:lineRule="auto"/>
        <w:ind w:left="0" w:firstLine="0"/>
        <w:jc w:val="both"/>
        <w:rPr>
          <w:color w:val="000000" w:themeColor="text1"/>
          <w:sz w:val="28"/>
          <w:szCs w:val="28"/>
          <w:lang w:val="en-US"/>
        </w:rPr>
      </w:pPr>
      <w:r w:rsidRPr="001759D5">
        <w:rPr>
          <w:color w:val="000000" w:themeColor="text1"/>
          <w:sz w:val="28"/>
          <w:szCs w:val="28"/>
          <w:shd w:val="clear" w:color="auto" w:fill="FFFFFF"/>
          <w:lang w:val="en-US"/>
        </w:rPr>
        <w:t xml:space="preserve">Mihaly B.E. Quantitative characterization of a repeated acute joint inflammation model in rats. / Mihaly B.E., Peter-Szabo M., Gabriella G. Kekesi. // Clinical and Experimental Pharmacology and Physiology. – 2007. – Vol. 5. – </w:t>
      </w:r>
      <w:r w:rsidRPr="001759D5">
        <w:rPr>
          <w:color w:val="000000" w:themeColor="text1"/>
          <w:sz w:val="28"/>
          <w:szCs w:val="28"/>
          <w:shd w:val="clear" w:color="auto" w:fill="FFFFFF"/>
        </w:rPr>
        <w:t>С</w:t>
      </w:r>
      <w:r w:rsidRPr="001759D5">
        <w:rPr>
          <w:color w:val="000000" w:themeColor="text1"/>
          <w:sz w:val="28"/>
          <w:szCs w:val="28"/>
          <w:shd w:val="clear" w:color="auto" w:fill="FFFFFF"/>
          <w:lang w:val="en-US"/>
        </w:rPr>
        <w:t>. 10–45.</w:t>
      </w:r>
    </w:p>
    <w:p w14:paraId="65BB8669" w14:textId="64C95B2C" w:rsidR="00B85935" w:rsidRPr="001759D5" w:rsidRDefault="00B85935" w:rsidP="001759D5">
      <w:pPr>
        <w:pStyle w:val="af0"/>
        <w:numPr>
          <w:ilvl w:val="0"/>
          <w:numId w:val="48"/>
        </w:numPr>
        <w:spacing w:line="360" w:lineRule="auto"/>
        <w:ind w:left="0" w:firstLine="0"/>
        <w:jc w:val="both"/>
        <w:rPr>
          <w:color w:val="000000" w:themeColor="text1"/>
          <w:sz w:val="28"/>
          <w:szCs w:val="28"/>
        </w:rPr>
      </w:pPr>
      <w:r w:rsidRPr="001759D5">
        <w:rPr>
          <w:color w:val="000000" w:themeColor="text1"/>
          <w:sz w:val="28"/>
          <w:szCs w:val="28"/>
          <w:shd w:val="clear" w:color="auto" w:fill="FFFFFF"/>
        </w:rPr>
        <w:t xml:space="preserve">Оценка противовоспалительного действия комбинированного препарата на модели каррагинанового отека у крыс линии Вистар. / Рыдловская А.В.,, Макарова М.Н., Макаров В.Г., та ін.]. // Вестник Санкт-Петербургской государственной медицинской академии им И.И. Мечникова. – 2006. – </w:t>
      </w:r>
      <w:r w:rsidRPr="001759D5">
        <w:rPr>
          <w:color w:val="000000" w:themeColor="text1"/>
          <w:sz w:val="28"/>
          <w:szCs w:val="28"/>
          <w:shd w:val="clear" w:color="auto" w:fill="FFFFFF"/>
          <w:lang w:val="en-US"/>
        </w:rPr>
        <w:t>T</w:t>
      </w:r>
      <w:r w:rsidRPr="001759D5">
        <w:rPr>
          <w:color w:val="000000" w:themeColor="text1"/>
          <w:sz w:val="28"/>
          <w:szCs w:val="28"/>
          <w:shd w:val="clear" w:color="auto" w:fill="FFFFFF"/>
        </w:rPr>
        <w:t xml:space="preserve">. 2, </w:t>
      </w:r>
      <w:r w:rsidRPr="001759D5">
        <w:rPr>
          <w:color w:val="000000" w:themeColor="text1"/>
          <w:sz w:val="28"/>
          <w:szCs w:val="28"/>
          <w:shd w:val="clear" w:color="auto" w:fill="FFFFFF"/>
          <w:lang w:val="uk-UA"/>
        </w:rPr>
        <w:t>№</w:t>
      </w:r>
      <w:r w:rsidRPr="001759D5">
        <w:rPr>
          <w:color w:val="000000" w:themeColor="text1"/>
          <w:sz w:val="28"/>
          <w:szCs w:val="28"/>
          <w:shd w:val="clear" w:color="auto" w:fill="FFFFFF"/>
        </w:rPr>
        <w:t>3. – С. 236.</w:t>
      </w:r>
    </w:p>
    <w:p w14:paraId="66205B0F" w14:textId="1BBB9967" w:rsidR="00B85935" w:rsidRPr="001759D5" w:rsidRDefault="00B85935" w:rsidP="001759D5">
      <w:pPr>
        <w:pStyle w:val="af0"/>
        <w:numPr>
          <w:ilvl w:val="0"/>
          <w:numId w:val="48"/>
        </w:numPr>
        <w:spacing w:line="360" w:lineRule="auto"/>
        <w:ind w:left="0" w:firstLine="0"/>
        <w:jc w:val="both"/>
        <w:rPr>
          <w:color w:val="000000" w:themeColor="text1"/>
          <w:sz w:val="28"/>
          <w:szCs w:val="28"/>
          <w:lang w:val="en-US"/>
        </w:rPr>
      </w:pPr>
      <w:r w:rsidRPr="001759D5">
        <w:rPr>
          <w:color w:val="000000" w:themeColor="text1"/>
          <w:sz w:val="28"/>
          <w:szCs w:val="28"/>
          <w:shd w:val="clear" w:color="auto" w:fill="FFFFFF"/>
          <w:lang w:val="en-US"/>
        </w:rPr>
        <w:t xml:space="preserve">Differential contribution of the two phases of the formalin test to the pattern of c-fos expression in the rat spinal cord: studies with remifentanil and lidocaine / Abbadie C., Taylor B.K., Peterson M.A. </w:t>
      </w:r>
      <w:r w:rsidRPr="001759D5">
        <w:rPr>
          <w:color w:val="000000" w:themeColor="text1"/>
          <w:sz w:val="28"/>
          <w:szCs w:val="28"/>
          <w:shd w:val="clear" w:color="auto" w:fill="FFFFFF"/>
        </w:rPr>
        <w:t>та</w:t>
      </w:r>
      <w:r w:rsidRPr="001759D5">
        <w:rPr>
          <w:color w:val="000000" w:themeColor="text1"/>
          <w:sz w:val="28"/>
          <w:szCs w:val="28"/>
          <w:shd w:val="clear" w:color="auto" w:fill="FFFFFF"/>
          <w:lang w:val="en-US"/>
        </w:rPr>
        <w:t xml:space="preserve"> </w:t>
      </w:r>
      <w:r w:rsidRPr="001759D5">
        <w:rPr>
          <w:color w:val="000000" w:themeColor="text1"/>
          <w:sz w:val="28"/>
          <w:szCs w:val="28"/>
          <w:shd w:val="clear" w:color="auto" w:fill="FFFFFF"/>
        </w:rPr>
        <w:t>ін</w:t>
      </w:r>
      <w:r w:rsidRPr="001759D5">
        <w:rPr>
          <w:color w:val="000000" w:themeColor="text1"/>
          <w:sz w:val="28"/>
          <w:szCs w:val="28"/>
          <w:shd w:val="clear" w:color="auto" w:fill="FFFFFF"/>
          <w:lang w:val="en-US"/>
        </w:rPr>
        <w:t xml:space="preserve">.]. // Pain. – 1997. – №69. – </w:t>
      </w:r>
      <w:r w:rsidRPr="001759D5">
        <w:rPr>
          <w:color w:val="000000" w:themeColor="text1"/>
          <w:sz w:val="28"/>
          <w:szCs w:val="28"/>
          <w:shd w:val="clear" w:color="auto" w:fill="FFFFFF"/>
        </w:rPr>
        <w:t>С</w:t>
      </w:r>
      <w:r w:rsidRPr="001759D5">
        <w:rPr>
          <w:color w:val="000000" w:themeColor="text1"/>
          <w:sz w:val="28"/>
          <w:szCs w:val="28"/>
          <w:shd w:val="clear" w:color="auto" w:fill="FFFFFF"/>
          <w:lang w:val="en-US"/>
        </w:rPr>
        <w:t>. 101–110.</w:t>
      </w:r>
    </w:p>
    <w:p w14:paraId="02524464" w14:textId="06F8C5E9"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lang w:val="en-US"/>
        </w:rPr>
        <w:t xml:space="preserve">Fritz </w:t>
      </w:r>
      <w:r w:rsidRPr="001759D5">
        <w:rPr>
          <w:color w:val="000000"/>
          <w:sz w:val="28"/>
          <w:szCs w:val="28"/>
          <w:shd w:val="clear" w:color="auto" w:fill="FFFFFF"/>
        </w:rPr>
        <w:t>Н</w:t>
      </w:r>
      <w:r w:rsidRPr="001759D5">
        <w:rPr>
          <w:color w:val="000000"/>
          <w:sz w:val="28"/>
          <w:szCs w:val="28"/>
          <w:shd w:val="clear" w:color="auto" w:fill="FFFFFF"/>
          <w:lang w:val="en-US"/>
        </w:rPr>
        <w:t xml:space="preserve">. </w:t>
      </w:r>
      <w:r w:rsidRPr="001759D5">
        <w:rPr>
          <w:color w:val="000000"/>
          <w:sz w:val="28"/>
          <w:szCs w:val="28"/>
          <w:shd w:val="clear" w:color="auto" w:fill="FFFFFF"/>
        </w:rPr>
        <w:t>Т</w:t>
      </w:r>
      <w:r w:rsidRPr="001759D5">
        <w:rPr>
          <w:color w:val="000000"/>
          <w:sz w:val="28"/>
          <w:szCs w:val="28"/>
          <w:shd w:val="clear" w:color="auto" w:fill="FFFFFF"/>
          <w:lang w:val="en-US"/>
        </w:rPr>
        <w:t>rypsin-plasmin inhibitors (b dellins) from l</w:t>
      </w:r>
      <w:r w:rsidRPr="001759D5">
        <w:rPr>
          <w:color w:val="000000"/>
          <w:sz w:val="28"/>
          <w:szCs w:val="28"/>
          <w:shd w:val="clear" w:color="auto" w:fill="FFFFFF"/>
        </w:rPr>
        <w:t>еес</w:t>
      </w:r>
      <w:r w:rsidRPr="001759D5">
        <w:rPr>
          <w:color w:val="000000"/>
          <w:sz w:val="28"/>
          <w:szCs w:val="28"/>
          <w:shd w:val="clear" w:color="auto" w:fill="FFFFFF"/>
          <w:lang w:val="en-US"/>
        </w:rPr>
        <w:t xml:space="preserve">hes. / Fritz </w:t>
      </w:r>
      <w:r w:rsidRPr="001759D5">
        <w:rPr>
          <w:color w:val="000000"/>
          <w:sz w:val="28"/>
          <w:szCs w:val="28"/>
          <w:shd w:val="clear" w:color="auto" w:fill="FFFFFF"/>
        </w:rPr>
        <w:t>Н</w:t>
      </w:r>
      <w:r w:rsidRPr="001759D5">
        <w:rPr>
          <w:color w:val="000000"/>
          <w:sz w:val="28"/>
          <w:szCs w:val="28"/>
          <w:shd w:val="clear" w:color="auto" w:fill="FFFFFF"/>
          <w:lang w:val="en-US"/>
        </w:rPr>
        <w:t xml:space="preserve">.. // </w:t>
      </w:r>
      <w:r w:rsidRPr="001759D5">
        <w:rPr>
          <w:color w:val="000000"/>
          <w:sz w:val="28"/>
          <w:szCs w:val="28"/>
          <w:shd w:val="clear" w:color="auto" w:fill="FFFFFF"/>
        </w:rPr>
        <w:t>Ме</w:t>
      </w:r>
      <w:r w:rsidRPr="001759D5">
        <w:rPr>
          <w:color w:val="000000"/>
          <w:sz w:val="28"/>
          <w:szCs w:val="28"/>
          <w:shd w:val="clear" w:color="auto" w:fill="FFFFFF"/>
          <w:lang w:val="en-US"/>
        </w:rPr>
        <w:t xml:space="preserve">th. </w:t>
      </w:r>
      <w:r w:rsidRPr="001759D5">
        <w:rPr>
          <w:color w:val="000000"/>
          <w:sz w:val="28"/>
          <w:szCs w:val="28"/>
          <w:shd w:val="clear" w:color="auto" w:fill="FFFFFF"/>
        </w:rPr>
        <w:t>Е</w:t>
      </w:r>
      <w:r w:rsidRPr="001759D5">
        <w:rPr>
          <w:color w:val="000000"/>
          <w:sz w:val="28"/>
          <w:szCs w:val="28"/>
          <w:shd w:val="clear" w:color="auto" w:fill="FFFFFF"/>
          <w:lang w:val="en-US"/>
        </w:rPr>
        <w:t xml:space="preserve">nzymol. – 1976. – №45. – </w:t>
      </w:r>
      <w:r w:rsidRPr="001759D5">
        <w:rPr>
          <w:color w:val="000000"/>
          <w:sz w:val="28"/>
          <w:szCs w:val="28"/>
          <w:shd w:val="clear" w:color="auto" w:fill="FFFFFF"/>
        </w:rPr>
        <w:t>С</w:t>
      </w:r>
      <w:r w:rsidRPr="001759D5">
        <w:rPr>
          <w:color w:val="000000"/>
          <w:sz w:val="28"/>
          <w:szCs w:val="28"/>
          <w:shd w:val="clear" w:color="auto" w:fill="FFFFFF"/>
          <w:lang w:val="en-US"/>
        </w:rPr>
        <w:t>. 797–806.</w:t>
      </w:r>
    </w:p>
    <w:p w14:paraId="2916600F" w14:textId="10CD25AF" w:rsidR="00B85935" w:rsidRPr="001759D5" w:rsidRDefault="00B85935" w:rsidP="001759D5">
      <w:pPr>
        <w:pStyle w:val="af0"/>
        <w:numPr>
          <w:ilvl w:val="0"/>
          <w:numId w:val="48"/>
        </w:numPr>
        <w:spacing w:line="360" w:lineRule="auto"/>
        <w:ind w:left="0" w:firstLine="0"/>
        <w:jc w:val="both"/>
        <w:rPr>
          <w:color w:val="000000" w:themeColor="text1"/>
          <w:sz w:val="28"/>
          <w:szCs w:val="28"/>
          <w:lang w:val="en-US"/>
        </w:rPr>
      </w:pPr>
      <w:r w:rsidRPr="001759D5">
        <w:rPr>
          <w:color w:val="000000" w:themeColor="text1"/>
          <w:sz w:val="28"/>
          <w:szCs w:val="28"/>
          <w:shd w:val="clear" w:color="auto" w:fill="FFFFFF"/>
          <w:lang w:val="en-US"/>
        </w:rPr>
        <w:lastRenderedPageBreak/>
        <w:t xml:space="preserve">Connelly W. M. The histamine H4 receptor is functionally ex-pressed on neurons in the mammalian CNS / Connelly W. M., Shenton F. C., Lethbridge N.. // Br J Pharmacol. – 2009. – Vol. 157, </w:t>
      </w:r>
      <w:r w:rsidRPr="001759D5">
        <w:rPr>
          <w:color w:val="000000" w:themeColor="text1"/>
          <w:sz w:val="28"/>
          <w:szCs w:val="28"/>
          <w:shd w:val="clear" w:color="auto" w:fill="FFFFFF"/>
          <w:lang w:val="uk-UA"/>
        </w:rPr>
        <w:t>№1.</w:t>
      </w:r>
      <w:r w:rsidRPr="001759D5">
        <w:rPr>
          <w:color w:val="000000" w:themeColor="text1"/>
          <w:sz w:val="28"/>
          <w:szCs w:val="28"/>
          <w:shd w:val="clear" w:color="auto" w:fill="FFFFFF"/>
          <w:lang w:val="en-US"/>
        </w:rPr>
        <w:t xml:space="preserve"> – </w:t>
      </w:r>
      <w:r w:rsidRPr="001759D5">
        <w:rPr>
          <w:color w:val="000000" w:themeColor="text1"/>
          <w:sz w:val="28"/>
          <w:szCs w:val="28"/>
          <w:shd w:val="clear" w:color="auto" w:fill="FFFFFF"/>
        </w:rPr>
        <w:t>С</w:t>
      </w:r>
      <w:r w:rsidRPr="001759D5">
        <w:rPr>
          <w:color w:val="000000" w:themeColor="text1"/>
          <w:sz w:val="28"/>
          <w:szCs w:val="28"/>
          <w:shd w:val="clear" w:color="auto" w:fill="FFFFFF"/>
          <w:lang w:val="en-US"/>
        </w:rPr>
        <w:t>. 55–63.</w:t>
      </w:r>
    </w:p>
    <w:p w14:paraId="5A6FEDFA" w14:textId="292B5A3B" w:rsidR="00B85935" w:rsidRPr="001759D5" w:rsidRDefault="00B85935" w:rsidP="001759D5">
      <w:pPr>
        <w:pStyle w:val="af0"/>
        <w:numPr>
          <w:ilvl w:val="0"/>
          <w:numId w:val="48"/>
        </w:numPr>
        <w:spacing w:line="360" w:lineRule="auto"/>
        <w:ind w:left="0" w:firstLine="0"/>
        <w:jc w:val="both"/>
        <w:rPr>
          <w:color w:val="000000" w:themeColor="text1"/>
          <w:sz w:val="28"/>
          <w:szCs w:val="28"/>
          <w:lang w:val="en-US"/>
        </w:rPr>
      </w:pPr>
      <w:r w:rsidRPr="001759D5">
        <w:rPr>
          <w:color w:val="000000" w:themeColor="text1"/>
          <w:sz w:val="28"/>
          <w:szCs w:val="28"/>
          <w:shd w:val="clear" w:color="auto" w:fill="FFFFFF"/>
          <w:lang w:val="en-US"/>
        </w:rPr>
        <w:t xml:space="preserve">Novel Pyrogen Tests Based on the Human Fever Reaction. / Hartung T., Aaberge I., Berthold S. </w:t>
      </w:r>
      <w:r w:rsidRPr="001759D5">
        <w:rPr>
          <w:color w:val="000000" w:themeColor="text1"/>
          <w:sz w:val="28"/>
          <w:szCs w:val="28"/>
          <w:shd w:val="clear" w:color="auto" w:fill="FFFFFF"/>
        </w:rPr>
        <w:t>та</w:t>
      </w:r>
      <w:r w:rsidRPr="001759D5">
        <w:rPr>
          <w:color w:val="000000" w:themeColor="text1"/>
          <w:sz w:val="28"/>
          <w:szCs w:val="28"/>
          <w:shd w:val="clear" w:color="auto" w:fill="FFFFFF"/>
          <w:lang w:val="en-US"/>
        </w:rPr>
        <w:t xml:space="preserve"> </w:t>
      </w:r>
      <w:r w:rsidRPr="001759D5">
        <w:rPr>
          <w:color w:val="000000" w:themeColor="text1"/>
          <w:sz w:val="28"/>
          <w:szCs w:val="28"/>
          <w:shd w:val="clear" w:color="auto" w:fill="FFFFFF"/>
        </w:rPr>
        <w:t>ін</w:t>
      </w:r>
      <w:r w:rsidRPr="001759D5">
        <w:rPr>
          <w:color w:val="000000" w:themeColor="text1"/>
          <w:sz w:val="28"/>
          <w:szCs w:val="28"/>
          <w:shd w:val="clear" w:color="auto" w:fill="FFFFFF"/>
          <w:lang w:val="en-US"/>
        </w:rPr>
        <w:t xml:space="preserve">.]. // ATLA. – 2001. – №29. – </w:t>
      </w:r>
      <w:r w:rsidRPr="001759D5">
        <w:rPr>
          <w:color w:val="000000" w:themeColor="text1"/>
          <w:sz w:val="28"/>
          <w:szCs w:val="28"/>
          <w:shd w:val="clear" w:color="auto" w:fill="FFFFFF"/>
        </w:rPr>
        <w:t>С</w:t>
      </w:r>
      <w:r w:rsidRPr="001759D5">
        <w:rPr>
          <w:color w:val="000000" w:themeColor="text1"/>
          <w:sz w:val="28"/>
          <w:szCs w:val="28"/>
          <w:shd w:val="clear" w:color="auto" w:fill="FFFFFF"/>
          <w:lang w:val="en-US"/>
        </w:rPr>
        <w:t>. 99–123.</w:t>
      </w:r>
    </w:p>
    <w:p w14:paraId="13096817" w14:textId="7F3150FD" w:rsidR="00B85935" w:rsidRPr="001759D5" w:rsidRDefault="00B85935" w:rsidP="001759D5">
      <w:pPr>
        <w:pStyle w:val="af0"/>
        <w:numPr>
          <w:ilvl w:val="0"/>
          <w:numId w:val="48"/>
        </w:numPr>
        <w:spacing w:line="360" w:lineRule="auto"/>
        <w:ind w:left="0" w:firstLine="0"/>
        <w:jc w:val="both"/>
        <w:rPr>
          <w:color w:val="000000" w:themeColor="text1"/>
          <w:sz w:val="28"/>
          <w:szCs w:val="28"/>
        </w:rPr>
      </w:pPr>
      <w:r w:rsidRPr="001759D5">
        <w:rPr>
          <w:color w:val="000000" w:themeColor="text1"/>
          <w:sz w:val="28"/>
          <w:szCs w:val="28"/>
          <w:shd w:val="clear" w:color="auto" w:fill="FFFFFF"/>
          <w:lang w:val="en-US"/>
        </w:rPr>
        <w:t>Anthony W. Bannon. Models of Nociception: Hot</w:t>
      </w:r>
      <w:r w:rsidRPr="001759D5">
        <w:rPr>
          <w:rFonts w:ascii="Cambria Math" w:hAnsi="Cambria Math" w:cs="Cambria Math"/>
          <w:color w:val="000000" w:themeColor="text1"/>
          <w:sz w:val="28"/>
          <w:szCs w:val="28"/>
          <w:shd w:val="clear" w:color="auto" w:fill="FFFFFF"/>
          <w:lang w:val="en-US"/>
        </w:rPr>
        <w:t>‐</w:t>
      </w:r>
      <w:r w:rsidRPr="001759D5">
        <w:rPr>
          <w:color w:val="000000" w:themeColor="text1"/>
          <w:sz w:val="28"/>
          <w:szCs w:val="28"/>
          <w:shd w:val="clear" w:color="auto" w:fill="FFFFFF"/>
          <w:lang w:val="en-US"/>
        </w:rPr>
        <w:t>Plate, Tail</w:t>
      </w:r>
      <w:r w:rsidRPr="001759D5">
        <w:rPr>
          <w:rFonts w:ascii="Cambria Math" w:hAnsi="Cambria Math" w:cs="Cambria Math"/>
          <w:color w:val="000000" w:themeColor="text1"/>
          <w:sz w:val="28"/>
          <w:szCs w:val="28"/>
          <w:shd w:val="clear" w:color="auto" w:fill="FFFFFF"/>
          <w:lang w:val="en-US"/>
        </w:rPr>
        <w:t>‐</w:t>
      </w:r>
      <w:r w:rsidRPr="001759D5">
        <w:rPr>
          <w:color w:val="000000" w:themeColor="text1"/>
          <w:sz w:val="28"/>
          <w:szCs w:val="28"/>
          <w:shd w:val="clear" w:color="auto" w:fill="FFFFFF"/>
          <w:lang w:val="en-US"/>
        </w:rPr>
        <w:t>Flick, and Formalin Tests in Rodents [</w:t>
      </w:r>
      <w:r w:rsidRPr="001759D5">
        <w:rPr>
          <w:color w:val="000000" w:themeColor="text1"/>
          <w:sz w:val="28"/>
          <w:szCs w:val="28"/>
          <w:shd w:val="clear" w:color="auto" w:fill="FFFFFF"/>
        </w:rPr>
        <w:t>Електронний</w:t>
      </w:r>
      <w:r w:rsidRPr="001759D5">
        <w:rPr>
          <w:color w:val="000000" w:themeColor="text1"/>
          <w:sz w:val="28"/>
          <w:szCs w:val="28"/>
          <w:shd w:val="clear" w:color="auto" w:fill="FFFFFF"/>
          <w:lang w:val="en-US"/>
        </w:rPr>
        <w:t xml:space="preserve"> </w:t>
      </w:r>
      <w:r w:rsidRPr="001759D5">
        <w:rPr>
          <w:color w:val="000000" w:themeColor="text1"/>
          <w:sz w:val="28"/>
          <w:szCs w:val="28"/>
          <w:shd w:val="clear" w:color="auto" w:fill="FFFFFF"/>
        </w:rPr>
        <w:t>ресурс</w:t>
      </w:r>
      <w:r w:rsidRPr="001759D5">
        <w:rPr>
          <w:color w:val="000000" w:themeColor="text1"/>
          <w:sz w:val="28"/>
          <w:szCs w:val="28"/>
          <w:shd w:val="clear" w:color="auto" w:fill="FFFFFF"/>
          <w:lang w:val="en-US"/>
        </w:rPr>
        <w:t xml:space="preserve">] / Anthony W. Bannon, Annika B. Malmberg // Curr. </w:t>
      </w:r>
      <w:r w:rsidRPr="001759D5">
        <w:rPr>
          <w:color w:val="000000" w:themeColor="text1"/>
          <w:sz w:val="28"/>
          <w:szCs w:val="28"/>
          <w:shd w:val="clear" w:color="auto" w:fill="FFFFFF"/>
        </w:rPr>
        <w:t>Protoc. Neurosci.. – 2007. – Режим доступу до ресурсу: https://doi.org/10.1002/0471142301.ns0809s41.</w:t>
      </w:r>
    </w:p>
    <w:p w14:paraId="6AEAECC8" w14:textId="21FCE5A9" w:rsidR="00B85935" w:rsidRPr="001759D5" w:rsidRDefault="00B85935" w:rsidP="001759D5">
      <w:pPr>
        <w:pStyle w:val="af0"/>
        <w:numPr>
          <w:ilvl w:val="0"/>
          <w:numId w:val="48"/>
        </w:numPr>
        <w:spacing w:line="360" w:lineRule="auto"/>
        <w:ind w:left="0" w:firstLine="0"/>
        <w:jc w:val="both"/>
        <w:rPr>
          <w:color w:val="000000" w:themeColor="text1"/>
          <w:sz w:val="28"/>
          <w:szCs w:val="28"/>
        </w:rPr>
      </w:pPr>
      <w:r w:rsidRPr="001759D5">
        <w:rPr>
          <w:color w:val="000000" w:themeColor="text1"/>
          <w:sz w:val="28"/>
          <w:szCs w:val="28"/>
          <w:shd w:val="clear" w:color="auto" w:fill="FFFFFF"/>
        </w:rPr>
        <w:t>Hot Water Tail Immersion Test [Електронний ресурс] / Lani Tieu, Brent Boomhower, Olivier George та ін.] // protocols.io. – 2020. – Режим доступу до ресурсу: https://protocols.io/view/hot-water-tail-immersion-test-bhxbj7in.</w:t>
      </w:r>
    </w:p>
    <w:p w14:paraId="518A97DC" w14:textId="5DAE2A3B"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lang w:val="en-US"/>
        </w:rPr>
        <w:t xml:space="preserve">Spatial and temporal profiles of flareand hyperalgesia after intradermal capsaicin / Sumikura H., Andersen O.K., Drewes A.M., Arendt-Nielsen L.. // Pain. – 2003. – №105. – </w:t>
      </w:r>
      <w:r w:rsidRPr="001759D5">
        <w:rPr>
          <w:color w:val="000000"/>
          <w:sz w:val="28"/>
          <w:szCs w:val="28"/>
          <w:shd w:val="clear" w:color="auto" w:fill="FFFFFF"/>
        </w:rPr>
        <w:t>С</w:t>
      </w:r>
      <w:r w:rsidRPr="001759D5">
        <w:rPr>
          <w:color w:val="000000"/>
          <w:sz w:val="28"/>
          <w:szCs w:val="28"/>
          <w:shd w:val="clear" w:color="auto" w:fill="FFFFFF"/>
          <w:lang w:val="en-US"/>
        </w:rPr>
        <w:t>. 285–291.</w:t>
      </w:r>
    </w:p>
    <w:p w14:paraId="4CF0BFA4" w14:textId="7D9712BD" w:rsidR="00B85935" w:rsidRPr="001759D5" w:rsidRDefault="00B85935" w:rsidP="001759D5">
      <w:pPr>
        <w:pStyle w:val="af0"/>
        <w:numPr>
          <w:ilvl w:val="0"/>
          <w:numId w:val="48"/>
        </w:numPr>
        <w:spacing w:line="360" w:lineRule="auto"/>
        <w:ind w:left="0" w:firstLine="0"/>
        <w:jc w:val="both"/>
        <w:rPr>
          <w:color w:val="000000" w:themeColor="text1"/>
          <w:sz w:val="28"/>
          <w:szCs w:val="28"/>
          <w:lang w:val="en-US"/>
        </w:rPr>
      </w:pPr>
      <w:r w:rsidRPr="001759D5">
        <w:rPr>
          <w:color w:val="000000" w:themeColor="text1"/>
          <w:sz w:val="28"/>
          <w:szCs w:val="28"/>
          <w:shd w:val="clear" w:color="auto" w:fill="FFFFFF"/>
          <w:lang w:val="en-US"/>
        </w:rPr>
        <w:t>Lippe IT. Participation of nitric oxide in the mustard oil-induced neurogenic inflammation of the rat paw skin</w:t>
      </w:r>
      <w:r w:rsidRPr="001759D5">
        <w:rPr>
          <w:color w:val="000000" w:themeColor="text1"/>
          <w:sz w:val="28"/>
          <w:szCs w:val="28"/>
          <w:shd w:val="clear" w:color="auto" w:fill="FFFFFF"/>
          <w:lang w:val="uk-UA"/>
        </w:rPr>
        <w:t xml:space="preserve">. </w:t>
      </w:r>
      <w:r w:rsidRPr="001759D5">
        <w:rPr>
          <w:color w:val="000000" w:themeColor="text1"/>
          <w:sz w:val="28"/>
          <w:szCs w:val="28"/>
          <w:shd w:val="clear" w:color="auto" w:fill="FFFFFF"/>
          <w:lang w:val="en-US"/>
        </w:rPr>
        <w:t>/ Lippe IT, Stabentheiner A, Holzer P. // Eur J Pharmacol. – 1993. – Vol. 232,</w:t>
      </w:r>
      <w:r w:rsidRPr="001759D5">
        <w:rPr>
          <w:color w:val="000000" w:themeColor="text1"/>
          <w:sz w:val="28"/>
          <w:szCs w:val="28"/>
          <w:shd w:val="clear" w:color="auto" w:fill="FFFFFF"/>
          <w:lang w:val="uk-UA"/>
        </w:rPr>
        <w:t xml:space="preserve"> №</w:t>
      </w:r>
      <w:r w:rsidRPr="001759D5">
        <w:rPr>
          <w:color w:val="000000" w:themeColor="text1"/>
          <w:sz w:val="28"/>
          <w:szCs w:val="28"/>
          <w:shd w:val="clear" w:color="auto" w:fill="FFFFFF"/>
          <w:lang w:val="en-US"/>
        </w:rPr>
        <w:t xml:space="preserve">1. – </w:t>
      </w:r>
      <w:r w:rsidRPr="001759D5">
        <w:rPr>
          <w:color w:val="000000" w:themeColor="text1"/>
          <w:sz w:val="28"/>
          <w:szCs w:val="28"/>
          <w:shd w:val="clear" w:color="auto" w:fill="FFFFFF"/>
        </w:rPr>
        <w:t>С</w:t>
      </w:r>
      <w:r w:rsidRPr="001759D5">
        <w:rPr>
          <w:color w:val="000000" w:themeColor="text1"/>
          <w:sz w:val="28"/>
          <w:szCs w:val="28"/>
          <w:shd w:val="clear" w:color="auto" w:fill="FFFFFF"/>
          <w:lang w:val="en-US"/>
        </w:rPr>
        <w:t>. 113–120.</w:t>
      </w:r>
    </w:p>
    <w:p w14:paraId="4AF4E5EC" w14:textId="57C3CC2B"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lang w:val="en-US"/>
        </w:rPr>
        <w:t xml:space="preserve">Porsolt R.D. Depression: a new animal model sensitive to antidepressant treatments / Porsolt R.D., Pinchon M.Le, Jalfre M.. // Nature. – 1977. – №266. – </w:t>
      </w:r>
      <w:r w:rsidR="00821BED">
        <w:rPr>
          <w:color w:val="000000"/>
          <w:sz w:val="28"/>
          <w:szCs w:val="28"/>
          <w:shd w:val="clear" w:color="auto" w:fill="FFFFFF"/>
          <w:lang w:val="en-US"/>
        </w:rPr>
        <w:br/>
      </w:r>
      <w:r w:rsidRPr="001759D5">
        <w:rPr>
          <w:color w:val="000000"/>
          <w:sz w:val="28"/>
          <w:szCs w:val="28"/>
          <w:shd w:val="clear" w:color="auto" w:fill="FFFFFF"/>
        </w:rPr>
        <w:t>С</w:t>
      </w:r>
      <w:r w:rsidRPr="001759D5">
        <w:rPr>
          <w:color w:val="000000"/>
          <w:sz w:val="28"/>
          <w:szCs w:val="28"/>
          <w:shd w:val="clear" w:color="auto" w:fill="FFFFFF"/>
          <w:lang w:val="en-US"/>
        </w:rPr>
        <w:t>. 730–732.</w:t>
      </w:r>
    </w:p>
    <w:p w14:paraId="3025656D" w14:textId="2DB3F711"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lang w:val="en-US"/>
        </w:rPr>
        <w:t xml:space="preserve">Porsolt R.D. "Behavioural despair" in rats and mice: strain differences and the effects of imipramine / Porsolt R.D., Bertin A., Jalfre M.. // Eur. J. Pharmacol. – 1978. – №51. – </w:t>
      </w:r>
      <w:r w:rsidRPr="001759D5">
        <w:rPr>
          <w:color w:val="000000"/>
          <w:sz w:val="28"/>
          <w:szCs w:val="28"/>
          <w:shd w:val="clear" w:color="auto" w:fill="FFFFFF"/>
        </w:rPr>
        <w:t>С</w:t>
      </w:r>
      <w:r w:rsidRPr="001759D5">
        <w:rPr>
          <w:color w:val="000000"/>
          <w:sz w:val="28"/>
          <w:szCs w:val="28"/>
          <w:shd w:val="clear" w:color="auto" w:fill="FFFFFF"/>
          <w:lang w:val="en-US"/>
        </w:rPr>
        <w:t>. 291–294.</w:t>
      </w:r>
    </w:p>
    <w:p w14:paraId="587BAC8D" w14:textId="77777777" w:rsidR="00B85935" w:rsidRPr="001759D5" w:rsidRDefault="00B85935" w:rsidP="001759D5">
      <w:pPr>
        <w:pStyle w:val="af0"/>
        <w:numPr>
          <w:ilvl w:val="0"/>
          <w:numId w:val="48"/>
        </w:numPr>
        <w:spacing w:line="360" w:lineRule="auto"/>
        <w:ind w:left="0" w:firstLine="0"/>
        <w:jc w:val="both"/>
        <w:rPr>
          <w:sz w:val="28"/>
          <w:szCs w:val="28"/>
        </w:rPr>
      </w:pPr>
      <w:r w:rsidRPr="001759D5">
        <w:rPr>
          <w:color w:val="000000"/>
          <w:sz w:val="28"/>
          <w:szCs w:val="28"/>
          <w:shd w:val="clear" w:color="auto" w:fill="FFFFFF"/>
          <w:lang w:val="en-US"/>
        </w:rPr>
        <w:t xml:space="preserve">Bouclier M. Experimental models in pharmacology. / Bouclier M., Cavey D., Kail N.. </w:t>
      </w:r>
      <w:r w:rsidRPr="001759D5">
        <w:rPr>
          <w:color w:val="000000"/>
          <w:sz w:val="28"/>
          <w:szCs w:val="28"/>
          <w:shd w:val="clear" w:color="auto" w:fill="FFFFFF"/>
        </w:rPr>
        <w:t xml:space="preserve">// </w:t>
      </w:r>
      <w:r w:rsidRPr="001759D5">
        <w:rPr>
          <w:color w:val="000000"/>
          <w:sz w:val="28"/>
          <w:szCs w:val="28"/>
          <w:shd w:val="clear" w:color="auto" w:fill="FFFFFF"/>
          <w:lang w:val="en-US"/>
        </w:rPr>
        <w:t>J</w:t>
      </w:r>
      <w:r w:rsidRPr="001759D5">
        <w:rPr>
          <w:color w:val="000000"/>
          <w:sz w:val="28"/>
          <w:szCs w:val="28"/>
          <w:shd w:val="clear" w:color="auto" w:fill="FFFFFF"/>
        </w:rPr>
        <w:t xml:space="preserve">. </w:t>
      </w:r>
      <w:r w:rsidRPr="001759D5">
        <w:rPr>
          <w:color w:val="000000"/>
          <w:sz w:val="28"/>
          <w:szCs w:val="28"/>
          <w:shd w:val="clear" w:color="auto" w:fill="FFFFFF"/>
          <w:lang w:val="en-US"/>
        </w:rPr>
        <w:t>Pharmacol</w:t>
      </w:r>
      <w:r w:rsidRPr="001759D5">
        <w:rPr>
          <w:color w:val="000000"/>
          <w:sz w:val="28"/>
          <w:szCs w:val="28"/>
          <w:shd w:val="clear" w:color="auto" w:fill="FFFFFF"/>
        </w:rPr>
        <w:t xml:space="preserve">. </w:t>
      </w:r>
      <w:r w:rsidRPr="001759D5">
        <w:rPr>
          <w:color w:val="000000"/>
          <w:sz w:val="28"/>
          <w:szCs w:val="28"/>
          <w:shd w:val="clear" w:color="auto" w:fill="FFFFFF"/>
          <w:lang w:val="en-US"/>
        </w:rPr>
        <w:t>Rev</w:t>
      </w:r>
      <w:r w:rsidRPr="001759D5">
        <w:rPr>
          <w:color w:val="000000"/>
          <w:sz w:val="28"/>
          <w:szCs w:val="28"/>
          <w:shd w:val="clear" w:color="auto" w:fill="FFFFFF"/>
        </w:rPr>
        <w:t>.. – 1990. – №42. – С. 127–154.</w:t>
      </w:r>
    </w:p>
    <w:p w14:paraId="17D718A2" w14:textId="77777777" w:rsidR="008A6B7D" w:rsidRPr="001759D5" w:rsidRDefault="008A6B7D"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rPr>
        <w:t xml:space="preserve">Лапин И.П. Модели тревоги на мышах: оценка в эксперименте и критика, методики. / Лапин И.П.. </w:t>
      </w:r>
      <w:r w:rsidRPr="001759D5">
        <w:rPr>
          <w:color w:val="000000"/>
          <w:sz w:val="28"/>
          <w:szCs w:val="28"/>
          <w:shd w:val="clear" w:color="auto" w:fill="FFFFFF"/>
          <w:lang w:val="en-US"/>
        </w:rPr>
        <w:t xml:space="preserve">– </w:t>
      </w:r>
      <w:r w:rsidRPr="001759D5">
        <w:rPr>
          <w:color w:val="000000"/>
          <w:sz w:val="28"/>
          <w:szCs w:val="28"/>
          <w:shd w:val="clear" w:color="auto" w:fill="FFFFFF"/>
        </w:rPr>
        <w:t>Москва</w:t>
      </w:r>
      <w:r w:rsidRPr="001759D5">
        <w:rPr>
          <w:color w:val="000000"/>
          <w:sz w:val="28"/>
          <w:szCs w:val="28"/>
          <w:shd w:val="clear" w:color="auto" w:fill="FFFFFF"/>
          <w:lang w:val="en-US"/>
        </w:rPr>
        <w:t xml:space="preserve">, 2000. – 361 </w:t>
      </w:r>
      <w:r w:rsidRPr="001759D5">
        <w:rPr>
          <w:color w:val="000000"/>
          <w:sz w:val="28"/>
          <w:szCs w:val="28"/>
          <w:shd w:val="clear" w:color="auto" w:fill="FFFFFF"/>
        </w:rPr>
        <w:t>с</w:t>
      </w:r>
      <w:r w:rsidRPr="001759D5">
        <w:rPr>
          <w:color w:val="000000"/>
          <w:sz w:val="28"/>
          <w:szCs w:val="28"/>
          <w:shd w:val="clear" w:color="auto" w:fill="FFFFFF"/>
          <w:lang w:val="en-US"/>
        </w:rPr>
        <w:t>.</w:t>
      </w:r>
    </w:p>
    <w:p w14:paraId="0B3EF5F5" w14:textId="7285F363"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lang w:val="en-US"/>
        </w:rPr>
        <w:lastRenderedPageBreak/>
        <w:t>Validation of open:</w:t>
      </w:r>
      <w:r w:rsidRPr="001759D5">
        <w:rPr>
          <w:color w:val="000000"/>
          <w:sz w:val="28"/>
          <w:szCs w:val="28"/>
          <w:shd w:val="clear" w:color="auto" w:fill="FFFFFF"/>
          <w:lang w:val="uk-UA"/>
        </w:rPr>
        <w:t xml:space="preserve"> </w:t>
      </w:r>
      <w:r w:rsidRPr="001759D5">
        <w:rPr>
          <w:color w:val="000000"/>
          <w:sz w:val="28"/>
          <w:szCs w:val="28"/>
          <w:shd w:val="clear" w:color="auto" w:fill="FFFFFF"/>
          <w:lang w:val="en-US"/>
        </w:rPr>
        <w:t xml:space="preserve">closed arm entries in an elevated plus-maze as a measure of anxiety in the rat. / Pellow S., Chopin P., File S.E., Briley M.. // J Neurosci Methods. – 1985. – №14. – </w:t>
      </w:r>
      <w:r w:rsidRPr="001759D5">
        <w:rPr>
          <w:color w:val="000000"/>
          <w:sz w:val="28"/>
          <w:szCs w:val="28"/>
          <w:shd w:val="clear" w:color="auto" w:fill="FFFFFF"/>
        </w:rPr>
        <w:t>С</w:t>
      </w:r>
      <w:r w:rsidRPr="001759D5">
        <w:rPr>
          <w:color w:val="000000"/>
          <w:sz w:val="28"/>
          <w:szCs w:val="28"/>
          <w:shd w:val="clear" w:color="auto" w:fill="FFFFFF"/>
          <w:lang w:val="en-US"/>
        </w:rPr>
        <w:t>. 149–167.</w:t>
      </w:r>
    </w:p>
    <w:p w14:paraId="096E7E37" w14:textId="3BE77990"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lang w:val="en-US"/>
        </w:rPr>
        <w:t>Walf, Alicia A., and Cheryl A. Frye. “The Use of the Elevated plus Maze as an Assay of Anxiety-Related Behavior in Rodents.” </w:t>
      </w:r>
      <w:r w:rsidRPr="001759D5">
        <w:rPr>
          <w:i/>
          <w:iCs/>
          <w:color w:val="000000"/>
          <w:sz w:val="28"/>
          <w:szCs w:val="28"/>
          <w:lang w:val="en-US"/>
        </w:rPr>
        <w:t>Nature Protocols</w:t>
      </w:r>
      <w:r w:rsidRPr="001759D5">
        <w:rPr>
          <w:color w:val="000000"/>
          <w:sz w:val="28"/>
          <w:szCs w:val="28"/>
          <w:lang w:val="en-US"/>
        </w:rPr>
        <w:t>, vol. 2, no. 2, 2007, pp. 322–28. </w:t>
      </w:r>
      <w:r w:rsidRPr="001759D5">
        <w:rPr>
          <w:i/>
          <w:iCs/>
          <w:color w:val="000000"/>
          <w:sz w:val="28"/>
          <w:szCs w:val="28"/>
          <w:lang w:val="en-US"/>
        </w:rPr>
        <w:t>Crossref</w:t>
      </w:r>
      <w:r w:rsidRPr="001759D5">
        <w:rPr>
          <w:color w:val="000000"/>
          <w:sz w:val="28"/>
          <w:szCs w:val="28"/>
          <w:lang w:val="en-US"/>
        </w:rPr>
        <w:t>, doi:10.1038/nprot.2007.44.</w:t>
      </w:r>
    </w:p>
    <w:p w14:paraId="6EECBF05" w14:textId="3A2F5F8E" w:rsidR="00B85935" w:rsidRPr="001759D5" w:rsidRDefault="00B85935" w:rsidP="001759D5">
      <w:pPr>
        <w:pStyle w:val="af0"/>
        <w:numPr>
          <w:ilvl w:val="0"/>
          <w:numId w:val="48"/>
        </w:numPr>
        <w:spacing w:line="360" w:lineRule="auto"/>
        <w:ind w:left="0" w:firstLine="0"/>
        <w:jc w:val="both"/>
        <w:rPr>
          <w:sz w:val="28"/>
          <w:szCs w:val="28"/>
        </w:rPr>
      </w:pPr>
      <w:r w:rsidRPr="001759D5">
        <w:rPr>
          <w:color w:val="000000"/>
          <w:sz w:val="28"/>
          <w:szCs w:val="28"/>
          <w:shd w:val="clear" w:color="auto" w:fill="FFFFFF"/>
          <w:lang w:val="en-US"/>
        </w:rPr>
        <w:t xml:space="preserve">Takao K. Light/dark transition test for mice. / Takao K., Miyakawa T.. </w:t>
      </w:r>
      <w:r w:rsidRPr="001759D5">
        <w:rPr>
          <w:color w:val="000000"/>
          <w:sz w:val="28"/>
          <w:szCs w:val="28"/>
          <w:shd w:val="clear" w:color="auto" w:fill="FFFFFF"/>
        </w:rPr>
        <w:t xml:space="preserve">// </w:t>
      </w:r>
      <w:r w:rsidRPr="001759D5">
        <w:rPr>
          <w:color w:val="000000"/>
          <w:sz w:val="28"/>
          <w:szCs w:val="28"/>
          <w:shd w:val="clear" w:color="auto" w:fill="FFFFFF"/>
          <w:lang w:val="en-US"/>
        </w:rPr>
        <w:t>Journal</w:t>
      </w:r>
      <w:r w:rsidRPr="001759D5">
        <w:rPr>
          <w:color w:val="000000"/>
          <w:sz w:val="28"/>
          <w:szCs w:val="28"/>
          <w:shd w:val="clear" w:color="auto" w:fill="FFFFFF"/>
        </w:rPr>
        <w:t xml:space="preserve"> </w:t>
      </w:r>
      <w:r w:rsidRPr="001759D5">
        <w:rPr>
          <w:color w:val="000000"/>
          <w:sz w:val="28"/>
          <w:szCs w:val="28"/>
          <w:shd w:val="clear" w:color="auto" w:fill="FFFFFF"/>
          <w:lang w:val="en-US"/>
        </w:rPr>
        <w:t>of</w:t>
      </w:r>
      <w:r w:rsidRPr="001759D5">
        <w:rPr>
          <w:color w:val="000000"/>
          <w:sz w:val="28"/>
          <w:szCs w:val="28"/>
          <w:shd w:val="clear" w:color="auto" w:fill="FFFFFF"/>
        </w:rPr>
        <w:t xml:space="preserve"> </w:t>
      </w:r>
      <w:r w:rsidRPr="001759D5">
        <w:rPr>
          <w:color w:val="000000"/>
          <w:sz w:val="28"/>
          <w:szCs w:val="28"/>
          <w:shd w:val="clear" w:color="auto" w:fill="FFFFFF"/>
          <w:lang w:val="en-US"/>
        </w:rPr>
        <w:t>Visualized</w:t>
      </w:r>
      <w:r w:rsidRPr="001759D5">
        <w:rPr>
          <w:color w:val="000000"/>
          <w:sz w:val="28"/>
          <w:szCs w:val="28"/>
          <w:shd w:val="clear" w:color="auto" w:fill="FFFFFF"/>
        </w:rPr>
        <w:t xml:space="preserve"> </w:t>
      </w:r>
      <w:r w:rsidRPr="001759D5">
        <w:rPr>
          <w:color w:val="000000"/>
          <w:sz w:val="28"/>
          <w:szCs w:val="28"/>
          <w:shd w:val="clear" w:color="auto" w:fill="FFFFFF"/>
          <w:lang w:val="en-US"/>
        </w:rPr>
        <w:t>Experiments</w:t>
      </w:r>
      <w:r w:rsidRPr="001759D5">
        <w:rPr>
          <w:color w:val="000000"/>
          <w:sz w:val="28"/>
          <w:szCs w:val="28"/>
          <w:shd w:val="clear" w:color="auto" w:fill="FFFFFF"/>
        </w:rPr>
        <w:t xml:space="preserve">. – 2006. – </w:t>
      </w:r>
      <w:r w:rsidRPr="001759D5">
        <w:rPr>
          <w:color w:val="000000"/>
          <w:sz w:val="28"/>
          <w:szCs w:val="28"/>
          <w:shd w:val="clear" w:color="auto" w:fill="FFFFFF"/>
          <w:lang w:val="en-US"/>
        </w:rPr>
        <w:t>Vol</w:t>
      </w:r>
      <w:r w:rsidRPr="001759D5">
        <w:rPr>
          <w:color w:val="000000"/>
          <w:sz w:val="28"/>
          <w:szCs w:val="28"/>
          <w:shd w:val="clear" w:color="auto" w:fill="FFFFFF"/>
        </w:rPr>
        <w:t>. 13, №1. – С. 104.</w:t>
      </w:r>
    </w:p>
    <w:p w14:paraId="0B69281E" w14:textId="4671A70C" w:rsidR="00B85935" w:rsidRPr="001759D5" w:rsidRDefault="00B85935" w:rsidP="001759D5">
      <w:pPr>
        <w:pStyle w:val="af0"/>
        <w:numPr>
          <w:ilvl w:val="0"/>
          <w:numId w:val="48"/>
        </w:numPr>
        <w:spacing w:line="360" w:lineRule="auto"/>
        <w:ind w:left="0" w:firstLine="0"/>
        <w:jc w:val="both"/>
        <w:rPr>
          <w:sz w:val="28"/>
          <w:szCs w:val="28"/>
        </w:rPr>
      </w:pPr>
      <w:r w:rsidRPr="001759D5">
        <w:rPr>
          <w:color w:val="000000"/>
          <w:sz w:val="28"/>
          <w:szCs w:val="28"/>
          <w:shd w:val="clear" w:color="auto" w:fill="FFFFFF"/>
        </w:rPr>
        <w:t xml:space="preserve">Лапин И.П. Уменьшение частоты выглядываний из темного отсека – единственный постоянный показатель влияния анксиогенов на поведение мишей в камере «свет-темнота». / Лапин И.П.. // Журнал ВНД им.И.П.Павлова. – 2003. – </w:t>
      </w:r>
      <w:r w:rsidRPr="001759D5">
        <w:rPr>
          <w:color w:val="000000"/>
          <w:sz w:val="28"/>
          <w:szCs w:val="28"/>
          <w:shd w:val="clear" w:color="auto" w:fill="FFFFFF"/>
          <w:lang w:val="en-US"/>
        </w:rPr>
        <w:t>T</w:t>
      </w:r>
      <w:r w:rsidRPr="001759D5">
        <w:rPr>
          <w:color w:val="000000"/>
          <w:sz w:val="28"/>
          <w:szCs w:val="28"/>
          <w:shd w:val="clear" w:color="auto" w:fill="FFFFFF"/>
        </w:rPr>
        <w:t>. 49, №3. – С. 521–526.</w:t>
      </w:r>
    </w:p>
    <w:p w14:paraId="5C34BFC5" w14:textId="112256BF"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lang w:val="en-US"/>
        </w:rPr>
        <w:t xml:space="preserve">Dhir A. Pentylenetetrazol (PTZ) kindling model of epilepsy. / Dhir A.. // Current protocols in neuroscience. – 2012. – Ch.9, U. 9, Vol 58, №1. – </w:t>
      </w:r>
      <w:r w:rsidRPr="001759D5">
        <w:rPr>
          <w:color w:val="000000"/>
          <w:sz w:val="28"/>
          <w:szCs w:val="28"/>
          <w:shd w:val="clear" w:color="auto" w:fill="FFFFFF"/>
        </w:rPr>
        <w:t>С</w:t>
      </w:r>
      <w:r w:rsidRPr="001759D5">
        <w:rPr>
          <w:color w:val="000000"/>
          <w:sz w:val="28"/>
          <w:szCs w:val="28"/>
          <w:shd w:val="clear" w:color="auto" w:fill="FFFFFF"/>
          <w:lang w:val="en-US"/>
        </w:rPr>
        <w:t>. 9.37.1–9.37.12.</w:t>
      </w:r>
    </w:p>
    <w:p w14:paraId="76C2F6F6" w14:textId="77777777"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lang w:val="en-US"/>
        </w:rPr>
        <w:t xml:space="preserve">Loscher W. Prevention or modification of epileptogenesis after brain insults: Experimental approaches and translational research. / Loscher W, Brandt C. // Pharmacological Reviews. – 2010. – №62. – </w:t>
      </w:r>
      <w:r w:rsidRPr="001759D5">
        <w:rPr>
          <w:color w:val="000000"/>
          <w:sz w:val="28"/>
          <w:szCs w:val="28"/>
          <w:shd w:val="clear" w:color="auto" w:fill="FFFFFF"/>
        </w:rPr>
        <w:t>С</w:t>
      </w:r>
      <w:r w:rsidRPr="001759D5">
        <w:rPr>
          <w:color w:val="000000"/>
          <w:sz w:val="28"/>
          <w:szCs w:val="28"/>
          <w:shd w:val="clear" w:color="auto" w:fill="FFFFFF"/>
          <w:lang w:val="en-US"/>
        </w:rPr>
        <w:t>. 668–700.</w:t>
      </w:r>
    </w:p>
    <w:p w14:paraId="1B6ADF61" w14:textId="77777777" w:rsidR="008A6B7D" w:rsidRPr="001759D5" w:rsidRDefault="008A6B7D" w:rsidP="001759D5">
      <w:pPr>
        <w:pStyle w:val="af0"/>
        <w:numPr>
          <w:ilvl w:val="0"/>
          <w:numId w:val="48"/>
        </w:numPr>
        <w:spacing w:line="360" w:lineRule="auto"/>
        <w:ind w:left="0" w:firstLine="0"/>
        <w:jc w:val="both"/>
        <w:rPr>
          <w:sz w:val="28"/>
          <w:szCs w:val="28"/>
        </w:rPr>
      </w:pPr>
      <w:r w:rsidRPr="001759D5">
        <w:rPr>
          <w:color w:val="000000"/>
          <w:sz w:val="28"/>
          <w:szCs w:val="28"/>
          <w:shd w:val="clear" w:color="auto" w:fill="FFFFFF"/>
        </w:rPr>
        <w:t xml:space="preserve">Эди М.Ж. Противосудорожная терапия / Эди М.Ж, Тайдер Дж. Х. </w:t>
      </w:r>
      <w:r w:rsidRPr="001759D5">
        <w:rPr>
          <w:rStyle w:val="afd"/>
          <w:bCs/>
          <w:color w:val="000000" w:themeColor="text1"/>
          <w:sz w:val="28"/>
          <w:szCs w:val="28"/>
          <w:lang w:val="uk-UA"/>
        </w:rPr>
        <w:t>п</w:t>
      </w:r>
      <w:r w:rsidRPr="001759D5">
        <w:rPr>
          <w:rStyle w:val="afd"/>
          <w:bCs/>
          <w:color w:val="000000" w:themeColor="text1"/>
          <w:sz w:val="28"/>
          <w:szCs w:val="28"/>
        </w:rPr>
        <w:t>ер</w:t>
      </w:r>
      <w:r w:rsidRPr="001759D5">
        <w:rPr>
          <w:color w:val="000000" w:themeColor="text1"/>
          <w:sz w:val="28"/>
          <w:szCs w:val="28"/>
          <w:shd w:val="clear" w:color="auto" w:fill="FFFFFF"/>
        </w:rPr>
        <w:t>. с</w:t>
      </w:r>
      <w:r w:rsidRPr="001759D5">
        <w:rPr>
          <w:rStyle w:val="apple-converted-space"/>
          <w:color w:val="000000" w:themeColor="text1"/>
          <w:sz w:val="28"/>
          <w:szCs w:val="28"/>
          <w:shd w:val="clear" w:color="auto" w:fill="FFFFFF"/>
          <w:lang w:val="en-US"/>
        </w:rPr>
        <w:t> </w:t>
      </w:r>
      <w:r w:rsidRPr="001759D5">
        <w:rPr>
          <w:rStyle w:val="afd"/>
          <w:bCs/>
          <w:color w:val="000000" w:themeColor="text1"/>
          <w:sz w:val="28"/>
          <w:szCs w:val="28"/>
        </w:rPr>
        <w:t>англ</w:t>
      </w:r>
      <w:r w:rsidRPr="001759D5">
        <w:rPr>
          <w:color w:val="000000" w:themeColor="text1"/>
          <w:sz w:val="28"/>
          <w:szCs w:val="28"/>
          <w:shd w:val="clear" w:color="auto" w:fill="FFFFFF"/>
        </w:rPr>
        <w:t>.</w:t>
      </w:r>
      <w:r w:rsidRPr="001759D5">
        <w:rPr>
          <w:color w:val="000000" w:themeColor="text1"/>
          <w:sz w:val="28"/>
          <w:szCs w:val="28"/>
          <w:shd w:val="clear" w:color="auto" w:fill="FFFFFF"/>
          <w:lang w:val="uk-UA"/>
        </w:rPr>
        <w:t xml:space="preserve"> </w:t>
      </w:r>
      <w:r w:rsidRPr="001759D5">
        <w:rPr>
          <w:color w:val="000000"/>
          <w:sz w:val="28"/>
          <w:szCs w:val="28"/>
          <w:shd w:val="clear" w:color="auto" w:fill="FFFFFF"/>
        </w:rPr>
        <w:t>– Москва: Медицина, 1983. – 384 с.</w:t>
      </w:r>
    </w:p>
    <w:p w14:paraId="08126FA4" w14:textId="77777777" w:rsidR="008A6B7D" w:rsidRPr="001759D5" w:rsidRDefault="00B85935" w:rsidP="001759D5">
      <w:pPr>
        <w:pStyle w:val="af0"/>
        <w:numPr>
          <w:ilvl w:val="0"/>
          <w:numId w:val="48"/>
        </w:numPr>
        <w:spacing w:line="360" w:lineRule="auto"/>
        <w:ind w:left="0" w:firstLine="0"/>
        <w:jc w:val="both"/>
        <w:rPr>
          <w:sz w:val="28"/>
          <w:szCs w:val="28"/>
        </w:rPr>
      </w:pPr>
      <w:r w:rsidRPr="001759D5">
        <w:rPr>
          <w:color w:val="000000"/>
          <w:sz w:val="28"/>
          <w:szCs w:val="28"/>
        </w:rPr>
        <w:t xml:space="preserve"> </w:t>
      </w:r>
      <w:r w:rsidR="008A6B7D" w:rsidRPr="001759D5">
        <w:rPr>
          <w:sz w:val="28"/>
          <w:szCs w:val="28"/>
        </w:rPr>
        <w:t>Лакин Г. Ф. Биометрия : учеб. пос. для биол. спец. ВУЗов / Г. Ф. Лакин. – 4–е изд., перераб. и доп. – Москва : Высшая школа, 1990. – 352 с.</w:t>
      </w:r>
    </w:p>
    <w:p w14:paraId="6B2BCDB5" w14:textId="39122496" w:rsidR="008A6B7D" w:rsidRPr="001759D5" w:rsidRDefault="008A6B7D" w:rsidP="001759D5">
      <w:pPr>
        <w:pStyle w:val="af0"/>
        <w:numPr>
          <w:ilvl w:val="0"/>
          <w:numId w:val="48"/>
        </w:numPr>
        <w:spacing w:line="360" w:lineRule="auto"/>
        <w:ind w:left="0" w:firstLine="0"/>
        <w:jc w:val="both"/>
        <w:rPr>
          <w:sz w:val="28"/>
          <w:szCs w:val="28"/>
        </w:rPr>
      </w:pPr>
      <w:r w:rsidRPr="001759D5">
        <w:rPr>
          <w:sz w:val="28"/>
          <w:szCs w:val="28"/>
        </w:rPr>
        <w:t xml:space="preserve">Бююль А. SPSS: Искусство обработки информации. Анализ статистических данных и восстановление скрытых закономерностей: [пер. с нем.] / А. Бююль, П. Цёфель. – Санкт-Петербург : ДиаСофтЮП, 2005. – 608 с. </w:t>
      </w:r>
    </w:p>
    <w:p w14:paraId="3B58F2F7" w14:textId="77777777" w:rsidR="008A6B7D"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lang w:val="en-US"/>
        </w:rPr>
        <w:t xml:space="preserve">PASS: prediction of activity spectra for biologically active substances / Lagunin A, Stepanchikova A, Filimonov D, Poroikov V. // Bioinformatics. – 2000. – №16. – </w:t>
      </w:r>
      <w:r w:rsidRPr="001759D5">
        <w:rPr>
          <w:color w:val="000000"/>
          <w:sz w:val="28"/>
          <w:szCs w:val="28"/>
          <w:shd w:val="clear" w:color="auto" w:fill="FFFFFF"/>
        </w:rPr>
        <w:t>С</w:t>
      </w:r>
      <w:r w:rsidRPr="001759D5">
        <w:rPr>
          <w:color w:val="000000"/>
          <w:sz w:val="28"/>
          <w:szCs w:val="28"/>
          <w:shd w:val="clear" w:color="auto" w:fill="FFFFFF"/>
          <w:lang w:val="en-US"/>
        </w:rPr>
        <w:t>. 747–748.</w:t>
      </w:r>
    </w:p>
    <w:p w14:paraId="438CFCE3" w14:textId="0D7C73C0" w:rsidR="008A6B7D" w:rsidRPr="001759D5" w:rsidRDefault="008A6B7D" w:rsidP="001759D5">
      <w:pPr>
        <w:pStyle w:val="af0"/>
        <w:numPr>
          <w:ilvl w:val="0"/>
          <w:numId w:val="48"/>
        </w:numPr>
        <w:spacing w:line="360" w:lineRule="auto"/>
        <w:ind w:left="0" w:firstLine="0"/>
        <w:jc w:val="both"/>
        <w:rPr>
          <w:sz w:val="28"/>
          <w:szCs w:val="28"/>
          <w:lang w:val="en-US"/>
        </w:rPr>
      </w:pPr>
      <w:r w:rsidRPr="001759D5">
        <w:rPr>
          <w:sz w:val="28"/>
          <w:szCs w:val="28"/>
        </w:rPr>
        <w:t>Генчева</w:t>
      </w:r>
      <w:r w:rsidRPr="001759D5">
        <w:rPr>
          <w:sz w:val="28"/>
          <w:szCs w:val="28"/>
          <w:lang w:val="en-US"/>
        </w:rPr>
        <w:t xml:space="preserve"> </w:t>
      </w:r>
      <w:r w:rsidRPr="001759D5">
        <w:rPr>
          <w:sz w:val="28"/>
          <w:szCs w:val="28"/>
        </w:rPr>
        <w:t>В</w:t>
      </w:r>
      <w:r w:rsidRPr="001759D5">
        <w:rPr>
          <w:sz w:val="28"/>
          <w:szCs w:val="28"/>
          <w:lang w:val="en-US"/>
        </w:rPr>
        <w:t xml:space="preserve">. </w:t>
      </w:r>
      <w:r w:rsidRPr="001759D5">
        <w:rPr>
          <w:sz w:val="28"/>
          <w:szCs w:val="28"/>
        </w:rPr>
        <w:t>І</w:t>
      </w:r>
      <w:r w:rsidRPr="001759D5">
        <w:rPr>
          <w:sz w:val="28"/>
          <w:szCs w:val="28"/>
          <w:lang w:val="en-US"/>
        </w:rPr>
        <w:t xml:space="preserve">. </w:t>
      </w:r>
      <w:r w:rsidRPr="001759D5">
        <w:rPr>
          <w:sz w:val="28"/>
          <w:szCs w:val="28"/>
        </w:rPr>
        <w:t>Комп</w:t>
      </w:r>
      <w:r w:rsidRPr="001759D5">
        <w:rPr>
          <w:sz w:val="28"/>
          <w:szCs w:val="28"/>
          <w:lang w:val="en-US"/>
        </w:rPr>
        <w:t>’</w:t>
      </w:r>
      <w:r w:rsidRPr="001759D5">
        <w:rPr>
          <w:sz w:val="28"/>
          <w:szCs w:val="28"/>
        </w:rPr>
        <w:t>ютернии</w:t>
      </w:r>
      <w:r w:rsidRPr="001759D5">
        <w:rPr>
          <w:sz w:val="28"/>
          <w:szCs w:val="28"/>
          <w:lang w:val="en-US"/>
        </w:rPr>
        <w:t xml:space="preserve">̆ </w:t>
      </w:r>
      <w:r w:rsidRPr="001759D5">
        <w:rPr>
          <w:sz w:val="28"/>
          <w:szCs w:val="28"/>
        </w:rPr>
        <w:t>прогноз</w:t>
      </w:r>
      <w:r w:rsidRPr="001759D5">
        <w:rPr>
          <w:sz w:val="28"/>
          <w:szCs w:val="28"/>
          <w:lang w:val="en-US"/>
        </w:rPr>
        <w:t xml:space="preserve"> </w:t>
      </w:r>
      <w:r w:rsidRPr="001759D5">
        <w:rPr>
          <w:sz w:val="28"/>
          <w:szCs w:val="28"/>
        </w:rPr>
        <w:t>біологічноі</w:t>
      </w:r>
      <w:r w:rsidRPr="001759D5">
        <w:rPr>
          <w:sz w:val="28"/>
          <w:szCs w:val="28"/>
          <w:lang w:val="en-US"/>
        </w:rPr>
        <w:t xml:space="preserve">̈ </w:t>
      </w:r>
      <w:r w:rsidRPr="001759D5">
        <w:rPr>
          <w:sz w:val="28"/>
          <w:szCs w:val="28"/>
        </w:rPr>
        <w:t>активності</w:t>
      </w:r>
      <w:r w:rsidRPr="001759D5">
        <w:rPr>
          <w:sz w:val="28"/>
          <w:szCs w:val="28"/>
          <w:lang w:val="en-US"/>
        </w:rPr>
        <w:t xml:space="preserve"> </w:t>
      </w:r>
      <w:r w:rsidRPr="001759D5">
        <w:rPr>
          <w:sz w:val="28"/>
          <w:szCs w:val="28"/>
        </w:rPr>
        <w:t>заміщених</w:t>
      </w:r>
      <w:r w:rsidRPr="001759D5">
        <w:rPr>
          <w:sz w:val="28"/>
          <w:szCs w:val="28"/>
          <w:lang w:val="en-US"/>
        </w:rPr>
        <w:t xml:space="preserve"> </w:t>
      </w:r>
      <w:r w:rsidRPr="001759D5">
        <w:rPr>
          <w:sz w:val="28"/>
          <w:szCs w:val="28"/>
        </w:rPr>
        <w:t>похідних</w:t>
      </w:r>
      <w:r w:rsidRPr="001759D5">
        <w:rPr>
          <w:sz w:val="28"/>
          <w:szCs w:val="28"/>
          <w:lang w:val="en-US"/>
        </w:rPr>
        <w:t xml:space="preserve"> </w:t>
      </w:r>
      <w:r w:rsidRPr="001759D5">
        <w:rPr>
          <w:sz w:val="28"/>
          <w:szCs w:val="28"/>
        </w:rPr>
        <w:t>хіноліну</w:t>
      </w:r>
      <w:r w:rsidRPr="001759D5">
        <w:rPr>
          <w:sz w:val="28"/>
          <w:szCs w:val="28"/>
          <w:lang w:val="en-US"/>
        </w:rPr>
        <w:t xml:space="preserve"> </w:t>
      </w:r>
      <w:r w:rsidRPr="001759D5">
        <w:rPr>
          <w:sz w:val="28"/>
          <w:szCs w:val="28"/>
        </w:rPr>
        <w:t>та</w:t>
      </w:r>
      <w:r w:rsidRPr="001759D5">
        <w:rPr>
          <w:sz w:val="28"/>
          <w:szCs w:val="28"/>
          <w:lang w:val="en-US"/>
        </w:rPr>
        <w:t xml:space="preserve"> </w:t>
      </w:r>
      <w:r w:rsidRPr="001759D5">
        <w:rPr>
          <w:sz w:val="28"/>
          <w:szCs w:val="28"/>
        </w:rPr>
        <w:t>вивчення</w:t>
      </w:r>
      <w:r w:rsidRPr="001759D5">
        <w:rPr>
          <w:sz w:val="28"/>
          <w:szCs w:val="28"/>
          <w:lang w:val="en-US"/>
        </w:rPr>
        <w:t xml:space="preserve"> </w:t>
      </w:r>
      <w:r w:rsidRPr="001759D5">
        <w:rPr>
          <w:sz w:val="28"/>
          <w:szCs w:val="28"/>
        </w:rPr>
        <w:t>залежності</w:t>
      </w:r>
      <w:r w:rsidRPr="001759D5">
        <w:rPr>
          <w:sz w:val="28"/>
          <w:szCs w:val="28"/>
          <w:lang w:val="en-US"/>
        </w:rPr>
        <w:t xml:space="preserve"> </w:t>
      </w:r>
      <w:r w:rsidRPr="001759D5">
        <w:rPr>
          <w:sz w:val="28"/>
          <w:szCs w:val="28"/>
        </w:rPr>
        <w:t>токсичноі</w:t>
      </w:r>
      <w:r w:rsidRPr="001759D5">
        <w:rPr>
          <w:sz w:val="28"/>
          <w:szCs w:val="28"/>
          <w:lang w:val="en-US"/>
        </w:rPr>
        <w:t xml:space="preserve">̈ </w:t>
      </w:r>
      <w:r w:rsidRPr="001759D5">
        <w:rPr>
          <w:sz w:val="28"/>
          <w:szCs w:val="28"/>
        </w:rPr>
        <w:t>діі</w:t>
      </w:r>
      <w:r w:rsidRPr="001759D5">
        <w:rPr>
          <w:sz w:val="28"/>
          <w:szCs w:val="28"/>
          <w:lang w:val="en-US"/>
        </w:rPr>
        <w:t xml:space="preserve">̈ </w:t>
      </w:r>
      <w:r w:rsidRPr="001759D5">
        <w:rPr>
          <w:sz w:val="28"/>
          <w:szCs w:val="28"/>
        </w:rPr>
        <w:t>від</w:t>
      </w:r>
      <w:r w:rsidRPr="001759D5">
        <w:rPr>
          <w:sz w:val="28"/>
          <w:szCs w:val="28"/>
          <w:lang w:val="en-US"/>
        </w:rPr>
        <w:t xml:space="preserve"> </w:t>
      </w:r>
      <w:r w:rsidRPr="001759D5">
        <w:rPr>
          <w:sz w:val="28"/>
          <w:szCs w:val="28"/>
        </w:rPr>
        <w:t>хімічноі</w:t>
      </w:r>
      <w:r w:rsidRPr="001759D5">
        <w:rPr>
          <w:sz w:val="28"/>
          <w:szCs w:val="28"/>
          <w:lang w:val="en-US"/>
        </w:rPr>
        <w:t xml:space="preserve">̈ </w:t>
      </w:r>
      <w:r w:rsidRPr="001759D5">
        <w:rPr>
          <w:sz w:val="28"/>
          <w:szCs w:val="28"/>
        </w:rPr>
        <w:t>будови</w:t>
      </w:r>
      <w:r w:rsidRPr="001759D5">
        <w:rPr>
          <w:sz w:val="28"/>
          <w:szCs w:val="28"/>
          <w:lang w:val="en-US"/>
        </w:rPr>
        <w:t xml:space="preserve"> / </w:t>
      </w:r>
      <w:r w:rsidRPr="001759D5">
        <w:rPr>
          <w:sz w:val="28"/>
          <w:szCs w:val="28"/>
        </w:rPr>
        <w:lastRenderedPageBreak/>
        <w:t>В</w:t>
      </w:r>
      <w:r w:rsidRPr="001759D5">
        <w:rPr>
          <w:sz w:val="28"/>
          <w:szCs w:val="28"/>
          <w:lang w:val="en-US"/>
        </w:rPr>
        <w:t xml:space="preserve">. </w:t>
      </w:r>
      <w:r w:rsidRPr="001759D5">
        <w:rPr>
          <w:sz w:val="28"/>
          <w:szCs w:val="28"/>
        </w:rPr>
        <w:t>І</w:t>
      </w:r>
      <w:r w:rsidRPr="001759D5">
        <w:rPr>
          <w:sz w:val="28"/>
          <w:szCs w:val="28"/>
          <w:lang w:val="en-US"/>
        </w:rPr>
        <w:t xml:space="preserve">. </w:t>
      </w:r>
      <w:r w:rsidRPr="001759D5">
        <w:rPr>
          <w:sz w:val="28"/>
          <w:szCs w:val="28"/>
        </w:rPr>
        <w:t>Генчева</w:t>
      </w:r>
      <w:r w:rsidRPr="001759D5">
        <w:rPr>
          <w:sz w:val="28"/>
          <w:szCs w:val="28"/>
          <w:lang w:val="en-US"/>
        </w:rPr>
        <w:t xml:space="preserve"> // </w:t>
      </w:r>
      <w:r w:rsidRPr="001759D5">
        <w:rPr>
          <w:sz w:val="28"/>
          <w:szCs w:val="28"/>
        </w:rPr>
        <w:t>Вісник</w:t>
      </w:r>
      <w:r w:rsidRPr="001759D5">
        <w:rPr>
          <w:sz w:val="28"/>
          <w:szCs w:val="28"/>
          <w:lang w:val="en-US"/>
        </w:rPr>
        <w:t xml:space="preserve"> </w:t>
      </w:r>
      <w:r w:rsidRPr="001759D5">
        <w:rPr>
          <w:sz w:val="28"/>
          <w:szCs w:val="28"/>
        </w:rPr>
        <w:t>ЗНУ</w:t>
      </w:r>
      <w:r w:rsidRPr="001759D5">
        <w:rPr>
          <w:sz w:val="28"/>
          <w:szCs w:val="28"/>
          <w:lang w:val="en-US"/>
        </w:rPr>
        <w:t xml:space="preserve">. </w:t>
      </w:r>
      <w:r w:rsidRPr="001759D5">
        <w:rPr>
          <w:sz w:val="28"/>
          <w:szCs w:val="28"/>
        </w:rPr>
        <w:t>Серія</w:t>
      </w:r>
      <w:r w:rsidRPr="001759D5">
        <w:rPr>
          <w:sz w:val="28"/>
          <w:szCs w:val="28"/>
          <w:lang w:val="en-US"/>
        </w:rPr>
        <w:t xml:space="preserve"> : </w:t>
      </w:r>
      <w:r w:rsidRPr="001759D5">
        <w:rPr>
          <w:sz w:val="28"/>
          <w:szCs w:val="28"/>
        </w:rPr>
        <w:t>Біологічні</w:t>
      </w:r>
      <w:r w:rsidRPr="001759D5">
        <w:rPr>
          <w:sz w:val="28"/>
          <w:szCs w:val="28"/>
          <w:lang w:val="en-US"/>
        </w:rPr>
        <w:t xml:space="preserve"> </w:t>
      </w:r>
      <w:r w:rsidRPr="001759D5">
        <w:rPr>
          <w:sz w:val="28"/>
          <w:szCs w:val="28"/>
        </w:rPr>
        <w:t>науки</w:t>
      </w:r>
      <w:r w:rsidRPr="001759D5">
        <w:rPr>
          <w:sz w:val="28"/>
          <w:szCs w:val="28"/>
          <w:lang w:val="en-US"/>
        </w:rPr>
        <w:t xml:space="preserve">. – 2013. − No 2. − </w:t>
      </w:r>
      <w:r w:rsidR="00821BED">
        <w:rPr>
          <w:sz w:val="28"/>
          <w:szCs w:val="28"/>
          <w:lang w:val="en-US"/>
        </w:rPr>
        <w:br/>
      </w:r>
      <w:r w:rsidRPr="001759D5">
        <w:rPr>
          <w:sz w:val="28"/>
          <w:szCs w:val="28"/>
        </w:rPr>
        <w:t>С</w:t>
      </w:r>
      <w:r w:rsidRPr="001759D5">
        <w:rPr>
          <w:sz w:val="28"/>
          <w:szCs w:val="28"/>
          <w:lang w:val="en-US"/>
        </w:rPr>
        <w:t>. 165-175.</w:t>
      </w:r>
    </w:p>
    <w:p w14:paraId="62D370FB" w14:textId="495CE458" w:rsidR="00B85935" w:rsidRPr="001759D5" w:rsidRDefault="00B85935" w:rsidP="001759D5">
      <w:pPr>
        <w:pStyle w:val="af0"/>
        <w:numPr>
          <w:ilvl w:val="0"/>
          <w:numId w:val="48"/>
        </w:numPr>
        <w:spacing w:line="360" w:lineRule="auto"/>
        <w:ind w:left="0" w:firstLine="0"/>
        <w:jc w:val="both"/>
        <w:rPr>
          <w:sz w:val="28"/>
          <w:szCs w:val="28"/>
        </w:rPr>
      </w:pPr>
      <w:r w:rsidRPr="001759D5">
        <w:rPr>
          <w:sz w:val="28"/>
          <w:szCs w:val="28"/>
        </w:rPr>
        <w:t>Шматкова Н. В. Продукты комплексообразования тетрахлорида олова c гидразидами и гидразонами / Н. В. Шматкова // Технологічний аудит та резерви виробництва. - 2012. - № 3(2). - С. 33-34. - Режим доступу: http://nbuv.gov.ua/UJRN/Tatrv_2012_3(2)__15.</w:t>
      </w:r>
    </w:p>
    <w:p w14:paraId="64A24930" w14:textId="641E8D71" w:rsidR="00B85935" w:rsidRPr="001759D5" w:rsidRDefault="00B85935" w:rsidP="001759D5">
      <w:pPr>
        <w:pStyle w:val="af2"/>
        <w:numPr>
          <w:ilvl w:val="0"/>
          <w:numId w:val="48"/>
        </w:numPr>
        <w:spacing w:line="360" w:lineRule="auto"/>
        <w:ind w:left="0" w:firstLine="0"/>
        <w:jc w:val="both"/>
        <w:rPr>
          <w:sz w:val="28"/>
          <w:szCs w:val="28"/>
        </w:rPr>
      </w:pPr>
      <w:r w:rsidRPr="001759D5">
        <w:rPr>
          <w:sz w:val="28"/>
          <w:szCs w:val="28"/>
        </w:rPr>
        <w:t>Шматкова Н. В. Образование, свойства и строение комплексов олова (IV) с ароилгидразонами 2-гидроксибенз-(-1-нафт)альдегидов / Н. В. Шматкова, Г. В. Яловский, И. И. Сейфуллина, А. А. Полищук, А. В. Мазепа // Вісник Одеського національного університету. Хімія. - 2012. - Т. 17, Вип. 4. - С. 5-14. - Режим доступу: http://nbuv.gov.ua/UJRN/Vonu_chem_2012_17_4_3.</w:t>
      </w:r>
    </w:p>
    <w:p w14:paraId="40DEA7E1" w14:textId="03251DEB" w:rsidR="00B85935" w:rsidRPr="001759D5" w:rsidRDefault="00B85935" w:rsidP="001759D5">
      <w:pPr>
        <w:pStyle w:val="af2"/>
        <w:numPr>
          <w:ilvl w:val="0"/>
          <w:numId w:val="48"/>
        </w:numPr>
        <w:spacing w:line="360" w:lineRule="auto"/>
        <w:ind w:left="0" w:firstLine="0"/>
        <w:jc w:val="both"/>
        <w:rPr>
          <w:sz w:val="28"/>
          <w:szCs w:val="28"/>
        </w:rPr>
      </w:pPr>
      <w:r w:rsidRPr="001759D5">
        <w:rPr>
          <w:sz w:val="28"/>
          <w:szCs w:val="28"/>
        </w:rPr>
        <w:t>Шматкова Н. В. Темплантная конденсация в системах типа "гидразиды – SnCl4 – альдегиды – CH3CN" / Н. В. Шматкова, И. И. Сейфуллина, А. И. Дивакова, А. В. Мазепа // Вісник Одеського національного університету. Хімія. - 2012. - Т. 17, Вип. 1. - С. 5-12. - Режим доступу: http://nbuv.gov.ua/UJRN/Vonu_chem_2012_17_1_3.</w:t>
      </w:r>
    </w:p>
    <w:p w14:paraId="38DB3CBA" w14:textId="41F96922" w:rsidR="00B85935" w:rsidRPr="001759D5" w:rsidRDefault="00B85935" w:rsidP="001759D5">
      <w:pPr>
        <w:pStyle w:val="af2"/>
        <w:numPr>
          <w:ilvl w:val="0"/>
          <w:numId w:val="48"/>
        </w:numPr>
        <w:spacing w:line="360" w:lineRule="auto"/>
        <w:ind w:left="0" w:firstLine="0"/>
        <w:jc w:val="both"/>
        <w:rPr>
          <w:sz w:val="28"/>
          <w:szCs w:val="28"/>
        </w:rPr>
      </w:pPr>
      <w:r w:rsidRPr="001759D5">
        <w:rPr>
          <w:sz w:val="28"/>
          <w:szCs w:val="28"/>
        </w:rPr>
        <w:t>Шматкова Н. В. О новых комплексах олова (IV) с 5-бром-салицилоилгидразонами замещенных бензойного альдегида / Н. В. Шматкова, И. И. Сейфуллина, А. И. Александрова, И. А. Кравченко, А. А. Коберник // Вісник Одеського національного університету. Хімія. - 2013. - Т. 18, Вип. 3. - С. 53-60. - Режим доступу: http://nbuv.gov.ua/UJRN/Vonu_chem_2013_18_3_8.</w:t>
      </w:r>
    </w:p>
    <w:p w14:paraId="4DB58B2E" w14:textId="18431001" w:rsidR="00B85935" w:rsidRPr="001759D5" w:rsidRDefault="00B85935" w:rsidP="001759D5">
      <w:pPr>
        <w:pStyle w:val="af0"/>
        <w:numPr>
          <w:ilvl w:val="0"/>
          <w:numId w:val="48"/>
        </w:numPr>
        <w:autoSpaceDE w:val="0"/>
        <w:autoSpaceDN w:val="0"/>
        <w:adjustRightInd w:val="0"/>
        <w:spacing w:line="360" w:lineRule="auto"/>
        <w:ind w:left="0" w:firstLine="0"/>
        <w:jc w:val="both"/>
        <w:rPr>
          <w:sz w:val="28"/>
          <w:szCs w:val="28"/>
        </w:rPr>
      </w:pPr>
      <w:r w:rsidRPr="001759D5">
        <w:rPr>
          <w:sz w:val="28"/>
          <w:szCs w:val="28"/>
        </w:rPr>
        <w:t>Шматкова Н. В. Комплексы |тетрахлоро-(N-4-R-бензилиденасалицилоил-гидразинато-N,O)олова (IV)| (R = OCH3, Br, N(CH3)2 и их противовоспалительная активность / Н. В. Шматкова, И. И. Сейфуллина, А. И. Александрова, А. В. Полищук // Вісник Одеського національного університету. Хімія. - 2013. - Т. 18, Вип. 2. - С. 16-24. - Режим доступу: http://nbuv.gov.ua/UJRN/Vonu_chem_2013_18_2_4.</w:t>
      </w:r>
    </w:p>
    <w:p w14:paraId="48A934DC" w14:textId="5FC9A7E4" w:rsidR="00B85935" w:rsidRPr="001759D5" w:rsidRDefault="00B85935" w:rsidP="001759D5">
      <w:pPr>
        <w:pStyle w:val="af0"/>
        <w:numPr>
          <w:ilvl w:val="0"/>
          <w:numId w:val="48"/>
        </w:numPr>
        <w:autoSpaceDE w:val="0"/>
        <w:autoSpaceDN w:val="0"/>
        <w:adjustRightInd w:val="0"/>
        <w:spacing w:line="360" w:lineRule="auto"/>
        <w:ind w:left="0" w:firstLine="0"/>
        <w:jc w:val="both"/>
        <w:rPr>
          <w:rFonts w:eastAsiaTheme="minorHAnsi"/>
          <w:sz w:val="28"/>
          <w:szCs w:val="28"/>
          <w:lang w:val="en-US" w:eastAsia="en-US"/>
        </w:rPr>
      </w:pPr>
      <w:r w:rsidRPr="001759D5">
        <w:rPr>
          <w:rFonts w:eastAsiaTheme="minorHAnsi"/>
          <w:i/>
          <w:sz w:val="28"/>
          <w:szCs w:val="28"/>
          <w:lang w:val="en-US" w:eastAsia="en-US"/>
        </w:rPr>
        <w:t>Benzaldehyde</w:t>
      </w:r>
      <w:r w:rsidRPr="001759D5">
        <w:rPr>
          <w:rFonts w:eastAsiaTheme="minorHAnsi"/>
          <w:sz w:val="28"/>
          <w:szCs w:val="28"/>
          <w:lang w:val="en-US" w:eastAsia="en-US"/>
        </w:rPr>
        <w:t>; MSDS ACC No 02590; SISCO RESEARCH LABORATORIES PVT. LTD.: Mumbai, India; March 18, 2003</w:t>
      </w:r>
      <w:r w:rsidRPr="001759D5">
        <w:rPr>
          <w:rFonts w:eastAsiaTheme="minorHAnsi"/>
          <w:color w:val="000000" w:themeColor="text1"/>
          <w:sz w:val="28"/>
          <w:szCs w:val="28"/>
          <w:lang w:val="en-US" w:eastAsia="en-US"/>
        </w:rPr>
        <w:t xml:space="preserve">; </w:t>
      </w:r>
      <w:r w:rsidRPr="001759D5">
        <w:rPr>
          <w:rFonts w:eastAsiaTheme="minorHAnsi"/>
          <w:bCs/>
          <w:color w:val="000000" w:themeColor="text1"/>
          <w:sz w:val="28"/>
          <w:szCs w:val="28"/>
          <w:lang w:val="en-US" w:eastAsia="en-US"/>
        </w:rPr>
        <w:t>https://fscimage.fishersci.com/msds/02590.htm</w:t>
      </w:r>
      <w:r w:rsidRPr="001759D5">
        <w:rPr>
          <w:rFonts w:eastAsiaTheme="minorHAnsi"/>
          <w:b/>
          <w:bCs/>
          <w:color w:val="000000" w:themeColor="text1"/>
          <w:sz w:val="28"/>
          <w:szCs w:val="28"/>
          <w:lang w:val="en-US" w:eastAsia="en-US"/>
        </w:rPr>
        <w:t xml:space="preserve"> </w:t>
      </w:r>
      <w:r w:rsidRPr="001759D5">
        <w:rPr>
          <w:rFonts w:eastAsiaTheme="minorHAnsi"/>
          <w:sz w:val="28"/>
          <w:szCs w:val="28"/>
          <w:lang w:val="en-US" w:eastAsia="en-US"/>
        </w:rPr>
        <w:t>(accessed 12/03/21).</w:t>
      </w:r>
    </w:p>
    <w:p w14:paraId="1E5DAAE6" w14:textId="563AB224" w:rsidR="00B85935" w:rsidRPr="001759D5" w:rsidRDefault="00B85935" w:rsidP="001759D5">
      <w:pPr>
        <w:pStyle w:val="a6"/>
        <w:numPr>
          <w:ilvl w:val="0"/>
          <w:numId w:val="48"/>
        </w:numPr>
        <w:shd w:val="clear" w:color="auto" w:fill="FFFFFF"/>
        <w:spacing w:line="360" w:lineRule="auto"/>
        <w:ind w:left="0" w:firstLine="0"/>
        <w:jc w:val="both"/>
        <w:rPr>
          <w:sz w:val="28"/>
          <w:szCs w:val="28"/>
          <w:lang w:val="en-US"/>
        </w:rPr>
      </w:pPr>
      <w:r w:rsidRPr="001759D5">
        <w:rPr>
          <w:i/>
          <w:sz w:val="28"/>
          <w:szCs w:val="28"/>
          <w:lang w:val="en-US"/>
        </w:rPr>
        <w:lastRenderedPageBreak/>
        <w:t xml:space="preserve">4-Bromobenzaldehyde; </w:t>
      </w:r>
      <w:r w:rsidRPr="001759D5">
        <w:rPr>
          <w:sz w:val="28"/>
          <w:szCs w:val="28"/>
          <w:lang w:val="en-US"/>
        </w:rPr>
        <w:t>MSDS No 01132</w:t>
      </w:r>
      <w:r w:rsidRPr="001759D5">
        <w:rPr>
          <w:i/>
          <w:sz w:val="28"/>
          <w:szCs w:val="28"/>
          <w:lang w:val="en-US"/>
        </w:rPr>
        <w:t xml:space="preserve">; </w:t>
      </w:r>
      <w:r w:rsidRPr="001759D5">
        <w:rPr>
          <w:sz w:val="28"/>
          <w:szCs w:val="28"/>
          <w:lang w:val="en-US"/>
        </w:rPr>
        <w:t xml:space="preserve">Maybridge Thermo Fisher Scientific Bishop Meadow Rd: Leicestershire, Great Britain, February 07, 2015; https://www.fishersci.com/store/msds?partNumber=SB01132EE&amp;productDescription=4-BROMOBENZALDEHYDE+50GR&amp;vendorId=VN00092202&amp;countryCode=US&amp;language=en </w:t>
      </w:r>
      <w:r w:rsidRPr="001759D5">
        <w:rPr>
          <w:rFonts w:eastAsiaTheme="minorHAnsi"/>
          <w:sz w:val="28"/>
          <w:szCs w:val="28"/>
          <w:lang w:val="en-US" w:eastAsia="en-US"/>
        </w:rPr>
        <w:t>(accessed 12/03/21).</w:t>
      </w:r>
    </w:p>
    <w:p w14:paraId="0A71FE44" w14:textId="24D0E087" w:rsidR="00B85935" w:rsidRPr="001759D5" w:rsidRDefault="00B85935" w:rsidP="001759D5">
      <w:pPr>
        <w:pStyle w:val="a6"/>
        <w:numPr>
          <w:ilvl w:val="0"/>
          <w:numId w:val="48"/>
        </w:numPr>
        <w:shd w:val="clear" w:color="auto" w:fill="FFFFFF"/>
        <w:spacing w:line="360" w:lineRule="auto"/>
        <w:ind w:left="0" w:firstLine="0"/>
        <w:jc w:val="both"/>
        <w:rPr>
          <w:sz w:val="28"/>
          <w:szCs w:val="28"/>
          <w:lang w:val="en-US"/>
        </w:rPr>
      </w:pPr>
      <w:r w:rsidRPr="001759D5">
        <w:rPr>
          <w:i/>
          <w:sz w:val="28"/>
          <w:szCs w:val="28"/>
          <w:lang w:val="en-US"/>
        </w:rPr>
        <w:t>4-Bromobenzaldehyde</w:t>
      </w:r>
      <w:r w:rsidRPr="001759D5">
        <w:rPr>
          <w:sz w:val="28"/>
          <w:szCs w:val="28"/>
          <w:lang w:val="en-US"/>
        </w:rPr>
        <w:t xml:space="preserve">; MSDS No 96921; Acros Organics BVBA: Geel, Belgium, July 20, 2009; https://www.nwmissouri.edu/naturalsciences/sds/0-9/4-Bromobenzaldehyde.pdf </w:t>
      </w:r>
      <w:r w:rsidRPr="001759D5">
        <w:rPr>
          <w:rFonts w:eastAsiaTheme="minorHAnsi"/>
          <w:sz w:val="28"/>
          <w:szCs w:val="28"/>
          <w:lang w:val="en-US" w:eastAsia="en-US"/>
        </w:rPr>
        <w:t>(accessed 12/03/21).</w:t>
      </w:r>
    </w:p>
    <w:p w14:paraId="52343FD5" w14:textId="7C425F86"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bCs/>
          <w:i/>
          <w:sz w:val="28"/>
          <w:szCs w:val="28"/>
          <w:lang w:val="en-US"/>
        </w:rPr>
        <w:t>Salicylic acid</w:t>
      </w:r>
      <w:r w:rsidRPr="001759D5">
        <w:rPr>
          <w:bCs/>
          <w:sz w:val="28"/>
          <w:szCs w:val="28"/>
          <w:lang w:val="en-US"/>
        </w:rPr>
        <w:t xml:space="preserve">; </w:t>
      </w:r>
      <w:r w:rsidRPr="001759D5">
        <w:rPr>
          <w:sz w:val="28"/>
          <w:szCs w:val="28"/>
          <w:lang w:val="en-US"/>
        </w:rPr>
        <w:t xml:space="preserve">MSDS No </w:t>
      </w:r>
      <w:r w:rsidRPr="001759D5">
        <w:rPr>
          <w:color w:val="000000"/>
          <w:sz w:val="28"/>
          <w:szCs w:val="28"/>
          <w:lang w:val="en-US"/>
        </w:rPr>
        <w:t>20315</w:t>
      </w:r>
      <w:r w:rsidRPr="001759D5">
        <w:rPr>
          <w:sz w:val="28"/>
          <w:szCs w:val="28"/>
          <w:lang w:val="en-US"/>
        </w:rPr>
        <w:t xml:space="preserve">; </w:t>
      </w:r>
      <w:r w:rsidRPr="001759D5">
        <w:rPr>
          <w:color w:val="000000"/>
          <w:sz w:val="28"/>
          <w:szCs w:val="28"/>
          <w:lang w:val="en-US"/>
        </w:rPr>
        <w:t>  Fisher Scientific</w:t>
      </w:r>
      <w:r w:rsidRPr="001759D5">
        <w:rPr>
          <w:bCs/>
          <w:sz w:val="28"/>
          <w:szCs w:val="28"/>
          <w:lang w:val="en-US"/>
        </w:rPr>
        <w:t xml:space="preserve">: </w:t>
      </w:r>
      <w:r w:rsidRPr="001759D5">
        <w:rPr>
          <w:color w:val="000000"/>
          <w:sz w:val="28"/>
          <w:szCs w:val="28"/>
          <w:lang w:val="en-US"/>
        </w:rPr>
        <w:t>  Fair Lawn, NJ</w:t>
      </w:r>
      <w:r w:rsidRPr="001759D5">
        <w:rPr>
          <w:sz w:val="28"/>
          <w:szCs w:val="28"/>
          <w:lang w:val="en-US"/>
        </w:rPr>
        <w:t>, February, 15, 2008; https://fscimage.fishersci.com/msds/20315.htm</w:t>
      </w:r>
      <w:r w:rsidRPr="001759D5">
        <w:rPr>
          <w:rFonts w:eastAsiaTheme="minorHAnsi"/>
          <w:sz w:val="28"/>
          <w:szCs w:val="28"/>
          <w:lang w:val="en-US" w:eastAsia="en-US"/>
        </w:rPr>
        <w:t xml:space="preserve"> (accessed 12/03/21).</w:t>
      </w:r>
    </w:p>
    <w:p w14:paraId="3981B302" w14:textId="195798A2" w:rsidR="00B85935" w:rsidRPr="001759D5" w:rsidRDefault="00B85935" w:rsidP="001759D5">
      <w:pPr>
        <w:pStyle w:val="a6"/>
        <w:numPr>
          <w:ilvl w:val="0"/>
          <w:numId w:val="48"/>
        </w:numPr>
        <w:spacing w:line="360" w:lineRule="auto"/>
        <w:ind w:left="0" w:firstLine="0"/>
        <w:jc w:val="both"/>
        <w:rPr>
          <w:sz w:val="28"/>
          <w:szCs w:val="28"/>
          <w:lang w:val="en-US"/>
        </w:rPr>
      </w:pPr>
      <w:r w:rsidRPr="001759D5">
        <w:rPr>
          <w:i/>
          <w:sz w:val="28"/>
          <w:szCs w:val="28"/>
          <w:lang w:val="en-US"/>
        </w:rPr>
        <w:t>Tin(II) chloride</w:t>
      </w:r>
      <w:r w:rsidRPr="001759D5">
        <w:rPr>
          <w:sz w:val="28"/>
          <w:szCs w:val="28"/>
          <w:lang w:val="en-US"/>
        </w:rPr>
        <w:t xml:space="preserve">; MSDS No 208256; Sigma-Aldrich: Saint Louis, USA, October, 30, 2012; https://www.nwmissouri.edu/naturalsciences/sds/t/Tin%20II%20chloride.pdf </w:t>
      </w:r>
      <w:r w:rsidRPr="001759D5">
        <w:rPr>
          <w:rFonts w:eastAsiaTheme="minorHAnsi"/>
          <w:sz w:val="28"/>
          <w:szCs w:val="28"/>
          <w:lang w:val="en-US" w:eastAsia="en-US"/>
        </w:rPr>
        <w:t>(accessed 12/03/21).</w:t>
      </w:r>
    </w:p>
    <w:p w14:paraId="3FBD2B65" w14:textId="5087498E"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Collado, Sergio, et al. “Effect of the Carboxylic Substituent on the Reactivity of the Aromatic Ring during the Wet Oxidation of Phenolic Acids.” </w:t>
      </w:r>
      <w:r w:rsidRPr="001759D5">
        <w:rPr>
          <w:rFonts w:eastAsia="Times New Roman"/>
          <w:i/>
          <w:iCs/>
          <w:color w:val="000000"/>
          <w:sz w:val="28"/>
          <w:szCs w:val="28"/>
          <w:lang w:val="en-US"/>
        </w:rPr>
        <w:t>Chemical Engineering Journal</w:t>
      </w:r>
      <w:r w:rsidRPr="001759D5">
        <w:rPr>
          <w:rFonts w:eastAsia="Times New Roman"/>
          <w:color w:val="000000"/>
          <w:sz w:val="28"/>
          <w:szCs w:val="28"/>
          <w:lang w:val="en-US"/>
        </w:rPr>
        <w:t>, vol. 166, no. 3, 2011, pp. 940–46.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doi:10.1016/j.cej.2010.11.079.</w:t>
      </w:r>
    </w:p>
    <w:p w14:paraId="57368919" w14:textId="711DAA18"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Lian, Wen-Jing, et al. “Mixed-Ligand Copper(Ii) Schiff Base Complexes: The Role of the Co-Ligand in DNA Binding, DNA Cleavage, Protein Binding and Cytotoxicity.” </w:t>
      </w:r>
      <w:r w:rsidRPr="001759D5">
        <w:rPr>
          <w:rFonts w:eastAsia="Times New Roman"/>
          <w:i/>
          <w:iCs/>
          <w:color w:val="000000"/>
          <w:sz w:val="28"/>
          <w:szCs w:val="28"/>
          <w:lang w:val="en-US"/>
        </w:rPr>
        <w:t>Dalton Transactions</w:t>
      </w:r>
      <w:r w:rsidRPr="001759D5">
        <w:rPr>
          <w:rFonts w:eastAsia="Times New Roman"/>
          <w:color w:val="000000"/>
          <w:sz w:val="28"/>
          <w:szCs w:val="28"/>
          <w:lang w:val="en-US"/>
        </w:rPr>
        <w:t>, vol. 45, no. 22, 2016, pp. 9073–87.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doi:10.1039/c6dt00461j.</w:t>
      </w:r>
    </w:p>
    <w:p w14:paraId="623661E4" w14:textId="7A715654" w:rsidR="00B85935" w:rsidRPr="001759D5" w:rsidRDefault="00B85935" w:rsidP="001759D5">
      <w:pPr>
        <w:pStyle w:val="af0"/>
        <w:numPr>
          <w:ilvl w:val="0"/>
          <w:numId w:val="48"/>
        </w:numPr>
        <w:spacing w:line="360" w:lineRule="auto"/>
        <w:ind w:left="0" w:firstLine="0"/>
        <w:jc w:val="both"/>
        <w:rPr>
          <w:sz w:val="28"/>
          <w:szCs w:val="28"/>
        </w:rPr>
      </w:pPr>
      <w:r w:rsidRPr="001759D5">
        <w:rPr>
          <w:color w:val="000000"/>
          <w:sz w:val="28"/>
          <w:szCs w:val="28"/>
        </w:rPr>
        <w:t xml:space="preserve">Скопенко В. В. Координационная химия / [Скопенко В. В., Циварзе А. Ю., Савранский Л. И., Гарновский А. Д.]. – М. : Академкнига, 2007. – </w:t>
      </w:r>
      <w:r w:rsidR="00821BED">
        <w:rPr>
          <w:color w:val="000000"/>
          <w:sz w:val="28"/>
          <w:szCs w:val="28"/>
        </w:rPr>
        <w:br/>
      </w:r>
      <w:r w:rsidRPr="001759D5">
        <w:rPr>
          <w:color w:val="000000"/>
          <w:sz w:val="28"/>
          <w:szCs w:val="28"/>
        </w:rPr>
        <w:t>С. 415 – 419.</w:t>
      </w:r>
    </w:p>
    <w:p w14:paraId="5B56518D" w14:textId="71C7F62C"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 xml:space="preserve">Kim, Kyoung-Su, et al. “Inhibitory Effects of Benzaldehyde Derivatives from the Marine Fungus Eurotium Sp. SF-5989 on Inflammatory Mediators via the Induction of Heme Oxygenase-1 in Lipopolysaccharide-Stimulated RAW264.7 </w:t>
      </w:r>
      <w:r w:rsidRPr="001759D5">
        <w:rPr>
          <w:rFonts w:eastAsia="Times New Roman"/>
          <w:color w:val="000000"/>
          <w:sz w:val="28"/>
          <w:szCs w:val="28"/>
          <w:lang w:val="en-US"/>
        </w:rPr>
        <w:lastRenderedPageBreak/>
        <w:t>Macrophages.” </w:t>
      </w:r>
      <w:r w:rsidRPr="001759D5">
        <w:rPr>
          <w:rFonts w:eastAsia="Times New Roman"/>
          <w:i/>
          <w:iCs/>
          <w:color w:val="000000"/>
          <w:sz w:val="28"/>
          <w:szCs w:val="28"/>
          <w:lang w:val="en-US"/>
        </w:rPr>
        <w:t>International Journal of Molecular Sciences</w:t>
      </w:r>
      <w:r w:rsidRPr="001759D5">
        <w:rPr>
          <w:rFonts w:eastAsia="Times New Roman"/>
          <w:color w:val="000000"/>
          <w:sz w:val="28"/>
          <w:szCs w:val="28"/>
          <w:lang w:val="en-US"/>
        </w:rPr>
        <w:t>, vol. 15, no. 12, 2014, pp. 23749–65.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doi:10.3390/ijms151223749.</w:t>
      </w:r>
    </w:p>
    <w:p w14:paraId="19837361" w14:textId="1F3BDD8A"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Shi, Jie, et al. “Isolation and Characterization of Benzaldehyde Derivatives with Anti-Inflammatory Activities from Eurotium Cristatum, the Dominant Fungi Species in Fuzhuan Brick Tea.” </w:t>
      </w:r>
      <w:r w:rsidRPr="001759D5">
        <w:rPr>
          <w:rFonts w:eastAsia="Times New Roman"/>
          <w:i/>
          <w:iCs/>
          <w:color w:val="000000"/>
          <w:sz w:val="28"/>
          <w:szCs w:val="28"/>
          <w:lang w:val="en-US"/>
        </w:rPr>
        <w:t>ACS Omega</w:t>
      </w:r>
      <w:r w:rsidRPr="001759D5">
        <w:rPr>
          <w:rFonts w:eastAsia="Times New Roman"/>
          <w:color w:val="000000"/>
          <w:sz w:val="28"/>
          <w:szCs w:val="28"/>
          <w:lang w:val="en-US"/>
        </w:rPr>
        <w:t>, vol. 4, no. 4, 2019, pp. 6630–36.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doi:10.1021/acsomega.9b00593.</w:t>
      </w:r>
    </w:p>
    <w:p w14:paraId="62EE0BF4" w14:textId="56AEABCE"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Posadas, Inmaculada, et al. “Carrageenan-Induced Mouse Paw Oedema Is Biphasic, Age-Weight Dependent and Displays Differential Nitric Oxide Cyclooxygenase-2 Expression.” </w:t>
      </w:r>
      <w:r w:rsidRPr="001759D5">
        <w:rPr>
          <w:rFonts w:eastAsia="Times New Roman"/>
          <w:i/>
          <w:iCs/>
          <w:color w:val="000000"/>
          <w:sz w:val="28"/>
          <w:szCs w:val="28"/>
          <w:lang w:val="en-US"/>
        </w:rPr>
        <w:t>British Journal of Pharmacology</w:t>
      </w:r>
      <w:r w:rsidRPr="001759D5">
        <w:rPr>
          <w:rFonts w:eastAsia="Times New Roman"/>
          <w:color w:val="000000"/>
          <w:sz w:val="28"/>
          <w:szCs w:val="28"/>
          <w:lang w:val="en-US"/>
        </w:rPr>
        <w:t>, vol. 142, no. 2, 2004, pp. 331–38.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doi:10.1038/sj.bjp.0705650.</w:t>
      </w:r>
    </w:p>
    <w:p w14:paraId="614D86ED" w14:textId="0601F247"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Winter, C. A., et al. “Carrageenin-Induced Edema in Hind Paw of the Rat as an Assay for Antiinflammatory Drugs.” </w:t>
      </w:r>
      <w:r w:rsidRPr="001759D5">
        <w:rPr>
          <w:rFonts w:eastAsia="Times New Roman"/>
          <w:i/>
          <w:iCs/>
          <w:color w:val="000000"/>
          <w:sz w:val="28"/>
          <w:szCs w:val="28"/>
          <w:lang w:val="en-US"/>
        </w:rPr>
        <w:t>Experimental Biology and Medicine</w:t>
      </w:r>
      <w:r w:rsidRPr="001759D5">
        <w:rPr>
          <w:rFonts w:eastAsia="Times New Roman"/>
          <w:color w:val="000000"/>
          <w:sz w:val="28"/>
          <w:szCs w:val="28"/>
          <w:lang w:val="en-US"/>
        </w:rPr>
        <w:t>, vol. 111, no. 3, 1962, pp. 544–47. </w:t>
      </w:r>
      <w:r w:rsidRPr="001759D5">
        <w:rPr>
          <w:rFonts w:eastAsia="Times New Roman"/>
          <w:i/>
          <w:iCs/>
          <w:color w:val="000000"/>
          <w:sz w:val="28"/>
          <w:szCs w:val="28"/>
          <w:lang w:val="en-US"/>
        </w:rPr>
        <w:t>Crossref</w:t>
      </w:r>
      <w:r w:rsidRPr="001759D5">
        <w:rPr>
          <w:rFonts w:eastAsia="Times New Roman"/>
          <w:color w:val="000000"/>
          <w:sz w:val="28"/>
          <w:szCs w:val="28"/>
          <w:lang w:val="en-US"/>
        </w:rPr>
        <w:t>, doi:10.3181/00379727-111-27849.</w:t>
      </w:r>
    </w:p>
    <w:p w14:paraId="48F5EB7C" w14:textId="77777777" w:rsidR="0068070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Nantel, François, et al. “Distribution and Regulation of Cyclooxygenase-2 in Carrageenan-Induced Inflammation.” </w:t>
      </w:r>
      <w:r w:rsidRPr="001759D5">
        <w:rPr>
          <w:rFonts w:eastAsia="Times New Roman"/>
          <w:i/>
          <w:iCs/>
          <w:color w:val="000000"/>
          <w:sz w:val="28"/>
          <w:szCs w:val="28"/>
          <w:lang w:val="en-US"/>
        </w:rPr>
        <w:t>British Journal of Pharmacology</w:t>
      </w:r>
      <w:r w:rsidRPr="001759D5">
        <w:rPr>
          <w:rFonts w:eastAsia="Times New Roman"/>
          <w:color w:val="000000"/>
          <w:sz w:val="28"/>
          <w:szCs w:val="28"/>
          <w:lang w:val="en-US"/>
        </w:rPr>
        <w:t>, vol. 128, no. 4, 1999, pp. 853–59.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doi:10.1038/sj.bjp.0702866.</w:t>
      </w:r>
    </w:p>
    <w:p w14:paraId="44EFF542" w14:textId="303DABD6" w:rsidR="00680705" w:rsidRPr="001759D5" w:rsidRDefault="00680705" w:rsidP="001759D5">
      <w:pPr>
        <w:pStyle w:val="a6"/>
        <w:numPr>
          <w:ilvl w:val="0"/>
          <w:numId w:val="48"/>
        </w:numPr>
        <w:spacing w:line="360" w:lineRule="auto"/>
        <w:ind w:left="0" w:firstLine="0"/>
        <w:jc w:val="both"/>
        <w:rPr>
          <w:rFonts w:eastAsia="Times New Roman"/>
          <w:color w:val="000000"/>
          <w:sz w:val="28"/>
          <w:szCs w:val="28"/>
          <w:lang w:val="en-US"/>
        </w:rPr>
      </w:pPr>
      <w:r w:rsidRPr="001759D5">
        <w:rPr>
          <w:color w:val="000000"/>
          <w:sz w:val="28"/>
          <w:szCs w:val="28"/>
          <w:lang w:val="en-US"/>
        </w:rPr>
        <w:t>Hansra, Pauline, et al. “Carrageenan-Induced Arthritis in the Rat.” </w:t>
      </w:r>
      <w:r w:rsidRPr="001759D5">
        <w:rPr>
          <w:i/>
          <w:iCs/>
          <w:color w:val="000000"/>
          <w:sz w:val="28"/>
          <w:szCs w:val="28"/>
        </w:rPr>
        <w:t>Inflammation</w:t>
      </w:r>
      <w:r w:rsidRPr="001759D5">
        <w:rPr>
          <w:color w:val="000000"/>
          <w:sz w:val="28"/>
          <w:szCs w:val="28"/>
        </w:rPr>
        <w:t>, vol. 24, no. 2, 2000, pp. 141–55. </w:t>
      </w:r>
      <w:r w:rsidRPr="001759D5">
        <w:rPr>
          <w:i/>
          <w:iCs/>
          <w:color w:val="000000"/>
          <w:sz w:val="28"/>
          <w:szCs w:val="28"/>
        </w:rPr>
        <w:t>Crossref</w:t>
      </w:r>
      <w:r w:rsidRPr="001759D5">
        <w:rPr>
          <w:color w:val="000000"/>
          <w:sz w:val="28"/>
          <w:szCs w:val="28"/>
        </w:rPr>
        <w:t>, doi:10.1023/a:1007033610430.</w:t>
      </w:r>
    </w:p>
    <w:p w14:paraId="7BA082D6" w14:textId="203973E5"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Branco, Anna Cláudia Calvielli Castelo, et al. “Role of Histamine in Modulating the Immune Response and Inflammation.” </w:t>
      </w:r>
      <w:r w:rsidRPr="001759D5">
        <w:rPr>
          <w:rFonts w:eastAsia="Times New Roman"/>
          <w:i/>
          <w:iCs/>
          <w:color w:val="000000"/>
          <w:sz w:val="28"/>
          <w:szCs w:val="28"/>
          <w:lang w:val="en-US"/>
        </w:rPr>
        <w:t>Mediators of Inflammation</w:t>
      </w:r>
      <w:r w:rsidRPr="001759D5">
        <w:rPr>
          <w:rFonts w:eastAsia="Times New Roman"/>
          <w:color w:val="000000"/>
          <w:sz w:val="28"/>
          <w:szCs w:val="28"/>
          <w:lang w:val="en-US"/>
        </w:rPr>
        <w:t>, vol. 2018, 2018, pp. 1–10.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doi:10.1155/2018/9524075.</w:t>
      </w:r>
    </w:p>
    <w:p w14:paraId="57C848DF" w14:textId="35EE6C4E"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Parsons, Mike E., and C. Robin Ganellin. “Histamine and Its Receptors.” </w:t>
      </w:r>
      <w:r w:rsidRPr="001759D5">
        <w:rPr>
          <w:rFonts w:eastAsia="Times New Roman"/>
          <w:i/>
          <w:iCs/>
          <w:color w:val="000000"/>
          <w:sz w:val="28"/>
          <w:szCs w:val="28"/>
          <w:lang w:val="en-US"/>
        </w:rPr>
        <w:t>British Journal of Pharmacology</w:t>
      </w:r>
      <w:r w:rsidRPr="001759D5">
        <w:rPr>
          <w:rFonts w:eastAsia="Times New Roman"/>
          <w:color w:val="000000"/>
          <w:sz w:val="28"/>
          <w:szCs w:val="28"/>
          <w:lang w:val="en-US"/>
        </w:rPr>
        <w:t xml:space="preserve">, vol. 147, no. S1, 2006, </w:t>
      </w:r>
      <w:r w:rsidR="00821BED">
        <w:rPr>
          <w:rFonts w:eastAsia="Times New Roman"/>
          <w:color w:val="000000"/>
          <w:sz w:val="28"/>
          <w:szCs w:val="28"/>
          <w:lang w:val="en-US"/>
        </w:rPr>
        <w:br/>
      </w:r>
      <w:r w:rsidRPr="001759D5">
        <w:rPr>
          <w:rFonts w:eastAsia="Times New Roman"/>
          <w:color w:val="000000"/>
          <w:sz w:val="28"/>
          <w:szCs w:val="28"/>
          <w:lang w:val="en-US"/>
        </w:rPr>
        <w:t>pp. S127–35.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doi:10.1038/sj.bjp.0706440.</w:t>
      </w:r>
    </w:p>
    <w:p w14:paraId="39A07A0A" w14:textId="7AC6A5ED"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Fu, Kai-Yuan, et al. “Long-Lasting Inflammation and Long-Term Hyperalgesia After Subcutaneous Formalin Injection Into the Rat Hindpaw.” </w:t>
      </w:r>
      <w:r w:rsidRPr="001759D5">
        <w:rPr>
          <w:rFonts w:eastAsia="Times New Roman"/>
          <w:i/>
          <w:iCs/>
          <w:color w:val="000000"/>
          <w:sz w:val="28"/>
          <w:szCs w:val="28"/>
          <w:lang w:val="en-US"/>
        </w:rPr>
        <w:t>The Journal of Pain</w:t>
      </w:r>
      <w:r w:rsidRPr="001759D5">
        <w:rPr>
          <w:rFonts w:eastAsia="Times New Roman"/>
          <w:color w:val="000000"/>
          <w:sz w:val="28"/>
          <w:szCs w:val="28"/>
          <w:lang w:val="en-US"/>
        </w:rPr>
        <w:t>, vol. 2, no. 1, 2001, pp. 2–11.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doi:10.1054/jpai.2001.9804.</w:t>
      </w:r>
    </w:p>
    <w:p w14:paraId="5C76A21B" w14:textId="31D873F4"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Zhang, Fei-Yu, et al. “Peripheral Formalin Injection Induces Long-Lasting Increases in Cyclooxygenase 1 Expression by Microglia in the Spinal Cord.” </w:t>
      </w:r>
      <w:r w:rsidRPr="001759D5">
        <w:rPr>
          <w:rFonts w:eastAsia="Times New Roman"/>
          <w:i/>
          <w:iCs/>
          <w:color w:val="000000"/>
          <w:sz w:val="28"/>
          <w:szCs w:val="28"/>
          <w:lang w:val="en-US"/>
        </w:rPr>
        <w:t xml:space="preserve">The </w:t>
      </w:r>
      <w:r w:rsidRPr="001759D5">
        <w:rPr>
          <w:rFonts w:eastAsia="Times New Roman"/>
          <w:i/>
          <w:iCs/>
          <w:color w:val="000000"/>
          <w:sz w:val="28"/>
          <w:szCs w:val="28"/>
          <w:lang w:val="en-US"/>
        </w:rPr>
        <w:lastRenderedPageBreak/>
        <w:t>Journal of Pain</w:t>
      </w:r>
      <w:r w:rsidRPr="001759D5">
        <w:rPr>
          <w:rFonts w:eastAsia="Times New Roman"/>
          <w:color w:val="000000"/>
          <w:sz w:val="28"/>
          <w:szCs w:val="28"/>
          <w:lang w:val="en-US"/>
        </w:rPr>
        <w:t>, vol. 8, no. 2, 2007, pp. 110–17.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doi:10.1016/j.jpain.2006.06.006.</w:t>
      </w:r>
    </w:p>
    <w:p w14:paraId="792531EC" w14:textId="77777777"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Paszcuk, Ana Flávia, et al. “Mechanisms Underlying the Nociceptive and Inflammatory Responses Induced by Trypsin in the Mouse Paw.” </w:t>
      </w:r>
      <w:r w:rsidRPr="001759D5">
        <w:rPr>
          <w:rFonts w:eastAsia="Times New Roman"/>
          <w:i/>
          <w:iCs/>
          <w:color w:val="000000"/>
          <w:sz w:val="28"/>
          <w:szCs w:val="28"/>
          <w:lang w:val="en-US"/>
        </w:rPr>
        <w:t>European Journal of Pharmacology</w:t>
      </w:r>
      <w:r w:rsidRPr="001759D5">
        <w:rPr>
          <w:rFonts w:eastAsia="Times New Roman"/>
          <w:color w:val="000000"/>
          <w:sz w:val="28"/>
          <w:szCs w:val="28"/>
          <w:lang w:val="en-US"/>
        </w:rPr>
        <w:t>, vol. 581, no. 1–2, 2008, pp. 204–15.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doi:10.1016/j.ejphar.2007.11.025.</w:t>
      </w:r>
    </w:p>
    <w:p w14:paraId="65334485" w14:textId="77777777" w:rsidR="008A6B7D" w:rsidRPr="001759D5" w:rsidRDefault="008A6B7D" w:rsidP="001759D5">
      <w:pPr>
        <w:pStyle w:val="a6"/>
        <w:numPr>
          <w:ilvl w:val="0"/>
          <w:numId w:val="48"/>
        </w:numPr>
        <w:spacing w:line="360" w:lineRule="auto"/>
        <w:ind w:left="0" w:firstLine="0"/>
        <w:jc w:val="both"/>
        <w:rPr>
          <w:rFonts w:eastAsia="Times New Roman"/>
          <w:color w:val="000000"/>
          <w:sz w:val="28"/>
          <w:szCs w:val="28"/>
          <w:lang w:val="en-US"/>
        </w:rPr>
      </w:pPr>
      <w:r w:rsidRPr="001759D5">
        <w:rPr>
          <w:sz w:val="28"/>
          <w:szCs w:val="28"/>
        </w:rPr>
        <w:t xml:space="preserve">Насонов Е.Л. Применение НПВП: терапевтические аспекты. </w:t>
      </w:r>
      <w:r w:rsidRPr="001759D5">
        <w:rPr>
          <w:i/>
          <w:sz w:val="28"/>
          <w:szCs w:val="28"/>
        </w:rPr>
        <w:t>РМЖ</w:t>
      </w:r>
      <w:r w:rsidRPr="001759D5">
        <w:rPr>
          <w:sz w:val="28"/>
          <w:szCs w:val="28"/>
          <w:lang w:val="en-US"/>
        </w:rPr>
        <w:t xml:space="preserve">. 2002. </w:t>
      </w:r>
      <w:r w:rsidRPr="001759D5">
        <w:rPr>
          <w:sz w:val="28"/>
          <w:szCs w:val="28"/>
        </w:rPr>
        <w:t>Т</w:t>
      </w:r>
      <w:r w:rsidRPr="001759D5">
        <w:rPr>
          <w:sz w:val="28"/>
          <w:szCs w:val="28"/>
          <w:lang w:val="en-US"/>
        </w:rPr>
        <w:t>. 10, № 10. 390 c.</w:t>
      </w:r>
    </w:p>
    <w:p w14:paraId="3EECF39E" w14:textId="16BDB2D9"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 xml:space="preserve">Lee, Byung, et al. “Association of Body Temperature and Antipyretic Treatments with Mortality of Critically Ill Patients with and without Sepsis: </w:t>
      </w:r>
      <w:r w:rsidR="00821BED">
        <w:rPr>
          <w:rFonts w:eastAsia="Times New Roman"/>
          <w:color w:val="000000"/>
          <w:sz w:val="28"/>
          <w:szCs w:val="28"/>
          <w:lang w:val="en-US"/>
        </w:rPr>
        <w:br/>
      </w:r>
      <w:r w:rsidRPr="001759D5">
        <w:rPr>
          <w:rFonts w:eastAsia="Times New Roman"/>
          <w:color w:val="000000"/>
          <w:sz w:val="28"/>
          <w:szCs w:val="28"/>
          <w:lang w:val="en-US"/>
        </w:rPr>
        <w:t>Multi-Centered Prospective Observational Study.” </w:t>
      </w:r>
      <w:r w:rsidRPr="001759D5">
        <w:rPr>
          <w:rFonts w:eastAsia="Times New Roman"/>
          <w:i/>
          <w:iCs/>
          <w:color w:val="000000"/>
          <w:sz w:val="28"/>
          <w:szCs w:val="28"/>
          <w:lang w:val="en-US"/>
        </w:rPr>
        <w:t>Critical Care</w:t>
      </w:r>
      <w:r w:rsidRPr="001759D5">
        <w:rPr>
          <w:rFonts w:eastAsia="Times New Roman"/>
          <w:color w:val="000000"/>
          <w:sz w:val="28"/>
          <w:szCs w:val="28"/>
          <w:lang w:val="en-US"/>
        </w:rPr>
        <w:t>, vol. 16, no. 1, 2012, p. R33.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doi:10.1186/cc11211.</w:t>
      </w:r>
    </w:p>
    <w:p w14:paraId="234AD26F" w14:textId="7D5B391E"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Evans, Sharon S., et al. “Fever and the Thermal Regulation of Immunity: The Immune System Feels the Heat.” </w:t>
      </w:r>
      <w:r w:rsidRPr="001759D5">
        <w:rPr>
          <w:rFonts w:eastAsia="Times New Roman"/>
          <w:i/>
          <w:iCs/>
          <w:color w:val="000000"/>
          <w:sz w:val="28"/>
          <w:szCs w:val="28"/>
          <w:lang w:val="en-US"/>
        </w:rPr>
        <w:t>Nature Reviews Immunology</w:t>
      </w:r>
      <w:r w:rsidRPr="001759D5">
        <w:rPr>
          <w:rFonts w:eastAsia="Times New Roman"/>
          <w:color w:val="000000"/>
          <w:sz w:val="28"/>
          <w:szCs w:val="28"/>
          <w:lang w:val="en-US"/>
        </w:rPr>
        <w:t>, vol. 15, no. 6, 2015, pp. 335–49.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doi:10.1038/nri3843.</w:t>
      </w:r>
    </w:p>
    <w:p w14:paraId="0877C498" w14:textId="2FAB3C58"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i/>
          <w:iCs/>
          <w:color w:val="000000"/>
          <w:sz w:val="28"/>
          <w:szCs w:val="28"/>
          <w:lang w:val="en-US"/>
        </w:rPr>
        <w:t>Living Well with Chronic Illness A Call for Public Health Action (2012)</w:t>
      </w:r>
      <w:r w:rsidRPr="001759D5">
        <w:rPr>
          <w:rFonts w:eastAsia="Times New Roman"/>
          <w:color w:val="000000"/>
          <w:sz w:val="28"/>
          <w:szCs w:val="28"/>
          <w:lang w:val="en-US"/>
        </w:rPr>
        <w:t>. Washington, DC: The National Academies Press., Institute of Medicine, 2012.</w:t>
      </w:r>
    </w:p>
    <w:p w14:paraId="0D7366AB" w14:textId="77777777" w:rsidR="008A6B7D"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St. Marie, Raymond, and Kellie S. Talebkhah. “Neurological Evidence of a Mind-Body Connection: Mindfulness and Pain Control.” </w:t>
      </w:r>
      <w:r w:rsidRPr="001759D5">
        <w:rPr>
          <w:rFonts w:eastAsia="Times New Roman"/>
          <w:i/>
          <w:iCs/>
          <w:color w:val="000000"/>
          <w:sz w:val="28"/>
          <w:szCs w:val="28"/>
          <w:lang w:val="en-US"/>
        </w:rPr>
        <w:t>American Journal of Psychiatry Residents’ Journal</w:t>
      </w:r>
      <w:r w:rsidRPr="001759D5">
        <w:rPr>
          <w:rFonts w:eastAsia="Times New Roman"/>
          <w:color w:val="000000"/>
          <w:sz w:val="28"/>
          <w:szCs w:val="28"/>
          <w:lang w:val="en-US"/>
        </w:rPr>
        <w:t>, vol. 13, no. 4, 2018, pp. 2–5.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doi:10.1176/appi.ajp-rj.2018.130401.</w:t>
      </w:r>
    </w:p>
    <w:p w14:paraId="006AC2FB" w14:textId="4CD5BF5A" w:rsidR="008A6B7D" w:rsidRPr="001759D5" w:rsidRDefault="008A6B7D" w:rsidP="001759D5">
      <w:pPr>
        <w:pStyle w:val="a6"/>
        <w:numPr>
          <w:ilvl w:val="0"/>
          <w:numId w:val="48"/>
        </w:numPr>
        <w:spacing w:line="360" w:lineRule="auto"/>
        <w:ind w:left="0" w:firstLine="0"/>
        <w:jc w:val="both"/>
        <w:rPr>
          <w:rFonts w:eastAsia="Times New Roman"/>
          <w:color w:val="000000"/>
          <w:sz w:val="28"/>
          <w:szCs w:val="28"/>
          <w:lang w:val="en-US"/>
        </w:rPr>
      </w:pPr>
      <w:r w:rsidRPr="001759D5">
        <w:rPr>
          <w:color w:val="000000"/>
          <w:sz w:val="28"/>
          <w:szCs w:val="28"/>
          <w:shd w:val="clear" w:color="auto" w:fill="FFFFFF"/>
        </w:rPr>
        <w:t>Нейропатичний</w:t>
      </w:r>
      <w:r w:rsidRPr="001759D5">
        <w:rPr>
          <w:color w:val="000000"/>
          <w:sz w:val="28"/>
          <w:szCs w:val="28"/>
          <w:shd w:val="clear" w:color="auto" w:fill="FFFFFF"/>
          <w:lang w:val="en-US"/>
        </w:rPr>
        <w:t xml:space="preserve"> </w:t>
      </w:r>
      <w:r w:rsidRPr="001759D5">
        <w:rPr>
          <w:color w:val="000000"/>
          <w:sz w:val="28"/>
          <w:szCs w:val="28"/>
          <w:shd w:val="clear" w:color="auto" w:fill="FFFFFF"/>
        </w:rPr>
        <w:t>біль</w:t>
      </w:r>
      <w:r w:rsidRPr="001759D5">
        <w:rPr>
          <w:color w:val="000000"/>
          <w:sz w:val="28"/>
          <w:szCs w:val="28"/>
          <w:shd w:val="clear" w:color="auto" w:fill="FFFFFF"/>
          <w:lang w:val="en-US"/>
        </w:rPr>
        <w:t xml:space="preserve">: </w:t>
      </w:r>
      <w:r w:rsidRPr="001759D5">
        <w:rPr>
          <w:color w:val="000000"/>
          <w:sz w:val="28"/>
          <w:szCs w:val="28"/>
          <w:shd w:val="clear" w:color="auto" w:fill="FFFFFF"/>
        </w:rPr>
        <w:t>механізми</w:t>
      </w:r>
      <w:r w:rsidRPr="001759D5">
        <w:rPr>
          <w:color w:val="000000"/>
          <w:sz w:val="28"/>
          <w:szCs w:val="28"/>
          <w:shd w:val="clear" w:color="auto" w:fill="FFFFFF"/>
          <w:lang w:val="en-US"/>
        </w:rPr>
        <w:t xml:space="preserve"> </w:t>
      </w:r>
      <w:r w:rsidRPr="001759D5">
        <w:rPr>
          <w:color w:val="000000"/>
          <w:sz w:val="28"/>
          <w:szCs w:val="28"/>
          <w:shd w:val="clear" w:color="auto" w:fill="FFFFFF"/>
        </w:rPr>
        <w:t>розвитку</w:t>
      </w:r>
      <w:r w:rsidRPr="001759D5">
        <w:rPr>
          <w:color w:val="000000"/>
          <w:sz w:val="28"/>
          <w:szCs w:val="28"/>
          <w:shd w:val="clear" w:color="auto" w:fill="FFFFFF"/>
          <w:lang w:val="en-US"/>
        </w:rPr>
        <w:t xml:space="preserve">, </w:t>
      </w:r>
      <w:r w:rsidRPr="001759D5">
        <w:rPr>
          <w:color w:val="000000"/>
          <w:sz w:val="28"/>
          <w:szCs w:val="28"/>
          <w:shd w:val="clear" w:color="auto" w:fill="FFFFFF"/>
        </w:rPr>
        <w:t>принципи</w:t>
      </w:r>
      <w:r w:rsidRPr="001759D5">
        <w:rPr>
          <w:color w:val="000000"/>
          <w:sz w:val="28"/>
          <w:szCs w:val="28"/>
          <w:shd w:val="clear" w:color="auto" w:fill="FFFFFF"/>
          <w:lang w:val="en-US"/>
        </w:rPr>
        <w:t xml:space="preserve"> </w:t>
      </w:r>
      <w:r w:rsidRPr="001759D5">
        <w:rPr>
          <w:color w:val="000000"/>
          <w:sz w:val="28"/>
          <w:szCs w:val="28"/>
          <w:shd w:val="clear" w:color="auto" w:fill="FFFFFF"/>
        </w:rPr>
        <w:t>діагностики</w:t>
      </w:r>
      <w:r w:rsidRPr="001759D5">
        <w:rPr>
          <w:color w:val="000000"/>
          <w:sz w:val="28"/>
          <w:szCs w:val="28"/>
          <w:shd w:val="clear" w:color="auto" w:fill="FFFFFF"/>
          <w:lang w:val="en-US"/>
        </w:rPr>
        <w:t xml:space="preserve"> </w:t>
      </w:r>
      <w:r w:rsidRPr="001759D5">
        <w:rPr>
          <w:color w:val="000000"/>
          <w:sz w:val="28"/>
          <w:szCs w:val="28"/>
          <w:shd w:val="clear" w:color="auto" w:fill="FFFFFF"/>
        </w:rPr>
        <w:t>та</w:t>
      </w:r>
      <w:r w:rsidRPr="001759D5">
        <w:rPr>
          <w:color w:val="000000"/>
          <w:sz w:val="28"/>
          <w:szCs w:val="28"/>
          <w:shd w:val="clear" w:color="auto" w:fill="FFFFFF"/>
          <w:lang w:val="en-US"/>
        </w:rPr>
        <w:t xml:space="preserve"> </w:t>
      </w:r>
      <w:r w:rsidRPr="001759D5">
        <w:rPr>
          <w:color w:val="000000"/>
          <w:sz w:val="28"/>
          <w:szCs w:val="28"/>
          <w:shd w:val="clear" w:color="auto" w:fill="FFFFFF"/>
        </w:rPr>
        <w:t>лікування</w:t>
      </w:r>
      <w:r w:rsidRPr="001759D5">
        <w:rPr>
          <w:color w:val="000000"/>
          <w:sz w:val="28"/>
          <w:szCs w:val="28"/>
          <w:shd w:val="clear" w:color="auto" w:fill="FFFFFF"/>
          <w:lang w:val="en-US"/>
        </w:rPr>
        <w:t xml:space="preserve"> / </w:t>
      </w:r>
      <w:r w:rsidRPr="001759D5">
        <w:rPr>
          <w:color w:val="000000"/>
          <w:sz w:val="28"/>
          <w:szCs w:val="28"/>
          <w:shd w:val="clear" w:color="auto" w:fill="FFFFFF"/>
        </w:rPr>
        <w:t>Дмитрієв</w:t>
      </w:r>
      <w:r w:rsidRPr="001759D5">
        <w:rPr>
          <w:color w:val="000000"/>
          <w:sz w:val="28"/>
          <w:szCs w:val="28"/>
          <w:shd w:val="clear" w:color="auto" w:fill="FFFFFF"/>
          <w:lang w:val="en-US"/>
        </w:rPr>
        <w:t xml:space="preserve"> </w:t>
      </w:r>
      <w:r w:rsidRPr="001759D5">
        <w:rPr>
          <w:color w:val="000000"/>
          <w:sz w:val="28"/>
          <w:szCs w:val="28"/>
          <w:shd w:val="clear" w:color="auto" w:fill="FFFFFF"/>
        </w:rPr>
        <w:t>Д</w:t>
      </w:r>
      <w:r w:rsidRPr="001759D5">
        <w:rPr>
          <w:color w:val="000000"/>
          <w:sz w:val="28"/>
          <w:szCs w:val="28"/>
          <w:shd w:val="clear" w:color="auto" w:fill="FFFFFF"/>
          <w:lang w:val="en-US"/>
        </w:rPr>
        <w:t xml:space="preserve">. </w:t>
      </w:r>
      <w:r w:rsidRPr="001759D5">
        <w:rPr>
          <w:color w:val="000000"/>
          <w:sz w:val="28"/>
          <w:szCs w:val="28"/>
          <w:shd w:val="clear" w:color="auto" w:fill="FFFFFF"/>
        </w:rPr>
        <w:t>В</w:t>
      </w:r>
      <w:r w:rsidRPr="001759D5">
        <w:rPr>
          <w:color w:val="000000"/>
          <w:sz w:val="28"/>
          <w:szCs w:val="28"/>
          <w:shd w:val="clear" w:color="auto" w:fill="FFFFFF"/>
          <w:lang w:val="en-US"/>
        </w:rPr>
        <w:t xml:space="preserve">., </w:t>
      </w:r>
      <w:r w:rsidRPr="001759D5">
        <w:rPr>
          <w:color w:val="000000"/>
          <w:sz w:val="28"/>
          <w:szCs w:val="28"/>
          <w:shd w:val="clear" w:color="auto" w:fill="FFFFFF"/>
        </w:rPr>
        <w:t>Прудіус</w:t>
      </w:r>
      <w:r w:rsidRPr="001759D5">
        <w:rPr>
          <w:color w:val="000000"/>
          <w:sz w:val="28"/>
          <w:szCs w:val="28"/>
          <w:shd w:val="clear" w:color="auto" w:fill="FFFFFF"/>
          <w:lang w:val="en-US"/>
        </w:rPr>
        <w:t xml:space="preserve"> </w:t>
      </w:r>
      <w:r w:rsidRPr="001759D5">
        <w:rPr>
          <w:color w:val="000000"/>
          <w:sz w:val="28"/>
          <w:szCs w:val="28"/>
          <w:shd w:val="clear" w:color="auto" w:fill="FFFFFF"/>
        </w:rPr>
        <w:t>П</w:t>
      </w:r>
      <w:r w:rsidRPr="001759D5">
        <w:rPr>
          <w:color w:val="000000"/>
          <w:sz w:val="28"/>
          <w:szCs w:val="28"/>
          <w:shd w:val="clear" w:color="auto" w:fill="FFFFFF"/>
          <w:lang w:val="en-US"/>
        </w:rPr>
        <w:t xml:space="preserve">. </w:t>
      </w:r>
      <w:r w:rsidRPr="001759D5">
        <w:rPr>
          <w:color w:val="000000"/>
          <w:sz w:val="28"/>
          <w:szCs w:val="28"/>
          <w:shd w:val="clear" w:color="auto" w:fill="FFFFFF"/>
        </w:rPr>
        <w:t>Г</w:t>
      </w:r>
      <w:r w:rsidRPr="001759D5">
        <w:rPr>
          <w:color w:val="000000"/>
          <w:sz w:val="28"/>
          <w:szCs w:val="28"/>
          <w:shd w:val="clear" w:color="auto" w:fill="FFFFFF"/>
          <w:lang w:val="en-US"/>
        </w:rPr>
        <w:t xml:space="preserve">., </w:t>
      </w:r>
      <w:r w:rsidRPr="001759D5">
        <w:rPr>
          <w:color w:val="000000"/>
          <w:sz w:val="28"/>
          <w:szCs w:val="28"/>
          <w:shd w:val="clear" w:color="auto" w:fill="FFFFFF"/>
        </w:rPr>
        <w:t>Залецька</w:t>
      </w:r>
      <w:r w:rsidRPr="001759D5">
        <w:rPr>
          <w:color w:val="000000"/>
          <w:sz w:val="28"/>
          <w:szCs w:val="28"/>
          <w:shd w:val="clear" w:color="auto" w:fill="FFFFFF"/>
          <w:lang w:val="en-US"/>
        </w:rPr>
        <w:t xml:space="preserve"> </w:t>
      </w:r>
      <w:r w:rsidRPr="001759D5">
        <w:rPr>
          <w:color w:val="000000"/>
          <w:sz w:val="28"/>
          <w:szCs w:val="28"/>
          <w:shd w:val="clear" w:color="auto" w:fill="FFFFFF"/>
        </w:rPr>
        <w:t>Л</w:t>
      </w:r>
      <w:r w:rsidRPr="001759D5">
        <w:rPr>
          <w:color w:val="000000"/>
          <w:sz w:val="28"/>
          <w:szCs w:val="28"/>
          <w:shd w:val="clear" w:color="auto" w:fill="FFFFFF"/>
          <w:lang w:val="en-US"/>
        </w:rPr>
        <w:t xml:space="preserve">. </w:t>
      </w:r>
      <w:r w:rsidRPr="001759D5">
        <w:rPr>
          <w:color w:val="000000"/>
          <w:sz w:val="28"/>
          <w:szCs w:val="28"/>
          <w:shd w:val="clear" w:color="auto" w:fill="FFFFFF"/>
        </w:rPr>
        <w:t>А</w:t>
      </w:r>
      <w:r w:rsidRPr="001759D5">
        <w:rPr>
          <w:color w:val="000000"/>
          <w:sz w:val="28"/>
          <w:szCs w:val="28"/>
          <w:shd w:val="clear" w:color="auto" w:fill="FFFFFF"/>
          <w:lang w:val="en-US"/>
        </w:rPr>
        <w:t xml:space="preserve">. </w:t>
      </w:r>
      <w:r w:rsidRPr="001759D5">
        <w:rPr>
          <w:color w:val="000000"/>
          <w:sz w:val="28"/>
          <w:szCs w:val="28"/>
          <w:shd w:val="clear" w:color="auto" w:fill="FFFFFF"/>
        </w:rPr>
        <w:t>та</w:t>
      </w:r>
      <w:r w:rsidRPr="001759D5">
        <w:rPr>
          <w:color w:val="000000"/>
          <w:sz w:val="28"/>
          <w:szCs w:val="28"/>
          <w:shd w:val="clear" w:color="auto" w:fill="FFFFFF"/>
          <w:lang w:val="en-US"/>
        </w:rPr>
        <w:t xml:space="preserve"> </w:t>
      </w:r>
      <w:r w:rsidRPr="001759D5">
        <w:rPr>
          <w:color w:val="000000"/>
          <w:sz w:val="28"/>
          <w:szCs w:val="28"/>
          <w:shd w:val="clear" w:color="auto" w:fill="FFFFFF"/>
        </w:rPr>
        <w:t>ін</w:t>
      </w:r>
      <w:r w:rsidRPr="001759D5">
        <w:rPr>
          <w:color w:val="000000"/>
          <w:sz w:val="28"/>
          <w:szCs w:val="28"/>
          <w:shd w:val="clear" w:color="auto" w:fill="FFFFFF"/>
          <w:lang w:val="en-US"/>
        </w:rPr>
        <w:t xml:space="preserve">.]. // PainMedicine Journal. – 2019. – </w:t>
      </w:r>
      <w:r w:rsidRPr="001759D5">
        <w:rPr>
          <w:color w:val="000000"/>
          <w:sz w:val="28"/>
          <w:szCs w:val="28"/>
          <w:shd w:val="clear" w:color="auto" w:fill="FFFFFF"/>
          <w:lang w:val="uk-UA"/>
        </w:rPr>
        <w:t xml:space="preserve">Т. 4, </w:t>
      </w:r>
      <w:r w:rsidRPr="001759D5">
        <w:rPr>
          <w:color w:val="000000"/>
          <w:sz w:val="28"/>
          <w:szCs w:val="28"/>
          <w:shd w:val="clear" w:color="auto" w:fill="FFFFFF"/>
          <w:lang w:val="en-US"/>
        </w:rPr>
        <w:t xml:space="preserve">№2. – </w:t>
      </w:r>
      <w:r w:rsidRPr="001759D5">
        <w:rPr>
          <w:color w:val="000000"/>
          <w:sz w:val="28"/>
          <w:szCs w:val="28"/>
          <w:shd w:val="clear" w:color="auto" w:fill="FFFFFF"/>
        </w:rPr>
        <w:t>С</w:t>
      </w:r>
      <w:r w:rsidRPr="001759D5">
        <w:rPr>
          <w:color w:val="000000"/>
          <w:sz w:val="28"/>
          <w:szCs w:val="28"/>
          <w:shd w:val="clear" w:color="auto" w:fill="FFFFFF"/>
          <w:lang w:val="en-US"/>
        </w:rPr>
        <w:t>. 4–39.</w:t>
      </w:r>
    </w:p>
    <w:p w14:paraId="1AB0562A" w14:textId="5884F9AA"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Li, Xiang-Yao, et al. “Maladaptive Plasticity and Neuropathic Pain.” </w:t>
      </w:r>
      <w:r w:rsidRPr="001759D5">
        <w:rPr>
          <w:rFonts w:eastAsia="Times New Roman"/>
          <w:i/>
          <w:iCs/>
          <w:color w:val="000000"/>
          <w:sz w:val="28"/>
          <w:szCs w:val="28"/>
          <w:lang w:val="en-US"/>
        </w:rPr>
        <w:t>Neural Plasticity</w:t>
      </w:r>
      <w:r w:rsidRPr="001759D5">
        <w:rPr>
          <w:rFonts w:eastAsia="Times New Roman"/>
          <w:color w:val="000000"/>
          <w:sz w:val="28"/>
          <w:szCs w:val="28"/>
          <w:lang w:val="en-US"/>
        </w:rPr>
        <w:t>, vol. 2016, 2016, pp. 1–2.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doi:10.1155/2016/4842159.</w:t>
      </w:r>
    </w:p>
    <w:p w14:paraId="39024AF8" w14:textId="77777777"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rPr>
      </w:pPr>
      <w:r w:rsidRPr="001759D5">
        <w:rPr>
          <w:rFonts w:eastAsia="Times New Roman"/>
          <w:color w:val="000000"/>
          <w:sz w:val="28"/>
          <w:szCs w:val="28"/>
          <w:lang w:val="en-US"/>
        </w:rPr>
        <w:t>Sontakke, SmitaD, and SwapnilR Jaiswal. “Experimental Evaluation of Analgesic and Anti-Inflammatory Activity of Simvastatin and Atorvastatin.” </w:t>
      </w:r>
      <w:r w:rsidRPr="001759D5">
        <w:rPr>
          <w:rFonts w:eastAsia="Times New Roman"/>
          <w:i/>
          <w:iCs/>
          <w:color w:val="000000"/>
          <w:sz w:val="28"/>
          <w:szCs w:val="28"/>
        </w:rPr>
        <w:t>Indian Journal of Pharmacology</w:t>
      </w:r>
      <w:r w:rsidRPr="001759D5">
        <w:rPr>
          <w:rFonts w:eastAsia="Times New Roman"/>
          <w:color w:val="000000"/>
          <w:sz w:val="28"/>
          <w:szCs w:val="28"/>
        </w:rPr>
        <w:t>, vol. 44, no. 4, 2012, p. 475. </w:t>
      </w:r>
      <w:r w:rsidRPr="001759D5">
        <w:rPr>
          <w:rFonts w:eastAsia="Times New Roman"/>
          <w:i/>
          <w:iCs/>
          <w:color w:val="000000"/>
          <w:sz w:val="28"/>
          <w:szCs w:val="28"/>
        </w:rPr>
        <w:t>Crossref</w:t>
      </w:r>
      <w:r w:rsidRPr="001759D5">
        <w:rPr>
          <w:rFonts w:eastAsia="Times New Roman"/>
          <w:color w:val="000000"/>
          <w:sz w:val="28"/>
          <w:szCs w:val="28"/>
        </w:rPr>
        <w:t>, doi:10.4103/0253-7613.99311.</w:t>
      </w:r>
    </w:p>
    <w:p w14:paraId="094621C6" w14:textId="77777777" w:rsidR="008A6B7D" w:rsidRPr="001759D5" w:rsidRDefault="008A6B7D" w:rsidP="001759D5">
      <w:pPr>
        <w:pStyle w:val="a6"/>
        <w:numPr>
          <w:ilvl w:val="0"/>
          <w:numId w:val="48"/>
        </w:numPr>
        <w:spacing w:line="360" w:lineRule="auto"/>
        <w:ind w:left="0" w:firstLine="0"/>
        <w:jc w:val="both"/>
        <w:rPr>
          <w:rFonts w:eastAsia="Times New Roman"/>
          <w:color w:val="000000"/>
          <w:sz w:val="28"/>
          <w:szCs w:val="28"/>
        </w:rPr>
      </w:pPr>
      <w:r w:rsidRPr="001759D5">
        <w:rPr>
          <w:color w:val="000000"/>
          <w:sz w:val="28"/>
          <w:szCs w:val="28"/>
          <w:shd w:val="clear" w:color="auto" w:fill="FFFFFF"/>
        </w:rPr>
        <w:lastRenderedPageBreak/>
        <w:t>Руководство по проведению доклинических исследований лекарственных средств. Часть первая / Миронов А.Н., Бунатян Н.Д., Верстакова О.Л та ін.]. – Москва: Гриф и К, 2012. – 944 с.</w:t>
      </w:r>
    </w:p>
    <w:p w14:paraId="23A5BF2E" w14:textId="6DEF1D5B"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Rezaee-Asl, Masoume, et al. “The Study of Analgesic Effects of Leonurus Cardiaca L. in Mice by Formalin, Tail Flick and Hot Plate Tests.” </w:t>
      </w:r>
      <w:r w:rsidRPr="001759D5">
        <w:rPr>
          <w:rFonts w:eastAsia="Times New Roman"/>
          <w:i/>
          <w:iCs/>
          <w:color w:val="000000"/>
          <w:sz w:val="28"/>
          <w:szCs w:val="28"/>
          <w:lang w:val="en-US"/>
        </w:rPr>
        <w:t>International Scholarly Research Notices</w:t>
      </w:r>
      <w:r w:rsidRPr="001759D5">
        <w:rPr>
          <w:rFonts w:eastAsia="Times New Roman"/>
          <w:color w:val="000000"/>
          <w:sz w:val="28"/>
          <w:szCs w:val="28"/>
          <w:lang w:val="en-US"/>
        </w:rPr>
        <w:t>, vol. 2014, 2014, pp. 1–5.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doi:10.1155/2014/687697.</w:t>
      </w:r>
    </w:p>
    <w:p w14:paraId="28A41557" w14:textId="0E2CD771"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Ponnaluri, Raghunatha, et al. “Evaluation of Analgesic Effect of Gentamicin in Thermally Induced Pain Models in Rats and Mice.” </w:t>
      </w:r>
      <w:r w:rsidRPr="001759D5">
        <w:rPr>
          <w:rFonts w:eastAsia="Times New Roman"/>
          <w:i/>
          <w:iCs/>
          <w:color w:val="000000"/>
          <w:sz w:val="28"/>
          <w:szCs w:val="28"/>
          <w:lang w:val="en-US"/>
        </w:rPr>
        <w:t>National Journal of Physiology, Pharmacy and Pharmacology</w:t>
      </w:r>
      <w:r w:rsidRPr="001759D5">
        <w:rPr>
          <w:rFonts w:eastAsia="Times New Roman"/>
          <w:color w:val="000000"/>
          <w:sz w:val="28"/>
          <w:szCs w:val="28"/>
          <w:lang w:val="en-US"/>
        </w:rPr>
        <w:t>, vol. 7, no. 3, 2017, p. 1. </w:t>
      </w:r>
      <w:r w:rsidRPr="001759D5">
        <w:rPr>
          <w:rFonts w:eastAsia="Times New Roman"/>
          <w:i/>
          <w:iCs/>
          <w:color w:val="000000"/>
          <w:sz w:val="28"/>
          <w:szCs w:val="28"/>
          <w:lang w:val="en-US"/>
        </w:rPr>
        <w:t>Crossref</w:t>
      </w:r>
      <w:r w:rsidRPr="001759D5">
        <w:rPr>
          <w:rFonts w:eastAsia="Times New Roman"/>
          <w:color w:val="000000"/>
          <w:sz w:val="28"/>
          <w:szCs w:val="28"/>
          <w:lang w:val="en-US"/>
        </w:rPr>
        <w:t>, doi:10.5455/njppp.2017.7.0821723092016.</w:t>
      </w:r>
    </w:p>
    <w:p w14:paraId="39D364FA" w14:textId="6951BAD4"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Wallenstein, Stanley L. “Pain Measurement: An Overview.” </w:t>
      </w:r>
      <w:r w:rsidRPr="001759D5">
        <w:rPr>
          <w:rFonts w:eastAsia="Times New Roman"/>
          <w:i/>
          <w:iCs/>
          <w:color w:val="000000"/>
          <w:sz w:val="28"/>
          <w:szCs w:val="28"/>
          <w:lang w:val="en-US"/>
        </w:rPr>
        <w:t>Journal of Pain and Symptom Management</w:t>
      </w:r>
      <w:r w:rsidRPr="001759D5">
        <w:rPr>
          <w:rFonts w:eastAsia="Times New Roman"/>
          <w:color w:val="000000"/>
          <w:sz w:val="28"/>
          <w:szCs w:val="28"/>
          <w:lang w:val="en-US"/>
        </w:rPr>
        <w:t>, vol. 1, no. 1, 1986, pp. 46–47.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doi:10.1016/s0885-3924(86)80031-8.</w:t>
      </w:r>
    </w:p>
    <w:p w14:paraId="7DD59166" w14:textId="7F793A5E"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 xml:space="preserve">Kolesnikov, Yu. </w:t>
      </w:r>
      <w:r w:rsidRPr="001759D5">
        <w:rPr>
          <w:rFonts w:eastAsia="Times New Roman"/>
          <w:color w:val="000000"/>
          <w:sz w:val="28"/>
          <w:szCs w:val="28"/>
        </w:rPr>
        <w:t>А</w:t>
      </w:r>
      <w:r w:rsidRPr="001759D5">
        <w:rPr>
          <w:rFonts w:eastAsia="Times New Roman"/>
          <w:color w:val="000000"/>
          <w:sz w:val="28"/>
          <w:szCs w:val="28"/>
          <w:lang w:val="en-US"/>
        </w:rPr>
        <w:t>. “Prospects of using a combination of locally injected non-steroidal anti-inflammatory drugs and opioids in peripheral pain management.” </w:t>
      </w:r>
      <w:r w:rsidRPr="001759D5">
        <w:rPr>
          <w:rFonts w:eastAsia="Times New Roman"/>
          <w:i/>
          <w:iCs/>
          <w:color w:val="000000"/>
          <w:sz w:val="28"/>
          <w:szCs w:val="28"/>
          <w:lang w:val="en-US"/>
        </w:rPr>
        <w:t>Messenger of Anesthesiology and Resuscitation</w:t>
      </w:r>
      <w:r w:rsidRPr="001759D5">
        <w:rPr>
          <w:rFonts w:eastAsia="Times New Roman"/>
          <w:color w:val="000000"/>
          <w:sz w:val="28"/>
          <w:szCs w:val="28"/>
          <w:lang w:val="en-US"/>
        </w:rPr>
        <w:t>, vol. 16, no. 3, 2019, pp. 41–47. </w:t>
      </w:r>
      <w:r w:rsidRPr="001759D5">
        <w:rPr>
          <w:rFonts w:eastAsia="Times New Roman"/>
          <w:i/>
          <w:iCs/>
          <w:color w:val="000000"/>
          <w:sz w:val="28"/>
          <w:szCs w:val="28"/>
          <w:lang w:val="en-US"/>
        </w:rPr>
        <w:t>Crossref</w:t>
      </w:r>
      <w:r w:rsidRPr="001759D5">
        <w:rPr>
          <w:rFonts w:eastAsia="Times New Roman"/>
          <w:color w:val="000000"/>
          <w:sz w:val="28"/>
          <w:szCs w:val="28"/>
          <w:lang w:val="en-US"/>
        </w:rPr>
        <w:t>, doi:10.21292/2078-5658-2019-16-3-41-47.</w:t>
      </w:r>
    </w:p>
    <w:p w14:paraId="0537FA4F" w14:textId="68C122CE"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Hatakeyama, Yukari, et al. “Polysulfide Evokes Acute Pain through the Activation of Nociceptive TRPA1 in Mouse Sensory Neurons.” </w:t>
      </w:r>
      <w:r w:rsidRPr="001759D5">
        <w:rPr>
          <w:rFonts w:eastAsia="Times New Roman"/>
          <w:i/>
          <w:iCs/>
          <w:color w:val="000000"/>
          <w:sz w:val="28"/>
          <w:szCs w:val="28"/>
          <w:lang w:val="en-US"/>
        </w:rPr>
        <w:t>Molecular Pain</w:t>
      </w:r>
      <w:r w:rsidRPr="001759D5">
        <w:rPr>
          <w:rFonts w:eastAsia="Times New Roman"/>
          <w:color w:val="000000"/>
          <w:sz w:val="28"/>
          <w:szCs w:val="28"/>
          <w:lang w:val="en-US"/>
        </w:rPr>
        <w:t>, vol. 11, 2015, pp. s12990-015.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doi:10.1186/s12990-015-0023-4.</w:t>
      </w:r>
    </w:p>
    <w:p w14:paraId="4F8A4CBD" w14:textId="54612003"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Alpizar, Yeranddy A., et al. “Activation and Sensitization of the Capsaicin Receptor TRPV1 by Allyl Isothiocyanate.” </w:t>
      </w:r>
      <w:r w:rsidRPr="001759D5">
        <w:rPr>
          <w:rFonts w:eastAsia="Times New Roman"/>
          <w:i/>
          <w:iCs/>
          <w:color w:val="000000"/>
          <w:sz w:val="28"/>
          <w:szCs w:val="28"/>
          <w:lang w:val="en-US"/>
        </w:rPr>
        <w:t>Biophysical Journal</w:t>
      </w:r>
      <w:r w:rsidRPr="001759D5">
        <w:rPr>
          <w:rFonts w:eastAsia="Times New Roman"/>
          <w:color w:val="000000"/>
          <w:sz w:val="28"/>
          <w:szCs w:val="28"/>
          <w:lang w:val="en-US"/>
        </w:rPr>
        <w:t>, vol. 106, no. 2, 2014, p. 337a.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doi:10.1016/j.bpj.2013.11.1930.</w:t>
      </w:r>
    </w:p>
    <w:p w14:paraId="04A41881" w14:textId="77777777"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Tjølsen, Arne, et al. “The Formalin Test: An Evaluation of the Method.” </w:t>
      </w:r>
      <w:r w:rsidRPr="001759D5">
        <w:rPr>
          <w:rFonts w:eastAsia="Times New Roman"/>
          <w:i/>
          <w:iCs/>
          <w:color w:val="000000"/>
          <w:sz w:val="28"/>
          <w:szCs w:val="28"/>
          <w:lang w:val="en-US"/>
        </w:rPr>
        <w:t>Pain</w:t>
      </w:r>
      <w:r w:rsidRPr="001759D5">
        <w:rPr>
          <w:rFonts w:eastAsia="Times New Roman"/>
          <w:color w:val="000000"/>
          <w:sz w:val="28"/>
          <w:szCs w:val="28"/>
          <w:lang w:val="en-US"/>
        </w:rPr>
        <w:t>, vol. 51, no. 1, 1992, pp. 5–17.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doi:10.1016/0304-3959(92)90003-t.</w:t>
      </w:r>
    </w:p>
    <w:p w14:paraId="57966B63" w14:textId="426DAD74"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color w:val="000000"/>
          <w:sz w:val="28"/>
          <w:szCs w:val="28"/>
          <w:lang w:val="en-US"/>
        </w:rPr>
        <w:t>López-Cano, Marc, et al. “Formalin Murine Model of Pain.” </w:t>
      </w:r>
      <w:r w:rsidRPr="001759D5">
        <w:rPr>
          <w:i/>
          <w:iCs/>
          <w:color w:val="000000"/>
          <w:sz w:val="28"/>
          <w:szCs w:val="28"/>
          <w:lang w:val="en-US"/>
        </w:rPr>
        <w:t>BIO-PROTOCOL</w:t>
      </w:r>
      <w:r w:rsidRPr="001759D5">
        <w:rPr>
          <w:color w:val="000000"/>
          <w:sz w:val="28"/>
          <w:szCs w:val="28"/>
          <w:lang w:val="en-US"/>
        </w:rPr>
        <w:t>, vol. 7, no. 23, 2017. </w:t>
      </w:r>
      <w:r w:rsidRPr="001759D5">
        <w:rPr>
          <w:i/>
          <w:iCs/>
          <w:color w:val="000000"/>
          <w:sz w:val="28"/>
          <w:szCs w:val="28"/>
          <w:lang w:val="en-US"/>
        </w:rPr>
        <w:t>Crossref</w:t>
      </w:r>
      <w:r w:rsidRPr="001759D5">
        <w:rPr>
          <w:color w:val="000000"/>
          <w:sz w:val="28"/>
          <w:szCs w:val="28"/>
          <w:lang w:val="en-US"/>
        </w:rPr>
        <w:t>, doi:10.21769/bioprotoc.2628.</w:t>
      </w:r>
    </w:p>
    <w:p w14:paraId="052CCB27" w14:textId="0DFB67FC"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lang w:val="en-US"/>
        </w:rPr>
        <w:lastRenderedPageBreak/>
        <w:t>Damas, J., and J. F. Liégeois. “The Inflammatory Reaction Induced by Formalin in the Rat Paw.” </w:t>
      </w:r>
      <w:r w:rsidRPr="001759D5">
        <w:rPr>
          <w:i/>
          <w:iCs/>
          <w:color w:val="000000"/>
          <w:sz w:val="28"/>
          <w:szCs w:val="28"/>
          <w:lang w:val="en-US"/>
        </w:rPr>
        <w:t>Naunyn-Schmiedeberg’s Archives of Pharmacology</w:t>
      </w:r>
      <w:r w:rsidRPr="001759D5">
        <w:rPr>
          <w:color w:val="000000"/>
          <w:sz w:val="28"/>
          <w:szCs w:val="28"/>
          <w:lang w:val="en-US"/>
        </w:rPr>
        <w:t>, vol. 359, no. 3, 1999, pp. 220–27. </w:t>
      </w:r>
      <w:r w:rsidRPr="001759D5">
        <w:rPr>
          <w:i/>
          <w:iCs/>
          <w:color w:val="000000"/>
          <w:sz w:val="28"/>
          <w:szCs w:val="28"/>
          <w:lang w:val="en-US"/>
        </w:rPr>
        <w:t>Crossref</w:t>
      </w:r>
      <w:r w:rsidRPr="001759D5">
        <w:rPr>
          <w:color w:val="000000"/>
          <w:sz w:val="28"/>
          <w:szCs w:val="28"/>
          <w:lang w:val="en-US"/>
        </w:rPr>
        <w:t>, doi:10.1007/pl00005345.</w:t>
      </w:r>
    </w:p>
    <w:p w14:paraId="6732FA34" w14:textId="77777777"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Chapman, D. B., and E. Leong Way. “Modification of endorphin/enkephalin analgesia and stress-induced analgesia by divalent cations, a cation chelator and an ionophore.” </w:t>
      </w:r>
      <w:r w:rsidRPr="001759D5">
        <w:rPr>
          <w:rFonts w:eastAsia="Times New Roman"/>
          <w:i/>
          <w:iCs/>
          <w:color w:val="000000"/>
          <w:sz w:val="28"/>
          <w:szCs w:val="28"/>
          <w:lang w:val="en-US"/>
        </w:rPr>
        <w:t>British Journal of Pharmacology</w:t>
      </w:r>
      <w:r w:rsidRPr="001759D5">
        <w:rPr>
          <w:rFonts w:eastAsia="Times New Roman"/>
          <w:color w:val="000000"/>
          <w:sz w:val="28"/>
          <w:szCs w:val="28"/>
          <w:lang w:val="en-US"/>
        </w:rPr>
        <w:t>, vol. 75, no. 2, 1982, pp. 389–96.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doi:10.1111/j.1476-5381.1982.tb08799.x.</w:t>
      </w:r>
    </w:p>
    <w:p w14:paraId="50C62FB6" w14:textId="2F804710"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color w:val="000000"/>
          <w:sz w:val="28"/>
          <w:szCs w:val="28"/>
          <w:lang w:val="en-US"/>
        </w:rPr>
        <w:t>Furman, David, et al. “Chronic Inflammation in the Etiology of Disease across the Life Span.”</w:t>
      </w:r>
      <w:r w:rsidRPr="001759D5">
        <w:rPr>
          <w:rStyle w:val="apple-converted-space"/>
          <w:color w:val="000000"/>
          <w:sz w:val="28"/>
          <w:szCs w:val="28"/>
          <w:lang w:val="en-US"/>
        </w:rPr>
        <w:t> </w:t>
      </w:r>
      <w:r w:rsidRPr="001759D5">
        <w:rPr>
          <w:i/>
          <w:iCs/>
          <w:color w:val="000000"/>
          <w:sz w:val="28"/>
          <w:szCs w:val="28"/>
        </w:rPr>
        <w:t>Nature Medicine</w:t>
      </w:r>
      <w:r w:rsidRPr="001759D5">
        <w:rPr>
          <w:color w:val="000000"/>
          <w:sz w:val="28"/>
          <w:szCs w:val="28"/>
        </w:rPr>
        <w:t>, vol. 25, no. 12, 2019, pp. 1822–32.</w:t>
      </w:r>
      <w:r w:rsidRPr="001759D5">
        <w:rPr>
          <w:rStyle w:val="apple-converted-space"/>
          <w:color w:val="000000"/>
          <w:sz w:val="28"/>
          <w:szCs w:val="28"/>
        </w:rPr>
        <w:t> </w:t>
      </w:r>
      <w:r w:rsidRPr="001759D5">
        <w:rPr>
          <w:i/>
          <w:iCs/>
          <w:color w:val="000000"/>
          <w:sz w:val="28"/>
          <w:szCs w:val="28"/>
        </w:rPr>
        <w:t>Crossref</w:t>
      </w:r>
      <w:r w:rsidRPr="001759D5">
        <w:rPr>
          <w:color w:val="000000"/>
          <w:sz w:val="28"/>
          <w:szCs w:val="28"/>
        </w:rPr>
        <w:t>, doi:10.1038/s41591-019-0675-0.</w:t>
      </w:r>
    </w:p>
    <w:p w14:paraId="0FE8F8D3" w14:textId="5E213AE6"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 xml:space="preserve"> Holmes, Alex, et al. “Depression and Chronic Pain.” </w:t>
      </w:r>
      <w:r w:rsidRPr="001759D5">
        <w:rPr>
          <w:rFonts w:eastAsia="Times New Roman"/>
          <w:i/>
          <w:iCs/>
          <w:color w:val="000000"/>
          <w:sz w:val="28"/>
          <w:szCs w:val="28"/>
          <w:lang w:val="en-US"/>
        </w:rPr>
        <w:t>Medical Journal of Australia</w:t>
      </w:r>
      <w:r w:rsidRPr="001759D5">
        <w:rPr>
          <w:rFonts w:eastAsia="Times New Roman"/>
          <w:color w:val="000000"/>
          <w:sz w:val="28"/>
          <w:szCs w:val="28"/>
          <w:lang w:val="en-US"/>
        </w:rPr>
        <w:t>, vol. 199, no. S6, 2013. </w:t>
      </w:r>
      <w:r w:rsidRPr="001759D5">
        <w:rPr>
          <w:rFonts w:eastAsia="Times New Roman"/>
          <w:i/>
          <w:iCs/>
          <w:color w:val="000000"/>
          <w:sz w:val="28"/>
          <w:szCs w:val="28"/>
          <w:lang w:val="en-US"/>
        </w:rPr>
        <w:t>Crossref</w:t>
      </w:r>
      <w:r w:rsidRPr="001759D5">
        <w:rPr>
          <w:rFonts w:eastAsia="Times New Roman"/>
          <w:color w:val="000000"/>
          <w:sz w:val="28"/>
          <w:szCs w:val="28"/>
          <w:lang w:val="en-US"/>
        </w:rPr>
        <w:t>, doi:10.5694/mja12.10589.</w:t>
      </w:r>
    </w:p>
    <w:p w14:paraId="779E7A03" w14:textId="6CC906A2"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Banerjee, Sambuddha, et al. “Syntheses, X-Ray Crystal Structures, DNA Binding, Oxidative Cleavage Activities and Antimicrobial Studies of Two Cu(II) Hydrazone Complexes.” </w:t>
      </w:r>
      <w:r w:rsidRPr="001759D5">
        <w:rPr>
          <w:rFonts w:eastAsia="Times New Roman"/>
          <w:i/>
          <w:iCs/>
          <w:color w:val="000000"/>
          <w:sz w:val="28"/>
          <w:szCs w:val="28"/>
          <w:lang w:val="en-US"/>
        </w:rPr>
        <w:t>Polyhedron</w:t>
      </w:r>
      <w:r w:rsidRPr="001759D5">
        <w:rPr>
          <w:rFonts w:eastAsia="Times New Roman"/>
          <w:color w:val="000000"/>
          <w:sz w:val="28"/>
          <w:szCs w:val="28"/>
          <w:lang w:val="en-US"/>
        </w:rPr>
        <w:t>, vol. 28, no. 13, 2009, pp. 2785–93.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doi:10.1016/j.poly.2009.05.071.</w:t>
      </w:r>
    </w:p>
    <w:p w14:paraId="15BBAA3F" w14:textId="65C0A76A"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Köhler, O., et al. “Effect of Anti-Inflammatory Treatment On Depression, Depressive Symptoms and Side Effects: A Systematic Review and Meta-Analysis of Randomized Clinical Trials.” </w:t>
      </w:r>
      <w:r w:rsidRPr="001759D5">
        <w:rPr>
          <w:rFonts w:eastAsia="Times New Roman"/>
          <w:i/>
          <w:iCs/>
          <w:color w:val="000000"/>
          <w:sz w:val="28"/>
          <w:szCs w:val="28"/>
          <w:lang w:val="en-US"/>
        </w:rPr>
        <w:t>European Psychiatry</w:t>
      </w:r>
      <w:r w:rsidRPr="001759D5">
        <w:rPr>
          <w:rFonts w:eastAsia="Times New Roman"/>
          <w:color w:val="000000"/>
          <w:sz w:val="28"/>
          <w:szCs w:val="28"/>
          <w:lang w:val="en-US"/>
        </w:rPr>
        <w:t xml:space="preserve">, vol. 30, 2015, </w:t>
      </w:r>
      <w:r w:rsidR="00821BED">
        <w:rPr>
          <w:rFonts w:eastAsia="Times New Roman"/>
          <w:color w:val="000000"/>
          <w:sz w:val="28"/>
          <w:szCs w:val="28"/>
          <w:lang w:val="en-US"/>
        </w:rPr>
        <w:br/>
      </w:r>
      <w:r w:rsidRPr="001759D5">
        <w:rPr>
          <w:rFonts w:eastAsia="Times New Roman"/>
          <w:color w:val="000000"/>
          <w:sz w:val="28"/>
          <w:szCs w:val="28"/>
          <w:lang w:val="en-US"/>
        </w:rPr>
        <w:t>p. 342.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doi:10.1016/s0924-9338(15)30268-6.</w:t>
      </w:r>
    </w:p>
    <w:p w14:paraId="5B7EEEC1" w14:textId="48964363"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Müller, Norbert. “COX-2 Inhibitors, Aspirin, and Other Potential Anti-Inflammatory Treatments for Psychiatric Disorders.” </w:t>
      </w:r>
      <w:r w:rsidRPr="001759D5">
        <w:rPr>
          <w:rFonts w:eastAsia="Times New Roman"/>
          <w:i/>
          <w:iCs/>
          <w:color w:val="000000"/>
          <w:sz w:val="28"/>
          <w:szCs w:val="28"/>
          <w:lang w:val="en-US"/>
        </w:rPr>
        <w:t>Frontiers in Psychiatry</w:t>
      </w:r>
      <w:r w:rsidRPr="001759D5">
        <w:rPr>
          <w:rFonts w:eastAsia="Times New Roman"/>
          <w:color w:val="000000"/>
          <w:sz w:val="28"/>
          <w:szCs w:val="28"/>
          <w:lang w:val="en-US"/>
        </w:rPr>
        <w:t>, vol. 10, 2019. </w:t>
      </w:r>
      <w:r w:rsidRPr="001759D5">
        <w:rPr>
          <w:rFonts w:eastAsia="Times New Roman"/>
          <w:i/>
          <w:iCs/>
          <w:color w:val="000000"/>
          <w:sz w:val="28"/>
          <w:szCs w:val="28"/>
          <w:lang w:val="en-US"/>
        </w:rPr>
        <w:t>Crossref</w:t>
      </w:r>
      <w:r w:rsidRPr="001759D5">
        <w:rPr>
          <w:rFonts w:eastAsia="Times New Roman"/>
          <w:color w:val="000000"/>
          <w:sz w:val="28"/>
          <w:szCs w:val="28"/>
          <w:lang w:val="en-US"/>
        </w:rPr>
        <w:t>, doi:10.3389/fpsyt.2019.00375.</w:t>
      </w:r>
    </w:p>
    <w:p w14:paraId="2F9A40F9" w14:textId="0682DF64"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Sandrini, M., et al. “Effect of Rofecoxib on Nociception and the Serotonin System in the Rat Brain.” </w:t>
      </w:r>
      <w:r w:rsidRPr="001759D5">
        <w:rPr>
          <w:rFonts w:eastAsia="Times New Roman"/>
          <w:i/>
          <w:iCs/>
          <w:color w:val="000000"/>
          <w:sz w:val="28"/>
          <w:szCs w:val="28"/>
          <w:lang w:val="en-US"/>
        </w:rPr>
        <w:t>Inflammation Research</w:t>
      </w:r>
      <w:r w:rsidRPr="001759D5">
        <w:rPr>
          <w:rFonts w:eastAsia="Times New Roman"/>
          <w:color w:val="000000"/>
          <w:sz w:val="28"/>
          <w:szCs w:val="28"/>
          <w:lang w:val="en-US"/>
        </w:rPr>
        <w:t xml:space="preserve">, vol. 51, no. 3, 2002, </w:t>
      </w:r>
      <w:r w:rsidR="00821BED">
        <w:rPr>
          <w:rFonts w:eastAsia="Times New Roman"/>
          <w:color w:val="000000"/>
          <w:sz w:val="28"/>
          <w:szCs w:val="28"/>
          <w:lang w:val="en-US"/>
        </w:rPr>
        <w:br/>
      </w:r>
      <w:r w:rsidRPr="001759D5">
        <w:rPr>
          <w:rFonts w:eastAsia="Times New Roman"/>
          <w:color w:val="000000"/>
          <w:sz w:val="28"/>
          <w:szCs w:val="28"/>
          <w:lang w:val="en-US"/>
        </w:rPr>
        <w:t>pp. 154–59.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doi:10.1007/pl00000287.</w:t>
      </w:r>
    </w:p>
    <w:p w14:paraId="4BBB68A6" w14:textId="7D29C189"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Leucht, Claudia, et al. “Amitriptyline versus Placebo for Major Depressive Disorder.” </w:t>
      </w:r>
      <w:r w:rsidRPr="001759D5">
        <w:rPr>
          <w:rFonts w:eastAsia="Times New Roman"/>
          <w:i/>
          <w:iCs/>
          <w:color w:val="000000"/>
          <w:sz w:val="28"/>
          <w:szCs w:val="28"/>
          <w:lang w:val="en-US"/>
        </w:rPr>
        <w:t>Cochrane Database of Systematic Reviews</w:t>
      </w:r>
      <w:r w:rsidRPr="001759D5">
        <w:rPr>
          <w:rFonts w:eastAsia="Times New Roman"/>
          <w:color w:val="000000"/>
          <w:sz w:val="28"/>
          <w:szCs w:val="28"/>
          <w:lang w:val="en-US"/>
        </w:rPr>
        <w:t>, 2012.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doi:10.1002/14651858.cd009138.pub2.</w:t>
      </w:r>
    </w:p>
    <w:p w14:paraId="6FAA7A20" w14:textId="45F2A220" w:rsidR="00B85935" w:rsidRPr="001759D5" w:rsidRDefault="00B85935" w:rsidP="001759D5">
      <w:pPr>
        <w:pStyle w:val="af0"/>
        <w:numPr>
          <w:ilvl w:val="0"/>
          <w:numId w:val="48"/>
        </w:numPr>
        <w:spacing w:line="360" w:lineRule="auto"/>
        <w:ind w:left="0" w:firstLine="0"/>
        <w:jc w:val="both"/>
        <w:rPr>
          <w:sz w:val="28"/>
          <w:szCs w:val="28"/>
        </w:rPr>
      </w:pPr>
      <w:r w:rsidRPr="001759D5">
        <w:rPr>
          <w:color w:val="000000"/>
          <w:sz w:val="28"/>
          <w:szCs w:val="28"/>
          <w:shd w:val="clear" w:color="auto" w:fill="FFFFFF"/>
        </w:rPr>
        <w:lastRenderedPageBreak/>
        <w:t>Каркищенко В.Н. Фармакологические основы терапии. Тезаурус: Руководство для врачей и студентов. Издание третье – новая редакция. / Каркищенко В.Н., Каркищенко Н.Н., Шустов Е.Б.. – Москва: СПб: Айсинг, 2018. – 288 с.</w:t>
      </w:r>
    </w:p>
    <w:p w14:paraId="7A1C04F3" w14:textId="08427B1F" w:rsidR="00B85935" w:rsidRPr="001759D5" w:rsidRDefault="00B85935" w:rsidP="001759D5">
      <w:pPr>
        <w:pStyle w:val="af0"/>
        <w:numPr>
          <w:ilvl w:val="0"/>
          <w:numId w:val="48"/>
        </w:numPr>
        <w:spacing w:line="360" w:lineRule="auto"/>
        <w:ind w:left="0" w:firstLine="0"/>
        <w:jc w:val="both"/>
        <w:rPr>
          <w:sz w:val="28"/>
          <w:szCs w:val="28"/>
        </w:rPr>
      </w:pPr>
      <w:r w:rsidRPr="001759D5">
        <w:rPr>
          <w:color w:val="000000"/>
          <w:sz w:val="28"/>
          <w:szCs w:val="28"/>
          <w:shd w:val="clear" w:color="auto" w:fill="FFFFFF"/>
        </w:rPr>
        <w:t>Психоактивные эффекты ацетилсалициловой кислоты и ее солей / Яковчук Т.В., Хусаинов Д.Р, Коренюк И.И. та ін.]. // Актуальные проблемы гуманитарных и естественных наук. – 2014. – №6. – С. 119–121.</w:t>
      </w:r>
    </w:p>
    <w:p w14:paraId="1FF6CAB3" w14:textId="797A1166"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rPr>
        <w:t xml:space="preserve">Зависимость психотропных эффектов ацетилсалицилатов от функционального состояния дофаминергической системы / Яковчук Т.В., Хусаинов Д.Р, Коренюк И.И., Катюшина О.В.. </w:t>
      </w:r>
      <w:r w:rsidRPr="001759D5">
        <w:rPr>
          <w:color w:val="000000"/>
          <w:sz w:val="28"/>
          <w:szCs w:val="28"/>
          <w:shd w:val="clear" w:color="auto" w:fill="FFFFFF"/>
          <w:lang w:val="en-US"/>
        </w:rPr>
        <w:t xml:space="preserve">// BIOLOGICAL SCIENCES. – 2013. – №4. – </w:t>
      </w:r>
      <w:r w:rsidRPr="001759D5">
        <w:rPr>
          <w:color w:val="000000"/>
          <w:sz w:val="28"/>
          <w:szCs w:val="28"/>
          <w:shd w:val="clear" w:color="auto" w:fill="FFFFFF"/>
        </w:rPr>
        <w:t>С</w:t>
      </w:r>
      <w:r w:rsidRPr="001759D5">
        <w:rPr>
          <w:color w:val="000000"/>
          <w:sz w:val="28"/>
          <w:szCs w:val="28"/>
          <w:shd w:val="clear" w:color="auto" w:fill="FFFFFF"/>
          <w:lang w:val="en-US"/>
        </w:rPr>
        <w:t>. 70–74.</w:t>
      </w:r>
    </w:p>
    <w:p w14:paraId="68F105B9" w14:textId="77777777"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Lalonde, R., and C. Strazielle. “Relations between Open-Field, Elevated plus-Maze, and Emergence Tests as Displayed by C57/BL6J and BALB/c Mice.” </w:t>
      </w:r>
      <w:r w:rsidRPr="001759D5">
        <w:rPr>
          <w:rFonts w:eastAsia="Times New Roman"/>
          <w:i/>
          <w:iCs/>
          <w:color w:val="000000"/>
          <w:sz w:val="28"/>
          <w:szCs w:val="28"/>
          <w:lang w:val="en-US"/>
        </w:rPr>
        <w:t>Journal of Neuroscience Methods</w:t>
      </w:r>
      <w:r w:rsidRPr="001759D5">
        <w:rPr>
          <w:rFonts w:eastAsia="Times New Roman"/>
          <w:color w:val="000000"/>
          <w:sz w:val="28"/>
          <w:szCs w:val="28"/>
          <w:lang w:val="en-US"/>
        </w:rPr>
        <w:t>, vol. 171, no. 1, 2008, pp. 48–52.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doi:10.1016/j.jneumeth.2008.02.003.</w:t>
      </w:r>
    </w:p>
    <w:p w14:paraId="61C661F6" w14:textId="77777777" w:rsidR="008A6B7D" w:rsidRPr="001759D5" w:rsidRDefault="008A6B7D" w:rsidP="001759D5">
      <w:pPr>
        <w:pStyle w:val="a6"/>
        <w:numPr>
          <w:ilvl w:val="0"/>
          <w:numId w:val="48"/>
        </w:numPr>
        <w:spacing w:line="360" w:lineRule="auto"/>
        <w:ind w:left="0" w:firstLine="0"/>
        <w:jc w:val="both"/>
        <w:rPr>
          <w:color w:val="000000"/>
          <w:sz w:val="28"/>
          <w:szCs w:val="28"/>
          <w:shd w:val="clear" w:color="auto" w:fill="FFFFFF"/>
          <w:lang w:val="en-US"/>
        </w:rPr>
      </w:pPr>
      <w:r w:rsidRPr="001759D5">
        <w:rPr>
          <w:rFonts w:eastAsia="Times New Roman"/>
          <w:sz w:val="28"/>
          <w:szCs w:val="28"/>
        </w:rPr>
        <w:t xml:space="preserve">Маркель А.Л. К оценке основных характеристик поведения крыс в «открытом поле». </w:t>
      </w:r>
      <w:r w:rsidRPr="001759D5">
        <w:rPr>
          <w:rFonts w:eastAsia="Times New Roman"/>
          <w:i/>
          <w:sz w:val="28"/>
          <w:szCs w:val="28"/>
        </w:rPr>
        <w:t xml:space="preserve">Журн. высш. нерв. </w:t>
      </w:r>
      <w:r w:rsidRPr="001759D5">
        <w:rPr>
          <w:i/>
          <w:sz w:val="28"/>
          <w:szCs w:val="28"/>
        </w:rPr>
        <w:t>деят.</w:t>
      </w:r>
      <w:r w:rsidRPr="001759D5">
        <w:rPr>
          <w:sz w:val="28"/>
          <w:szCs w:val="28"/>
        </w:rPr>
        <w:t xml:space="preserve"> 1981. Т. 31. № 2. С. 301</w:t>
      </w:r>
      <w:r w:rsidRPr="001759D5">
        <w:rPr>
          <w:color w:val="000000"/>
          <w:sz w:val="28"/>
          <w:szCs w:val="28"/>
          <w:shd w:val="clear" w:color="auto" w:fill="FFFFFF"/>
        </w:rPr>
        <w:t>–</w:t>
      </w:r>
      <w:r w:rsidRPr="001759D5">
        <w:rPr>
          <w:sz w:val="28"/>
          <w:szCs w:val="28"/>
        </w:rPr>
        <w:t>307.</w:t>
      </w:r>
    </w:p>
    <w:p w14:paraId="7EC4605C" w14:textId="03154360" w:rsidR="00B85935" w:rsidRPr="001759D5" w:rsidRDefault="00B85935" w:rsidP="001759D5">
      <w:pPr>
        <w:pStyle w:val="a6"/>
        <w:numPr>
          <w:ilvl w:val="0"/>
          <w:numId w:val="48"/>
        </w:numPr>
        <w:spacing w:line="360" w:lineRule="auto"/>
        <w:ind w:left="0" w:firstLine="0"/>
        <w:jc w:val="both"/>
        <w:rPr>
          <w:color w:val="000000"/>
          <w:sz w:val="28"/>
          <w:szCs w:val="28"/>
          <w:shd w:val="clear" w:color="auto" w:fill="FFFFFF"/>
          <w:lang w:val="en-US"/>
        </w:rPr>
      </w:pPr>
      <w:r w:rsidRPr="001759D5">
        <w:rPr>
          <w:color w:val="000000"/>
          <w:sz w:val="28"/>
          <w:szCs w:val="28"/>
          <w:shd w:val="clear" w:color="auto" w:fill="FFFFFF"/>
        </w:rPr>
        <w:t xml:space="preserve">Радаева И.Н., Кравченко И.А., Павловский В.И. та ін Противосудорожная активность и фармакологические свойства сложных эфиров 7- бром-3-гидрокси-5-фенил-1,2-дигидро-3н-1,4- бенздиазепин-2-она при пероральном введении. </w:t>
      </w:r>
      <w:r w:rsidRPr="001759D5">
        <w:rPr>
          <w:i/>
          <w:color w:val="000000"/>
          <w:sz w:val="28"/>
          <w:szCs w:val="28"/>
          <w:shd w:val="clear" w:color="auto" w:fill="FFFFFF"/>
        </w:rPr>
        <w:t>Актуальні</w:t>
      </w:r>
      <w:r w:rsidRPr="001759D5">
        <w:rPr>
          <w:i/>
          <w:color w:val="000000"/>
          <w:sz w:val="28"/>
          <w:szCs w:val="28"/>
          <w:shd w:val="clear" w:color="auto" w:fill="FFFFFF"/>
          <w:lang w:val="en-US"/>
        </w:rPr>
        <w:t xml:space="preserve"> </w:t>
      </w:r>
      <w:r w:rsidRPr="001759D5">
        <w:rPr>
          <w:i/>
          <w:color w:val="000000"/>
          <w:sz w:val="28"/>
          <w:szCs w:val="28"/>
          <w:shd w:val="clear" w:color="auto" w:fill="FFFFFF"/>
        </w:rPr>
        <w:t>проблеми</w:t>
      </w:r>
      <w:r w:rsidRPr="001759D5">
        <w:rPr>
          <w:i/>
          <w:color w:val="000000"/>
          <w:sz w:val="28"/>
          <w:szCs w:val="28"/>
          <w:shd w:val="clear" w:color="auto" w:fill="FFFFFF"/>
          <w:lang w:val="en-US"/>
        </w:rPr>
        <w:t xml:space="preserve"> </w:t>
      </w:r>
      <w:r w:rsidRPr="001759D5">
        <w:rPr>
          <w:i/>
          <w:color w:val="000000"/>
          <w:sz w:val="28"/>
          <w:szCs w:val="28"/>
          <w:shd w:val="clear" w:color="auto" w:fill="FFFFFF"/>
        </w:rPr>
        <w:t>транспортної</w:t>
      </w:r>
      <w:r w:rsidRPr="001759D5">
        <w:rPr>
          <w:i/>
          <w:color w:val="000000"/>
          <w:sz w:val="28"/>
          <w:szCs w:val="28"/>
          <w:shd w:val="clear" w:color="auto" w:fill="FFFFFF"/>
          <w:lang w:val="en-US"/>
        </w:rPr>
        <w:t xml:space="preserve"> </w:t>
      </w:r>
      <w:r w:rsidRPr="001759D5">
        <w:rPr>
          <w:i/>
          <w:color w:val="000000"/>
          <w:sz w:val="28"/>
          <w:szCs w:val="28"/>
          <w:shd w:val="clear" w:color="auto" w:fill="FFFFFF"/>
        </w:rPr>
        <w:t>медицини</w:t>
      </w:r>
      <w:r w:rsidRPr="001759D5">
        <w:rPr>
          <w:i/>
          <w:color w:val="000000"/>
          <w:sz w:val="28"/>
          <w:szCs w:val="28"/>
          <w:shd w:val="clear" w:color="auto" w:fill="FFFFFF"/>
          <w:lang w:val="en-US"/>
        </w:rPr>
        <w:t xml:space="preserve">. </w:t>
      </w:r>
      <w:r w:rsidRPr="001759D5">
        <w:rPr>
          <w:color w:val="000000"/>
          <w:sz w:val="28"/>
          <w:szCs w:val="28"/>
          <w:shd w:val="clear" w:color="auto" w:fill="FFFFFF"/>
          <w:lang w:val="en-US"/>
        </w:rPr>
        <w:t xml:space="preserve">2012. №3. </w:t>
      </w:r>
      <w:r w:rsidRPr="001759D5">
        <w:rPr>
          <w:color w:val="000000"/>
          <w:sz w:val="28"/>
          <w:szCs w:val="28"/>
          <w:shd w:val="clear" w:color="auto" w:fill="FFFFFF"/>
        </w:rPr>
        <w:t>С</w:t>
      </w:r>
      <w:r w:rsidRPr="001759D5">
        <w:rPr>
          <w:color w:val="000000"/>
          <w:sz w:val="28"/>
          <w:szCs w:val="28"/>
          <w:shd w:val="clear" w:color="auto" w:fill="FFFFFF"/>
          <w:lang w:val="en-US"/>
        </w:rPr>
        <w:t>. 85–89.</w:t>
      </w:r>
    </w:p>
    <w:p w14:paraId="4EB1A4E7" w14:textId="39849B7E"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Ivinskis, A. “A Study of Validity of Open-Field Measures.” </w:t>
      </w:r>
      <w:r w:rsidRPr="001759D5">
        <w:rPr>
          <w:rFonts w:eastAsia="Times New Roman"/>
          <w:i/>
          <w:iCs/>
          <w:color w:val="000000"/>
          <w:sz w:val="28"/>
          <w:szCs w:val="28"/>
          <w:lang w:val="en-US"/>
        </w:rPr>
        <w:t>Australian Journal of Psychology</w:t>
      </w:r>
      <w:r w:rsidRPr="001759D5">
        <w:rPr>
          <w:rFonts w:eastAsia="Times New Roman"/>
          <w:color w:val="000000"/>
          <w:sz w:val="28"/>
          <w:szCs w:val="28"/>
          <w:lang w:val="en-US"/>
        </w:rPr>
        <w:t>, vol. 22, no. 2, 1970, pp. 175–83.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doi:10.1080/00049537008254571.</w:t>
      </w:r>
    </w:p>
    <w:p w14:paraId="796F38F6" w14:textId="2AE36E2B" w:rsidR="008A6B7D"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Reis, Julia S. S., et al. “Antidepressant- and Anxiolytic-like Activities of an Oil Extract of Propolis in Rats.” </w:t>
      </w:r>
      <w:r w:rsidRPr="001759D5">
        <w:rPr>
          <w:rFonts w:eastAsia="Times New Roman"/>
          <w:i/>
          <w:iCs/>
          <w:color w:val="000000"/>
          <w:sz w:val="28"/>
          <w:szCs w:val="28"/>
          <w:lang w:val="en-US"/>
        </w:rPr>
        <w:t>Phytomedicine</w:t>
      </w:r>
      <w:r w:rsidRPr="001759D5">
        <w:rPr>
          <w:rFonts w:eastAsia="Times New Roman"/>
          <w:color w:val="000000"/>
          <w:sz w:val="28"/>
          <w:szCs w:val="28"/>
          <w:lang w:val="en-US"/>
        </w:rPr>
        <w:t xml:space="preserve">, vol. 21, no. 11, 2014, </w:t>
      </w:r>
      <w:r w:rsidR="00821BED">
        <w:rPr>
          <w:rFonts w:eastAsia="Times New Roman"/>
          <w:color w:val="000000"/>
          <w:sz w:val="28"/>
          <w:szCs w:val="28"/>
          <w:lang w:val="en-US"/>
        </w:rPr>
        <w:br/>
      </w:r>
      <w:r w:rsidRPr="001759D5">
        <w:rPr>
          <w:rFonts w:eastAsia="Times New Roman"/>
          <w:color w:val="000000"/>
          <w:sz w:val="28"/>
          <w:szCs w:val="28"/>
          <w:lang w:val="en-US"/>
        </w:rPr>
        <w:t>pp. 1466–72.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doi:10.1016/j.phymed.2014.06.001.</w:t>
      </w:r>
    </w:p>
    <w:p w14:paraId="77B31228" w14:textId="54847AFE" w:rsidR="008A6B7D" w:rsidRPr="001759D5" w:rsidRDefault="008A6B7D" w:rsidP="001759D5">
      <w:pPr>
        <w:pStyle w:val="a6"/>
        <w:numPr>
          <w:ilvl w:val="0"/>
          <w:numId w:val="48"/>
        </w:numPr>
        <w:spacing w:line="360" w:lineRule="auto"/>
        <w:ind w:left="0" w:firstLine="0"/>
        <w:jc w:val="both"/>
        <w:rPr>
          <w:rFonts w:eastAsia="Times New Roman"/>
          <w:color w:val="000000"/>
          <w:sz w:val="28"/>
          <w:szCs w:val="28"/>
        </w:rPr>
      </w:pPr>
      <w:r w:rsidRPr="001759D5">
        <w:rPr>
          <w:sz w:val="28"/>
          <w:szCs w:val="28"/>
          <w:lang w:val="uk-UA"/>
        </w:rPr>
        <w:t>Калуев А.В. Стресс, тревожность и поведение. Киев: Энигма. 1998. 92 с.</w:t>
      </w:r>
    </w:p>
    <w:p w14:paraId="2B42CEF4" w14:textId="7206273C"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lastRenderedPageBreak/>
        <w:t>Borsini, Franco, et al. “Do Animal Models of Anxiety Predict Anxiolytic-like Effects of Antidepressants?” </w:t>
      </w:r>
      <w:r w:rsidRPr="001759D5">
        <w:rPr>
          <w:rFonts w:eastAsia="Times New Roman"/>
          <w:i/>
          <w:iCs/>
          <w:color w:val="000000"/>
          <w:sz w:val="28"/>
          <w:szCs w:val="28"/>
          <w:lang w:val="en-US"/>
        </w:rPr>
        <w:t>Psychopharmacology</w:t>
      </w:r>
      <w:r w:rsidRPr="001759D5">
        <w:rPr>
          <w:rFonts w:eastAsia="Times New Roman"/>
          <w:color w:val="000000"/>
          <w:sz w:val="28"/>
          <w:szCs w:val="28"/>
          <w:lang w:val="en-US"/>
        </w:rPr>
        <w:t xml:space="preserve">, vol. 163, no. 2, 2002, </w:t>
      </w:r>
      <w:r w:rsidR="00821BED">
        <w:rPr>
          <w:rFonts w:eastAsia="Times New Roman"/>
          <w:color w:val="000000"/>
          <w:sz w:val="28"/>
          <w:szCs w:val="28"/>
          <w:lang w:val="en-US"/>
        </w:rPr>
        <w:br/>
      </w:r>
      <w:r w:rsidRPr="001759D5">
        <w:rPr>
          <w:rFonts w:eastAsia="Times New Roman"/>
          <w:color w:val="000000"/>
          <w:sz w:val="28"/>
          <w:szCs w:val="28"/>
          <w:lang w:val="en-US"/>
        </w:rPr>
        <w:t>pp. 121–41.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doi:10.1007/s00213-002-1155-6.</w:t>
      </w:r>
    </w:p>
    <w:p w14:paraId="3D0A2A14" w14:textId="2336F691"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Hemby, S. E., et al. “Potential Antidepressant Effects of Novel Tropane Compounds, Selective for Serotonin or Dopamine Transporters.” </w:t>
      </w:r>
      <w:r w:rsidRPr="001759D5">
        <w:rPr>
          <w:rFonts w:eastAsia="Times New Roman"/>
          <w:i/>
          <w:iCs/>
          <w:color w:val="000000"/>
          <w:sz w:val="28"/>
          <w:szCs w:val="28"/>
          <w:lang w:val="en-US"/>
        </w:rPr>
        <w:t>The journal of pharmacology and experimental therapeutics</w:t>
      </w:r>
      <w:r w:rsidRPr="001759D5">
        <w:rPr>
          <w:rFonts w:eastAsia="Times New Roman"/>
          <w:color w:val="000000"/>
          <w:sz w:val="28"/>
          <w:szCs w:val="28"/>
          <w:lang w:val="en-US"/>
        </w:rPr>
        <w:t>, vol. 282, no. 2, 1997, pp. 727–33, citeseerx.ist.psu.edu/viewdoc/download?doi=10.1.1.1018.3610&amp;rep=rep1&amp;type=pdf.</w:t>
      </w:r>
    </w:p>
    <w:p w14:paraId="49FD0706" w14:textId="711C0ACD"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Rodgers, R. J., and A. Dalvi. “Anxiety, Defence and the Elevated plus-Maze.” </w:t>
      </w:r>
      <w:r w:rsidRPr="001759D5">
        <w:rPr>
          <w:rFonts w:eastAsia="Times New Roman"/>
          <w:i/>
          <w:iCs/>
          <w:color w:val="000000"/>
          <w:sz w:val="28"/>
          <w:szCs w:val="28"/>
          <w:lang w:val="en-US"/>
        </w:rPr>
        <w:t>Neuroscience &amp; Biobehavioral Reviews</w:t>
      </w:r>
      <w:r w:rsidRPr="001759D5">
        <w:rPr>
          <w:rFonts w:eastAsia="Times New Roman"/>
          <w:color w:val="000000"/>
          <w:sz w:val="28"/>
          <w:szCs w:val="28"/>
          <w:lang w:val="en-US"/>
        </w:rPr>
        <w:t xml:space="preserve">, vol. 21, no. 6, 1997, </w:t>
      </w:r>
      <w:r w:rsidR="00821BED">
        <w:rPr>
          <w:rFonts w:eastAsia="Times New Roman"/>
          <w:color w:val="000000"/>
          <w:sz w:val="28"/>
          <w:szCs w:val="28"/>
          <w:lang w:val="en-US"/>
        </w:rPr>
        <w:br/>
      </w:r>
      <w:r w:rsidRPr="001759D5">
        <w:rPr>
          <w:rFonts w:eastAsia="Times New Roman"/>
          <w:color w:val="000000"/>
          <w:sz w:val="28"/>
          <w:szCs w:val="28"/>
          <w:lang w:val="en-US"/>
        </w:rPr>
        <w:t>pp. 801–10.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doi:10.1016/s0149-7634(96)00058-9.</w:t>
      </w:r>
    </w:p>
    <w:p w14:paraId="0B034F25" w14:textId="59E3E0DA"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Fogaça, Manoela V., and Ronald S. Duman. “Cortical GABAergic Dysfunction in Stress and Depression: New Insights for Therapeutic Interventions.” </w:t>
      </w:r>
      <w:r w:rsidRPr="001759D5">
        <w:rPr>
          <w:rFonts w:eastAsia="Times New Roman"/>
          <w:i/>
          <w:iCs/>
          <w:color w:val="000000"/>
          <w:sz w:val="28"/>
          <w:szCs w:val="28"/>
          <w:lang w:val="en-US"/>
        </w:rPr>
        <w:t>Frontiers in Cellular Neuroscience</w:t>
      </w:r>
      <w:r w:rsidRPr="001759D5">
        <w:rPr>
          <w:rFonts w:eastAsia="Times New Roman"/>
          <w:color w:val="000000"/>
          <w:sz w:val="28"/>
          <w:szCs w:val="28"/>
          <w:lang w:val="en-US"/>
        </w:rPr>
        <w:t>, vol. 13, 2019. </w:t>
      </w:r>
      <w:r w:rsidRPr="001759D5">
        <w:rPr>
          <w:rFonts w:eastAsia="Times New Roman"/>
          <w:i/>
          <w:iCs/>
          <w:color w:val="000000"/>
          <w:sz w:val="28"/>
          <w:szCs w:val="28"/>
          <w:lang w:val="en-US"/>
        </w:rPr>
        <w:t>Crossref</w:t>
      </w:r>
      <w:r w:rsidRPr="001759D5">
        <w:rPr>
          <w:rFonts w:eastAsia="Times New Roman"/>
          <w:color w:val="000000"/>
          <w:sz w:val="28"/>
          <w:szCs w:val="28"/>
          <w:lang w:val="en-US"/>
        </w:rPr>
        <w:t>, doi:10.3389/fncel.2019.00087.</w:t>
      </w:r>
    </w:p>
    <w:p w14:paraId="18FFE961" w14:textId="5BD74ACA"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Karim, Nasiara, et al. “GABAA Receptor Modulation and Neuropharmacological Activities of Viscosine Isolated from Dodonaea Viscosa (Linn).” </w:t>
      </w:r>
      <w:r w:rsidRPr="001759D5">
        <w:rPr>
          <w:rFonts w:eastAsia="Times New Roman"/>
          <w:i/>
          <w:iCs/>
          <w:color w:val="000000"/>
          <w:sz w:val="28"/>
          <w:szCs w:val="28"/>
          <w:lang w:val="en-US"/>
        </w:rPr>
        <w:t>Pharmacology Biochemistry and Behavior</w:t>
      </w:r>
      <w:r w:rsidRPr="001759D5">
        <w:rPr>
          <w:rFonts w:eastAsia="Times New Roman"/>
          <w:color w:val="000000"/>
          <w:sz w:val="28"/>
          <w:szCs w:val="28"/>
          <w:lang w:val="en-US"/>
        </w:rPr>
        <w:t xml:space="preserve">, vol. 136, 2015, </w:t>
      </w:r>
      <w:r w:rsidR="00821BED">
        <w:rPr>
          <w:rFonts w:eastAsia="Times New Roman"/>
          <w:color w:val="000000"/>
          <w:sz w:val="28"/>
          <w:szCs w:val="28"/>
          <w:lang w:val="en-US"/>
        </w:rPr>
        <w:br/>
      </w:r>
      <w:r w:rsidRPr="001759D5">
        <w:rPr>
          <w:rFonts w:eastAsia="Times New Roman"/>
          <w:color w:val="000000"/>
          <w:sz w:val="28"/>
          <w:szCs w:val="28"/>
          <w:lang w:val="en-US"/>
        </w:rPr>
        <w:t>pp. 64–72.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doi:10.1016/j.pbb.2015.07.006.</w:t>
      </w:r>
    </w:p>
    <w:p w14:paraId="2CA8E4CA" w14:textId="2E274A5B"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Khazipov, Roustem. “GABAergic Synchronization in Epilepsy.” </w:t>
      </w:r>
      <w:r w:rsidRPr="001759D5">
        <w:rPr>
          <w:rFonts w:eastAsia="Times New Roman"/>
          <w:i/>
          <w:iCs/>
          <w:color w:val="000000"/>
          <w:sz w:val="28"/>
          <w:szCs w:val="28"/>
          <w:lang w:val="en-US"/>
        </w:rPr>
        <w:t>Cold Spring Harbor Perspectives in Medicine</w:t>
      </w:r>
      <w:r w:rsidRPr="001759D5">
        <w:rPr>
          <w:rFonts w:eastAsia="Times New Roman"/>
          <w:color w:val="000000"/>
          <w:sz w:val="28"/>
          <w:szCs w:val="28"/>
          <w:lang w:val="en-US"/>
        </w:rPr>
        <w:t>, vol. 6, no. 2, 2016, p. a022764.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doi:10.1101/cshperspect.a022764.</w:t>
      </w:r>
    </w:p>
    <w:p w14:paraId="665DD5D9" w14:textId="345C4712"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Suemaru, Katsuya, et al. “Anticonvulsant Effects of Acetaminophen in Mice: Comparison with the Effects of Nonsteroidal Anti-Inflammatory Drugs.” </w:t>
      </w:r>
      <w:r w:rsidRPr="001759D5">
        <w:rPr>
          <w:rFonts w:eastAsia="Times New Roman"/>
          <w:i/>
          <w:iCs/>
          <w:color w:val="000000"/>
          <w:sz w:val="28"/>
          <w:szCs w:val="28"/>
          <w:lang w:val="en-US"/>
        </w:rPr>
        <w:t>Epilepsy Research</w:t>
      </w:r>
      <w:r w:rsidRPr="001759D5">
        <w:rPr>
          <w:rFonts w:eastAsia="Times New Roman"/>
          <w:color w:val="000000"/>
          <w:sz w:val="28"/>
          <w:szCs w:val="28"/>
          <w:lang w:val="en-US"/>
        </w:rPr>
        <w:t>, vol. 140, 2018, pp. 22–28.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doi:10.1016/j.eplepsyres.2017.12.004.</w:t>
      </w:r>
    </w:p>
    <w:p w14:paraId="38E1D613" w14:textId="531F585A"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Kamiński, R., et al. “Effect of non-steroidal anti-inflammatory drugs on the anticonvulsive activity of valproate and diphenylhydantoin against maximal electroshock-induced seizures in mice.” </w:t>
      </w:r>
      <w:r w:rsidRPr="001759D5">
        <w:rPr>
          <w:rFonts w:eastAsia="Times New Roman"/>
          <w:i/>
          <w:iCs/>
          <w:color w:val="000000"/>
          <w:sz w:val="28"/>
          <w:szCs w:val="28"/>
          <w:lang w:val="en-US"/>
        </w:rPr>
        <w:t>Pharmacological Research</w:t>
      </w:r>
      <w:r w:rsidRPr="001759D5">
        <w:rPr>
          <w:rFonts w:eastAsia="Times New Roman"/>
          <w:color w:val="000000"/>
          <w:sz w:val="28"/>
          <w:szCs w:val="28"/>
          <w:lang w:val="en-US"/>
        </w:rPr>
        <w:t>, vol. 37, no. 5, 1998, pp. 375–81.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doi:10.1006/phrs.1998.0309.</w:t>
      </w:r>
    </w:p>
    <w:p w14:paraId="4ADE747D" w14:textId="6D5D0C02"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lastRenderedPageBreak/>
        <w:t>Gilron, Ian. “Review Article: The Role of Anticonvulsant Drugs in Postoperative Pain Management: A Bench-to-Bedside Perspective.” </w:t>
      </w:r>
      <w:r w:rsidRPr="001759D5">
        <w:rPr>
          <w:rFonts w:eastAsia="Times New Roman"/>
          <w:i/>
          <w:iCs/>
          <w:color w:val="000000"/>
          <w:sz w:val="28"/>
          <w:szCs w:val="28"/>
          <w:lang w:val="en-US"/>
        </w:rPr>
        <w:t>Canadian Journal of Anesthesia/Journal Canadien d’anesthésie</w:t>
      </w:r>
      <w:r w:rsidRPr="001759D5">
        <w:rPr>
          <w:rFonts w:eastAsia="Times New Roman"/>
          <w:color w:val="000000"/>
          <w:sz w:val="28"/>
          <w:szCs w:val="28"/>
          <w:lang w:val="en-US"/>
        </w:rPr>
        <w:t xml:space="preserve">, vol. 53, no. 6, 2006, </w:t>
      </w:r>
      <w:r w:rsidR="00821BED">
        <w:rPr>
          <w:rFonts w:eastAsia="Times New Roman"/>
          <w:color w:val="000000"/>
          <w:sz w:val="28"/>
          <w:szCs w:val="28"/>
          <w:lang w:val="en-US"/>
        </w:rPr>
        <w:br/>
      </w:r>
      <w:r w:rsidRPr="001759D5">
        <w:rPr>
          <w:rFonts w:eastAsia="Times New Roman"/>
          <w:color w:val="000000"/>
          <w:sz w:val="28"/>
          <w:szCs w:val="28"/>
          <w:lang w:val="en-US"/>
        </w:rPr>
        <w:t>pp. 562–71.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doi:10.1007/bf03021846.</w:t>
      </w:r>
    </w:p>
    <w:p w14:paraId="5327B43A" w14:textId="6CE5259C"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Ma, Lei, et al. “Aspirin Attenuates Spontaneous Recurrent Seizures and Inhibits Hippocampal Neuronal Loss, Mossy Fiber Sprouting and Aberrant Neurogenesis Following Pilocarpine-Induced Status Epilepticus in Rats.” </w:t>
      </w:r>
      <w:r w:rsidRPr="001759D5">
        <w:rPr>
          <w:rFonts w:eastAsia="Times New Roman"/>
          <w:i/>
          <w:iCs/>
          <w:color w:val="000000"/>
          <w:sz w:val="28"/>
          <w:szCs w:val="28"/>
          <w:lang w:val="en-US"/>
        </w:rPr>
        <w:t>Brain Research</w:t>
      </w:r>
      <w:r w:rsidRPr="001759D5">
        <w:rPr>
          <w:rFonts w:eastAsia="Times New Roman"/>
          <w:color w:val="000000"/>
          <w:sz w:val="28"/>
          <w:szCs w:val="28"/>
          <w:lang w:val="en-US"/>
        </w:rPr>
        <w:t>, vol. 1469, 2012, pp. 103–13.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doi:10.1016/j.brainres.2012.05.058.</w:t>
      </w:r>
    </w:p>
    <w:p w14:paraId="353A0696" w14:textId="2DE0CB48" w:rsidR="00B85935" w:rsidRPr="001759D5" w:rsidRDefault="00B85935" w:rsidP="001759D5">
      <w:pPr>
        <w:pStyle w:val="af2"/>
        <w:numPr>
          <w:ilvl w:val="0"/>
          <w:numId w:val="48"/>
        </w:numPr>
        <w:spacing w:line="360" w:lineRule="auto"/>
        <w:ind w:left="0" w:firstLine="0"/>
        <w:jc w:val="both"/>
        <w:rPr>
          <w:sz w:val="28"/>
          <w:szCs w:val="28"/>
          <w:lang w:val="en-US"/>
        </w:rPr>
      </w:pPr>
      <w:r w:rsidRPr="001759D5">
        <w:rPr>
          <w:sz w:val="28"/>
          <w:szCs w:val="28"/>
        </w:rPr>
        <w:t>Кравченко И.А. Трансдермальное введение лекарственных препаратов. Одесса</w:t>
      </w:r>
      <w:r w:rsidRPr="001759D5">
        <w:rPr>
          <w:sz w:val="28"/>
          <w:szCs w:val="28"/>
          <w:lang w:val="en-US"/>
        </w:rPr>
        <w:t xml:space="preserve">: </w:t>
      </w:r>
      <w:r w:rsidRPr="001759D5">
        <w:rPr>
          <w:sz w:val="28"/>
          <w:szCs w:val="28"/>
        </w:rPr>
        <w:t>Астропринт</w:t>
      </w:r>
      <w:r w:rsidRPr="001759D5">
        <w:rPr>
          <w:sz w:val="28"/>
          <w:szCs w:val="28"/>
          <w:lang w:val="en-US"/>
        </w:rPr>
        <w:t>. 2000. 174 </w:t>
      </w:r>
      <w:r w:rsidRPr="001759D5">
        <w:rPr>
          <w:sz w:val="28"/>
          <w:szCs w:val="28"/>
        </w:rPr>
        <w:t>с</w:t>
      </w:r>
      <w:r w:rsidRPr="001759D5">
        <w:rPr>
          <w:sz w:val="28"/>
          <w:szCs w:val="28"/>
          <w:lang w:val="en-US"/>
        </w:rPr>
        <w:t>.</w:t>
      </w:r>
    </w:p>
    <w:p w14:paraId="0E1B8974" w14:textId="23E35B81" w:rsidR="00B85935" w:rsidRPr="001759D5" w:rsidRDefault="00B85935" w:rsidP="001759D5">
      <w:pPr>
        <w:pStyle w:val="af0"/>
        <w:numPr>
          <w:ilvl w:val="0"/>
          <w:numId w:val="48"/>
        </w:numPr>
        <w:spacing w:line="360" w:lineRule="auto"/>
        <w:ind w:left="0" w:firstLine="0"/>
        <w:jc w:val="both"/>
        <w:rPr>
          <w:sz w:val="28"/>
          <w:szCs w:val="28"/>
        </w:rPr>
      </w:pPr>
      <w:r w:rsidRPr="001759D5">
        <w:rPr>
          <w:color w:val="000000"/>
          <w:sz w:val="28"/>
          <w:szCs w:val="28"/>
          <w:shd w:val="clear" w:color="auto" w:fill="FFFFFF"/>
          <w:lang w:val="en-US"/>
        </w:rPr>
        <w:t xml:space="preserve">Chronic inflammation is long lasting, insidious, dangerous. And you may not even know you have it. </w:t>
      </w:r>
      <w:r w:rsidRPr="001759D5">
        <w:rPr>
          <w:color w:val="000000"/>
          <w:sz w:val="28"/>
          <w:szCs w:val="28"/>
          <w:shd w:val="clear" w:color="auto" w:fill="FFFFFF"/>
        </w:rPr>
        <w:t>[Електронний ресурс] // The Washington Post. – 2020. – Режим доступу до ресурсу: https://www.washingtonpost.com/health/chronic-inflammation-is-long-lasting-insidious-dangerous-and-you-may-not-even-know-you-have-it/2020/01/17/93ab0fa2-316f-11ea-9313-6cba89b1b9fb_story.html.</w:t>
      </w:r>
    </w:p>
    <w:p w14:paraId="5174DC44" w14:textId="643A2F3D"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Ji, R. R., et al. “Pain Regulation by Non-Neuronal Cells and Inflammation.” </w:t>
      </w:r>
      <w:r w:rsidRPr="001759D5">
        <w:rPr>
          <w:rFonts w:eastAsia="Times New Roman"/>
          <w:i/>
          <w:iCs/>
          <w:color w:val="000000"/>
          <w:sz w:val="28"/>
          <w:szCs w:val="28"/>
          <w:lang w:val="en-US"/>
        </w:rPr>
        <w:t>Science</w:t>
      </w:r>
      <w:r w:rsidRPr="001759D5">
        <w:rPr>
          <w:rFonts w:eastAsia="Times New Roman"/>
          <w:color w:val="000000"/>
          <w:sz w:val="28"/>
          <w:szCs w:val="28"/>
          <w:lang w:val="en-US"/>
        </w:rPr>
        <w:t>, vol. 354, no. 6312, 2016, pp. 572–77.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doi:10.1126/science.aaf8924.</w:t>
      </w:r>
    </w:p>
    <w:p w14:paraId="0B32EE3B" w14:textId="27332D06" w:rsidR="00B85935" w:rsidRPr="001759D5" w:rsidRDefault="00B85935" w:rsidP="001759D5">
      <w:pPr>
        <w:pStyle w:val="af0"/>
        <w:numPr>
          <w:ilvl w:val="0"/>
          <w:numId w:val="48"/>
        </w:numPr>
        <w:spacing w:line="360" w:lineRule="auto"/>
        <w:ind w:left="0" w:firstLine="0"/>
        <w:jc w:val="both"/>
        <w:rPr>
          <w:sz w:val="28"/>
          <w:szCs w:val="28"/>
          <w:lang w:val="en-US"/>
        </w:rPr>
      </w:pPr>
      <w:r w:rsidRPr="001759D5">
        <w:rPr>
          <w:color w:val="000000"/>
          <w:sz w:val="28"/>
          <w:szCs w:val="28"/>
          <w:shd w:val="clear" w:color="auto" w:fill="FFFFFF"/>
          <w:lang w:val="en-US"/>
        </w:rPr>
        <w:t>Types of Psychotherapy that Help with Pain [</w:t>
      </w:r>
      <w:r w:rsidRPr="001759D5">
        <w:rPr>
          <w:color w:val="000000"/>
          <w:sz w:val="28"/>
          <w:szCs w:val="28"/>
          <w:shd w:val="clear" w:color="auto" w:fill="FFFFFF"/>
        </w:rPr>
        <w:t>Електронний</w:t>
      </w:r>
      <w:r w:rsidRPr="001759D5">
        <w:rPr>
          <w:color w:val="000000"/>
          <w:sz w:val="28"/>
          <w:szCs w:val="28"/>
          <w:shd w:val="clear" w:color="auto" w:fill="FFFFFF"/>
          <w:lang w:val="en-US"/>
        </w:rPr>
        <w:t xml:space="preserve"> </w:t>
      </w:r>
      <w:r w:rsidRPr="001759D5">
        <w:rPr>
          <w:color w:val="000000"/>
          <w:sz w:val="28"/>
          <w:szCs w:val="28"/>
          <w:shd w:val="clear" w:color="auto" w:fill="FFFFFF"/>
        </w:rPr>
        <w:t>ресурс</w:t>
      </w:r>
      <w:r w:rsidRPr="001759D5">
        <w:rPr>
          <w:color w:val="000000"/>
          <w:sz w:val="28"/>
          <w:szCs w:val="28"/>
          <w:shd w:val="clear" w:color="auto" w:fill="FFFFFF"/>
          <w:lang w:val="en-US"/>
        </w:rPr>
        <w:t xml:space="preserve">] // PPM. – 2020. – </w:t>
      </w:r>
      <w:r w:rsidRPr="001759D5">
        <w:rPr>
          <w:color w:val="000000"/>
          <w:sz w:val="28"/>
          <w:szCs w:val="28"/>
          <w:shd w:val="clear" w:color="auto" w:fill="FFFFFF"/>
        </w:rPr>
        <w:t>Режим</w:t>
      </w:r>
      <w:r w:rsidRPr="001759D5">
        <w:rPr>
          <w:color w:val="000000"/>
          <w:sz w:val="28"/>
          <w:szCs w:val="28"/>
          <w:shd w:val="clear" w:color="auto" w:fill="FFFFFF"/>
          <w:lang w:val="en-US"/>
        </w:rPr>
        <w:t xml:space="preserve"> </w:t>
      </w:r>
      <w:r w:rsidRPr="001759D5">
        <w:rPr>
          <w:color w:val="000000"/>
          <w:sz w:val="28"/>
          <w:szCs w:val="28"/>
          <w:shd w:val="clear" w:color="auto" w:fill="FFFFFF"/>
        </w:rPr>
        <w:t>доступу</w:t>
      </w:r>
      <w:r w:rsidRPr="001759D5">
        <w:rPr>
          <w:color w:val="000000"/>
          <w:sz w:val="28"/>
          <w:szCs w:val="28"/>
          <w:shd w:val="clear" w:color="auto" w:fill="FFFFFF"/>
          <w:lang w:val="en-US"/>
        </w:rPr>
        <w:t xml:space="preserve"> </w:t>
      </w:r>
      <w:r w:rsidRPr="001759D5">
        <w:rPr>
          <w:color w:val="000000"/>
          <w:sz w:val="28"/>
          <w:szCs w:val="28"/>
          <w:shd w:val="clear" w:color="auto" w:fill="FFFFFF"/>
        </w:rPr>
        <w:t>до</w:t>
      </w:r>
      <w:r w:rsidRPr="001759D5">
        <w:rPr>
          <w:color w:val="000000"/>
          <w:sz w:val="28"/>
          <w:szCs w:val="28"/>
          <w:shd w:val="clear" w:color="auto" w:fill="FFFFFF"/>
          <w:lang w:val="en-US"/>
        </w:rPr>
        <w:t xml:space="preserve"> </w:t>
      </w:r>
      <w:r w:rsidRPr="001759D5">
        <w:rPr>
          <w:color w:val="000000"/>
          <w:sz w:val="28"/>
          <w:szCs w:val="28"/>
          <w:shd w:val="clear" w:color="auto" w:fill="FFFFFF"/>
        </w:rPr>
        <w:t>ресурсу</w:t>
      </w:r>
      <w:r w:rsidRPr="001759D5">
        <w:rPr>
          <w:color w:val="000000"/>
          <w:sz w:val="28"/>
          <w:szCs w:val="28"/>
          <w:shd w:val="clear" w:color="auto" w:fill="FFFFFF"/>
          <w:lang w:val="en-US"/>
        </w:rPr>
        <w:t>: https://www.practicalpainmanagement.com/patient/treatments/mental-and-emotional-therapy/don-t-discount-emotional-mental-component-pain.</w:t>
      </w:r>
    </w:p>
    <w:p w14:paraId="48E83321" w14:textId="77777777" w:rsidR="008A6B7D"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Boulanger, Aline, et al. “Chronic Pain in Canada: Have We Improved Our Management of Chronic Noncancer Pain?” </w:t>
      </w:r>
      <w:r w:rsidRPr="001759D5">
        <w:rPr>
          <w:rFonts w:eastAsia="Times New Roman"/>
          <w:i/>
          <w:iCs/>
          <w:color w:val="000000"/>
          <w:sz w:val="28"/>
          <w:szCs w:val="28"/>
          <w:lang w:val="en-US"/>
        </w:rPr>
        <w:t>Pain Research and Management</w:t>
      </w:r>
      <w:r w:rsidRPr="001759D5">
        <w:rPr>
          <w:rFonts w:eastAsia="Times New Roman"/>
          <w:color w:val="000000"/>
          <w:sz w:val="28"/>
          <w:szCs w:val="28"/>
          <w:lang w:val="en-US"/>
        </w:rPr>
        <w:t>, vol. 12, no. 1, 2007, pp. 39–47.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doi:10.1155/2007/762180.</w:t>
      </w:r>
    </w:p>
    <w:p w14:paraId="79B1E7A6" w14:textId="5E178F7A" w:rsidR="008A6B7D" w:rsidRPr="001759D5" w:rsidRDefault="008A6B7D" w:rsidP="001759D5">
      <w:pPr>
        <w:pStyle w:val="a6"/>
        <w:numPr>
          <w:ilvl w:val="0"/>
          <w:numId w:val="48"/>
        </w:numPr>
        <w:spacing w:line="360" w:lineRule="auto"/>
        <w:ind w:left="0" w:firstLine="0"/>
        <w:jc w:val="both"/>
        <w:rPr>
          <w:rFonts w:eastAsia="Times New Roman"/>
          <w:color w:val="000000"/>
          <w:sz w:val="28"/>
          <w:szCs w:val="28"/>
          <w:lang w:val="en-US"/>
        </w:rPr>
      </w:pPr>
      <w:r w:rsidRPr="001759D5">
        <w:rPr>
          <w:sz w:val="28"/>
          <w:szCs w:val="28"/>
          <w:lang w:val="uk-UA"/>
        </w:rPr>
        <w:t>Кравченко И.А., Александрова А.И., Нестеркіна М.В., Прокопчук Е.Г. Препарати комплексного нейрологического действия – потенциальн</w:t>
      </w:r>
      <w:r w:rsidRPr="001759D5">
        <w:rPr>
          <w:sz w:val="28"/>
          <w:szCs w:val="28"/>
        </w:rPr>
        <w:t xml:space="preserve">ые лиганды </w:t>
      </w:r>
      <w:r w:rsidRPr="001759D5">
        <w:rPr>
          <w:sz w:val="28"/>
          <w:szCs w:val="28"/>
          <w:lang w:val="en-US"/>
        </w:rPr>
        <w:t>TRP</w:t>
      </w:r>
      <w:r w:rsidRPr="001759D5">
        <w:rPr>
          <w:sz w:val="28"/>
          <w:szCs w:val="28"/>
        </w:rPr>
        <w:t xml:space="preserve"> и ГАМК рецепторов. </w:t>
      </w:r>
      <w:r w:rsidRPr="001759D5">
        <w:rPr>
          <w:i/>
          <w:sz w:val="28"/>
          <w:szCs w:val="28"/>
          <w:lang w:val="uk-UA"/>
        </w:rPr>
        <w:t xml:space="preserve">Актуальні питання сучасної психіатрії, наркології та неврології: </w:t>
      </w:r>
      <w:r w:rsidRPr="001759D5">
        <w:rPr>
          <w:sz w:val="28"/>
          <w:szCs w:val="28"/>
          <w:lang w:val="uk-UA"/>
        </w:rPr>
        <w:t>тез. доп. м. Харків, 7</w:t>
      </w:r>
      <w:r w:rsidRPr="001759D5">
        <w:rPr>
          <w:color w:val="303030"/>
          <w:sz w:val="28"/>
          <w:szCs w:val="28"/>
          <w:shd w:val="clear" w:color="auto" w:fill="FFFFFF"/>
        </w:rPr>
        <w:t>–</w:t>
      </w:r>
      <w:r w:rsidRPr="001759D5">
        <w:rPr>
          <w:sz w:val="28"/>
          <w:szCs w:val="28"/>
          <w:lang w:val="uk-UA"/>
        </w:rPr>
        <w:t>8 жовт. 2015 р. С. 255</w:t>
      </w:r>
      <w:r w:rsidRPr="001759D5">
        <w:rPr>
          <w:color w:val="303030"/>
          <w:sz w:val="28"/>
          <w:szCs w:val="28"/>
          <w:shd w:val="clear" w:color="auto" w:fill="FFFFFF"/>
          <w:lang w:val="en-US"/>
        </w:rPr>
        <w:t>–</w:t>
      </w:r>
      <w:r w:rsidRPr="001759D5">
        <w:rPr>
          <w:sz w:val="28"/>
          <w:szCs w:val="28"/>
          <w:lang w:val="uk-UA"/>
        </w:rPr>
        <w:t>257.</w:t>
      </w:r>
    </w:p>
    <w:p w14:paraId="5DC2D16D" w14:textId="25A2A6C2"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color w:val="000000"/>
          <w:sz w:val="28"/>
          <w:szCs w:val="28"/>
          <w:lang w:val="en-US"/>
        </w:rPr>
        <w:lastRenderedPageBreak/>
        <w:t>Dai, Yi, et al. “Sensitization of TRPA1 by PAR2 Contributes to the Sensation of Inflammatory Pain.” </w:t>
      </w:r>
      <w:r w:rsidRPr="001759D5">
        <w:rPr>
          <w:i/>
          <w:iCs/>
          <w:color w:val="000000"/>
          <w:sz w:val="28"/>
          <w:szCs w:val="28"/>
          <w:lang w:val="en-US"/>
        </w:rPr>
        <w:t>Journal of Clinical Investigation</w:t>
      </w:r>
      <w:r w:rsidRPr="001759D5">
        <w:rPr>
          <w:color w:val="000000"/>
          <w:sz w:val="28"/>
          <w:szCs w:val="28"/>
          <w:lang w:val="en-US"/>
        </w:rPr>
        <w:t xml:space="preserve">, vol. 117, no. 10, 2007, </w:t>
      </w:r>
      <w:r w:rsidR="00821BED">
        <w:rPr>
          <w:color w:val="000000"/>
          <w:sz w:val="28"/>
          <w:szCs w:val="28"/>
          <w:lang w:val="en-US"/>
        </w:rPr>
        <w:br/>
      </w:r>
      <w:r w:rsidRPr="001759D5">
        <w:rPr>
          <w:color w:val="000000"/>
          <w:sz w:val="28"/>
          <w:szCs w:val="28"/>
          <w:lang w:val="en-US"/>
        </w:rPr>
        <w:t>p. 3140. </w:t>
      </w:r>
      <w:r w:rsidRPr="001759D5">
        <w:rPr>
          <w:i/>
          <w:iCs/>
          <w:color w:val="000000"/>
          <w:sz w:val="28"/>
          <w:szCs w:val="28"/>
          <w:lang w:val="en-US"/>
        </w:rPr>
        <w:t>Crossref</w:t>
      </w:r>
      <w:r w:rsidRPr="001759D5">
        <w:rPr>
          <w:color w:val="000000"/>
          <w:sz w:val="28"/>
          <w:szCs w:val="28"/>
          <w:lang w:val="en-US"/>
        </w:rPr>
        <w:t>, doi:10.1172/jci30951c1.</w:t>
      </w:r>
    </w:p>
    <w:p w14:paraId="21BB4513" w14:textId="186CE76E"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lang w:val="en-US"/>
        </w:rPr>
      </w:pPr>
      <w:r w:rsidRPr="001759D5">
        <w:rPr>
          <w:rFonts w:eastAsia="Times New Roman"/>
          <w:color w:val="000000"/>
          <w:sz w:val="28"/>
          <w:szCs w:val="28"/>
          <w:lang w:val="en-US"/>
        </w:rPr>
        <w:t>Doleman, B., et al. “A Systematic Review and Meta-Regression Analysis of Prophylactic Gabapentin for Postoperative Pain.” </w:t>
      </w:r>
      <w:r w:rsidRPr="001759D5">
        <w:rPr>
          <w:rFonts w:eastAsia="Times New Roman"/>
          <w:i/>
          <w:iCs/>
          <w:color w:val="000000"/>
          <w:sz w:val="28"/>
          <w:szCs w:val="28"/>
          <w:lang w:val="en-US"/>
        </w:rPr>
        <w:t>Anaesthesia</w:t>
      </w:r>
      <w:r w:rsidRPr="001759D5">
        <w:rPr>
          <w:rFonts w:eastAsia="Times New Roman"/>
          <w:color w:val="000000"/>
          <w:sz w:val="28"/>
          <w:szCs w:val="28"/>
          <w:lang w:val="en-US"/>
        </w:rPr>
        <w:t>, vol. 70, no. 10, 2015, pp. 1186–204. </w:t>
      </w:r>
      <w:r w:rsidRPr="001759D5">
        <w:rPr>
          <w:rFonts w:eastAsia="Times New Roman"/>
          <w:i/>
          <w:iCs/>
          <w:color w:val="000000"/>
          <w:sz w:val="28"/>
          <w:szCs w:val="28"/>
          <w:lang w:val="en-US"/>
        </w:rPr>
        <w:t>Crossref</w:t>
      </w:r>
      <w:r w:rsidRPr="001759D5">
        <w:rPr>
          <w:rFonts w:eastAsia="Times New Roman"/>
          <w:color w:val="000000"/>
          <w:sz w:val="28"/>
          <w:szCs w:val="28"/>
          <w:lang w:val="en-US"/>
        </w:rPr>
        <w:t>, doi:10.1111/anae.13179.</w:t>
      </w:r>
    </w:p>
    <w:p w14:paraId="5F4E20EA" w14:textId="77777777"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rPr>
      </w:pPr>
      <w:r w:rsidRPr="001759D5">
        <w:rPr>
          <w:rFonts w:eastAsia="Times New Roman"/>
          <w:color w:val="000000"/>
          <w:sz w:val="28"/>
          <w:szCs w:val="28"/>
          <w:lang w:val="en-US"/>
        </w:rPr>
        <w:t>Bialer, Meir. “Why Are Antiepileptic Drugs Used for Nonepileptic Conditions?” </w:t>
      </w:r>
      <w:r w:rsidRPr="001759D5">
        <w:rPr>
          <w:rFonts w:eastAsia="Times New Roman"/>
          <w:i/>
          <w:iCs/>
          <w:color w:val="000000"/>
          <w:sz w:val="28"/>
          <w:szCs w:val="28"/>
        </w:rPr>
        <w:t>Epilepsia</w:t>
      </w:r>
      <w:r w:rsidRPr="001759D5">
        <w:rPr>
          <w:rFonts w:eastAsia="Times New Roman"/>
          <w:color w:val="000000"/>
          <w:sz w:val="28"/>
          <w:szCs w:val="28"/>
        </w:rPr>
        <w:t>, vol. 53, 2012, pp. 26–33. </w:t>
      </w:r>
      <w:r w:rsidRPr="001759D5">
        <w:rPr>
          <w:rFonts w:eastAsia="Times New Roman"/>
          <w:i/>
          <w:iCs/>
          <w:color w:val="000000"/>
          <w:sz w:val="28"/>
          <w:szCs w:val="28"/>
        </w:rPr>
        <w:t>Crossref</w:t>
      </w:r>
      <w:r w:rsidRPr="001759D5">
        <w:rPr>
          <w:rFonts w:eastAsia="Times New Roman"/>
          <w:color w:val="000000"/>
          <w:sz w:val="28"/>
          <w:szCs w:val="28"/>
        </w:rPr>
        <w:t>, doi:10.1111/j.1528-1167.2012.03712.x.</w:t>
      </w:r>
    </w:p>
    <w:p w14:paraId="6444B6DA" w14:textId="1C2C01CF" w:rsidR="00B85935" w:rsidRPr="001759D5" w:rsidRDefault="00B85935" w:rsidP="001759D5">
      <w:pPr>
        <w:pStyle w:val="a6"/>
        <w:numPr>
          <w:ilvl w:val="0"/>
          <w:numId w:val="48"/>
        </w:numPr>
        <w:spacing w:line="360" w:lineRule="auto"/>
        <w:ind w:left="0" w:firstLine="0"/>
        <w:jc w:val="both"/>
        <w:rPr>
          <w:rFonts w:eastAsia="Times New Roman"/>
          <w:color w:val="000000"/>
          <w:sz w:val="28"/>
          <w:szCs w:val="28"/>
        </w:rPr>
      </w:pPr>
      <w:r w:rsidRPr="001759D5">
        <w:rPr>
          <w:color w:val="000000"/>
          <w:sz w:val="28"/>
          <w:szCs w:val="28"/>
          <w:lang w:val="en-US"/>
        </w:rPr>
        <w:t>Motter, Arianne L., and Gerard P. Ahern. “TRPA1 Is a Polyunsaturated Fatty Acid Sensor in Mammals.” </w:t>
      </w:r>
      <w:r w:rsidRPr="001759D5">
        <w:rPr>
          <w:i/>
          <w:iCs/>
          <w:color w:val="000000"/>
          <w:sz w:val="28"/>
          <w:szCs w:val="28"/>
          <w:lang w:val="en-US"/>
        </w:rPr>
        <w:t>PLoS ONE</w:t>
      </w:r>
      <w:r w:rsidRPr="001759D5">
        <w:rPr>
          <w:color w:val="000000"/>
          <w:sz w:val="28"/>
          <w:szCs w:val="28"/>
          <w:lang w:val="en-US"/>
        </w:rPr>
        <w:t>, edited by Stuart E. Dryer, vol. 7, no. 6, 2012, p. e38439. </w:t>
      </w:r>
      <w:r w:rsidRPr="001759D5">
        <w:rPr>
          <w:i/>
          <w:iCs/>
          <w:color w:val="000000"/>
          <w:sz w:val="28"/>
          <w:szCs w:val="28"/>
        </w:rPr>
        <w:t>Crossref</w:t>
      </w:r>
      <w:r w:rsidRPr="001759D5">
        <w:rPr>
          <w:color w:val="000000"/>
          <w:sz w:val="28"/>
          <w:szCs w:val="28"/>
        </w:rPr>
        <w:t>, doi:10.1371/journal.pone.0038439.</w:t>
      </w:r>
    </w:p>
    <w:p w14:paraId="74287648" w14:textId="52D5F819" w:rsidR="001759D5" w:rsidRDefault="001759D5">
      <w:pPr>
        <w:rPr>
          <w:sz w:val="28"/>
          <w:szCs w:val="28"/>
        </w:rPr>
      </w:pPr>
      <w:r>
        <w:rPr>
          <w:sz w:val="28"/>
          <w:szCs w:val="28"/>
        </w:rPr>
        <w:br w:type="page"/>
      </w:r>
    </w:p>
    <w:p w14:paraId="737FC124" w14:textId="77777777" w:rsidR="001759D5" w:rsidRDefault="001759D5" w:rsidP="001759D5">
      <w:pPr>
        <w:jc w:val="center"/>
        <w:rPr>
          <w:b/>
          <w:color w:val="000000"/>
          <w:sz w:val="28"/>
          <w:szCs w:val="28"/>
          <w:lang w:val="uk-UA"/>
        </w:rPr>
      </w:pPr>
    </w:p>
    <w:p w14:paraId="07217C97" w14:textId="77777777" w:rsidR="001759D5" w:rsidRDefault="001759D5" w:rsidP="001759D5">
      <w:pPr>
        <w:jc w:val="center"/>
        <w:rPr>
          <w:b/>
          <w:color w:val="000000"/>
          <w:sz w:val="28"/>
          <w:szCs w:val="28"/>
          <w:lang w:val="uk-UA"/>
        </w:rPr>
      </w:pPr>
    </w:p>
    <w:p w14:paraId="2AB55FBC" w14:textId="77777777" w:rsidR="001759D5" w:rsidRDefault="001759D5" w:rsidP="001759D5">
      <w:pPr>
        <w:jc w:val="center"/>
        <w:rPr>
          <w:b/>
          <w:color w:val="000000"/>
          <w:sz w:val="28"/>
          <w:szCs w:val="28"/>
          <w:lang w:val="uk-UA"/>
        </w:rPr>
      </w:pPr>
    </w:p>
    <w:p w14:paraId="0B266F97" w14:textId="77777777" w:rsidR="001759D5" w:rsidRDefault="001759D5" w:rsidP="001759D5">
      <w:pPr>
        <w:jc w:val="center"/>
        <w:rPr>
          <w:b/>
          <w:color w:val="000000"/>
          <w:sz w:val="28"/>
          <w:szCs w:val="28"/>
          <w:lang w:val="uk-UA"/>
        </w:rPr>
      </w:pPr>
    </w:p>
    <w:p w14:paraId="5C93A17C" w14:textId="77777777" w:rsidR="001759D5" w:rsidRDefault="001759D5" w:rsidP="001759D5">
      <w:pPr>
        <w:jc w:val="center"/>
        <w:rPr>
          <w:b/>
          <w:color w:val="000000"/>
          <w:sz w:val="28"/>
          <w:szCs w:val="28"/>
          <w:lang w:val="uk-UA"/>
        </w:rPr>
      </w:pPr>
    </w:p>
    <w:p w14:paraId="26A703A4" w14:textId="77777777" w:rsidR="001759D5" w:rsidRDefault="001759D5" w:rsidP="001759D5">
      <w:pPr>
        <w:jc w:val="center"/>
        <w:rPr>
          <w:b/>
          <w:color w:val="000000"/>
          <w:sz w:val="28"/>
          <w:szCs w:val="28"/>
          <w:lang w:val="uk-UA"/>
        </w:rPr>
      </w:pPr>
    </w:p>
    <w:p w14:paraId="70436C23" w14:textId="77777777" w:rsidR="001759D5" w:rsidRDefault="001759D5" w:rsidP="001759D5">
      <w:pPr>
        <w:jc w:val="center"/>
        <w:rPr>
          <w:b/>
          <w:color w:val="000000"/>
          <w:sz w:val="28"/>
          <w:szCs w:val="28"/>
          <w:lang w:val="uk-UA"/>
        </w:rPr>
      </w:pPr>
    </w:p>
    <w:p w14:paraId="65987871" w14:textId="77777777" w:rsidR="001759D5" w:rsidRDefault="001759D5" w:rsidP="001759D5">
      <w:pPr>
        <w:jc w:val="center"/>
        <w:rPr>
          <w:b/>
          <w:color w:val="000000"/>
          <w:sz w:val="28"/>
          <w:szCs w:val="28"/>
          <w:lang w:val="uk-UA"/>
        </w:rPr>
      </w:pPr>
    </w:p>
    <w:p w14:paraId="25517F76" w14:textId="77777777" w:rsidR="001759D5" w:rsidRDefault="001759D5" w:rsidP="001759D5">
      <w:pPr>
        <w:jc w:val="center"/>
        <w:rPr>
          <w:b/>
          <w:color w:val="000000"/>
          <w:sz w:val="28"/>
          <w:szCs w:val="28"/>
          <w:lang w:val="uk-UA"/>
        </w:rPr>
      </w:pPr>
    </w:p>
    <w:p w14:paraId="4293A7BC" w14:textId="77777777" w:rsidR="001759D5" w:rsidRDefault="001759D5" w:rsidP="001759D5">
      <w:pPr>
        <w:jc w:val="center"/>
        <w:rPr>
          <w:b/>
          <w:color w:val="000000"/>
          <w:sz w:val="28"/>
          <w:szCs w:val="28"/>
          <w:lang w:val="uk-UA"/>
        </w:rPr>
      </w:pPr>
    </w:p>
    <w:p w14:paraId="3596B748" w14:textId="77777777" w:rsidR="001759D5" w:rsidRDefault="001759D5" w:rsidP="001759D5">
      <w:pPr>
        <w:jc w:val="center"/>
        <w:rPr>
          <w:b/>
          <w:color w:val="000000"/>
          <w:sz w:val="28"/>
          <w:szCs w:val="28"/>
          <w:lang w:val="uk-UA"/>
        </w:rPr>
      </w:pPr>
    </w:p>
    <w:p w14:paraId="720212C7" w14:textId="77777777" w:rsidR="001759D5" w:rsidRDefault="001759D5" w:rsidP="001759D5">
      <w:pPr>
        <w:jc w:val="center"/>
        <w:rPr>
          <w:b/>
          <w:color w:val="000000"/>
          <w:sz w:val="28"/>
          <w:szCs w:val="28"/>
          <w:lang w:val="uk-UA"/>
        </w:rPr>
      </w:pPr>
    </w:p>
    <w:p w14:paraId="54976363" w14:textId="77777777" w:rsidR="001759D5" w:rsidRDefault="001759D5" w:rsidP="001759D5">
      <w:pPr>
        <w:jc w:val="center"/>
        <w:rPr>
          <w:b/>
          <w:color w:val="000000"/>
          <w:sz w:val="28"/>
          <w:szCs w:val="28"/>
          <w:lang w:val="uk-UA"/>
        </w:rPr>
      </w:pPr>
    </w:p>
    <w:p w14:paraId="4ECCB9FC" w14:textId="77777777" w:rsidR="001759D5" w:rsidRDefault="001759D5" w:rsidP="001759D5">
      <w:pPr>
        <w:jc w:val="center"/>
        <w:rPr>
          <w:b/>
          <w:color w:val="000000"/>
          <w:sz w:val="28"/>
          <w:szCs w:val="28"/>
          <w:lang w:val="uk-UA"/>
        </w:rPr>
      </w:pPr>
    </w:p>
    <w:p w14:paraId="1F07DD67" w14:textId="77777777" w:rsidR="001759D5" w:rsidRDefault="001759D5" w:rsidP="001759D5">
      <w:pPr>
        <w:jc w:val="center"/>
        <w:rPr>
          <w:b/>
          <w:color w:val="000000"/>
          <w:sz w:val="28"/>
          <w:szCs w:val="28"/>
          <w:lang w:val="uk-UA"/>
        </w:rPr>
      </w:pPr>
    </w:p>
    <w:p w14:paraId="0BC57EA1" w14:textId="77777777" w:rsidR="001759D5" w:rsidRDefault="001759D5" w:rsidP="001759D5">
      <w:pPr>
        <w:jc w:val="center"/>
        <w:rPr>
          <w:b/>
          <w:color w:val="000000"/>
          <w:sz w:val="28"/>
          <w:szCs w:val="28"/>
          <w:lang w:val="uk-UA"/>
        </w:rPr>
      </w:pPr>
    </w:p>
    <w:p w14:paraId="3297A188" w14:textId="77777777" w:rsidR="001759D5" w:rsidRDefault="001759D5" w:rsidP="001759D5">
      <w:pPr>
        <w:jc w:val="center"/>
        <w:rPr>
          <w:b/>
          <w:color w:val="000000"/>
          <w:sz w:val="28"/>
          <w:szCs w:val="28"/>
          <w:lang w:val="uk-UA"/>
        </w:rPr>
      </w:pPr>
    </w:p>
    <w:p w14:paraId="7E1CBD56" w14:textId="77777777" w:rsidR="001759D5" w:rsidRDefault="001759D5" w:rsidP="001759D5">
      <w:pPr>
        <w:jc w:val="center"/>
        <w:rPr>
          <w:b/>
          <w:color w:val="000000"/>
          <w:sz w:val="28"/>
          <w:szCs w:val="28"/>
          <w:lang w:val="uk-UA"/>
        </w:rPr>
      </w:pPr>
    </w:p>
    <w:p w14:paraId="2F9891C4" w14:textId="77777777" w:rsidR="001759D5" w:rsidRPr="00112A09" w:rsidRDefault="001759D5" w:rsidP="001759D5">
      <w:pPr>
        <w:jc w:val="center"/>
        <w:rPr>
          <w:b/>
          <w:color w:val="000000"/>
          <w:sz w:val="28"/>
          <w:szCs w:val="28"/>
          <w:lang w:val="uk-UA"/>
        </w:rPr>
      </w:pPr>
      <w:r w:rsidRPr="00112A09">
        <w:rPr>
          <w:b/>
          <w:color w:val="000000"/>
          <w:sz w:val="28"/>
          <w:szCs w:val="28"/>
          <w:lang w:val="uk-UA"/>
        </w:rPr>
        <w:t>ДОДАТКИ</w:t>
      </w:r>
      <w:r>
        <w:rPr>
          <w:color w:val="000000"/>
          <w:sz w:val="28"/>
          <w:szCs w:val="28"/>
          <w:lang w:val="uk-UA"/>
        </w:rPr>
        <w:t xml:space="preserve"> </w:t>
      </w:r>
      <w:r>
        <w:rPr>
          <w:color w:val="000000"/>
          <w:sz w:val="28"/>
          <w:szCs w:val="28"/>
          <w:lang w:val="uk-UA"/>
        </w:rPr>
        <w:br w:type="page"/>
      </w:r>
    </w:p>
    <w:p w14:paraId="0B1CDA0F" w14:textId="77777777" w:rsidR="001759D5" w:rsidRPr="00112A09" w:rsidRDefault="001759D5" w:rsidP="001759D5">
      <w:pPr>
        <w:spacing w:line="360" w:lineRule="auto"/>
        <w:jc w:val="center"/>
        <w:rPr>
          <w:b/>
          <w:color w:val="000000"/>
          <w:sz w:val="28"/>
          <w:szCs w:val="28"/>
          <w:lang w:val="uk-UA"/>
        </w:rPr>
      </w:pPr>
      <w:r w:rsidRPr="00112A09">
        <w:rPr>
          <w:b/>
          <w:color w:val="000000"/>
          <w:sz w:val="28"/>
          <w:szCs w:val="28"/>
          <w:lang w:val="uk-UA"/>
        </w:rPr>
        <w:lastRenderedPageBreak/>
        <w:t>Додаток 1</w:t>
      </w:r>
    </w:p>
    <w:p w14:paraId="6CE61A5C" w14:textId="77777777" w:rsidR="001759D5" w:rsidRDefault="001759D5" w:rsidP="001759D5">
      <w:pPr>
        <w:spacing w:line="360" w:lineRule="auto"/>
        <w:jc w:val="center"/>
        <w:rPr>
          <w:b/>
          <w:color w:val="000000"/>
          <w:sz w:val="28"/>
          <w:szCs w:val="28"/>
          <w:lang w:val="uk-UA"/>
        </w:rPr>
      </w:pPr>
      <w:r w:rsidRPr="00112A09">
        <w:rPr>
          <w:b/>
          <w:color w:val="000000"/>
          <w:sz w:val="28"/>
          <w:szCs w:val="28"/>
          <w:lang w:val="uk-UA"/>
        </w:rPr>
        <w:t>Список праць, опублікованих за темою дисертації</w:t>
      </w:r>
    </w:p>
    <w:p w14:paraId="528E1C01" w14:textId="77777777" w:rsidR="001759D5" w:rsidRDefault="001759D5" w:rsidP="001759D5">
      <w:pPr>
        <w:numPr>
          <w:ilvl w:val="0"/>
          <w:numId w:val="1"/>
        </w:numPr>
        <w:spacing w:line="360" w:lineRule="auto"/>
        <w:ind w:left="0" w:firstLine="540"/>
        <w:jc w:val="both"/>
        <w:rPr>
          <w:i/>
          <w:sz w:val="28"/>
          <w:szCs w:val="28"/>
          <w:lang w:val="uk-UA"/>
        </w:rPr>
      </w:pPr>
      <w:r>
        <w:rPr>
          <w:color w:val="000000"/>
          <w:sz w:val="28"/>
          <w:szCs w:val="28"/>
          <w:shd w:val="clear" w:color="auto" w:fill="FFFFFF"/>
          <w:lang w:val="uk-UA"/>
        </w:rPr>
        <w:t xml:space="preserve">Александрова О. І., Кравченко І. А., Прокопчук О. Г., Шматкова Н. В., Сейфулліна І. Й. Протисудомна й антидепресивна активність нових комплексів </w:t>
      </w:r>
      <w:r>
        <w:rPr>
          <w:color w:val="000000"/>
          <w:sz w:val="28"/>
          <w:szCs w:val="28"/>
          <w:shd w:val="clear" w:color="auto" w:fill="FFFFFF"/>
        </w:rPr>
        <w:t>SnCl</w:t>
      </w:r>
      <w:r>
        <w:rPr>
          <w:color w:val="000000"/>
          <w:sz w:val="28"/>
          <w:szCs w:val="28"/>
          <w:shd w:val="clear" w:color="auto" w:fill="FFFFFF"/>
          <w:vertAlign w:val="subscript"/>
          <w:lang w:val="uk-UA"/>
        </w:rPr>
        <w:t>4</w:t>
      </w:r>
      <w:r>
        <w:rPr>
          <w:color w:val="000000"/>
          <w:sz w:val="28"/>
          <w:szCs w:val="28"/>
          <w:shd w:val="clear" w:color="auto" w:fill="FFFFFF"/>
          <w:lang w:val="uk-UA"/>
        </w:rPr>
        <w:t xml:space="preserve"> з саліцилоїлидразонами бензальдегіду та 4-бромбензальдегіду при пероральному введенні. </w:t>
      </w:r>
      <w:r w:rsidRPr="00370363">
        <w:rPr>
          <w:i/>
          <w:color w:val="000000"/>
          <w:sz w:val="28"/>
          <w:szCs w:val="28"/>
          <w:shd w:val="clear" w:color="auto" w:fill="FFFFFF"/>
          <w:lang w:val="uk-UA"/>
        </w:rPr>
        <w:t>Одеський медичний журнал.</w:t>
      </w:r>
      <w:r>
        <w:rPr>
          <w:color w:val="000000"/>
          <w:sz w:val="28"/>
          <w:szCs w:val="28"/>
          <w:shd w:val="clear" w:color="auto" w:fill="FFFFFF"/>
          <w:lang w:val="uk-UA"/>
        </w:rPr>
        <w:t xml:space="preserve"> 2015. Т. 5, № 151. С. 24–27.</w:t>
      </w:r>
      <w:r>
        <w:rPr>
          <w:sz w:val="28"/>
          <w:szCs w:val="28"/>
          <w:lang w:val="uk-UA"/>
        </w:rPr>
        <w:t xml:space="preserve"> </w:t>
      </w:r>
      <w:r>
        <w:rPr>
          <w:i/>
          <w:sz w:val="28"/>
          <w:szCs w:val="28"/>
          <w:lang w:val="uk-UA"/>
        </w:rPr>
        <w:t>(</w:t>
      </w:r>
      <w:r>
        <w:rPr>
          <w:i/>
          <w:sz w:val="28"/>
          <w:szCs w:val="28"/>
        </w:rPr>
        <w:t>Д</w:t>
      </w:r>
      <w:r>
        <w:rPr>
          <w:i/>
          <w:sz w:val="28"/>
          <w:szCs w:val="28"/>
          <w:lang w:val="uk-UA"/>
        </w:rPr>
        <w:t>исертантом проведено експериментальні дослідженя, аналіз та статистична обробка результатів, оформлення статті до друку).</w:t>
      </w:r>
    </w:p>
    <w:p w14:paraId="30D53173" w14:textId="77777777" w:rsidR="001759D5" w:rsidRDefault="001759D5" w:rsidP="001759D5">
      <w:pPr>
        <w:numPr>
          <w:ilvl w:val="0"/>
          <w:numId w:val="1"/>
        </w:numPr>
        <w:spacing w:line="360" w:lineRule="auto"/>
        <w:ind w:left="0" w:firstLine="540"/>
        <w:jc w:val="both"/>
        <w:rPr>
          <w:i/>
          <w:sz w:val="28"/>
          <w:szCs w:val="28"/>
          <w:lang w:val="uk-UA"/>
        </w:rPr>
      </w:pPr>
      <w:r w:rsidRPr="00112A09">
        <w:rPr>
          <w:color w:val="000000"/>
          <w:sz w:val="28"/>
          <w:szCs w:val="28"/>
          <w:shd w:val="clear" w:color="auto" w:fill="FFFFFF"/>
          <w:lang w:val="uk-UA"/>
        </w:rPr>
        <w:t xml:space="preserve">Александрова А. И., Прокопчук Е. Г., Шматкова Н. В., Сейфуллина И. И., Кравченко И. А. </w:t>
      </w:r>
      <w:r w:rsidRPr="00112A09">
        <w:rPr>
          <w:color w:val="000000"/>
          <w:sz w:val="28"/>
          <w:szCs w:val="28"/>
          <w:shd w:val="clear" w:color="auto" w:fill="FFFFFF"/>
        </w:rPr>
        <w:t>Противовоспалительная активность</w:t>
      </w:r>
      <w:r w:rsidRPr="00112A09">
        <w:rPr>
          <w:color w:val="000000"/>
          <w:sz w:val="28"/>
          <w:szCs w:val="28"/>
          <w:shd w:val="clear" w:color="auto" w:fill="FFFFFF"/>
          <w:lang w:val="uk-UA"/>
        </w:rPr>
        <w:t xml:space="preserve"> нов</w:t>
      </w:r>
      <w:r w:rsidRPr="00112A09">
        <w:rPr>
          <w:color w:val="000000"/>
          <w:sz w:val="28"/>
          <w:szCs w:val="28"/>
          <w:shd w:val="clear" w:color="auto" w:fill="FFFFFF"/>
        </w:rPr>
        <w:t>ых комплексов SnCl</w:t>
      </w:r>
      <w:r w:rsidRPr="00112A09">
        <w:rPr>
          <w:color w:val="000000"/>
          <w:sz w:val="28"/>
          <w:szCs w:val="28"/>
          <w:shd w:val="clear" w:color="auto" w:fill="FFFFFF"/>
          <w:vertAlign w:val="subscript"/>
        </w:rPr>
        <w:t>4</w:t>
      </w:r>
      <w:r w:rsidRPr="00112A09">
        <w:rPr>
          <w:color w:val="000000"/>
          <w:sz w:val="28"/>
          <w:szCs w:val="28"/>
          <w:shd w:val="clear" w:color="auto" w:fill="FFFFFF"/>
        </w:rPr>
        <w:t xml:space="preserve"> с салиц</w:t>
      </w:r>
      <w:r w:rsidRPr="00112A09">
        <w:rPr>
          <w:color w:val="000000"/>
          <w:sz w:val="28"/>
          <w:szCs w:val="28"/>
          <w:shd w:val="clear" w:color="auto" w:fill="FFFFFF"/>
          <w:lang w:val="uk-UA"/>
        </w:rPr>
        <w:t>и</w:t>
      </w:r>
      <w:r w:rsidRPr="00112A09">
        <w:rPr>
          <w:color w:val="000000"/>
          <w:sz w:val="28"/>
          <w:szCs w:val="28"/>
          <w:shd w:val="clear" w:color="auto" w:fill="FFFFFF"/>
        </w:rPr>
        <w:t xml:space="preserve">лоилгидразонами бензальдегида и 4-бромбензальдегида. </w:t>
      </w:r>
      <w:r w:rsidRPr="00112A09">
        <w:rPr>
          <w:i/>
          <w:color w:val="000000"/>
          <w:sz w:val="28"/>
          <w:szCs w:val="28"/>
          <w:shd w:val="clear" w:color="auto" w:fill="FFFFFF"/>
        </w:rPr>
        <w:t>Актуальні проблеми транспортної медицини</w:t>
      </w:r>
      <w:r w:rsidRPr="00112A09">
        <w:rPr>
          <w:i/>
          <w:color w:val="000000"/>
          <w:sz w:val="28"/>
          <w:szCs w:val="28"/>
          <w:shd w:val="clear" w:color="auto" w:fill="FFFFFF"/>
          <w:lang w:val="uk-UA"/>
        </w:rPr>
        <w:t>.</w:t>
      </w:r>
      <w:r w:rsidRPr="00112A09">
        <w:rPr>
          <w:color w:val="000000"/>
          <w:sz w:val="28"/>
          <w:szCs w:val="28"/>
          <w:shd w:val="clear" w:color="auto" w:fill="FFFFFF"/>
          <w:lang w:val="uk-UA"/>
        </w:rPr>
        <w:t xml:space="preserve"> </w:t>
      </w:r>
      <w:r w:rsidRPr="00112A09">
        <w:rPr>
          <w:color w:val="000000"/>
          <w:sz w:val="28"/>
          <w:szCs w:val="28"/>
          <w:shd w:val="clear" w:color="auto" w:fill="FFFFFF"/>
        </w:rPr>
        <w:t xml:space="preserve">2017. </w:t>
      </w:r>
      <w:r w:rsidRPr="00112A09">
        <w:rPr>
          <w:color w:val="000000"/>
          <w:sz w:val="28"/>
          <w:szCs w:val="28"/>
          <w:shd w:val="clear" w:color="auto" w:fill="FFFFFF"/>
          <w:lang w:val="uk-UA"/>
        </w:rPr>
        <w:t xml:space="preserve"> Т. </w:t>
      </w:r>
      <w:r w:rsidRPr="00112A09">
        <w:rPr>
          <w:color w:val="000000"/>
          <w:sz w:val="28"/>
          <w:szCs w:val="28"/>
          <w:shd w:val="clear" w:color="auto" w:fill="FFFFFF"/>
        </w:rPr>
        <w:t>2</w:t>
      </w:r>
      <w:r w:rsidRPr="00112A09">
        <w:rPr>
          <w:color w:val="000000"/>
          <w:sz w:val="28"/>
          <w:szCs w:val="28"/>
          <w:shd w:val="clear" w:color="auto" w:fill="FFFFFF"/>
          <w:lang w:val="uk-UA"/>
        </w:rPr>
        <w:t>, № 48</w:t>
      </w:r>
      <w:r w:rsidRPr="00112A09">
        <w:rPr>
          <w:color w:val="000000"/>
          <w:sz w:val="28"/>
          <w:szCs w:val="28"/>
          <w:shd w:val="clear" w:color="auto" w:fill="FFFFFF"/>
        </w:rPr>
        <w:t>. С.</w:t>
      </w:r>
      <w:r w:rsidRPr="00112A09">
        <w:rPr>
          <w:color w:val="000000"/>
          <w:sz w:val="28"/>
          <w:szCs w:val="28"/>
          <w:shd w:val="clear" w:color="auto" w:fill="FFFFFF"/>
          <w:lang w:val="uk-UA"/>
        </w:rPr>
        <w:t xml:space="preserve"> </w:t>
      </w:r>
      <w:r w:rsidRPr="00112A09">
        <w:rPr>
          <w:color w:val="000000"/>
          <w:sz w:val="28"/>
          <w:szCs w:val="28"/>
          <w:shd w:val="clear" w:color="auto" w:fill="FFFFFF"/>
        </w:rPr>
        <w:t>136–141.</w:t>
      </w:r>
      <w:r w:rsidRPr="00112A09">
        <w:rPr>
          <w:sz w:val="28"/>
          <w:szCs w:val="28"/>
          <w:lang w:val="uk-UA"/>
        </w:rPr>
        <w:t xml:space="preserve"> </w:t>
      </w:r>
      <w:r w:rsidRPr="00112A09">
        <w:rPr>
          <w:i/>
          <w:sz w:val="28"/>
          <w:szCs w:val="28"/>
          <w:lang w:val="uk-UA"/>
        </w:rPr>
        <w:t>(</w:t>
      </w:r>
      <w:r w:rsidRPr="00112A09">
        <w:rPr>
          <w:i/>
          <w:sz w:val="28"/>
          <w:szCs w:val="28"/>
        </w:rPr>
        <w:t>Д</w:t>
      </w:r>
      <w:r w:rsidRPr="00112A09">
        <w:rPr>
          <w:i/>
          <w:sz w:val="28"/>
          <w:szCs w:val="28"/>
          <w:lang w:val="uk-UA"/>
        </w:rPr>
        <w:t>исертантом проведено експериментальні дослідженя, аналіз та статистична обробка результатів, оформлення статті до друку).</w:t>
      </w:r>
    </w:p>
    <w:p w14:paraId="7DD6CF82" w14:textId="77777777" w:rsidR="001759D5" w:rsidRDefault="001759D5" w:rsidP="001759D5">
      <w:pPr>
        <w:numPr>
          <w:ilvl w:val="0"/>
          <w:numId w:val="1"/>
        </w:numPr>
        <w:spacing w:line="360" w:lineRule="auto"/>
        <w:ind w:left="0" w:firstLine="540"/>
        <w:jc w:val="both"/>
        <w:rPr>
          <w:i/>
          <w:sz w:val="28"/>
          <w:szCs w:val="28"/>
          <w:lang w:val="uk-UA"/>
        </w:rPr>
      </w:pPr>
      <w:r w:rsidRPr="00112A09">
        <w:rPr>
          <w:color w:val="000000"/>
          <w:sz w:val="28"/>
          <w:szCs w:val="28"/>
          <w:shd w:val="clear" w:color="auto" w:fill="FFFFFF"/>
          <w:lang w:val="en-US"/>
        </w:rPr>
        <w:t>Prokopchuk</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E</w:t>
      </w:r>
      <w:r w:rsidRPr="00112A09">
        <w:rPr>
          <w:color w:val="000000"/>
          <w:sz w:val="28"/>
          <w:szCs w:val="28"/>
          <w:shd w:val="clear" w:color="auto" w:fill="FFFFFF"/>
          <w:lang w:val="uk-UA"/>
        </w:rPr>
        <w:t>.</w:t>
      </w:r>
      <w:r w:rsidRPr="00112A09">
        <w:rPr>
          <w:color w:val="000000"/>
          <w:sz w:val="28"/>
          <w:szCs w:val="28"/>
          <w:shd w:val="clear" w:color="auto" w:fill="FFFFFF"/>
          <w:lang w:val="en-US"/>
        </w:rPr>
        <w:t>G</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Aleksandrova</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I</w:t>
      </w:r>
      <w:r w:rsidRPr="00112A09">
        <w:rPr>
          <w:color w:val="000000"/>
          <w:sz w:val="28"/>
          <w:szCs w:val="28"/>
          <w:shd w:val="clear" w:color="auto" w:fill="FFFFFF"/>
          <w:lang w:val="uk-UA"/>
        </w:rPr>
        <w:t>.</w:t>
      </w:r>
      <w:r w:rsidRPr="00112A09">
        <w:rPr>
          <w:color w:val="000000"/>
          <w:sz w:val="28"/>
          <w:szCs w:val="28"/>
          <w:shd w:val="clear" w:color="auto" w:fill="FFFFFF"/>
          <w:lang w:val="en-US"/>
        </w:rPr>
        <w:t>O</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Kravchenko</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I</w:t>
      </w:r>
      <w:r w:rsidRPr="00112A09">
        <w:rPr>
          <w:color w:val="000000"/>
          <w:sz w:val="28"/>
          <w:szCs w:val="28"/>
          <w:shd w:val="clear" w:color="auto" w:fill="FFFFFF"/>
          <w:lang w:val="uk-UA"/>
        </w:rPr>
        <w:t>.</w:t>
      </w:r>
      <w:r w:rsidRPr="00112A09">
        <w:rPr>
          <w:color w:val="000000"/>
          <w:sz w:val="28"/>
          <w:szCs w:val="28"/>
          <w:shd w:val="clear" w:color="auto" w:fill="FFFFFF"/>
          <w:lang w:val="en-US"/>
        </w:rPr>
        <w:t>A</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Anti</w:t>
      </w:r>
      <w:r w:rsidRPr="00112A09">
        <w:rPr>
          <w:color w:val="000000"/>
          <w:sz w:val="28"/>
          <w:szCs w:val="28"/>
          <w:shd w:val="clear" w:color="auto" w:fill="FFFFFF"/>
          <w:lang w:val="uk-UA"/>
        </w:rPr>
        <w:t>-</w:t>
      </w:r>
      <w:r w:rsidRPr="00112A09">
        <w:rPr>
          <w:color w:val="000000"/>
          <w:sz w:val="28"/>
          <w:szCs w:val="28"/>
          <w:shd w:val="clear" w:color="auto" w:fill="FFFFFF"/>
          <w:lang w:val="en-US"/>
        </w:rPr>
        <w:t>inflammatory</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activity</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of</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complex</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compounds</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tin</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IV</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chloride</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SnCl</w:t>
      </w:r>
      <w:r w:rsidRPr="00112A09">
        <w:rPr>
          <w:color w:val="000000"/>
          <w:sz w:val="28"/>
          <w:szCs w:val="28"/>
          <w:shd w:val="clear" w:color="auto" w:fill="FFFFFF"/>
          <w:vertAlign w:val="subscript"/>
          <w:lang w:val="uk-UA"/>
        </w:rPr>
        <w:t>4</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with</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salicyloyl</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hydrazones</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benzaldehyde</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and</w:t>
      </w:r>
      <w:r w:rsidRPr="00112A09">
        <w:rPr>
          <w:color w:val="000000"/>
          <w:sz w:val="28"/>
          <w:szCs w:val="28"/>
          <w:shd w:val="clear" w:color="auto" w:fill="FFFFFF"/>
          <w:lang w:val="uk-UA"/>
        </w:rPr>
        <w:t xml:space="preserve"> 4-</w:t>
      </w:r>
      <w:r w:rsidRPr="00112A09">
        <w:rPr>
          <w:color w:val="000000"/>
          <w:sz w:val="28"/>
          <w:szCs w:val="28"/>
          <w:shd w:val="clear" w:color="auto" w:fill="FFFFFF"/>
          <w:lang w:val="en-US"/>
        </w:rPr>
        <w:t>bromobenzaldehyde</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on</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carrageenan</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and</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formalin</w:t>
      </w:r>
      <w:r w:rsidRPr="00112A09">
        <w:rPr>
          <w:color w:val="000000"/>
          <w:sz w:val="28"/>
          <w:szCs w:val="28"/>
          <w:shd w:val="clear" w:color="auto" w:fill="FFFFFF"/>
          <w:lang w:val="uk-UA"/>
        </w:rPr>
        <w:t>-</w:t>
      </w:r>
      <w:r w:rsidRPr="00112A09">
        <w:rPr>
          <w:color w:val="000000"/>
          <w:sz w:val="28"/>
          <w:szCs w:val="28"/>
          <w:shd w:val="clear" w:color="auto" w:fill="FFFFFF"/>
          <w:lang w:val="en-US"/>
        </w:rPr>
        <w:t>induced</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inflammation</w:t>
      </w:r>
      <w:r w:rsidRPr="00112A09">
        <w:rPr>
          <w:color w:val="000000"/>
          <w:sz w:val="28"/>
          <w:szCs w:val="28"/>
          <w:shd w:val="clear" w:color="auto" w:fill="FFFFFF"/>
          <w:lang w:val="uk-UA"/>
        </w:rPr>
        <w:t xml:space="preserve">. </w:t>
      </w:r>
      <w:r w:rsidRPr="00112A09">
        <w:rPr>
          <w:i/>
          <w:color w:val="000000"/>
          <w:sz w:val="28"/>
          <w:szCs w:val="28"/>
          <w:shd w:val="clear" w:color="auto" w:fill="FFFFFF"/>
          <w:lang w:val="uk-UA"/>
        </w:rPr>
        <w:t>Актуальні проблеми транспортної медицини.</w:t>
      </w:r>
      <w:r w:rsidRPr="00112A09">
        <w:rPr>
          <w:color w:val="000000"/>
          <w:sz w:val="28"/>
          <w:szCs w:val="28"/>
          <w:shd w:val="clear" w:color="auto" w:fill="FFFFFF"/>
          <w:lang w:val="uk-UA"/>
        </w:rPr>
        <w:t xml:space="preserve"> 2019. Т. 1, №55. С.63–68. </w:t>
      </w:r>
      <w:r w:rsidRPr="00112A09">
        <w:rPr>
          <w:i/>
          <w:sz w:val="28"/>
          <w:szCs w:val="28"/>
          <w:lang w:val="uk-UA"/>
        </w:rPr>
        <w:t>(</w:t>
      </w:r>
      <w:r w:rsidRPr="00112A09">
        <w:rPr>
          <w:i/>
          <w:sz w:val="28"/>
          <w:szCs w:val="28"/>
        </w:rPr>
        <w:t>Д</w:t>
      </w:r>
      <w:r w:rsidRPr="00112A09">
        <w:rPr>
          <w:i/>
          <w:sz w:val="28"/>
          <w:szCs w:val="28"/>
          <w:lang w:val="uk-UA"/>
        </w:rPr>
        <w:t>исертантом проведено експериментальні дослідженя, аналіз та статистична обробка результатів, оформлення статті до друку).</w:t>
      </w:r>
    </w:p>
    <w:p w14:paraId="34E39A0D" w14:textId="77777777" w:rsidR="001759D5" w:rsidRDefault="001759D5" w:rsidP="001759D5">
      <w:pPr>
        <w:numPr>
          <w:ilvl w:val="0"/>
          <w:numId w:val="1"/>
        </w:numPr>
        <w:spacing w:line="360" w:lineRule="auto"/>
        <w:ind w:left="0" w:firstLine="540"/>
        <w:jc w:val="both"/>
        <w:rPr>
          <w:i/>
          <w:sz w:val="28"/>
          <w:szCs w:val="28"/>
          <w:lang w:val="uk-UA"/>
        </w:rPr>
      </w:pPr>
      <w:r w:rsidRPr="00112A09">
        <w:rPr>
          <w:color w:val="000000"/>
          <w:sz w:val="28"/>
          <w:szCs w:val="28"/>
          <w:shd w:val="clear" w:color="auto" w:fill="FFFFFF"/>
          <w:lang w:val="en-US"/>
        </w:rPr>
        <w:t>Prokopchuk</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Elena</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Aleksandrova</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Alexandra</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Kravchenko</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Iryna</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Analgesic</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activity</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of</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new</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complex</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compounds</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SnCl</w:t>
      </w:r>
      <w:r w:rsidRPr="00112A09">
        <w:rPr>
          <w:color w:val="000000"/>
          <w:sz w:val="28"/>
          <w:szCs w:val="28"/>
          <w:shd w:val="clear" w:color="auto" w:fill="FFFFFF"/>
          <w:vertAlign w:val="subscript"/>
          <w:lang w:val="uk-UA"/>
        </w:rPr>
        <w:t>4</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with</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salicyloylhydrazones</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of</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benzaldehyde</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and</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brombenzaldehyde</w:t>
      </w:r>
      <w:r w:rsidRPr="00112A09">
        <w:rPr>
          <w:color w:val="000000"/>
          <w:sz w:val="28"/>
          <w:szCs w:val="28"/>
          <w:shd w:val="clear" w:color="auto" w:fill="FFFFFF"/>
          <w:lang w:val="uk-UA"/>
        </w:rPr>
        <w:t xml:space="preserve">. </w:t>
      </w:r>
      <w:r w:rsidRPr="00112A09">
        <w:rPr>
          <w:i/>
          <w:color w:val="000000"/>
          <w:sz w:val="28"/>
          <w:szCs w:val="28"/>
          <w:shd w:val="clear" w:color="auto" w:fill="FFFFFF"/>
          <w:lang w:val="en-US"/>
        </w:rPr>
        <w:t>Journal</w:t>
      </w:r>
      <w:r w:rsidRPr="00112A09">
        <w:rPr>
          <w:i/>
          <w:color w:val="000000"/>
          <w:sz w:val="28"/>
          <w:szCs w:val="28"/>
          <w:shd w:val="clear" w:color="auto" w:fill="FFFFFF"/>
          <w:lang w:val="uk-UA"/>
        </w:rPr>
        <w:t xml:space="preserve"> </w:t>
      </w:r>
      <w:r w:rsidRPr="00112A09">
        <w:rPr>
          <w:i/>
          <w:color w:val="000000"/>
          <w:sz w:val="28"/>
          <w:szCs w:val="28"/>
          <w:shd w:val="clear" w:color="auto" w:fill="FFFFFF"/>
          <w:lang w:val="en-US"/>
        </w:rPr>
        <w:t>of</w:t>
      </w:r>
      <w:r w:rsidRPr="00112A09">
        <w:rPr>
          <w:i/>
          <w:color w:val="000000"/>
          <w:sz w:val="28"/>
          <w:szCs w:val="28"/>
          <w:shd w:val="clear" w:color="auto" w:fill="FFFFFF"/>
          <w:lang w:val="uk-UA"/>
        </w:rPr>
        <w:t xml:space="preserve"> </w:t>
      </w:r>
      <w:r w:rsidRPr="00112A09">
        <w:rPr>
          <w:i/>
          <w:color w:val="000000"/>
          <w:sz w:val="28"/>
          <w:szCs w:val="28"/>
          <w:shd w:val="clear" w:color="auto" w:fill="FFFFFF"/>
          <w:lang w:val="en-US"/>
        </w:rPr>
        <w:t>Education</w:t>
      </w:r>
      <w:r w:rsidRPr="00112A09">
        <w:rPr>
          <w:i/>
          <w:color w:val="000000"/>
          <w:sz w:val="28"/>
          <w:szCs w:val="28"/>
          <w:shd w:val="clear" w:color="auto" w:fill="FFFFFF"/>
          <w:lang w:val="uk-UA"/>
        </w:rPr>
        <w:t xml:space="preserve">, </w:t>
      </w:r>
      <w:r w:rsidRPr="00112A09">
        <w:rPr>
          <w:i/>
          <w:color w:val="000000"/>
          <w:sz w:val="28"/>
          <w:szCs w:val="28"/>
          <w:shd w:val="clear" w:color="auto" w:fill="FFFFFF"/>
          <w:lang w:val="en-US"/>
        </w:rPr>
        <w:t>Health</w:t>
      </w:r>
      <w:r w:rsidRPr="00112A09">
        <w:rPr>
          <w:i/>
          <w:color w:val="000000"/>
          <w:sz w:val="28"/>
          <w:szCs w:val="28"/>
          <w:shd w:val="clear" w:color="auto" w:fill="FFFFFF"/>
          <w:lang w:val="uk-UA"/>
        </w:rPr>
        <w:t xml:space="preserve"> </w:t>
      </w:r>
      <w:r w:rsidRPr="00112A09">
        <w:rPr>
          <w:i/>
          <w:color w:val="000000"/>
          <w:sz w:val="28"/>
          <w:szCs w:val="28"/>
          <w:shd w:val="clear" w:color="auto" w:fill="FFFFFF"/>
          <w:lang w:val="en-US"/>
        </w:rPr>
        <w:t>and</w:t>
      </w:r>
      <w:r w:rsidRPr="00112A09">
        <w:rPr>
          <w:i/>
          <w:color w:val="000000"/>
          <w:sz w:val="28"/>
          <w:szCs w:val="28"/>
          <w:shd w:val="clear" w:color="auto" w:fill="FFFFFF"/>
          <w:lang w:val="uk-UA"/>
        </w:rPr>
        <w:t xml:space="preserve"> </w:t>
      </w:r>
      <w:r w:rsidRPr="00112A09">
        <w:rPr>
          <w:i/>
          <w:color w:val="000000"/>
          <w:sz w:val="28"/>
          <w:szCs w:val="28"/>
          <w:shd w:val="clear" w:color="auto" w:fill="FFFFFF"/>
          <w:lang w:val="en-US"/>
        </w:rPr>
        <w:t>Sport</w:t>
      </w:r>
      <w:r w:rsidRPr="00112A09">
        <w:rPr>
          <w:i/>
          <w:color w:val="000000"/>
          <w:sz w:val="28"/>
          <w:szCs w:val="28"/>
          <w:shd w:val="clear" w:color="auto" w:fill="FFFFFF"/>
          <w:lang w:val="uk-UA"/>
        </w:rPr>
        <w:t>.</w:t>
      </w:r>
      <w:r w:rsidRPr="00112A09">
        <w:rPr>
          <w:color w:val="000000"/>
          <w:sz w:val="28"/>
          <w:szCs w:val="28"/>
          <w:shd w:val="clear" w:color="auto" w:fill="FFFFFF"/>
          <w:lang w:val="uk-UA"/>
        </w:rPr>
        <w:t xml:space="preserve"> 2019. Т. 9, № 2. С.156–164. </w:t>
      </w:r>
      <w:r w:rsidRPr="00112A09">
        <w:rPr>
          <w:i/>
          <w:sz w:val="28"/>
          <w:szCs w:val="28"/>
          <w:lang w:val="uk-UA"/>
        </w:rPr>
        <w:t>(Дисертантом проведено експериментальні дослідженя, аналіз та статистична обробка результатів, оформлення статті до друку).</w:t>
      </w:r>
    </w:p>
    <w:p w14:paraId="1A99A6E3" w14:textId="77777777" w:rsidR="001759D5" w:rsidRDefault="001759D5" w:rsidP="001759D5">
      <w:pPr>
        <w:numPr>
          <w:ilvl w:val="0"/>
          <w:numId w:val="1"/>
        </w:numPr>
        <w:spacing w:line="360" w:lineRule="auto"/>
        <w:ind w:left="0" w:firstLine="540"/>
        <w:jc w:val="both"/>
        <w:rPr>
          <w:i/>
          <w:sz w:val="28"/>
          <w:szCs w:val="28"/>
          <w:lang w:val="uk-UA"/>
        </w:rPr>
      </w:pPr>
      <w:r w:rsidRPr="00112A09">
        <w:rPr>
          <w:color w:val="000000"/>
          <w:sz w:val="28"/>
          <w:szCs w:val="28"/>
          <w:shd w:val="clear" w:color="auto" w:fill="FFFFFF"/>
          <w:lang w:val="uk-UA"/>
        </w:rPr>
        <w:t xml:space="preserve">Прокопчук О. Г., Александрова О. І., Кравченко І. А. Вивчення динаміки протисудомної та анксиолітичної дії при пероральному введенні </w:t>
      </w:r>
      <w:r w:rsidRPr="00112A09">
        <w:rPr>
          <w:color w:val="000000"/>
          <w:sz w:val="28"/>
          <w:szCs w:val="28"/>
          <w:shd w:val="clear" w:color="auto" w:fill="FFFFFF"/>
          <w:lang w:val="uk-UA"/>
        </w:rPr>
        <w:lastRenderedPageBreak/>
        <w:t xml:space="preserve">хлориду олова (ІІ). </w:t>
      </w:r>
      <w:r w:rsidRPr="00112A09">
        <w:rPr>
          <w:i/>
          <w:color w:val="000000"/>
          <w:sz w:val="28"/>
          <w:szCs w:val="28"/>
          <w:shd w:val="clear" w:color="auto" w:fill="FFFFFF"/>
          <w:lang w:val="uk-UA"/>
        </w:rPr>
        <w:t>Вісник Вінницького національного медичного університету</w:t>
      </w:r>
      <w:r w:rsidRPr="00112A09">
        <w:rPr>
          <w:color w:val="000000"/>
          <w:sz w:val="28"/>
          <w:szCs w:val="28"/>
          <w:shd w:val="clear" w:color="auto" w:fill="FFFFFF"/>
          <w:lang w:val="uk-UA"/>
        </w:rPr>
        <w:t xml:space="preserve">. 2019.  Т. 23, № 2. С.204–208. </w:t>
      </w:r>
      <w:r w:rsidRPr="00112A09">
        <w:rPr>
          <w:i/>
          <w:sz w:val="28"/>
          <w:szCs w:val="28"/>
          <w:lang w:val="uk-UA"/>
        </w:rPr>
        <w:t>(Особистий внесок дисертанта дисертанта – проведення експерименту, аналіз та статистична обробка результатів, підготовка матеріалів до друку).</w:t>
      </w:r>
    </w:p>
    <w:p w14:paraId="13A414DB" w14:textId="77777777" w:rsidR="001759D5" w:rsidRPr="00112A09" w:rsidRDefault="001759D5" w:rsidP="001759D5">
      <w:pPr>
        <w:numPr>
          <w:ilvl w:val="0"/>
          <w:numId w:val="1"/>
        </w:numPr>
        <w:spacing w:line="360" w:lineRule="auto"/>
        <w:ind w:left="0" w:firstLine="540"/>
        <w:jc w:val="both"/>
        <w:rPr>
          <w:i/>
          <w:sz w:val="28"/>
          <w:szCs w:val="28"/>
          <w:lang w:val="uk-UA"/>
        </w:rPr>
      </w:pPr>
      <w:r w:rsidRPr="00112A09">
        <w:rPr>
          <w:color w:val="000000"/>
          <w:sz w:val="28"/>
          <w:szCs w:val="28"/>
          <w:lang w:val="en-US"/>
        </w:rPr>
        <w:t>E</w:t>
      </w:r>
      <w:r w:rsidRPr="00112A09">
        <w:rPr>
          <w:color w:val="000000"/>
          <w:sz w:val="28"/>
          <w:szCs w:val="28"/>
          <w:lang w:val="uk-UA"/>
        </w:rPr>
        <w:t>.</w:t>
      </w:r>
      <w:r w:rsidRPr="00112A09">
        <w:rPr>
          <w:color w:val="000000"/>
          <w:sz w:val="28"/>
          <w:szCs w:val="28"/>
          <w:lang w:val="en-US"/>
        </w:rPr>
        <w:t>G</w:t>
      </w:r>
      <w:r w:rsidRPr="00112A09">
        <w:rPr>
          <w:color w:val="000000"/>
          <w:sz w:val="28"/>
          <w:szCs w:val="28"/>
          <w:lang w:val="uk-UA"/>
        </w:rPr>
        <w:t xml:space="preserve">. </w:t>
      </w:r>
      <w:r w:rsidRPr="00112A09">
        <w:rPr>
          <w:color w:val="000000"/>
          <w:sz w:val="28"/>
          <w:szCs w:val="28"/>
          <w:lang w:val="en-US"/>
        </w:rPr>
        <w:t>Prokopchuk</w:t>
      </w:r>
      <w:r w:rsidRPr="00112A09">
        <w:rPr>
          <w:color w:val="000000"/>
          <w:sz w:val="28"/>
          <w:szCs w:val="28"/>
          <w:lang w:val="uk-UA"/>
        </w:rPr>
        <w:t xml:space="preserve">, </w:t>
      </w:r>
      <w:r w:rsidRPr="00112A09">
        <w:rPr>
          <w:color w:val="000000"/>
          <w:sz w:val="28"/>
          <w:szCs w:val="28"/>
          <w:lang w:val="en-US"/>
        </w:rPr>
        <w:t>A</w:t>
      </w:r>
      <w:r w:rsidRPr="00112A09">
        <w:rPr>
          <w:color w:val="000000"/>
          <w:sz w:val="28"/>
          <w:szCs w:val="28"/>
          <w:lang w:val="uk-UA"/>
        </w:rPr>
        <w:t>.</w:t>
      </w:r>
      <w:r w:rsidRPr="00112A09">
        <w:rPr>
          <w:color w:val="000000"/>
          <w:sz w:val="28"/>
          <w:szCs w:val="28"/>
          <w:lang w:val="en-US"/>
        </w:rPr>
        <w:t>I</w:t>
      </w:r>
      <w:r w:rsidRPr="00112A09">
        <w:rPr>
          <w:color w:val="000000"/>
          <w:sz w:val="28"/>
          <w:szCs w:val="28"/>
          <w:lang w:val="uk-UA"/>
        </w:rPr>
        <w:t>.</w:t>
      </w:r>
      <w:r w:rsidRPr="00112A09">
        <w:rPr>
          <w:color w:val="000000"/>
          <w:sz w:val="28"/>
          <w:szCs w:val="28"/>
          <w:lang w:val="en-US"/>
        </w:rPr>
        <w:t>Aleksandrova</w:t>
      </w:r>
      <w:r w:rsidRPr="00112A09">
        <w:rPr>
          <w:color w:val="000000"/>
          <w:sz w:val="28"/>
          <w:szCs w:val="28"/>
          <w:lang w:val="uk-UA"/>
        </w:rPr>
        <w:t xml:space="preserve">, </w:t>
      </w:r>
      <w:r w:rsidRPr="00112A09">
        <w:rPr>
          <w:color w:val="000000"/>
          <w:sz w:val="28"/>
          <w:szCs w:val="28"/>
          <w:lang w:val="en-US"/>
        </w:rPr>
        <w:t>I</w:t>
      </w:r>
      <w:r w:rsidRPr="00112A09">
        <w:rPr>
          <w:color w:val="000000"/>
          <w:sz w:val="28"/>
          <w:szCs w:val="28"/>
          <w:lang w:val="uk-UA"/>
        </w:rPr>
        <w:t>.</w:t>
      </w:r>
      <w:r w:rsidRPr="00112A09">
        <w:rPr>
          <w:color w:val="000000"/>
          <w:sz w:val="28"/>
          <w:szCs w:val="28"/>
          <w:lang w:val="en-US"/>
        </w:rPr>
        <w:t>A</w:t>
      </w:r>
      <w:r w:rsidRPr="00112A09">
        <w:rPr>
          <w:color w:val="000000"/>
          <w:sz w:val="28"/>
          <w:szCs w:val="28"/>
          <w:lang w:val="uk-UA"/>
        </w:rPr>
        <w:t>.</w:t>
      </w:r>
      <w:r w:rsidRPr="00112A09">
        <w:rPr>
          <w:color w:val="000000"/>
          <w:sz w:val="28"/>
          <w:szCs w:val="28"/>
          <w:lang w:val="en-US"/>
        </w:rPr>
        <w:t>Kravchenko</w:t>
      </w:r>
      <w:r w:rsidRPr="00112A09">
        <w:rPr>
          <w:color w:val="000000"/>
          <w:sz w:val="28"/>
          <w:szCs w:val="28"/>
          <w:lang w:val="uk-UA"/>
        </w:rPr>
        <w:t xml:space="preserve"> </w:t>
      </w:r>
      <w:r w:rsidRPr="00112A09">
        <w:rPr>
          <w:color w:val="000000"/>
          <w:sz w:val="28"/>
          <w:szCs w:val="28"/>
          <w:lang w:val="en-US"/>
        </w:rPr>
        <w:t>Neurotropic</w:t>
      </w:r>
      <w:r w:rsidRPr="00112A09">
        <w:rPr>
          <w:color w:val="000000"/>
          <w:sz w:val="28"/>
          <w:szCs w:val="28"/>
          <w:lang w:val="uk-UA"/>
        </w:rPr>
        <w:t xml:space="preserve"> </w:t>
      </w:r>
      <w:r w:rsidRPr="00112A09">
        <w:rPr>
          <w:color w:val="000000"/>
          <w:sz w:val="28"/>
          <w:szCs w:val="28"/>
          <w:lang w:val="en-US"/>
        </w:rPr>
        <w:t>properties</w:t>
      </w:r>
      <w:r w:rsidRPr="00112A09">
        <w:rPr>
          <w:color w:val="000000"/>
          <w:sz w:val="28"/>
          <w:szCs w:val="28"/>
          <w:lang w:val="uk-UA"/>
        </w:rPr>
        <w:t xml:space="preserve"> </w:t>
      </w:r>
      <w:r w:rsidRPr="00112A09">
        <w:rPr>
          <w:color w:val="000000"/>
          <w:sz w:val="28"/>
          <w:szCs w:val="28"/>
          <w:lang w:val="en-US"/>
        </w:rPr>
        <w:t>of</w:t>
      </w:r>
      <w:r w:rsidRPr="00112A09">
        <w:rPr>
          <w:color w:val="000000"/>
          <w:sz w:val="28"/>
          <w:szCs w:val="28"/>
          <w:lang w:val="uk-UA"/>
        </w:rPr>
        <w:t xml:space="preserve"> </w:t>
      </w:r>
      <w:r w:rsidRPr="00112A09">
        <w:rPr>
          <w:color w:val="000000"/>
          <w:sz w:val="28"/>
          <w:szCs w:val="28"/>
          <w:lang w:val="en-US"/>
        </w:rPr>
        <w:t>new</w:t>
      </w:r>
      <w:r w:rsidRPr="00112A09">
        <w:rPr>
          <w:color w:val="000000"/>
          <w:sz w:val="28"/>
          <w:szCs w:val="28"/>
          <w:lang w:val="uk-UA"/>
        </w:rPr>
        <w:t xml:space="preserve"> </w:t>
      </w:r>
      <w:r w:rsidRPr="00112A09">
        <w:rPr>
          <w:color w:val="000000"/>
          <w:sz w:val="28"/>
          <w:szCs w:val="28"/>
          <w:lang w:val="en-US"/>
        </w:rPr>
        <w:t>complex</w:t>
      </w:r>
      <w:r w:rsidRPr="00112A09">
        <w:rPr>
          <w:color w:val="000000"/>
          <w:sz w:val="28"/>
          <w:szCs w:val="28"/>
          <w:lang w:val="uk-UA"/>
        </w:rPr>
        <w:t xml:space="preserve"> </w:t>
      </w:r>
      <w:r w:rsidRPr="00112A09">
        <w:rPr>
          <w:color w:val="000000"/>
          <w:sz w:val="28"/>
          <w:szCs w:val="28"/>
          <w:lang w:val="en-US"/>
        </w:rPr>
        <w:t>compounds</w:t>
      </w:r>
      <w:r w:rsidRPr="00112A09">
        <w:rPr>
          <w:color w:val="000000"/>
          <w:sz w:val="28"/>
          <w:szCs w:val="28"/>
          <w:lang w:val="uk-UA"/>
        </w:rPr>
        <w:t xml:space="preserve"> </w:t>
      </w:r>
      <w:r w:rsidRPr="00112A09">
        <w:rPr>
          <w:color w:val="000000"/>
          <w:sz w:val="28"/>
          <w:szCs w:val="28"/>
          <w:lang w:val="en-US"/>
        </w:rPr>
        <w:t>of</w:t>
      </w:r>
      <w:r w:rsidRPr="00112A09">
        <w:rPr>
          <w:color w:val="000000"/>
          <w:sz w:val="28"/>
          <w:szCs w:val="28"/>
          <w:lang w:val="uk-UA"/>
        </w:rPr>
        <w:t xml:space="preserve"> </w:t>
      </w:r>
      <w:r w:rsidRPr="00112A09">
        <w:rPr>
          <w:color w:val="000000"/>
          <w:sz w:val="28"/>
          <w:szCs w:val="28"/>
          <w:lang w:val="en-US"/>
        </w:rPr>
        <w:t>SnCl</w:t>
      </w:r>
      <w:r w:rsidRPr="00112A09">
        <w:rPr>
          <w:color w:val="000000"/>
          <w:sz w:val="28"/>
          <w:szCs w:val="28"/>
          <w:lang w:val="uk-UA"/>
        </w:rPr>
        <w:t xml:space="preserve">4 </w:t>
      </w:r>
      <w:r w:rsidRPr="00112A09">
        <w:rPr>
          <w:color w:val="000000"/>
          <w:sz w:val="28"/>
          <w:szCs w:val="28"/>
          <w:lang w:val="en-US"/>
        </w:rPr>
        <w:t>with</w:t>
      </w:r>
      <w:r w:rsidRPr="00112A09">
        <w:rPr>
          <w:color w:val="000000"/>
          <w:sz w:val="28"/>
          <w:szCs w:val="28"/>
          <w:lang w:val="uk-UA"/>
        </w:rPr>
        <w:t xml:space="preserve"> </w:t>
      </w:r>
      <w:r w:rsidRPr="00112A09">
        <w:rPr>
          <w:color w:val="000000"/>
          <w:sz w:val="28"/>
          <w:szCs w:val="28"/>
          <w:lang w:val="en-US"/>
        </w:rPr>
        <w:t>salicyloyl</w:t>
      </w:r>
      <w:r w:rsidRPr="00112A09">
        <w:rPr>
          <w:color w:val="000000"/>
          <w:sz w:val="28"/>
          <w:szCs w:val="28"/>
          <w:lang w:val="uk-UA"/>
        </w:rPr>
        <w:t xml:space="preserve"> </w:t>
      </w:r>
      <w:r w:rsidRPr="00112A09">
        <w:rPr>
          <w:color w:val="000000"/>
          <w:sz w:val="28"/>
          <w:szCs w:val="28"/>
          <w:lang w:val="en-US"/>
        </w:rPr>
        <w:t>hydrazones</w:t>
      </w:r>
      <w:r w:rsidRPr="00112A09">
        <w:rPr>
          <w:color w:val="000000"/>
          <w:sz w:val="28"/>
          <w:szCs w:val="28"/>
          <w:lang w:val="uk-UA"/>
        </w:rPr>
        <w:t xml:space="preserve"> </w:t>
      </w:r>
      <w:r w:rsidRPr="00112A09">
        <w:rPr>
          <w:color w:val="000000"/>
          <w:sz w:val="28"/>
          <w:szCs w:val="28"/>
          <w:lang w:val="en-US"/>
        </w:rPr>
        <w:t>of</w:t>
      </w:r>
      <w:r w:rsidRPr="00112A09">
        <w:rPr>
          <w:color w:val="000000"/>
          <w:sz w:val="28"/>
          <w:szCs w:val="28"/>
          <w:lang w:val="uk-UA"/>
        </w:rPr>
        <w:t xml:space="preserve"> </w:t>
      </w:r>
      <w:r w:rsidRPr="00112A09">
        <w:rPr>
          <w:color w:val="000000"/>
          <w:sz w:val="28"/>
          <w:szCs w:val="28"/>
          <w:lang w:val="en-US"/>
        </w:rPr>
        <w:t>benzaldehyde</w:t>
      </w:r>
      <w:r w:rsidRPr="00112A09">
        <w:rPr>
          <w:color w:val="000000"/>
          <w:sz w:val="28"/>
          <w:szCs w:val="28"/>
          <w:lang w:val="uk-UA"/>
        </w:rPr>
        <w:t xml:space="preserve"> </w:t>
      </w:r>
      <w:r w:rsidRPr="00112A09">
        <w:rPr>
          <w:color w:val="000000"/>
          <w:sz w:val="28"/>
          <w:szCs w:val="28"/>
          <w:lang w:val="en-US"/>
        </w:rPr>
        <w:t>and</w:t>
      </w:r>
      <w:r w:rsidRPr="00112A09">
        <w:rPr>
          <w:color w:val="000000"/>
          <w:sz w:val="28"/>
          <w:szCs w:val="28"/>
          <w:lang w:val="uk-UA"/>
        </w:rPr>
        <w:t xml:space="preserve"> 4-</w:t>
      </w:r>
      <w:r w:rsidRPr="00112A09">
        <w:rPr>
          <w:color w:val="000000"/>
          <w:sz w:val="28"/>
          <w:szCs w:val="28"/>
          <w:lang w:val="en-US"/>
        </w:rPr>
        <w:t>bromobenzaldehyde</w:t>
      </w:r>
      <w:r w:rsidRPr="00112A09">
        <w:rPr>
          <w:color w:val="000000"/>
          <w:sz w:val="28"/>
          <w:szCs w:val="28"/>
          <w:lang w:val="uk-UA"/>
        </w:rPr>
        <w:t xml:space="preserve">. </w:t>
      </w:r>
      <w:r w:rsidRPr="00112A09">
        <w:rPr>
          <w:i/>
          <w:color w:val="000000"/>
          <w:sz w:val="28"/>
          <w:szCs w:val="28"/>
          <w:lang w:val="uk-UA"/>
        </w:rPr>
        <w:t>Фармакологія та лікарська токсикологія</w:t>
      </w:r>
      <w:r w:rsidRPr="00112A09">
        <w:rPr>
          <w:color w:val="000000"/>
          <w:sz w:val="28"/>
          <w:szCs w:val="28"/>
          <w:lang w:val="uk-UA"/>
        </w:rPr>
        <w:t xml:space="preserve">. 2020. Т. 14,  №5. С. 308-315. </w:t>
      </w:r>
      <w:r w:rsidRPr="00112A09">
        <w:rPr>
          <w:i/>
          <w:color w:val="000000"/>
          <w:sz w:val="28"/>
          <w:szCs w:val="28"/>
          <w:lang w:val="uk-UA"/>
        </w:rPr>
        <w:t>(Особистий внесок дисертанта дисертанта – проведення експерименту, аналіз та статистична обробка результатів, підготовка матеріалів до друку).</w:t>
      </w:r>
    </w:p>
    <w:p w14:paraId="18C0C67D" w14:textId="77777777" w:rsidR="001759D5" w:rsidRDefault="001759D5" w:rsidP="001759D5">
      <w:pPr>
        <w:rPr>
          <w:color w:val="000000"/>
          <w:sz w:val="28"/>
          <w:szCs w:val="28"/>
          <w:lang w:val="uk-UA"/>
        </w:rPr>
      </w:pPr>
      <w:r>
        <w:rPr>
          <w:color w:val="000000"/>
          <w:sz w:val="28"/>
          <w:szCs w:val="28"/>
          <w:lang w:val="uk-UA"/>
        </w:rPr>
        <w:br w:type="page"/>
      </w:r>
    </w:p>
    <w:p w14:paraId="368B7457" w14:textId="77777777" w:rsidR="001759D5" w:rsidRPr="00112A09" w:rsidRDefault="001759D5" w:rsidP="001759D5">
      <w:pPr>
        <w:spacing w:line="360" w:lineRule="auto"/>
        <w:jc w:val="center"/>
        <w:rPr>
          <w:b/>
          <w:color w:val="000000"/>
          <w:sz w:val="28"/>
          <w:szCs w:val="28"/>
          <w:lang w:val="uk-UA"/>
        </w:rPr>
      </w:pPr>
      <w:r w:rsidRPr="00112A09">
        <w:rPr>
          <w:b/>
          <w:color w:val="000000"/>
          <w:sz w:val="28"/>
          <w:szCs w:val="28"/>
          <w:lang w:val="uk-UA"/>
        </w:rPr>
        <w:lastRenderedPageBreak/>
        <w:t xml:space="preserve">Додаток </w:t>
      </w:r>
      <w:r>
        <w:rPr>
          <w:b/>
          <w:color w:val="000000"/>
          <w:sz w:val="28"/>
          <w:szCs w:val="28"/>
          <w:lang w:val="uk-UA"/>
        </w:rPr>
        <w:t>2</w:t>
      </w:r>
    </w:p>
    <w:p w14:paraId="1EFAF9A9" w14:textId="77777777" w:rsidR="001759D5" w:rsidRDefault="001759D5" w:rsidP="001759D5">
      <w:pPr>
        <w:spacing w:line="360" w:lineRule="auto"/>
        <w:jc w:val="center"/>
        <w:rPr>
          <w:b/>
          <w:color w:val="000000"/>
          <w:sz w:val="28"/>
          <w:szCs w:val="28"/>
          <w:lang w:val="uk-UA"/>
        </w:rPr>
      </w:pPr>
      <w:r>
        <w:rPr>
          <w:b/>
          <w:color w:val="000000"/>
          <w:sz w:val="28"/>
          <w:szCs w:val="28"/>
          <w:lang w:val="uk-UA"/>
        </w:rPr>
        <w:t>Апробація результатів дослідження</w:t>
      </w:r>
    </w:p>
    <w:p w14:paraId="1D4889E2" w14:textId="77777777" w:rsidR="001759D5" w:rsidRDefault="001759D5" w:rsidP="00DE015D">
      <w:pPr>
        <w:pStyle w:val="af0"/>
        <w:numPr>
          <w:ilvl w:val="0"/>
          <w:numId w:val="50"/>
        </w:numPr>
        <w:spacing w:line="360" w:lineRule="auto"/>
        <w:ind w:left="0" w:firstLine="0"/>
        <w:jc w:val="both"/>
        <w:rPr>
          <w:sz w:val="28"/>
          <w:szCs w:val="28"/>
          <w:lang w:val="uk-UA"/>
        </w:rPr>
      </w:pPr>
      <w:r w:rsidRPr="00F97DEB">
        <w:rPr>
          <w:sz w:val="28"/>
          <w:szCs w:val="28"/>
          <w:lang w:val="uk-UA"/>
        </w:rPr>
        <w:t>Александрова О.І.</w:t>
      </w:r>
      <w:r w:rsidRPr="00F97DEB">
        <w:rPr>
          <w:caps/>
          <w:sz w:val="28"/>
          <w:szCs w:val="28"/>
          <w:lang w:val="uk-UA"/>
        </w:rPr>
        <w:t xml:space="preserve">, </w:t>
      </w:r>
      <w:r w:rsidRPr="00F97DEB">
        <w:rPr>
          <w:sz w:val="28"/>
          <w:szCs w:val="28"/>
          <w:lang w:val="uk-UA"/>
        </w:rPr>
        <w:t>Кравченко</w:t>
      </w:r>
      <w:r w:rsidRPr="00F97DEB">
        <w:rPr>
          <w:caps/>
          <w:sz w:val="28"/>
          <w:szCs w:val="28"/>
          <w:lang w:val="uk-UA"/>
        </w:rPr>
        <w:t xml:space="preserve"> І.А., </w:t>
      </w:r>
      <w:r w:rsidRPr="00F97DEB">
        <w:rPr>
          <w:sz w:val="28"/>
          <w:szCs w:val="28"/>
          <w:lang w:val="uk-UA"/>
        </w:rPr>
        <w:t>Прокопчук О.Г., Шматкова Н.В.</w:t>
      </w:r>
      <w:r w:rsidRPr="00F97DEB">
        <w:rPr>
          <w:caps/>
          <w:sz w:val="28"/>
          <w:szCs w:val="28"/>
          <w:lang w:val="uk-UA"/>
        </w:rPr>
        <w:t xml:space="preserve">, </w:t>
      </w:r>
      <w:r w:rsidRPr="00F97DEB">
        <w:rPr>
          <w:sz w:val="28"/>
          <w:szCs w:val="28"/>
          <w:lang w:val="uk-UA"/>
        </w:rPr>
        <w:t xml:space="preserve">Сейфулліна І.Й. Протисудомна активність нових комплексів </w:t>
      </w:r>
      <w:r w:rsidRPr="00F97DEB">
        <w:rPr>
          <w:sz w:val="28"/>
          <w:szCs w:val="28"/>
          <w:lang w:val="en-US"/>
        </w:rPr>
        <w:t>SnCl</w:t>
      </w:r>
      <w:r w:rsidRPr="00F97DEB">
        <w:rPr>
          <w:sz w:val="28"/>
          <w:szCs w:val="28"/>
          <w:vertAlign w:val="subscript"/>
          <w:lang w:val="uk-UA"/>
        </w:rPr>
        <w:t xml:space="preserve">4 </w:t>
      </w:r>
      <w:r w:rsidRPr="00F97DEB">
        <w:rPr>
          <w:sz w:val="28"/>
          <w:szCs w:val="28"/>
          <w:lang w:val="uk-UA"/>
        </w:rPr>
        <w:t xml:space="preserve">з саліцилоїлидразонами бензальдегіду та 4-бромбензальдегіду при пероральному введенні. </w:t>
      </w:r>
      <w:r w:rsidRPr="00F97DEB">
        <w:rPr>
          <w:i/>
          <w:sz w:val="28"/>
          <w:szCs w:val="28"/>
          <w:lang w:val="uk-UA"/>
        </w:rPr>
        <w:t xml:space="preserve">Вітчизняна та світова медицина: вимоги сьогодення: </w:t>
      </w:r>
      <w:r w:rsidRPr="00F97DEB">
        <w:rPr>
          <w:sz w:val="28"/>
          <w:szCs w:val="28"/>
          <w:lang w:val="uk-UA"/>
        </w:rPr>
        <w:t xml:space="preserve">збірник матеріалів міжнародної науково-практичної конференції (14-15 листопада 2014 р. м. Дніпропетровськ).  Дніпропетровськ, 2014. С. 111-113. </w:t>
      </w:r>
    </w:p>
    <w:p w14:paraId="02DE7381" w14:textId="77777777" w:rsidR="001759D5" w:rsidRDefault="001759D5" w:rsidP="00DE015D">
      <w:pPr>
        <w:pStyle w:val="af0"/>
        <w:numPr>
          <w:ilvl w:val="0"/>
          <w:numId w:val="50"/>
        </w:numPr>
        <w:spacing w:line="360" w:lineRule="auto"/>
        <w:ind w:left="0" w:firstLine="0"/>
        <w:jc w:val="both"/>
        <w:rPr>
          <w:sz w:val="28"/>
          <w:szCs w:val="28"/>
          <w:lang w:val="uk-UA"/>
        </w:rPr>
      </w:pPr>
      <w:r w:rsidRPr="00112A09">
        <w:rPr>
          <w:sz w:val="28"/>
          <w:szCs w:val="28"/>
          <w:lang w:val="uk-UA"/>
        </w:rPr>
        <w:t>Александрова О.І.</w:t>
      </w:r>
      <w:r w:rsidRPr="00112A09">
        <w:rPr>
          <w:caps/>
          <w:sz w:val="28"/>
          <w:szCs w:val="28"/>
          <w:lang w:val="uk-UA"/>
        </w:rPr>
        <w:t xml:space="preserve">, </w:t>
      </w:r>
      <w:r w:rsidRPr="00112A09">
        <w:rPr>
          <w:sz w:val="28"/>
          <w:szCs w:val="28"/>
          <w:lang w:val="uk-UA"/>
        </w:rPr>
        <w:t>Кравченко</w:t>
      </w:r>
      <w:r w:rsidRPr="00112A09">
        <w:rPr>
          <w:caps/>
          <w:sz w:val="28"/>
          <w:szCs w:val="28"/>
          <w:lang w:val="uk-UA"/>
        </w:rPr>
        <w:t xml:space="preserve"> І.А., </w:t>
      </w:r>
      <w:r w:rsidRPr="00112A09">
        <w:rPr>
          <w:sz w:val="28"/>
          <w:szCs w:val="28"/>
          <w:lang w:val="uk-UA"/>
        </w:rPr>
        <w:t>Прокопчук О.Г., Шматкова Н.В.</w:t>
      </w:r>
      <w:r w:rsidRPr="00112A09">
        <w:rPr>
          <w:caps/>
          <w:sz w:val="28"/>
          <w:szCs w:val="28"/>
          <w:lang w:val="uk-UA"/>
        </w:rPr>
        <w:t xml:space="preserve">, </w:t>
      </w:r>
      <w:r w:rsidRPr="00112A09">
        <w:rPr>
          <w:sz w:val="28"/>
          <w:szCs w:val="28"/>
          <w:lang w:val="uk-UA"/>
        </w:rPr>
        <w:t xml:space="preserve">Сейфулліна І.Й. Антидепресивна активність нових комплексів </w:t>
      </w:r>
      <w:r w:rsidRPr="00112A09">
        <w:rPr>
          <w:sz w:val="28"/>
          <w:szCs w:val="28"/>
          <w:lang w:val="en-US"/>
        </w:rPr>
        <w:t>SnCl</w:t>
      </w:r>
      <w:r w:rsidRPr="00112A09">
        <w:rPr>
          <w:sz w:val="28"/>
          <w:szCs w:val="28"/>
          <w:vertAlign w:val="subscript"/>
          <w:lang w:val="uk-UA"/>
        </w:rPr>
        <w:t xml:space="preserve">4 </w:t>
      </w:r>
      <w:r w:rsidRPr="00112A09">
        <w:rPr>
          <w:sz w:val="28"/>
          <w:szCs w:val="28"/>
          <w:lang w:val="uk-UA"/>
        </w:rPr>
        <w:t xml:space="preserve">з саліцилоїлидразонами бензальдегіду та 4-бромбензальдегіду при пероральному введенні. </w:t>
      </w:r>
      <w:r w:rsidRPr="00112A09">
        <w:rPr>
          <w:i/>
          <w:sz w:val="28"/>
          <w:szCs w:val="28"/>
          <w:lang w:val="uk-UA"/>
        </w:rPr>
        <w:t>Роль та місце медицини у забезпеченні здоров’я людини у сучасному суспільстві»:</w:t>
      </w:r>
      <w:r w:rsidRPr="00112A09">
        <w:rPr>
          <w:sz w:val="28"/>
          <w:szCs w:val="28"/>
          <w:lang w:val="uk-UA"/>
        </w:rPr>
        <w:t xml:space="preserve">  матеріали міжнародної науково-практичної конференції (21-22 листопада 2014 р. Одеса). Одеса, 2014. С. 154-156. </w:t>
      </w:r>
    </w:p>
    <w:p w14:paraId="2B01CB85" w14:textId="77777777" w:rsidR="001759D5" w:rsidRPr="00112A09" w:rsidRDefault="001759D5" w:rsidP="00DE015D">
      <w:pPr>
        <w:pStyle w:val="af0"/>
        <w:numPr>
          <w:ilvl w:val="0"/>
          <w:numId w:val="50"/>
        </w:numPr>
        <w:spacing w:line="360" w:lineRule="auto"/>
        <w:ind w:left="0" w:firstLine="0"/>
        <w:jc w:val="both"/>
        <w:rPr>
          <w:sz w:val="28"/>
          <w:szCs w:val="28"/>
          <w:lang w:val="uk-UA"/>
        </w:rPr>
      </w:pPr>
      <w:r w:rsidRPr="00112A09">
        <w:rPr>
          <w:color w:val="000000"/>
          <w:sz w:val="28"/>
          <w:szCs w:val="28"/>
          <w:shd w:val="clear" w:color="auto" w:fill="FFFFFF"/>
          <w:lang w:val="en-US"/>
        </w:rPr>
        <w:t>Mariia Nesterkina, Alexandra Alexandrova, Elena Prokopchuk, Iryna Kravchenko Synthesis and pharmacological properties of new GABA- and TRP allosteric modulators [</w:t>
      </w:r>
      <w:r w:rsidRPr="00112A09">
        <w:rPr>
          <w:color w:val="000000"/>
          <w:sz w:val="28"/>
          <w:szCs w:val="28"/>
          <w:shd w:val="clear" w:color="auto" w:fill="FFFFFF"/>
          <w:lang w:val="uk-UA"/>
        </w:rPr>
        <w:t>Електронний</w:t>
      </w:r>
      <w:r w:rsidRPr="00112A09">
        <w:rPr>
          <w:color w:val="000000"/>
          <w:sz w:val="28"/>
          <w:szCs w:val="28"/>
          <w:shd w:val="clear" w:color="auto" w:fill="FFFFFF"/>
          <w:lang w:val="en-US"/>
        </w:rPr>
        <w:t xml:space="preserve"> </w:t>
      </w:r>
      <w:r w:rsidRPr="00112A09">
        <w:rPr>
          <w:color w:val="000000"/>
          <w:sz w:val="28"/>
          <w:szCs w:val="28"/>
          <w:shd w:val="clear" w:color="auto" w:fill="FFFFFF"/>
        </w:rPr>
        <w:t>ресурс</w:t>
      </w:r>
      <w:r w:rsidRPr="00112A09">
        <w:rPr>
          <w:color w:val="000000"/>
          <w:sz w:val="28"/>
          <w:szCs w:val="28"/>
          <w:shd w:val="clear" w:color="auto" w:fill="FFFFFF"/>
          <w:lang w:val="en-US"/>
        </w:rPr>
        <w:t xml:space="preserve">] </w:t>
      </w:r>
      <w:r w:rsidRPr="00112A09">
        <w:rPr>
          <w:i/>
          <w:color w:val="000000"/>
          <w:sz w:val="28"/>
          <w:szCs w:val="28"/>
          <w:shd w:val="clear" w:color="auto" w:fill="FFFFFF"/>
          <w:lang w:val="en-US"/>
        </w:rPr>
        <w:t>1st International Electronic Conference on Medicinal Chemistry session ECMC-1</w:t>
      </w:r>
      <w:r w:rsidRPr="00112A09">
        <w:rPr>
          <w:color w:val="000000"/>
          <w:sz w:val="28"/>
          <w:szCs w:val="28"/>
          <w:shd w:val="clear" w:color="auto" w:fill="FFFFFF"/>
          <w:lang w:val="en-US"/>
        </w:rPr>
        <w:t>, (2-27 November 2015).</w:t>
      </w:r>
      <w:r w:rsidRPr="00112A09">
        <w:rPr>
          <w:rFonts w:ascii="Arial" w:hAnsi="Arial" w:cs="Arial"/>
          <w:color w:val="000000"/>
          <w:sz w:val="28"/>
          <w:szCs w:val="28"/>
          <w:shd w:val="clear" w:color="auto" w:fill="FFFFFF"/>
          <w:lang w:val="en-US"/>
        </w:rPr>
        <w:t xml:space="preserve"> </w:t>
      </w:r>
      <w:r w:rsidRPr="00112A09">
        <w:rPr>
          <w:color w:val="000000"/>
          <w:sz w:val="28"/>
          <w:szCs w:val="28"/>
          <w:shd w:val="clear" w:color="auto" w:fill="FFFFFF"/>
        </w:rPr>
        <w:t>Belgium</w:t>
      </w:r>
      <w:r w:rsidRPr="00112A09">
        <w:rPr>
          <w:color w:val="000000"/>
          <w:sz w:val="28"/>
          <w:szCs w:val="28"/>
        </w:rPr>
        <w:t xml:space="preserve"> - 2015. - </w:t>
      </w:r>
      <w:r w:rsidRPr="00112A09">
        <w:rPr>
          <w:color w:val="000000"/>
          <w:sz w:val="28"/>
          <w:szCs w:val="28"/>
          <w:shd w:val="clear" w:color="auto" w:fill="FFFFFF"/>
        </w:rPr>
        <w:t xml:space="preserve">Режим доступу до ресурсу: </w:t>
      </w:r>
      <w:r w:rsidRPr="00112A09">
        <w:rPr>
          <w:color w:val="000000"/>
          <w:sz w:val="28"/>
          <w:szCs w:val="28"/>
          <w:shd w:val="clear" w:color="auto" w:fill="FFFFFF"/>
          <w:lang w:val="en-US"/>
        </w:rPr>
        <w:t>https</w:t>
      </w:r>
      <w:r w:rsidRPr="00112A09">
        <w:rPr>
          <w:color w:val="000000"/>
          <w:sz w:val="28"/>
          <w:szCs w:val="28"/>
          <w:shd w:val="clear" w:color="auto" w:fill="FFFFFF"/>
        </w:rPr>
        <w:t>://</w:t>
      </w:r>
      <w:r w:rsidRPr="00112A09">
        <w:rPr>
          <w:color w:val="000000"/>
          <w:sz w:val="28"/>
          <w:szCs w:val="28"/>
          <w:shd w:val="clear" w:color="auto" w:fill="FFFFFF"/>
          <w:lang w:val="en-US"/>
        </w:rPr>
        <w:t>sciforum</w:t>
      </w:r>
      <w:r w:rsidRPr="00112A09">
        <w:rPr>
          <w:color w:val="000000"/>
          <w:sz w:val="28"/>
          <w:szCs w:val="28"/>
          <w:shd w:val="clear" w:color="auto" w:fill="FFFFFF"/>
        </w:rPr>
        <w:t>.</w:t>
      </w:r>
      <w:r w:rsidRPr="00112A09">
        <w:rPr>
          <w:color w:val="000000"/>
          <w:sz w:val="28"/>
          <w:szCs w:val="28"/>
          <w:shd w:val="clear" w:color="auto" w:fill="FFFFFF"/>
          <w:lang w:val="en-US"/>
        </w:rPr>
        <w:t>net</w:t>
      </w:r>
      <w:r w:rsidRPr="00112A09">
        <w:rPr>
          <w:color w:val="000000"/>
          <w:sz w:val="28"/>
          <w:szCs w:val="28"/>
          <w:shd w:val="clear" w:color="auto" w:fill="FFFFFF"/>
        </w:rPr>
        <w:t>/</w:t>
      </w:r>
      <w:r w:rsidRPr="00112A09">
        <w:rPr>
          <w:color w:val="000000"/>
          <w:sz w:val="28"/>
          <w:szCs w:val="28"/>
          <w:shd w:val="clear" w:color="auto" w:fill="FFFFFF"/>
          <w:lang w:val="en-US"/>
        </w:rPr>
        <w:t>paper</w:t>
      </w:r>
      <w:r w:rsidRPr="00112A09">
        <w:rPr>
          <w:color w:val="000000"/>
          <w:sz w:val="28"/>
          <w:szCs w:val="28"/>
          <w:shd w:val="clear" w:color="auto" w:fill="FFFFFF"/>
        </w:rPr>
        <w:t>/</w:t>
      </w:r>
      <w:r w:rsidRPr="00112A09">
        <w:rPr>
          <w:color w:val="000000"/>
          <w:sz w:val="28"/>
          <w:szCs w:val="28"/>
          <w:shd w:val="clear" w:color="auto" w:fill="FFFFFF"/>
          <w:lang w:val="en-US"/>
        </w:rPr>
        <w:t>view</w:t>
      </w:r>
      <w:r w:rsidRPr="00112A09">
        <w:rPr>
          <w:color w:val="000000"/>
          <w:sz w:val="28"/>
          <w:szCs w:val="28"/>
          <w:shd w:val="clear" w:color="auto" w:fill="FFFFFF"/>
        </w:rPr>
        <w:t>/</w:t>
      </w:r>
      <w:r w:rsidRPr="00112A09">
        <w:rPr>
          <w:color w:val="000000"/>
          <w:sz w:val="28"/>
          <w:szCs w:val="28"/>
          <w:shd w:val="clear" w:color="auto" w:fill="FFFFFF"/>
          <w:lang w:val="en-US"/>
        </w:rPr>
        <w:t>conference</w:t>
      </w:r>
      <w:r w:rsidRPr="00112A09">
        <w:rPr>
          <w:color w:val="000000"/>
          <w:sz w:val="28"/>
          <w:szCs w:val="28"/>
          <w:shd w:val="clear" w:color="auto" w:fill="FFFFFF"/>
        </w:rPr>
        <w:t xml:space="preserve">/3135. </w:t>
      </w:r>
    </w:p>
    <w:p w14:paraId="7EE974DF" w14:textId="77777777" w:rsidR="001759D5" w:rsidRDefault="001759D5" w:rsidP="00DE015D">
      <w:pPr>
        <w:pStyle w:val="af0"/>
        <w:numPr>
          <w:ilvl w:val="0"/>
          <w:numId w:val="50"/>
        </w:numPr>
        <w:spacing w:line="360" w:lineRule="auto"/>
        <w:ind w:left="0" w:firstLine="0"/>
        <w:jc w:val="both"/>
        <w:rPr>
          <w:sz w:val="28"/>
          <w:szCs w:val="28"/>
          <w:lang w:val="uk-UA"/>
        </w:rPr>
      </w:pPr>
      <w:r w:rsidRPr="00112A09">
        <w:rPr>
          <w:sz w:val="28"/>
          <w:szCs w:val="28"/>
          <w:lang w:val="uk-UA"/>
        </w:rPr>
        <w:t>Александрова О.И.</w:t>
      </w:r>
      <w:r w:rsidRPr="00112A09">
        <w:rPr>
          <w:caps/>
          <w:sz w:val="28"/>
          <w:szCs w:val="28"/>
          <w:lang w:val="uk-UA"/>
        </w:rPr>
        <w:t xml:space="preserve">, </w:t>
      </w:r>
      <w:r w:rsidRPr="00112A09">
        <w:rPr>
          <w:sz w:val="28"/>
          <w:szCs w:val="28"/>
          <w:lang w:val="uk-UA"/>
        </w:rPr>
        <w:t>Кравченко</w:t>
      </w:r>
      <w:r w:rsidRPr="00112A09">
        <w:rPr>
          <w:caps/>
          <w:sz w:val="28"/>
          <w:szCs w:val="28"/>
          <w:lang w:val="uk-UA"/>
        </w:rPr>
        <w:t xml:space="preserve"> И.А., </w:t>
      </w:r>
      <w:r w:rsidRPr="00112A09">
        <w:rPr>
          <w:sz w:val="28"/>
          <w:szCs w:val="28"/>
          <w:lang w:val="uk-UA"/>
        </w:rPr>
        <w:t>Прокопчук Е.Г., Шматкова Н.В.</w:t>
      </w:r>
      <w:r w:rsidRPr="00112A09">
        <w:rPr>
          <w:caps/>
          <w:sz w:val="28"/>
          <w:szCs w:val="28"/>
          <w:lang w:val="uk-UA"/>
        </w:rPr>
        <w:t xml:space="preserve">, </w:t>
      </w:r>
      <w:r w:rsidRPr="00112A09">
        <w:rPr>
          <w:sz w:val="28"/>
          <w:szCs w:val="28"/>
          <w:lang w:val="uk-UA"/>
        </w:rPr>
        <w:t xml:space="preserve">Сейфуллина И.И. Противовоспалительная активность новых комплексов </w:t>
      </w:r>
      <w:r w:rsidRPr="00112A09">
        <w:rPr>
          <w:sz w:val="28"/>
          <w:szCs w:val="28"/>
          <w:lang w:val="en-US"/>
        </w:rPr>
        <w:t>SnCl</w:t>
      </w:r>
      <w:r w:rsidRPr="00112A09">
        <w:rPr>
          <w:sz w:val="28"/>
          <w:szCs w:val="28"/>
          <w:vertAlign w:val="subscript"/>
          <w:lang w:val="uk-UA"/>
        </w:rPr>
        <w:t xml:space="preserve">4 </w:t>
      </w:r>
      <w:r w:rsidRPr="00112A09">
        <w:rPr>
          <w:sz w:val="28"/>
          <w:szCs w:val="28"/>
          <w:lang w:val="uk-UA"/>
        </w:rPr>
        <w:t xml:space="preserve">с салицилоилгидразонами бензальдегида и 4-бромбензальдегида. </w:t>
      </w:r>
      <w:r w:rsidRPr="00112A09">
        <w:rPr>
          <w:i/>
          <w:sz w:val="28"/>
          <w:szCs w:val="28"/>
          <w:lang w:val="uk-UA"/>
        </w:rPr>
        <w:t xml:space="preserve">Сучасні погляди на актуальні питання теоретичної, експериментальної та практичної медицини: </w:t>
      </w:r>
      <w:r w:rsidRPr="00112A09">
        <w:rPr>
          <w:sz w:val="28"/>
          <w:szCs w:val="28"/>
          <w:lang w:val="uk-UA"/>
        </w:rPr>
        <w:t xml:space="preserve">збірник тез наукових робіт учасників міжнародної науково-практичної конференції ( 16-17 грудня 2016 р., Одеса).,  Одеса, 2016. С. 13-15. </w:t>
      </w:r>
    </w:p>
    <w:p w14:paraId="5D3591C3" w14:textId="77777777" w:rsidR="001759D5" w:rsidRDefault="001759D5" w:rsidP="00DE015D">
      <w:pPr>
        <w:pStyle w:val="af0"/>
        <w:numPr>
          <w:ilvl w:val="0"/>
          <w:numId w:val="50"/>
        </w:numPr>
        <w:spacing w:line="360" w:lineRule="auto"/>
        <w:ind w:left="0" w:firstLine="0"/>
        <w:jc w:val="both"/>
        <w:rPr>
          <w:sz w:val="28"/>
          <w:szCs w:val="28"/>
          <w:lang w:val="uk-UA"/>
        </w:rPr>
      </w:pPr>
      <w:r w:rsidRPr="00112A09">
        <w:rPr>
          <w:sz w:val="28"/>
          <w:szCs w:val="28"/>
          <w:lang w:val="uk-UA"/>
        </w:rPr>
        <w:t>Александрова А.И.</w:t>
      </w:r>
      <w:r w:rsidRPr="00112A09">
        <w:rPr>
          <w:caps/>
          <w:sz w:val="28"/>
          <w:szCs w:val="28"/>
          <w:lang w:val="uk-UA"/>
        </w:rPr>
        <w:t xml:space="preserve">, </w:t>
      </w:r>
      <w:r w:rsidRPr="00112A09">
        <w:rPr>
          <w:bCs/>
          <w:iCs/>
          <w:sz w:val="28"/>
          <w:szCs w:val="28"/>
          <w:lang w:val="uk-UA"/>
        </w:rPr>
        <w:t xml:space="preserve"> </w:t>
      </w:r>
      <w:r w:rsidRPr="00112A09">
        <w:rPr>
          <w:sz w:val="28"/>
          <w:szCs w:val="28"/>
          <w:lang w:val="uk-UA"/>
        </w:rPr>
        <w:t>Прокопчук Е.Г., Шматкова Н.В.</w:t>
      </w:r>
      <w:r w:rsidRPr="00112A09">
        <w:rPr>
          <w:caps/>
          <w:sz w:val="28"/>
          <w:szCs w:val="28"/>
          <w:lang w:val="uk-UA"/>
        </w:rPr>
        <w:t xml:space="preserve">, </w:t>
      </w:r>
      <w:r w:rsidRPr="00112A09">
        <w:rPr>
          <w:sz w:val="28"/>
          <w:szCs w:val="28"/>
          <w:lang w:val="uk-UA"/>
        </w:rPr>
        <w:t xml:space="preserve"> Сейфуллина И.И., Кравченко</w:t>
      </w:r>
      <w:r w:rsidRPr="00112A09">
        <w:rPr>
          <w:caps/>
          <w:sz w:val="28"/>
          <w:szCs w:val="28"/>
          <w:lang w:val="uk-UA"/>
        </w:rPr>
        <w:t xml:space="preserve"> И.А. </w:t>
      </w:r>
      <w:r w:rsidRPr="00112A09">
        <w:rPr>
          <w:bCs/>
          <w:iCs/>
          <w:sz w:val="28"/>
          <w:szCs w:val="28"/>
          <w:lang w:val="uk-UA"/>
        </w:rPr>
        <w:t xml:space="preserve">Противовоспалительная активность компонентов комплексного соединения </w:t>
      </w:r>
      <w:r w:rsidRPr="00112A09">
        <w:rPr>
          <w:bCs/>
          <w:iCs/>
          <w:sz w:val="28"/>
          <w:szCs w:val="28"/>
        </w:rPr>
        <w:t>SnCl</w:t>
      </w:r>
      <w:r w:rsidRPr="00112A09">
        <w:rPr>
          <w:bCs/>
          <w:iCs/>
          <w:sz w:val="28"/>
          <w:szCs w:val="28"/>
          <w:vertAlign w:val="subscript"/>
          <w:lang w:val="uk-UA"/>
        </w:rPr>
        <w:t>4</w:t>
      </w:r>
      <w:r w:rsidRPr="00112A09">
        <w:rPr>
          <w:bCs/>
          <w:iCs/>
          <w:sz w:val="28"/>
          <w:szCs w:val="28"/>
          <w:lang w:val="uk-UA"/>
        </w:rPr>
        <w:t xml:space="preserve">. </w:t>
      </w:r>
      <w:r w:rsidRPr="00112A09">
        <w:rPr>
          <w:i/>
          <w:sz w:val="28"/>
          <w:szCs w:val="28"/>
          <w:lang w:val="uk-UA"/>
        </w:rPr>
        <w:t xml:space="preserve">Тези доповідей </w:t>
      </w:r>
      <w:r w:rsidRPr="00112A09">
        <w:rPr>
          <w:i/>
          <w:sz w:val="28"/>
          <w:szCs w:val="28"/>
        </w:rPr>
        <w:t>V</w:t>
      </w:r>
      <w:r w:rsidRPr="00112A09">
        <w:rPr>
          <w:i/>
          <w:sz w:val="28"/>
          <w:szCs w:val="28"/>
          <w:lang w:val="uk-UA"/>
        </w:rPr>
        <w:t xml:space="preserve"> Національний з’їзд </w:t>
      </w:r>
      <w:r w:rsidRPr="00112A09">
        <w:rPr>
          <w:i/>
          <w:sz w:val="28"/>
          <w:szCs w:val="28"/>
          <w:lang w:val="uk-UA"/>
        </w:rPr>
        <w:lastRenderedPageBreak/>
        <w:t>фармакологів України</w:t>
      </w:r>
      <w:r w:rsidRPr="00112A09">
        <w:rPr>
          <w:sz w:val="28"/>
          <w:szCs w:val="28"/>
          <w:lang w:val="uk-UA"/>
        </w:rPr>
        <w:t xml:space="preserve">, (18-20 жовтня 2017, м. Запоріжжя), Запоріжжя, 2017. С.1. </w:t>
      </w:r>
    </w:p>
    <w:p w14:paraId="6B25BE54" w14:textId="77777777" w:rsidR="001759D5" w:rsidRDefault="001759D5" w:rsidP="00DE015D">
      <w:pPr>
        <w:pStyle w:val="af0"/>
        <w:numPr>
          <w:ilvl w:val="0"/>
          <w:numId w:val="50"/>
        </w:numPr>
        <w:spacing w:line="360" w:lineRule="auto"/>
        <w:ind w:left="0" w:firstLine="0"/>
        <w:jc w:val="both"/>
        <w:rPr>
          <w:sz w:val="28"/>
          <w:szCs w:val="28"/>
          <w:lang w:val="uk-UA"/>
        </w:rPr>
      </w:pPr>
      <w:r w:rsidRPr="00112A09">
        <w:rPr>
          <w:sz w:val="28"/>
          <w:szCs w:val="28"/>
          <w:lang w:val="uk-UA"/>
        </w:rPr>
        <w:t>Александрова А.И.</w:t>
      </w:r>
      <w:r w:rsidRPr="00112A09">
        <w:rPr>
          <w:caps/>
          <w:sz w:val="28"/>
          <w:szCs w:val="28"/>
          <w:lang w:val="uk-UA"/>
        </w:rPr>
        <w:t xml:space="preserve">, </w:t>
      </w:r>
      <w:r w:rsidRPr="00112A09">
        <w:rPr>
          <w:bCs/>
          <w:iCs/>
          <w:sz w:val="28"/>
          <w:szCs w:val="28"/>
          <w:lang w:val="uk-UA"/>
        </w:rPr>
        <w:t xml:space="preserve"> </w:t>
      </w:r>
      <w:r w:rsidRPr="00112A09">
        <w:rPr>
          <w:sz w:val="28"/>
          <w:szCs w:val="28"/>
          <w:lang w:val="uk-UA"/>
        </w:rPr>
        <w:t>Кравченко</w:t>
      </w:r>
      <w:r w:rsidRPr="00112A09">
        <w:rPr>
          <w:caps/>
          <w:sz w:val="28"/>
          <w:szCs w:val="28"/>
          <w:lang w:val="uk-UA"/>
        </w:rPr>
        <w:t xml:space="preserve"> И.А., </w:t>
      </w:r>
      <w:r w:rsidRPr="00112A09">
        <w:rPr>
          <w:sz w:val="28"/>
          <w:szCs w:val="28"/>
          <w:lang w:val="uk-UA"/>
        </w:rPr>
        <w:t>Прокопчук Е.Г., Шматкова Н.В.</w:t>
      </w:r>
      <w:r w:rsidRPr="00112A09">
        <w:rPr>
          <w:caps/>
          <w:sz w:val="28"/>
          <w:szCs w:val="28"/>
          <w:lang w:val="uk-UA"/>
        </w:rPr>
        <w:t xml:space="preserve">, </w:t>
      </w:r>
      <w:r w:rsidRPr="00112A09">
        <w:rPr>
          <w:sz w:val="28"/>
          <w:szCs w:val="28"/>
          <w:lang w:val="uk-UA"/>
        </w:rPr>
        <w:t xml:space="preserve"> Сейфуллина И.И. Противовоспалительная активность новых комплексов </w:t>
      </w:r>
      <w:r w:rsidRPr="00112A09">
        <w:rPr>
          <w:sz w:val="28"/>
          <w:szCs w:val="28"/>
        </w:rPr>
        <w:t>SnCl</w:t>
      </w:r>
      <w:r w:rsidRPr="00112A09">
        <w:rPr>
          <w:sz w:val="28"/>
          <w:szCs w:val="28"/>
          <w:vertAlign w:val="subscript"/>
          <w:lang w:val="uk-UA"/>
        </w:rPr>
        <w:t xml:space="preserve">4 </w:t>
      </w:r>
      <w:r w:rsidRPr="00112A09">
        <w:rPr>
          <w:sz w:val="28"/>
          <w:szCs w:val="28"/>
          <w:lang w:val="uk-UA"/>
        </w:rPr>
        <w:t xml:space="preserve">с салицилоилгидразонами бензальдегида и 4-бромбензальдегида. </w:t>
      </w:r>
      <w:r w:rsidRPr="00112A09">
        <w:rPr>
          <w:i/>
          <w:sz w:val="28"/>
          <w:szCs w:val="28"/>
          <w:lang w:val="uk-UA"/>
        </w:rPr>
        <w:t xml:space="preserve">Роль сучасної медицини у житті людини та її місце у формуванні здорового способу життя: </w:t>
      </w:r>
      <w:r w:rsidRPr="00112A09">
        <w:rPr>
          <w:sz w:val="28"/>
          <w:szCs w:val="28"/>
          <w:lang w:val="uk-UA"/>
        </w:rPr>
        <w:t xml:space="preserve">збірник тез наукових робіт науково-практичної конференції, (24-25 березня 2017 р., м. Львів), Львів, 2017. С. 94-97. </w:t>
      </w:r>
    </w:p>
    <w:p w14:paraId="22038A36" w14:textId="77777777" w:rsidR="001759D5" w:rsidRPr="00112A09" w:rsidRDefault="001759D5" w:rsidP="00DE015D">
      <w:pPr>
        <w:pStyle w:val="af0"/>
        <w:numPr>
          <w:ilvl w:val="0"/>
          <w:numId w:val="50"/>
        </w:numPr>
        <w:spacing w:line="360" w:lineRule="auto"/>
        <w:ind w:left="0" w:firstLine="0"/>
        <w:jc w:val="both"/>
        <w:rPr>
          <w:sz w:val="28"/>
          <w:szCs w:val="28"/>
          <w:lang w:val="uk-UA"/>
        </w:rPr>
      </w:pPr>
      <w:r w:rsidRPr="00112A09">
        <w:rPr>
          <w:color w:val="000000"/>
          <w:sz w:val="28"/>
          <w:szCs w:val="28"/>
          <w:shd w:val="clear" w:color="auto" w:fill="FFFFFF"/>
          <w:lang w:val="en-US"/>
        </w:rPr>
        <w:t>I. Kravchenko</w:t>
      </w:r>
      <w:r w:rsidRPr="00112A09">
        <w:rPr>
          <w:color w:val="000000"/>
          <w:sz w:val="28"/>
          <w:szCs w:val="28"/>
          <w:shd w:val="clear" w:color="auto" w:fill="FFFFFF"/>
          <w:lang w:val="uk-UA"/>
        </w:rPr>
        <w:t>,</w:t>
      </w:r>
      <w:r w:rsidRPr="00112A09">
        <w:rPr>
          <w:color w:val="000000"/>
          <w:sz w:val="28"/>
          <w:szCs w:val="28"/>
          <w:shd w:val="clear" w:color="auto" w:fill="FFFFFF"/>
          <w:lang w:val="en-US"/>
        </w:rPr>
        <w:t xml:space="preserve"> A.</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Alexandrova</w:t>
      </w:r>
      <w:r w:rsidRPr="00112A09">
        <w:rPr>
          <w:color w:val="000000"/>
          <w:sz w:val="28"/>
          <w:szCs w:val="28"/>
          <w:shd w:val="clear" w:color="auto" w:fill="FFFFFF"/>
          <w:lang w:val="uk-UA"/>
        </w:rPr>
        <w:t>,</w:t>
      </w:r>
      <w:r w:rsidRPr="00112A09">
        <w:rPr>
          <w:color w:val="000000"/>
          <w:sz w:val="28"/>
          <w:szCs w:val="28"/>
          <w:shd w:val="clear" w:color="auto" w:fill="FFFFFF"/>
          <w:lang w:val="en-US"/>
        </w:rPr>
        <w:t xml:space="preserve"> E.</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Prokopchuk,</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N. Shmatkova, Antidepressant and anticonvulsant effects of complexes of SnCl</w:t>
      </w:r>
      <w:r w:rsidRPr="00112A09">
        <w:rPr>
          <w:color w:val="000000"/>
          <w:sz w:val="28"/>
          <w:szCs w:val="28"/>
          <w:shd w:val="clear" w:color="auto" w:fill="FFFFFF"/>
          <w:vertAlign w:val="subscript"/>
          <w:lang w:val="en-US"/>
        </w:rPr>
        <w:t>4</w:t>
      </w:r>
      <w:r w:rsidRPr="00112A09">
        <w:rPr>
          <w:color w:val="000000"/>
          <w:sz w:val="28"/>
          <w:szCs w:val="28"/>
          <w:shd w:val="clear" w:color="auto" w:fill="FFFFFF"/>
          <w:lang w:val="en-US"/>
        </w:rPr>
        <w:t xml:space="preserve"> with benzaldehyde and 4-bromobenzaldehyde salicyloyl hydrazones</w:t>
      </w:r>
      <w:r w:rsidRPr="00112A09">
        <w:rPr>
          <w:color w:val="000000"/>
          <w:sz w:val="28"/>
          <w:szCs w:val="28"/>
          <w:shd w:val="clear" w:color="auto" w:fill="FFFFFF"/>
          <w:lang w:val="uk-UA"/>
        </w:rPr>
        <w:t xml:space="preserve">. </w:t>
      </w:r>
      <w:r w:rsidRPr="00112A09">
        <w:rPr>
          <w:i/>
          <w:color w:val="000000"/>
          <w:sz w:val="28"/>
          <w:szCs w:val="28"/>
          <w:shd w:val="clear" w:color="auto" w:fill="FFFFFF"/>
          <w:lang w:val="en-US"/>
        </w:rPr>
        <w:t>Neuropsychopharmacology</w:t>
      </w:r>
      <w:r w:rsidRPr="00112A09">
        <w:rPr>
          <w:i/>
          <w:color w:val="000000"/>
          <w:sz w:val="28"/>
          <w:szCs w:val="28"/>
          <w:shd w:val="clear" w:color="auto" w:fill="FFFFFF"/>
          <w:lang w:val="uk-UA"/>
        </w:rPr>
        <w:t>:</w:t>
      </w:r>
      <w:r w:rsidRPr="00112A09">
        <w:rPr>
          <w:color w:val="000000"/>
          <w:sz w:val="28"/>
          <w:szCs w:val="28"/>
          <w:shd w:val="clear" w:color="auto" w:fill="FFFFFF"/>
          <w:lang w:val="en-US"/>
        </w:rPr>
        <w:t xml:space="preserve">  29</w:t>
      </w:r>
      <w:r w:rsidRPr="00112A09">
        <w:rPr>
          <w:color w:val="000000"/>
          <w:sz w:val="28"/>
          <w:szCs w:val="28"/>
          <w:shd w:val="clear" w:color="auto" w:fill="FFFFFF"/>
          <w:vertAlign w:val="superscript"/>
          <w:lang w:val="en-US"/>
        </w:rPr>
        <w:t>th</w:t>
      </w:r>
      <w:r w:rsidRPr="00112A09">
        <w:rPr>
          <w:color w:val="000000"/>
          <w:sz w:val="28"/>
          <w:szCs w:val="28"/>
          <w:shd w:val="clear" w:color="auto" w:fill="FFFFFF"/>
          <w:lang w:val="en-US"/>
        </w:rPr>
        <w:t xml:space="preserve"> ECNP Congress, (17-20 september 2016, Vienna), Vienna, 2016. (26) </w:t>
      </w:r>
      <w:r w:rsidRPr="00112A09">
        <w:rPr>
          <w:color w:val="000000"/>
          <w:sz w:val="28"/>
          <w:szCs w:val="28"/>
          <w:shd w:val="clear" w:color="auto" w:fill="FFFFFF"/>
        </w:rPr>
        <w:t>С</w:t>
      </w:r>
      <w:r w:rsidRPr="00112A09">
        <w:rPr>
          <w:color w:val="000000"/>
          <w:sz w:val="28"/>
          <w:szCs w:val="28"/>
          <w:shd w:val="clear" w:color="auto" w:fill="FFFFFF"/>
          <w:lang w:val="en-US"/>
        </w:rPr>
        <w:t>.</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684–685.</w:t>
      </w:r>
      <w:r w:rsidRPr="00112A09">
        <w:rPr>
          <w:color w:val="000000"/>
          <w:sz w:val="28"/>
          <w:szCs w:val="28"/>
          <w:shd w:val="clear" w:color="auto" w:fill="FFFFFF"/>
          <w:lang w:val="uk-UA"/>
        </w:rPr>
        <w:t xml:space="preserve"> </w:t>
      </w:r>
      <w:r w:rsidRPr="00112A09">
        <w:rPr>
          <w:color w:val="000000"/>
          <w:sz w:val="28"/>
          <w:szCs w:val="28"/>
          <w:lang w:val="en-US"/>
        </w:rPr>
        <w:t xml:space="preserve">10.1016/S0924-977X(16)31808-9. </w:t>
      </w:r>
    </w:p>
    <w:p w14:paraId="7CDA1075" w14:textId="77777777" w:rsidR="001759D5" w:rsidRDefault="001759D5" w:rsidP="00DE015D">
      <w:pPr>
        <w:pStyle w:val="af0"/>
        <w:numPr>
          <w:ilvl w:val="0"/>
          <w:numId w:val="50"/>
        </w:numPr>
        <w:spacing w:line="360" w:lineRule="auto"/>
        <w:ind w:left="0" w:firstLine="0"/>
        <w:jc w:val="both"/>
        <w:rPr>
          <w:sz w:val="28"/>
          <w:szCs w:val="28"/>
          <w:lang w:val="uk-UA"/>
        </w:rPr>
      </w:pPr>
      <w:r w:rsidRPr="00112A09">
        <w:rPr>
          <w:sz w:val="28"/>
          <w:szCs w:val="28"/>
          <w:lang w:val="uk-UA"/>
        </w:rPr>
        <w:t xml:space="preserve">Прокопчук </w:t>
      </w:r>
      <w:r w:rsidRPr="00112A09">
        <w:rPr>
          <w:sz w:val="28"/>
          <w:szCs w:val="28"/>
          <w:lang w:val="en-US"/>
        </w:rPr>
        <w:t>E</w:t>
      </w:r>
      <w:r w:rsidRPr="00112A09">
        <w:rPr>
          <w:sz w:val="28"/>
          <w:szCs w:val="28"/>
          <w:lang w:val="uk-UA"/>
        </w:rPr>
        <w:t xml:space="preserve">.Г., Александрова </w:t>
      </w:r>
      <w:r w:rsidRPr="00112A09">
        <w:rPr>
          <w:sz w:val="28"/>
          <w:szCs w:val="28"/>
          <w:lang w:val="en-US"/>
        </w:rPr>
        <w:t>A</w:t>
      </w:r>
      <w:r w:rsidRPr="00112A09">
        <w:rPr>
          <w:sz w:val="28"/>
          <w:szCs w:val="28"/>
          <w:lang w:val="uk-UA"/>
        </w:rPr>
        <w:t>.И., Кравченко</w:t>
      </w:r>
      <w:r w:rsidRPr="00112A09">
        <w:rPr>
          <w:caps/>
          <w:sz w:val="28"/>
          <w:szCs w:val="28"/>
          <w:lang w:val="uk-UA"/>
        </w:rPr>
        <w:t xml:space="preserve"> И.А.</w:t>
      </w:r>
      <w:r w:rsidRPr="00112A09">
        <w:rPr>
          <w:sz w:val="28"/>
          <w:szCs w:val="28"/>
          <w:lang w:val="uk-UA"/>
        </w:rPr>
        <w:t xml:space="preserve"> Анксиолитическая активность комплексных соединений </w:t>
      </w:r>
      <w:r w:rsidRPr="00112A09">
        <w:rPr>
          <w:sz w:val="28"/>
          <w:szCs w:val="28"/>
        </w:rPr>
        <w:t>SnCl</w:t>
      </w:r>
      <w:r w:rsidRPr="00112A09">
        <w:rPr>
          <w:sz w:val="28"/>
          <w:szCs w:val="28"/>
          <w:vertAlign w:val="subscript"/>
          <w:lang w:val="uk-UA"/>
        </w:rPr>
        <w:t>4</w:t>
      </w:r>
      <w:r w:rsidRPr="00112A09">
        <w:rPr>
          <w:b/>
          <w:sz w:val="28"/>
          <w:szCs w:val="28"/>
          <w:vertAlign w:val="subscript"/>
          <w:lang w:val="uk-UA"/>
        </w:rPr>
        <w:t xml:space="preserve"> </w:t>
      </w:r>
      <w:r w:rsidRPr="00112A09">
        <w:rPr>
          <w:sz w:val="28"/>
          <w:szCs w:val="28"/>
          <w:lang w:val="uk-UA"/>
        </w:rPr>
        <w:t xml:space="preserve">и их компонентов. </w:t>
      </w:r>
      <w:r w:rsidRPr="00112A09">
        <w:rPr>
          <w:i/>
          <w:sz w:val="28"/>
          <w:szCs w:val="28"/>
          <w:lang w:val="uk-UA"/>
        </w:rPr>
        <w:t xml:space="preserve">Вітчизняна та світова медицина в умовах сучасності: </w:t>
      </w:r>
      <w:r w:rsidRPr="00112A09">
        <w:rPr>
          <w:sz w:val="28"/>
          <w:szCs w:val="28"/>
          <w:lang w:val="uk-UA"/>
        </w:rPr>
        <w:t xml:space="preserve">збірник матеріалів міжнародної науково-практичної конференції, (12-13 січня 2018 р., м. Дніпро), Дніпро, 2018. С. 112-113. </w:t>
      </w:r>
    </w:p>
    <w:p w14:paraId="54B64659" w14:textId="77777777" w:rsidR="001759D5" w:rsidRDefault="001759D5" w:rsidP="00DE015D">
      <w:pPr>
        <w:pStyle w:val="af0"/>
        <w:numPr>
          <w:ilvl w:val="0"/>
          <w:numId w:val="50"/>
        </w:numPr>
        <w:spacing w:line="360" w:lineRule="auto"/>
        <w:ind w:left="0" w:firstLine="0"/>
        <w:jc w:val="both"/>
        <w:rPr>
          <w:sz w:val="28"/>
          <w:szCs w:val="28"/>
          <w:lang w:val="uk-UA"/>
        </w:rPr>
      </w:pPr>
      <w:r w:rsidRPr="00112A09">
        <w:rPr>
          <w:sz w:val="28"/>
          <w:szCs w:val="28"/>
          <w:lang w:val="uk-UA"/>
        </w:rPr>
        <w:t>Прокопчук О.Г., Сенчукова О.В., Александрова О.І., Кравченко</w:t>
      </w:r>
      <w:r w:rsidRPr="00112A09">
        <w:rPr>
          <w:caps/>
          <w:sz w:val="28"/>
          <w:szCs w:val="28"/>
          <w:lang w:val="uk-UA"/>
        </w:rPr>
        <w:t xml:space="preserve"> І.А.</w:t>
      </w:r>
      <w:r w:rsidRPr="00112A09">
        <w:rPr>
          <w:sz w:val="28"/>
          <w:szCs w:val="28"/>
          <w:lang w:val="uk-UA"/>
        </w:rPr>
        <w:t xml:space="preserve"> </w:t>
      </w:r>
      <w:r w:rsidRPr="00112A09">
        <w:rPr>
          <w:bCs/>
          <w:iCs/>
          <w:color w:val="000000"/>
          <w:sz w:val="28"/>
          <w:szCs w:val="28"/>
          <w:lang w:val="uk-UA"/>
        </w:rPr>
        <w:t>Анальгетична активність саліцилоїлгідразону бензальдегіду та його складових.</w:t>
      </w:r>
      <w:r w:rsidRPr="00112A09">
        <w:rPr>
          <w:sz w:val="28"/>
          <w:szCs w:val="28"/>
          <w:lang w:val="uk-UA"/>
        </w:rPr>
        <w:t xml:space="preserve"> Сучасні проблеми світової медицини та її роль у забезпеченні здоров’я світового співтовариства: збірник тез наукових робіт, (16-17 лютого 2018 р., Одеса). Одеса, 2018. С. 11-12.</w:t>
      </w:r>
    </w:p>
    <w:p w14:paraId="6FB5A942" w14:textId="77777777" w:rsidR="001759D5" w:rsidRPr="00112A09" w:rsidRDefault="001759D5" w:rsidP="00DE015D">
      <w:pPr>
        <w:pStyle w:val="af0"/>
        <w:numPr>
          <w:ilvl w:val="0"/>
          <w:numId w:val="50"/>
        </w:numPr>
        <w:spacing w:line="360" w:lineRule="auto"/>
        <w:ind w:left="0" w:firstLine="0"/>
        <w:jc w:val="both"/>
        <w:rPr>
          <w:sz w:val="28"/>
          <w:szCs w:val="28"/>
          <w:lang w:val="uk-UA"/>
        </w:rPr>
      </w:pPr>
      <w:r w:rsidRPr="00112A09">
        <w:rPr>
          <w:color w:val="000000"/>
          <w:sz w:val="28"/>
          <w:szCs w:val="28"/>
          <w:shd w:val="clear" w:color="auto" w:fill="FFFFFF"/>
          <w:lang w:val="en-US"/>
        </w:rPr>
        <w:t>Elena Prokopchuk, Alexandra Alexandrova, Ildar Rakipov, Iryna Kravchenko Anti</w:t>
      </w:r>
      <w:r w:rsidRPr="00112A09">
        <w:rPr>
          <w:color w:val="000000"/>
          <w:sz w:val="28"/>
          <w:szCs w:val="28"/>
          <w:shd w:val="clear" w:color="auto" w:fill="FFFFFF"/>
          <w:lang w:val="uk-UA"/>
        </w:rPr>
        <w:t>-</w:t>
      </w:r>
      <w:r w:rsidRPr="00112A09">
        <w:rPr>
          <w:color w:val="000000"/>
          <w:sz w:val="28"/>
          <w:szCs w:val="28"/>
          <w:shd w:val="clear" w:color="auto" w:fill="FFFFFF"/>
          <w:lang w:val="en-US"/>
        </w:rPr>
        <w:t>inflammatory</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activity</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of</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new</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complexes of</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SnCl</w:t>
      </w:r>
      <w:r w:rsidRPr="00112A09">
        <w:rPr>
          <w:color w:val="000000"/>
          <w:sz w:val="28"/>
          <w:szCs w:val="28"/>
          <w:shd w:val="clear" w:color="auto" w:fill="FFFFFF"/>
          <w:vertAlign w:val="subscript"/>
          <w:lang w:val="uk-UA"/>
        </w:rPr>
        <w:t>4</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with</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salicyloyl</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hydrazones</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benzaldehyde</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and</w:t>
      </w:r>
      <w:r w:rsidRPr="00112A09">
        <w:rPr>
          <w:color w:val="000000"/>
          <w:sz w:val="28"/>
          <w:szCs w:val="28"/>
          <w:shd w:val="clear" w:color="auto" w:fill="FFFFFF"/>
          <w:lang w:val="uk-UA"/>
        </w:rPr>
        <w:t xml:space="preserve"> 4-</w:t>
      </w:r>
      <w:r w:rsidRPr="00112A09">
        <w:rPr>
          <w:color w:val="000000"/>
          <w:sz w:val="28"/>
          <w:szCs w:val="28"/>
          <w:shd w:val="clear" w:color="auto" w:fill="FFFFFF"/>
          <w:lang w:val="en-US"/>
        </w:rPr>
        <w:t>bromobenzaldehyde</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on</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different</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models</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of</w:t>
      </w:r>
      <w:r w:rsidRPr="00112A09">
        <w:rPr>
          <w:color w:val="000000"/>
          <w:sz w:val="28"/>
          <w:szCs w:val="28"/>
          <w:shd w:val="clear" w:color="auto" w:fill="FFFFFF"/>
          <w:lang w:val="uk-UA"/>
        </w:rPr>
        <w:t xml:space="preserve"> </w:t>
      </w:r>
      <w:r w:rsidRPr="00112A09">
        <w:rPr>
          <w:color w:val="000000"/>
          <w:sz w:val="28"/>
          <w:szCs w:val="28"/>
          <w:shd w:val="clear" w:color="auto" w:fill="FFFFFF"/>
          <w:lang w:val="en-US"/>
        </w:rPr>
        <w:t>inflammation [</w:t>
      </w:r>
      <w:r w:rsidRPr="00112A09">
        <w:rPr>
          <w:color w:val="000000"/>
          <w:sz w:val="28"/>
          <w:szCs w:val="28"/>
          <w:shd w:val="clear" w:color="auto" w:fill="FFFFFF"/>
          <w:lang w:val="uk-UA"/>
        </w:rPr>
        <w:t>Електронний</w:t>
      </w:r>
      <w:r w:rsidRPr="00112A09">
        <w:rPr>
          <w:color w:val="000000"/>
          <w:sz w:val="28"/>
          <w:szCs w:val="28"/>
          <w:shd w:val="clear" w:color="auto" w:fill="FFFFFF"/>
          <w:lang w:val="en-US"/>
        </w:rPr>
        <w:t xml:space="preserve"> </w:t>
      </w:r>
      <w:r w:rsidRPr="00112A09">
        <w:rPr>
          <w:color w:val="000000"/>
          <w:sz w:val="28"/>
          <w:szCs w:val="28"/>
          <w:shd w:val="clear" w:color="auto" w:fill="FFFFFF"/>
        </w:rPr>
        <w:t>ресурс</w:t>
      </w:r>
      <w:r w:rsidRPr="00112A09">
        <w:rPr>
          <w:color w:val="000000"/>
          <w:sz w:val="28"/>
          <w:szCs w:val="28"/>
          <w:shd w:val="clear" w:color="auto" w:fill="FFFFFF"/>
          <w:lang w:val="en-US"/>
        </w:rPr>
        <w:t xml:space="preserve">] </w:t>
      </w:r>
      <w:r w:rsidRPr="00112A09">
        <w:rPr>
          <w:i/>
          <w:color w:val="000000"/>
          <w:sz w:val="28"/>
          <w:szCs w:val="28"/>
          <w:shd w:val="clear" w:color="auto" w:fill="FFFFFF"/>
          <w:lang w:val="uk-UA"/>
        </w:rPr>
        <w:t>4</w:t>
      </w:r>
      <w:r w:rsidRPr="00112A09">
        <w:rPr>
          <w:i/>
          <w:color w:val="000000"/>
          <w:sz w:val="28"/>
          <w:szCs w:val="28"/>
          <w:shd w:val="clear" w:color="auto" w:fill="FFFFFF"/>
          <w:lang w:val="en-US"/>
        </w:rPr>
        <w:t>th International Electronic Conference on Medicinal Chemistry session ECMC-4</w:t>
      </w:r>
      <w:r w:rsidRPr="00112A09">
        <w:rPr>
          <w:color w:val="000000"/>
          <w:sz w:val="28"/>
          <w:szCs w:val="28"/>
          <w:shd w:val="clear" w:color="auto" w:fill="FFFFFF"/>
          <w:lang w:val="en-US"/>
        </w:rPr>
        <w:t>, (</w:t>
      </w:r>
      <w:r w:rsidRPr="00112A09">
        <w:rPr>
          <w:color w:val="000000"/>
          <w:sz w:val="28"/>
          <w:szCs w:val="28"/>
          <w:shd w:val="clear" w:color="auto" w:fill="FFFFFF"/>
          <w:lang w:val="uk-UA"/>
        </w:rPr>
        <w:t>1</w:t>
      </w:r>
      <w:r w:rsidRPr="00112A09">
        <w:rPr>
          <w:color w:val="000000"/>
          <w:sz w:val="28"/>
          <w:szCs w:val="28"/>
          <w:shd w:val="clear" w:color="auto" w:fill="FFFFFF"/>
          <w:lang w:val="en-US"/>
        </w:rPr>
        <w:t>-</w:t>
      </w:r>
      <w:r w:rsidRPr="00112A09">
        <w:rPr>
          <w:color w:val="000000"/>
          <w:sz w:val="28"/>
          <w:szCs w:val="28"/>
          <w:shd w:val="clear" w:color="auto" w:fill="FFFFFF"/>
          <w:lang w:val="uk-UA"/>
        </w:rPr>
        <w:t>30</w:t>
      </w:r>
      <w:r w:rsidRPr="00112A09">
        <w:rPr>
          <w:color w:val="000000"/>
          <w:sz w:val="28"/>
          <w:szCs w:val="28"/>
          <w:shd w:val="clear" w:color="auto" w:fill="FFFFFF"/>
          <w:lang w:val="en-US"/>
        </w:rPr>
        <w:t xml:space="preserve"> November, 2018).</w:t>
      </w:r>
      <w:r w:rsidRPr="00112A09">
        <w:rPr>
          <w:rFonts w:ascii="Arial" w:hAnsi="Arial" w:cs="Arial"/>
          <w:color w:val="000000"/>
          <w:sz w:val="28"/>
          <w:szCs w:val="28"/>
          <w:shd w:val="clear" w:color="auto" w:fill="FFFFFF"/>
          <w:lang w:val="en-US"/>
        </w:rPr>
        <w:t xml:space="preserve"> </w:t>
      </w:r>
      <w:r w:rsidRPr="00112A09">
        <w:rPr>
          <w:color w:val="000000"/>
          <w:sz w:val="28"/>
          <w:szCs w:val="28"/>
          <w:shd w:val="clear" w:color="auto" w:fill="FFFFFF"/>
          <w:lang w:val="en-US"/>
        </w:rPr>
        <w:t>Belgium</w:t>
      </w:r>
      <w:r w:rsidRPr="00112A09">
        <w:rPr>
          <w:color w:val="000000"/>
          <w:sz w:val="28"/>
          <w:szCs w:val="28"/>
        </w:rPr>
        <w:t xml:space="preserve"> - 2018. - </w:t>
      </w:r>
      <w:r w:rsidRPr="00112A09">
        <w:rPr>
          <w:color w:val="000000"/>
          <w:sz w:val="28"/>
          <w:szCs w:val="28"/>
          <w:shd w:val="clear" w:color="auto" w:fill="FFFFFF"/>
        </w:rPr>
        <w:t xml:space="preserve">Режим доступу до ресурсу: </w:t>
      </w:r>
      <w:r w:rsidRPr="00112A09">
        <w:rPr>
          <w:color w:val="000000"/>
          <w:sz w:val="28"/>
          <w:szCs w:val="28"/>
          <w:shd w:val="clear" w:color="auto" w:fill="FFFFFF"/>
          <w:lang w:val="en-US"/>
        </w:rPr>
        <w:t>https</w:t>
      </w:r>
      <w:r w:rsidRPr="00112A09">
        <w:rPr>
          <w:color w:val="000000"/>
          <w:sz w:val="28"/>
          <w:szCs w:val="28"/>
          <w:shd w:val="clear" w:color="auto" w:fill="FFFFFF"/>
          <w:lang w:val="uk-UA"/>
        </w:rPr>
        <w:t>://</w:t>
      </w:r>
      <w:r w:rsidRPr="00112A09">
        <w:rPr>
          <w:color w:val="000000"/>
          <w:sz w:val="28"/>
          <w:szCs w:val="28"/>
          <w:shd w:val="clear" w:color="auto" w:fill="FFFFFF"/>
          <w:lang w:val="en-US"/>
        </w:rPr>
        <w:t>sciforum</w:t>
      </w:r>
      <w:r w:rsidRPr="00112A09">
        <w:rPr>
          <w:color w:val="000000"/>
          <w:sz w:val="28"/>
          <w:szCs w:val="28"/>
          <w:shd w:val="clear" w:color="auto" w:fill="FFFFFF"/>
          <w:lang w:val="uk-UA"/>
        </w:rPr>
        <w:t>.</w:t>
      </w:r>
      <w:r w:rsidRPr="00112A09">
        <w:rPr>
          <w:color w:val="000000"/>
          <w:sz w:val="28"/>
          <w:szCs w:val="28"/>
          <w:shd w:val="clear" w:color="auto" w:fill="FFFFFF"/>
          <w:lang w:val="en-US"/>
        </w:rPr>
        <w:t>net</w:t>
      </w:r>
      <w:r w:rsidRPr="00112A09">
        <w:rPr>
          <w:color w:val="000000"/>
          <w:sz w:val="28"/>
          <w:szCs w:val="28"/>
          <w:shd w:val="clear" w:color="auto" w:fill="FFFFFF"/>
          <w:lang w:val="uk-UA"/>
        </w:rPr>
        <w:t>/</w:t>
      </w:r>
      <w:r w:rsidRPr="00112A09">
        <w:rPr>
          <w:color w:val="000000"/>
          <w:sz w:val="28"/>
          <w:szCs w:val="28"/>
          <w:shd w:val="clear" w:color="auto" w:fill="FFFFFF"/>
          <w:lang w:val="en-US"/>
        </w:rPr>
        <w:t>paper</w:t>
      </w:r>
      <w:r w:rsidRPr="00112A09">
        <w:rPr>
          <w:color w:val="000000"/>
          <w:sz w:val="28"/>
          <w:szCs w:val="28"/>
          <w:shd w:val="clear" w:color="auto" w:fill="FFFFFF"/>
          <w:lang w:val="uk-UA"/>
        </w:rPr>
        <w:t>/</w:t>
      </w:r>
      <w:r w:rsidRPr="00112A09">
        <w:rPr>
          <w:color w:val="000000"/>
          <w:sz w:val="28"/>
          <w:szCs w:val="28"/>
          <w:shd w:val="clear" w:color="auto" w:fill="FFFFFF"/>
          <w:lang w:val="en-US"/>
        </w:rPr>
        <w:t>view</w:t>
      </w:r>
      <w:r w:rsidRPr="00112A09">
        <w:rPr>
          <w:color w:val="000000"/>
          <w:sz w:val="28"/>
          <w:szCs w:val="28"/>
          <w:shd w:val="clear" w:color="auto" w:fill="FFFFFF"/>
          <w:lang w:val="uk-UA"/>
        </w:rPr>
        <w:t>/</w:t>
      </w:r>
      <w:r w:rsidRPr="00112A09">
        <w:rPr>
          <w:color w:val="000000"/>
          <w:sz w:val="28"/>
          <w:szCs w:val="28"/>
          <w:shd w:val="clear" w:color="auto" w:fill="FFFFFF"/>
          <w:lang w:val="en-US"/>
        </w:rPr>
        <w:t>conference</w:t>
      </w:r>
      <w:r w:rsidRPr="00112A09">
        <w:rPr>
          <w:color w:val="000000"/>
          <w:sz w:val="28"/>
          <w:szCs w:val="28"/>
          <w:shd w:val="clear" w:color="auto" w:fill="FFFFFF"/>
          <w:lang w:val="uk-UA"/>
        </w:rPr>
        <w:t>/5641</w:t>
      </w:r>
    </w:p>
    <w:p w14:paraId="272B3C85" w14:textId="77777777" w:rsidR="001759D5" w:rsidRPr="00112A09" w:rsidRDefault="001759D5" w:rsidP="00DE015D">
      <w:pPr>
        <w:pStyle w:val="af0"/>
        <w:numPr>
          <w:ilvl w:val="0"/>
          <w:numId w:val="50"/>
        </w:numPr>
        <w:spacing w:line="360" w:lineRule="auto"/>
        <w:ind w:left="0" w:firstLine="0"/>
        <w:jc w:val="both"/>
        <w:rPr>
          <w:sz w:val="28"/>
          <w:szCs w:val="28"/>
          <w:lang w:val="uk-UA"/>
        </w:rPr>
      </w:pPr>
      <w:r w:rsidRPr="00112A09">
        <w:rPr>
          <w:sz w:val="28"/>
          <w:szCs w:val="28"/>
          <w:lang w:val="uk-UA"/>
        </w:rPr>
        <w:lastRenderedPageBreak/>
        <w:t>Александрова О.І., Прокопчук О.Г., Кравченко</w:t>
      </w:r>
      <w:r w:rsidRPr="00112A09">
        <w:rPr>
          <w:caps/>
          <w:sz w:val="28"/>
          <w:szCs w:val="28"/>
          <w:lang w:val="uk-UA"/>
        </w:rPr>
        <w:t xml:space="preserve"> І.А. </w:t>
      </w:r>
      <w:r w:rsidRPr="00112A09">
        <w:rPr>
          <w:bCs/>
          <w:iCs/>
          <w:sz w:val="28"/>
          <w:szCs w:val="28"/>
          <w:lang w:val="uk-UA"/>
        </w:rPr>
        <w:t xml:space="preserve">Антипірогенна активність саліцилоїлгідразонів бензальдегіду та 4-бромбензальдегіду. </w:t>
      </w:r>
      <w:r w:rsidRPr="00112A09">
        <w:rPr>
          <w:i/>
          <w:sz w:val="28"/>
          <w:szCs w:val="28"/>
          <w:lang w:val="uk-UA"/>
        </w:rPr>
        <w:t>Сучасні наукові дослідження представників медичної науки – прогрес медицини майбутнього</w:t>
      </w:r>
      <w:r w:rsidRPr="00112A09">
        <w:rPr>
          <w:sz w:val="28"/>
          <w:szCs w:val="28"/>
          <w:lang w:val="uk-UA"/>
        </w:rPr>
        <w:t xml:space="preserve">: збірник матеріалів міжнародної науково-практичної конференції, (5-6 квітня 2019 р., Київ). Київ, 2019. С. 96-98. </w:t>
      </w:r>
    </w:p>
    <w:p w14:paraId="40BD7164" w14:textId="77777777" w:rsidR="001759D5" w:rsidRDefault="001759D5" w:rsidP="001759D5">
      <w:pPr>
        <w:spacing w:line="360" w:lineRule="auto"/>
        <w:jc w:val="center"/>
        <w:rPr>
          <w:b/>
          <w:color w:val="000000"/>
          <w:sz w:val="28"/>
          <w:szCs w:val="28"/>
          <w:lang w:val="uk-UA"/>
        </w:rPr>
      </w:pPr>
    </w:p>
    <w:p w14:paraId="3EB3D036" w14:textId="77777777" w:rsidR="001759D5" w:rsidRDefault="001759D5" w:rsidP="001759D5">
      <w:pPr>
        <w:rPr>
          <w:b/>
          <w:color w:val="000000"/>
          <w:sz w:val="28"/>
          <w:szCs w:val="28"/>
          <w:lang w:val="uk-UA"/>
        </w:rPr>
      </w:pPr>
      <w:r>
        <w:rPr>
          <w:b/>
          <w:color w:val="000000"/>
          <w:sz w:val="28"/>
          <w:szCs w:val="28"/>
          <w:lang w:val="uk-UA"/>
        </w:rPr>
        <w:br w:type="page"/>
      </w:r>
    </w:p>
    <w:p w14:paraId="13477B04" w14:textId="77777777" w:rsidR="001759D5" w:rsidRDefault="001759D5" w:rsidP="001759D5">
      <w:pPr>
        <w:jc w:val="center"/>
        <w:rPr>
          <w:b/>
          <w:color w:val="000000"/>
          <w:sz w:val="28"/>
          <w:szCs w:val="28"/>
          <w:lang w:val="uk-UA"/>
        </w:rPr>
      </w:pPr>
      <w:r>
        <w:rPr>
          <w:b/>
          <w:color w:val="000000"/>
          <w:sz w:val="28"/>
          <w:szCs w:val="28"/>
          <w:lang w:val="uk-UA"/>
        </w:rPr>
        <w:lastRenderedPageBreak/>
        <w:t>Додаток 3</w:t>
      </w:r>
    </w:p>
    <w:p w14:paraId="3847024C" w14:textId="77777777" w:rsidR="001759D5" w:rsidRDefault="001759D5" w:rsidP="001759D5">
      <w:pPr>
        <w:jc w:val="center"/>
        <w:rPr>
          <w:b/>
          <w:color w:val="000000"/>
          <w:sz w:val="28"/>
          <w:szCs w:val="28"/>
          <w:lang w:val="uk-UA"/>
        </w:rPr>
      </w:pPr>
      <w:r>
        <w:rPr>
          <w:b/>
          <w:color w:val="000000"/>
          <w:sz w:val="28"/>
          <w:szCs w:val="28"/>
          <w:lang w:val="uk-UA"/>
        </w:rPr>
        <w:t>Акти впровадження</w:t>
      </w:r>
    </w:p>
    <w:p w14:paraId="17300025" w14:textId="77777777" w:rsidR="001759D5" w:rsidRDefault="001759D5" w:rsidP="001759D5">
      <w:pPr>
        <w:rPr>
          <w:color w:val="000000"/>
          <w:sz w:val="28"/>
          <w:szCs w:val="28"/>
          <w:lang w:val="uk-UA"/>
        </w:rPr>
      </w:pPr>
      <w:r>
        <w:rPr>
          <w:b/>
          <w:noProof/>
          <w:color w:val="000000"/>
          <w:sz w:val="28"/>
          <w:szCs w:val="28"/>
        </w:rPr>
        <w:drawing>
          <wp:inline distT="0" distB="0" distL="0" distR="0" wp14:anchorId="35D651EC" wp14:editId="7A118C4B">
            <wp:extent cx="5936615" cy="8415061"/>
            <wp:effectExtent l="0" t="0" r="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Акт впровадження Прокопчук.pdf"/>
                    <pic:cNvPicPr/>
                  </pic:nvPicPr>
                  <pic:blipFill>
                    <a:blip r:embed="rId67">
                      <a:extLst>
                        <a:ext uri="{28A0092B-C50C-407E-A947-70E740481C1C}">
                          <a14:useLocalDpi xmlns:a14="http://schemas.microsoft.com/office/drawing/2010/main" val="0"/>
                        </a:ext>
                      </a:extLst>
                    </a:blip>
                    <a:stretch>
                      <a:fillRect/>
                    </a:stretch>
                  </pic:blipFill>
                  <pic:spPr>
                    <a:xfrm>
                      <a:off x="0" y="0"/>
                      <a:ext cx="5936615" cy="8415061"/>
                    </a:xfrm>
                    <a:prstGeom prst="rect">
                      <a:avLst/>
                    </a:prstGeom>
                  </pic:spPr>
                </pic:pic>
              </a:graphicData>
            </a:graphic>
          </wp:inline>
        </w:drawing>
      </w:r>
    </w:p>
    <w:p w14:paraId="27823973" w14:textId="77777777" w:rsidR="001759D5" w:rsidRDefault="001759D5" w:rsidP="001759D5">
      <w:pPr>
        <w:rPr>
          <w:color w:val="000000"/>
          <w:sz w:val="28"/>
          <w:szCs w:val="28"/>
          <w:lang w:val="uk-UA"/>
        </w:rPr>
      </w:pPr>
    </w:p>
    <w:p w14:paraId="49E2B87C" w14:textId="77777777" w:rsidR="001759D5" w:rsidRDefault="001759D5" w:rsidP="001759D5">
      <w:pPr>
        <w:rPr>
          <w:color w:val="000000"/>
          <w:sz w:val="28"/>
          <w:szCs w:val="28"/>
          <w:lang w:val="uk-UA"/>
        </w:rPr>
      </w:pPr>
    </w:p>
    <w:p w14:paraId="19CC405F" w14:textId="77777777" w:rsidR="001759D5" w:rsidRDefault="001759D5" w:rsidP="001759D5">
      <w:pPr>
        <w:rPr>
          <w:b/>
          <w:sz w:val="28"/>
          <w:szCs w:val="28"/>
        </w:rPr>
      </w:pPr>
      <w:r>
        <w:rPr>
          <w:b/>
          <w:noProof/>
          <w:color w:val="000000"/>
          <w:sz w:val="28"/>
          <w:szCs w:val="28"/>
        </w:rPr>
        <w:lastRenderedPageBreak/>
        <w:drawing>
          <wp:inline distT="0" distB="0" distL="0" distR="0" wp14:anchorId="0E4016FB" wp14:editId="4BBE46DE">
            <wp:extent cx="5936615" cy="89839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7968.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36615" cy="8983980"/>
                    </a:xfrm>
                    <a:prstGeom prst="rect">
                      <a:avLst/>
                    </a:prstGeom>
                  </pic:spPr>
                </pic:pic>
              </a:graphicData>
            </a:graphic>
          </wp:inline>
        </w:drawing>
      </w:r>
    </w:p>
    <w:p w14:paraId="4BCE2F63" w14:textId="77777777" w:rsidR="001759D5" w:rsidRDefault="001759D5" w:rsidP="001759D5">
      <w:pPr>
        <w:rPr>
          <w:b/>
          <w:sz w:val="28"/>
          <w:szCs w:val="28"/>
        </w:rPr>
      </w:pPr>
    </w:p>
    <w:p w14:paraId="3FFCCF9E" w14:textId="77777777" w:rsidR="001759D5" w:rsidRDefault="001759D5" w:rsidP="001759D5">
      <w:pPr>
        <w:rPr>
          <w:b/>
          <w:sz w:val="28"/>
          <w:szCs w:val="28"/>
        </w:rPr>
      </w:pPr>
      <w:r>
        <w:rPr>
          <w:noProof/>
          <w:color w:val="000000"/>
          <w:sz w:val="28"/>
          <w:szCs w:val="28"/>
        </w:rPr>
        <w:lastRenderedPageBreak/>
        <w:drawing>
          <wp:inline distT="0" distB="0" distL="0" distR="0" wp14:anchorId="5DB18884" wp14:editId="7ECF0FEF">
            <wp:extent cx="5936615" cy="8366982"/>
            <wp:effectExtent l="0" t="0" r="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5940 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36615" cy="8366982"/>
                    </a:xfrm>
                    <a:prstGeom prst="rect">
                      <a:avLst/>
                    </a:prstGeom>
                  </pic:spPr>
                </pic:pic>
              </a:graphicData>
            </a:graphic>
          </wp:inline>
        </w:drawing>
      </w:r>
    </w:p>
    <w:p w14:paraId="472EC7FB" w14:textId="721467BA" w:rsidR="00B85935" w:rsidRPr="00A55657" w:rsidRDefault="00B85935" w:rsidP="00A55657">
      <w:pPr>
        <w:rPr>
          <w:rFonts w:eastAsia="Calibri"/>
          <w:b/>
          <w:sz w:val="28"/>
          <w:szCs w:val="28"/>
        </w:rPr>
      </w:pPr>
    </w:p>
    <w:sectPr w:rsidR="00B85935" w:rsidRPr="00A55657" w:rsidSect="0040646E">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3691F" w14:textId="77777777" w:rsidR="00362209" w:rsidRDefault="00362209" w:rsidP="00FD0D07">
      <w:r>
        <w:separator/>
      </w:r>
    </w:p>
  </w:endnote>
  <w:endnote w:type="continuationSeparator" w:id="0">
    <w:p w14:paraId="316339B7" w14:textId="77777777" w:rsidR="00362209" w:rsidRDefault="00362209" w:rsidP="00FD0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pleSystemUIFont">
    <w:altName w:val="Cambria"/>
    <w:panose1 w:val="020B0604020202020204"/>
    <w:charset w:val="00"/>
    <w:family w:val="roman"/>
    <w:pitch w:val="default"/>
  </w:font>
  <w:font w:name="PragmaticaBook-Reg">
    <w:altName w:val="Arial Unicode MS"/>
    <w:panose1 w:val="020B0604020202020204"/>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PSMT">
    <w:altName w:val="Heiti TC Light"/>
    <w:panose1 w:val="02020603050405020304"/>
    <w:charset w:val="00"/>
    <w:family w:val="roman"/>
    <w:pitch w:val="variable"/>
    <w:sig w:usb0="E0002AEF" w:usb1="C0007841" w:usb2="00000009" w:usb3="00000000" w:csb0="000001FF" w:csb1="00000000"/>
  </w:font>
  <w:font w:name="TimesNewRomanPS">
    <w:altName w:val="Times New Roman"/>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4B86E" w14:textId="77777777" w:rsidR="00362209" w:rsidRDefault="00362209" w:rsidP="00FD0D07">
      <w:r>
        <w:separator/>
      </w:r>
    </w:p>
  </w:footnote>
  <w:footnote w:type="continuationSeparator" w:id="0">
    <w:p w14:paraId="7F29CE73" w14:textId="77777777" w:rsidR="00362209" w:rsidRDefault="00362209" w:rsidP="00FD0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1160" w14:textId="4869A701" w:rsidR="003D4179" w:rsidRDefault="003D4179">
    <w:pPr>
      <w:pStyle w:val="af7"/>
      <w:framePr w:wrap="auto" w:vAnchor="text" w:hAnchor="margin" w:xAlign="right" w:y="1"/>
      <w:rPr>
        <w:rStyle w:val="aff"/>
      </w:rPr>
    </w:pPr>
    <w:r>
      <w:rPr>
        <w:rStyle w:val="aff"/>
      </w:rPr>
      <w:fldChar w:fldCharType="begin"/>
    </w:r>
    <w:r>
      <w:rPr>
        <w:rStyle w:val="aff"/>
      </w:rPr>
      <w:instrText xml:space="preserve"> PAGE </w:instrText>
    </w:r>
    <w:r>
      <w:rPr>
        <w:rStyle w:val="aff"/>
      </w:rPr>
      <w:fldChar w:fldCharType="separate"/>
    </w:r>
    <w:r>
      <w:rPr>
        <w:rStyle w:val="aff"/>
        <w:noProof/>
      </w:rPr>
      <w:t>33</w:t>
    </w:r>
    <w:r>
      <w:rPr>
        <w:rStyle w:val="aff"/>
      </w:rPr>
      <w:fldChar w:fldCharType="end"/>
    </w:r>
  </w:p>
  <w:p w14:paraId="25946658" w14:textId="77777777" w:rsidR="003D4179" w:rsidRDefault="003D4179">
    <w:pPr>
      <w:pStyle w:val="af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35D"/>
    <w:multiLevelType w:val="multilevel"/>
    <w:tmpl w:val="193ED2C4"/>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3366F1F"/>
    <w:multiLevelType w:val="multilevel"/>
    <w:tmpl w:val="68071BF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9D525C"/>
    <w:multiLevelType w:val="multilevel"/>
    <w:tmpl w:val="976CA8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040A35"/>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B536D8"/>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7F36E4"/>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6E6C31"/>
    <w:multiLevelType w:val="multilevel"/>
    <w:tmpl w:val="C332D7F0"/>
    <w:lvl w:ilvl="0">
      <w:start w:val="4"/>
      <w:numFmt w:val="decimal"/>
      <w:lvlText w:val="%1"/>
      <w:lvlJc w:val="left"/>
      <w:pPr>
        <w:ind w:left="580" w:hanging="580"/>
      </w:pPr>
      <w:rPr>
        <w:rFonts w:eastAsia="Calibri" w:hint="default"/>
      </w:rPr>
    </w:lvl>
    <w:lvl w:ilvl="1">
      <w:start w:val="2"/>
      <w:numFmt w:val="decimal"/>
      <w:lvlText w:val="%1.%2"/>
      <w:lvlJc w:val="left"/>
      <w:pPr>
        <w:ind w:left="580" w:hanging="5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7" w15:restartNumberingAfterBreak="0">
    <w:nsid w:val="0D8D18EA"/>
    <w:multiLevelType w:val="multilevel"/>
    <w:tmpl w:val="918C1FBC"/>
    <w:lvl w:ilvl="0">
      <w:start w:val="1"/>
      <w:numFmt w:val="decimal"/>
      <w:lvlText w:val="%1."/>
      <w:lvlJc w:val="left"/>
      <w:pPr>
        <w:ind w:left="720"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EC71837"/>
    <w:multiLevelType w:val="multilevel"/>
    <w:tmpl w:val="193ED2C4"/>
    <w:styleLink w:val="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3B07FFE"/>
    <w:multiLevelType w:val="multilevel"/>
    <w:tmpl w:val="13B07FFE"/>
    <w:lvl w:ilvl="0">
      <w:start w:val="1"/>
      <w:numFmt w:val="decimal"/>
      <w:lvlText w:val="%1."/>
      <w:lvlJc w:val="left"/>
      <w:pPr>
        <w:ind w:left="520" w:hanging="5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3FF4C99"/>
    <w:multiLevelType w:val="multilevel"/>
    <w:tmpl w:val="193ED2C4"/>
    <w:numStyleLink w:val="2"/>
  </w:abstractNum>
  <w:abstractNum w:abstractNumId="11" w15:restartNumberingAfterBreak="0">
    <w:nsid w:val="17901B22"/>
    <w:multiLevelType w:val="multilevel"/>
    <w:tmpl w:val="17901B2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D171C3"/>
    <w:multiLevelType w:val="multilevel"/>
    <w:tmpl w:val="3F4821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0671F6"/>
    <w:multiLevelType w:val="multilevel"/>
    <w:tmpl w:val="0FA47C92"/>
    <w:numStyleLink w:val="3"/>
  </w:abstractNum>
  <w:abstractNum w:abstractNumId="14" w15:restartNumberingAfterBreak="0">
    <w:nsid w:val="20494D7A"/>
    <w:multiLevelType w:val="multilevel"/>
    <w:tmpl w:val="1C54141A"/>
    <w:lvl w:ilvl="0">
      <w:start w:val="6"/>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5" w15:restartNumberingAfterBreak="0">
    <w:nsid w:val="2816178E"/>
    <w:multiLevelType w:val="multilevel"/>
    <w:tmpl w:val="CD36311A"/>
    <w:lvl w:ilvl="0">
      <w:start w:val="5"/>
      <w:numFmt w:val="decimal"/>
      <w:lvlText w:val="%1."/>
      <w:lvlJc w:val="left"/>
      <w:pPr>
        <w:ind w:left="660" w:hanging="660"/>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60" w:hanging="720"/>
      </w:pPr>
      <w:rPr>
        <w:rFonts w:hint="default"/>
        <w:b/>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6" w15:restartNumberingAfterBreak="0">
    <w:nsid w:val="29C64587"/>
    <w:multiLevelType w:val="multilevel"/>
    <w:tmpl w:val="AD10A9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123D7C"/>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1E0810"/>
    <w:multiLevelType w:val="multilevel"/>
    <w:tmpl w:val="E13AF400"/>
    <w:lvl w:ilvl="0">
      <w:start w:val="10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F067D5"/>
    <w:multiLevelType w:val="multilevel"/>
    <w:tmpl w:val="0FA47C92"/>
    <w:styleLink w:val="3"/>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7125BD4"/>
    <w:multiLevelType w:val="hybridMultilevel"/>
    <w:tmpl w:val="DD1029B4"/>
    <w:lvl w:ilvl="0" w:tplc="C96482CA">
      <w:start w:val="2"/>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15:restartNumberingAfterBreak="0">
    <w:nsid w:val="3D9A7D74"/>
    <w:multiLevelType w:val="hybridMultilevel"/>
    <w:tmpl w:val="522CE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9D35D2"/>
    <w:multiLevelType w:val="multilevel"/>
    <w:tmpl w:val="C332D7F0"/>
    <w:lvl w:ilvl="0">
      <w:start w:val="4"/>
      <w:numFmt w:val="decimal"/>
      <w:lvlText w:val="%1"/>
      <w:lvlJc w:val="left"/>
      <w:pPr>
        <w:ind w:left="580" w:hanging="580"/>
      </w:pPr>
      <w:rPr>
        <w:rFonts w:eastAsia="Calibri" w:hint="default"/>
      </w:rPr>
    </w:lvl>
    <w:lvl w:ilvl="1">
      <w:start w:val="2"/>
      <w:numFmt w:val="decimal"/>
      <w:lvlText w:val="%1.%2"/>
      <w:lvlJc w:val="left"/>
      <w:pPr>
        <w:ind w:left="580" w:hanging="5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3" w15:restartNumberingAfterBreak="0">
    <w:nsid w:val="3FE60C06"/>
    <w:multiLevelType w:val="multilevel"/>
    <w:tmpl w:val="827C64F0"/>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107DB3"/>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7F7156E"/>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260B7B"/>
    <w:multiLevelType w:val="multilevel"/>
    <w:tmpl w:val="57DCE978"/>
    <w:styleLink w:val="4"/>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531B6FA5"/>
    <w:multiLevelType w:val="multilevel"/>
    <w:tmpl w:val="193ED2C4"/>
    <w:styleLink w:val="1"/>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3BE5A18"/>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2F1DE4"/>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35270E"/>
    <w:multiLevelType w:val="multilevel"/>
    <w:tmpl w:val="57DCE978"/>
    <w:numStyleLink w:val="4"/>
  </w:abstractNum>
  <w:abstractNum w:abstractNumId="31" w15:restartNumberingAfterBreak="0">
    <w:nsid w:val="5D94322C"/>
    <w:multiLevelType w:val="multilevel"/>
    <w:tmpl w:val="E27657F4"/>
    <w:lvl w:ilvl="0">
      <w:start w:val="5"/>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DEC66AE"/>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0D2273F"/>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11941C9"/>
    <w:multiLevelType w:val="multilevel"/>
    <w:tmpl w:val="D714C732"/>
    <w:lvl w:ilvl="0">
      <w:start w:val="5"/>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36D0E13"/>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3C66DAE"/>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8071BF1"/>
    <w:multiLevelType w:val="multilevel"/>
    <w:tmpl w:val="68071BF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3208FD"/>
    <w:multiLevelType w:val="multilevel"/>
    <w:tmpl w:val="193ED2C4"/>
    <w:numStyleLink w:val="1"/>
  </w:abstractNum>
  <w:abstractNum w:abstractNumId="39" w15:restartNumberingAfterBreak="0">
    <w:nsid w:val="68666C62"/>
    <w:multiLevelType w:val="multilevel"/>
    <w:tmpl w:val="F7C00D06"/>
    <w:lvl w:ilvl="0">
      <w:start w:val="5"/>
      <w:numFmt w:val="decimal"/>
      <w:lvlText w:val="%1"/>
      <w:lvlJc w:val="left"/>
      <w:pPr>
        <w:ind w:left="580" w:hanging="580"/>
      </w:pPr>
      <w:rPr>
        <w:rFonts w:eastAsia="Calibri" w:hint="default"/>
      </w:rPr>
    </w:lvl>
    <w:lvl w:ilvl="1">
      <w:start w:val="2"/>
      <w:numFmt w:val="decimal"/>
      <w:lvlText w:val="%1.%2"/>
      <w:lvlJc w:val="left"/>
      <w:pPr>
        <w:ind w:left="580" w:hanging="5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40" w15:restartNumberingAfterBreak="0">
    <w:nsid w:val="6C2D5956"/>
    <w:multiLevelType w:val="multilevel"/>
    <w:tmpl w:val="49BE7AB6"/>
    <w:lvl w:ilvl="0">
      <w:start w:val="1"/>
      <w:numFmt w:val="decimal"/>
      <w:lvlText w:val="%1."/>
      <w:lvlJc w:val="left"/>
      <w:pPr>
        <w:ind w:left="580" w:hanging="580"/>
      </w:pPr>
      <w:rPr>
        <w:rFonts w:ascii="Times New Roman" w:eastAsia="Calibri" w:hAnsi="Times New Roman" w:cs="Times New Roman"/>
      </w:rPr>
    </w:lvl>
    <w:lvl w:ilvl="1">
      <w:start w:val="2"/>
      <w:numFmt w:val="decimal"/>
      <w:lvlText w:val="%1.%2"/>
      <w:lvlJc w:val="left"/>
      <w:pPr>
        <w:ind w:left="580" w:hanging="5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41" w15:restartNumberingAfterBreak="0">
    <w:nsid w:val="6DC44AC1"/>
    <w:multiLevelType w:val="multilevel"/>
    <w:tmpl w:val="5290C464"/>
    <w:lvl w:ilvl="0">
      <w:start w:val="7"/>
      <w:numFmt w:val="decimal"/>
      <w:lvlText w:val="%1."/>
      <w:lvlJc w:val="left"/>
      <w:pPr>
        <w:ind w:left="36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1A3A67"/>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9A616FC"/>
    <w:multiLevelType w:val="multilevel"/>
    <w:tmpl w:val="918C1FBC"/>
    <w:lvl w:ilvl="0">
      <w:start w:val="1"/>
      <w:numFmt w:val="decimal"/>
      <w:lvlText w:val="%1."/>
      <w:lvlJc w:val="left"/>
      <w:pPr>
        <w:ind w:left="720"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AF9688B"/>
    <w:multiLevelType w:val="multilevel"/>
    <w:tmpl w:val="F7C00D06"/>
    <w:lvl w:ilvl="0">
      <w:start w:val="5"/>
      <w:numFmt w:val="decimal"/>
      <w:lvlText w:val="%1"/>
      <w:lvlJc w:val="left"/>
      <w:pPr>
        <w:ind w:left="580" w:hanging="580"/>
      </w:pPr>
      <w:rPr>
        <w:rFonts w:eastAsia="Calibri" w:hint="default"/>
      </w:rPr>
    </w:lvl>
    <w:lvl w:ilvl="1">
      <w:start w:val="2"/>
      <w:numFmt w:val="decimal"/>
      <w:lvlText w:val="%1.%2"/>
      <w:lvlJc w:val="left"/>
      <w:pPr>
        <w:ind w:left="580" w:hanging="5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45" w15:restartNumberingAfterBreak="0">
    <w:nsid w:val="7C2E4260"/>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C621496"/>
    <w:multiLevelType w:val="multilevel"/>
    <w:tmpl w:val="CEBA3562"/>
    <w:lvl w:ilvl="0">
      <w:start w:val="5"/>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D755124"/>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F0C471A"/>
    <w:multiLevelType w:val="multilevel"/>
    <w:tmpl w:val="13B07F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F1E7BE1"/>
    <w:multiLevelType w:val="multilevel"/>
    <w:tmpl w:val="3F4821FE"/>
    <w:lvl w:ilvl="0">
      <w:start w:val="1"/>
      <w:numFmt w:val="decimal"/>
      <w:lvlText w:val="%1."/>
      <w:lvlJc w:val="left"/>
      <w:pPr>
        <w:ind w:left="880" w:hanging="5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43"/>
  </w:num>
  <w:num w:numId="3">
    <w:abstractNumId w:val="38"/>
    <w:lvlOverride w:ilvl="1">
      <w:lvl w:ilvl="1">
        <w:start w:val="1"/>
        <w:numFmt w:val="decimal"/>
        <w:isLgl/>
        <w:lvlText w:val="%1.%2."/>
        <w:lvlJc w:val="left"/>
        <w:pPr>
          <w:ind w:left="1080" w:hanging="720"/>
        </w:pPr>
        <w:rPr>
          <w:rFonts w:hint="default"/>
        </w:rPr>
      </w:lvl>
    </w:lvlOverride>
  </w:num>
  <w:num w:numId="4">
    <w:abstractNumId w:val="27"/>
  </w:num>
  <w:num w:numId="5">
    <w:abstractNumId w:val="0"/>
  </w:num>
  <w:num w:numId="6">
    <w:abstractNumId w:val="8"/>
  </w:num>
  <w:num w:numId="7">
    <w:abstractNumId w:val="10"/>
    <w:lvlOverride w:ilvl="1">
      <w:lvl w:ilvl="1">
        <w:start w:val="1"/>
        <w:numFmt w:val="decimal"/>
        <w:isLgl/>
        <w:lvlText w:val="%1.%2."/>
        <w:lvlJc w:val="left"/>
        <w:pPr>
          <w:ind w:left="1080" w:hanging="720"/>
        </w:pPr>
        <w:rPr>
          <w:rFonts w:hint="default"/>
        </w:rPr>
      </w:lvl>
    </w:lvlOverride>
  </w:num>
  <w:num w:numId="8">
    <w:abstractNumId w:val="13"/>
  </w:num>
  <w:num w:numId="9">
    <w:abstractNumId w:val="19"/>
  </w:num>
  <w:num w:numId="10">
    <w:abstractNumId w:val="30"/>
    <w:lvlOverride w:ilvl="1">
      <w:lvl w:ilvl="1">
        <w:start w:val="1"/>
        <w:numFmt w:val="decimal"/>
        <w:isLgl/>
        <w:lvlText w:val="%1.%2."/>
        <w:lvlJc w:val="left"/>
        <w:pPr>
          <w:ind w:left="990" w:hanging="720"/>
        </w:pPr>
        <w:rPr>
          <w:rFonts w:hint="default"/>
        </w:rPr>
      </w:lvl>
    </w:lvlOverride>
  </w:num>
  <w:num w:numId="11">
    <w:abstractNumId w:val="26"/>
  </w:num>
  <w:num w:numId="12">
    <w:abstractNumId w:val="14"/>
  </w:num>
  <w:num w:numId="13">
    <w:abstractNumId w:val="9"/>
  </w:num>
  <w:num w:numId="14">
    <w:abstractNumId w:val="35"/>
  </w:num>
  <w:num w:numId="15">
    <w:abstractNumId w:val="41"/>
  </w:num>
  <w:num w:numId="16">
    <w:abstractNumId w:val="37"/>
  </w:num>
  <w:num w:numId="17">
    <w:abstractNumId w:val="1"/>
  </w:num>
  <w:num w:numId="18">
    <w:abstractNumId w:val="33"/>
  </w:num>
  <w:num w:numId="19">
    <w:abstractNumId w:val="28"/>
  </w:num>
  <w:num w:numId="20">
    <w:abstractNumId w:val="24"/>
  </w:num>
  <w:num w:numId="21">
    <w:abstractNumId w:val="45"/>
  </w:num>
  <w:num w:numId="22">
    <w:abstractNumId w:val="12"/>
  </w:num>
  <w:num w:numId="23">
    <w:abstractNumId w:val="49"/>
  </w:num>
  <w:num w:numId="24">
    <w:abstractNumId w:val="23"/>
  </w:num>
  <w:num w:numId="25">
    <w:abstractNumId w:val="32"/>
  </w:num>
  <w:num w:numId="26">
    <w:abstractNumId w:val="48"/>
  </w:num>
  <w:num w:numId="27">
    <w:abstractNumId w:val="29"/>
  </w:num>
  <w:num w:numId="28">
    <w:abstractNumId w:val="3"/>
  </w:num>
  <w:num w:numId="29">
    <w:abstractNumId w:val="17"/>
  </w:num>
  <w:num w:numId="30">
    <w:abstractNumId w:val="25"/>
  </w:num>
  <w:num w:numId="31">
    <w:abstractNumId w:val="47"/>
  </w:num>
  <w:num w:numId="32">
    <w:abstractNumId w:val="4"/>
  </w:num>
  <w:num w:numId="33">
    <w:abstractNumId w:val="36"/>
  </w:num>
  <w:num w:numId="34">
    <w:abstractNumId w:val="42"/>
  </w:num>
  <w:num w:numId="35">
    <w:abstractNumId w:val="5"/>
  </w:num>
  <w:num w:numId="36">
    <w:abstractNumId w:val="2"/>
  </w:num>
  <w:num w:numId="37">
    <w:abstractNumId w:val="6"/>
  </w:num>
  <w:num w:numId="38">
    <w:abstractNumId w:val="15"/>
  </w:num>
  <w:num w:numId="39">
    <w:abstractNumId w:val="22"/>
  </w:num>
  <w:num w:numId="40">
    <w:abstractNumId w:val="46"/>
  </w:num>
  <w:num w:numId="41">
    <w:abstractNumId w:val="34"/>
  </w:num>
  <w:num w:numId="42">
    <w:abstractNumId w:val="31"/>
  </w:num>
  <w:num w:numId="43">
    <w:abstractNumId w:val="44"/>
  </w:num>
  <w:num w:numId="44">
    <w:abstractNumId w:val="39"/>
  </w:num>
  <w:num w:numId="45">
    <w:abstractNumId w:val="20"/>
  </w:num>
  <w:num w:numId="46">
    <w:abstractNumId w:val="40"/>
  </w:num>
  <w:num w:numId="47">
    <w:abstractNumId w:val="7"/>
  </w:num>
  <w:num w:numId="48">
    <w:abstractNumId w:val="18"/>
  </w:num>
  <w:num w:numId="49">
    <w:abstractNumId w:val="21"/>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D07"/>
    <w:rsid w:val="0006377E"/>
    <w:rsid w:val="00112A09"/>
    <w:rsid w:val="0016153E"/>
    <w:rsid w:val="0017102A"/>
    <w:rsid w:val="001759D5"/>
    <w:rsid w:val="002D20A9"/>
    <w:rsid w:val="00310514"/>
    <w:rsid w:val="00352B8A"/>
    <w:rsid w:val="00362209"/>
    <w:rsid w:val="00390008"/>
    <w:rsid w:val="003D4179"/>
    <w:rsid w:val="0040646E"/>
    <w:rsid w:val="00461A45"/>
    <w:rsid w:val="00650AF5"/>
    <w:rsid w:val="00677304"/>
    <w:rsid w:val="00680705"/>
    <w:rsid w:val="006B7073"/>
    <w:rsid w:val="0071066B"/>
    <w:rsid w:val="007C0C3C"/>
    <w:rsid w:val="007C56D6"/>
    <w:rsid w:val="007E1321"/>
    <w:rsid w:val="00821BED"/>
    <w:rsid w:val="00821EC9"/>
    <w:rsid w:val="00822821"/>
    <w:rsid w:val="00837788"/>
    <w:rsid w:val="0086476C"/>
    <w:rsid w:val="008A5C55"/>
    <w:rsid w:val="008A6B7D"/>
    <w:rsid w:val="00951588"/>
    <w:rsid w:val="00952D96"/>
    <w:rsid w:val="00964CB9"/>
    <w:rsid w:val="009C01A3"/>
    <w:rsid w:val="00A50810"/>
    <w:rsid w:val="00A55657"/>
    <w:rsid w:val="00AC396C"/>
    <w:rsid w:val="00AE1F4D"/>
    <w:rsid w:val="00AF759D"/>
    <w:rsid w:val="00B20467"/>
    <w:rsid w:val="00B23EBF"/>
    <w:rsid w:val="00B85935"/>
    <w:rsid w:val="00B8786F"/>
    <w:rsid w:val="00B94BF0"/>
    <w:rsid w:val="00B95317"/>
    <w:rsid w:val="00C5074B"/>
    <w:rsid w:val="00C57D1F"/>
    <w:rsid w:val="00D8290F"/>
    <w:rsid w:val="00DC4FD4"/>
    <w:rsid w:val="00DE015D"/>
    <w:rsid w:val="00E430E0"/>
    <w:rsid w:val="00E57914"/>
    <w:rsid w:val="00E84423"/>
    <w:rsid w:val="00EF0BDF"/>
    <w:rsid w:val="00F05F4E"/>
    <w:rsid w:val="00FC3FC1"/>
    <w:rsid w:val="00FD0AC4"/>
    <w:rsid w:val="00FD0D07"/>
    <w:rsid w:val="00FE6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21773"/>
  <w15:chartTrackingRefBased/>
  <w15:docId w15:val="{611C8FEB-919E-B44D-AF4B-7CAE52E9A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A6B7D"/>
    <w:rPr>
      <w:rFonts w:ascii="Times New Roman" w:eastAsia="Times New Roman" w:hAnsi="Times New Roman" w:cs="Times New Roman"/>
      <w:lang w:eastAsia="ru-RU"/>
    </w:rPr>
  </w:style>
  <w:style w:type="paragraph" w:styleId="10">
    <w:name w:val="heading 1"/>
    <w:basedOn w:val="a"/>
    <w:next w:val="a0"/>
    <w:link w:val="11"/>
    <w:qFormat/>
    <w:rsid w:val="00FD0D07"/>
    <w:pPr>
      <w:keepNext/>
      <w:spacing w:line="360" w:lineRule="auto"/>
      <w:jc w:val="center"/>
      <w:outlineLvl w:val="0"/>
    </w:pPr>
    <w:rPr>
      <w:b/>
      <w:kern w:val="32"/>
      <w:sz w:val="28"/>
      <w:szCs w:val="20"/>
      <w:lang w:val="x-none"/>
    </w:rPr>
  </w:style>
  <w:style w:type="paragraph" w:styleId="20">
    <w:name w:val="heading 2"/>
    <w:basedOn w:val="a"/>
    <w:next w:val="a"/>
    <w:link w:val="21"/>
    <w:qFormat/>
    <w:rsid w:val="00FD0D07"/>
    <w:pPr>
      <w:keepNext/>
      <w:spacing w:line="360" w:lineRule="auto"/>
      <w:ind w:right="-1" w:firstLine="567"/>
      <w:jc w:val="both"/>
      <w:outlineLvl w:val="1"/>
    </w:pPr>
    <w:rPr>
      <w:sz w:val="28"/>
      <w:szCs w:val="20"/>
      <w:lang w:val="uk-UA"/>
    </w:rPr>
  </w:style>
  <w:style w:type="paragraph" w:styleId="30">
    <w:name w:val="heading 3"/>
    <w:basedOn w:val="a"/>
    <w:next w:val="a"/>
    <w:link w:val="31"/>
    <w:uiPriority w:val="9"/>
    <w:qFormat/>
    <w:rsid w:val="00F05F4E"/>
    <w:pPr>
      <w:keepNext/>
      <w:keepLines/>
      <w:spacing w:before="40"/>
      <w:outlineLvl w:val="2"/>
    </w:pPr>
    <w:rPr>
      <w:rFonts w:ascii="Calibri Light" w:hAnsi="Calibri Light"/>
      <w:color w:val="1F4D78"/>
      <w:sz w:val="20"/>
      <w:szCs w:val="20"/>
      <w:lang w:val="zh-CN"/>
    </w:rPr>
  </w:style>
  <w:style w:type="paragraph" w:styleId="40">
    <w:name w:val="heading 4"/>
    <w:basedOn w:val="a"/>
    <w:next w:val="a"/>
    <w:link w:val="41"/>
    <w:uiPriority w:val="9"/>
    <w:semiHidden/>
    <w:unhideWhenUsed/>
    <w:qFormat/>
    <w:rsid w:val="00F05F4E"/>
    <w:pPr>
      <w:keepNext/>
      <w:keepLines/>
      <w:spacing w:before="200"/>
      <w:outlineLvl w:val="3"/>
    </w:pPr>
    <w:rPr>
      <w:rFonts w:ascii="Calibri Light" w:hAnsi="Calibri Light"/>
      <w:b/>
      <w:bCs/>
      <w:i/>
      <w:iCs/>
      <w:color w:val="4472C4"/>
      <w:sz w:val="20"/>
      <w:szCs w:val="20"/>
      <w:lang w:val="zh-CN"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Subtitle"/>
    <w:basedOn w:val="a"/>
    <w:link w:val="a5"/>
    <w:uiPriority w:val="11"/>
    <w:qFormat/>
    <w:rsid w:val="00FD0D07"/>
    <w:pPr>
      <w:spacing w:line="360" w:lineRule="auto"/>
      <w:jc w:val="center"/>
    </w:pPr>
    <w:rPr>
      <w:b/>
      <w:sz w:val="28"/>
      <w:szCs w:val="20"/>
      <w:lang w:val="x-none" w:eastAsia="x-none"/>
    </w:rPr>
  </w:style>
  <w:style w:type="character" w:customStyle="1" w:styleId="a5">
    <w:name w:val="Подзаголовок Знак"/>
    <w:basedOn w:val="a1"/>
    <w:link w:val="a4"/>
    <w:uiPriority w:val="11"/>
    <w:rsid w:val="00FD0D07"/>
    <w:rPr>
      <w:rFonts w:ascii="Times New Roman" w:eastAsia="Times New Roman" w:hAnsi="Times New Roman" w:cs="Times New Roman"/>
      <w:b/>
      <w:sz w:val="28"/>
      <w:szCs w:val="20"/>
      <w:lang w:val="x-none" w:eastAsia="x-none"/>
    </w:rPr>
  </w:style>
  <w:style w:type="paragraph" w:styleId="a6">
    <w:name w:val="Normal (Web)"/>
    <w:basedOn w:val="a"/>
    <w:uiPriority w:val="99"/>
    <w:unhideWhenUsed/>
    <w:qFormat/>
    <w:rsid w:val="00FD0D07"/>
    <w:pPr>
      <w:spacing w:before="100" w:beforeAutospacing="1" w:after="100" w:afterAutospacing="1"/>
    </w:pPr>
    <w:rPr>
      <w:rFonts w:eastAsia="Calibri"/>
    </w:rPr>
  </w:style>
  <w:style w:type="character" w:styleId="a7">
    <w:name w:val="annotation reference"/>
    <w:basedOn w:val="a1"/>
    <w:uiPriority w:val="99"/>
    <w:semiHidden/>
    <w:unhideWhenUsed/>
    <w:rsid w:val="00FD0D07"/>
    <w:rPr>
      <w:sz w:val="16"/>
      <w:szCs w:val="16"/>
    </w:rPr>
  </w:style>
  <w:style w:type="paragraph" w:styleId="a8">
    <w:name w:val="annotation text"/>
    <w:basedOn w:val="a"/>
    <w:link w:val="a9"/>
    <w:uiPriority w:val="99"/>
    <w:semiHidden/>
    <w:unhideWhenUsed/>
    <w:qFormat/>
    <w:rsid w:val="00FD0D07"/>
    <w:rPr>
      <w:sz w:val="20"/>
      <w:szCs w:val="20"/>
    </w:rPr>
  </w:style>
  <w:style w:type="character" w:customStyle="1" w:styleId="a9">
    <w:name w:val="Текст примечания Знак"/>
    <w:basedOn w:val="a1"/>
    <w:link w:val="a8"/>
    <w:uiPriority w:val="99"/>
    <w:semiHidden/>
    <w:rsid w:val="00FD0D07"/>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FD0D07"/>
    <w:rPr>
      <w:b/>
      <w:bCs/>
    </w:rPr>
  </w:style>
  <w:style w:type="character" w:customStyle="1" w:styleId="ab">
    <w:name w:val="Тема примечания Знак"/>
    <w:basedOn w:val="a9"/>
    <w:link w:val="aa"/>
    <w:uiPriority w:val="99"/>
    <w:semiHidden/>
    <w:rsid w:val="00FD0D07"/>
    <w:rPr>
      <w:rFonts w:ascii="Times New Roman" w:eastAsia="Times New Roman" w:hAnsi="Times New Roman" w:cs="Times New Roman"/>
      <w:b/>
      <w:bCs/>
      <w:sz w:val="20"/>
      <w:szCs w:val="20"/>
      <w:lang w:eastAsia="ru-RU"/>
    </w:rPr>
  </w:style>
  <w:style w:type="paragraph" w:styleId="ac">
    <w:name w:val="Balloon Text"/>
    <w:basedOn w:val="a"/>
    <w:link w:val="ad"/>
    <w:uiPriority w:val="99"/>
    <w:semiHidden/>
    <w:unhideWhenUsed/>
    <w:qFormat/>
    <w:rsid w:val="00FD0D07"/>
    <w:rPr>
      <w:sz w:val="18"/>
      <w:szCs w:val="18"/>
    </w:rPr>
  </w:style>
  <w:style w:type="character" w:customStyle="1" w:styleId="ad">
    <w:name w:val="Текст выноски Знак"/>
    <w:basedOn w:val="a1"/>
    <w:link w:val="ac"/>
    <w:uiPriority w:val="99"/>
    <w:semiHidden/>
    <w:qFormat/>
    <w:rsid w:val="00FD0D07"/>
    <w:rPr>
      <w:rFonts w:ascii="Times New Roman" w:eastAsia="Times New Roman" w:hAnsi="Times New Roman" w:cs="Times New Roman"/>
      <w:sz w:val="18"/>
      <w:szCs w:val="18"/>
      <w:lang w:eastAsia="ru-RU"/>
    </w:rPr>
  </w:style>
  <w:style w:type="paragraph" w:styleId="ae">
    <w:name w:val="Revision"/>
    <w:hidden/>
    <w:uiPriority w:val="99"/>
    <w:semiHidden/>
    <w:rsid w:val="00FD0D07"/>
    <w:rPr>
      <w:rFonts w:ascii="Times New Roman" w:eastAsia="Times New Roman" w:hAnsi="Times New Roman" w:cs="Times New Roman"/>
      <w:lang w:eastAsia="ru-RU"/>
    </w:rPr>
  </w:style>
  <w:style w:type="paragraph" w:styleId="a0">
    <w:name w:val="Body Text Indent"/>
    <w:basedOn w:val="a"/>
    <w:link w:val="af"/>
    <w:uiPriority w:val="99"/>
    <w:unhideWhenUsed/>
    <w:qFormat/>
    <w:rsid w:val="00FD0D07"/>
    <w:pPr>
      <w:spacing w:after="120"/>
      <w:ind w:left="283"/>
    </w:pPr>
    <w:rPr>
      <w:sz w:val="20"/>
      <w:szCs w:val="20"/>
      <w:lang w:val="zh-CN"/>
    </w:rPr>
  </w:style>
  <w:style w:type="character" w:customStyle="1" w:styleId="af">
    <w:name w:val="Основной текст с отступом Знак"/>
    <w:basedOn w:val="a1"/>
    <w:link w:val="a0"/>
    <w:uiPriority w:val="99"/>
    <w:qFormat/>
    <w:rsid w:val="00FD0D07"/>
    <w:rPr>
      <w:rFonts w:ascii="Times New Roman" w:eastAsia="Times New Roman" w:hAnsi="Times New Roman" w:cs="Times New Roman"/>
      <w:sz w:val="20"/>
      <w:szCs w:val="20"/>
      <w:lang w:val="zh-CN" w:eastAsia="ru-RU"/>
    </w:rPr>
  </w:style>
  <w:style w:type="paragraph" w:styleId="af0">
    <w:name w:val="List Paragraph"/>
    <w:basedOn w:val="a"/>
    <w:uiPriority w:val="34"/>
    <w:qFormat/>
    <w:rsid w:val="00FD0D07"/>
    <w:pPr>
      <w:ind w:left="720"/>
      <w:contextualSpacing/>
    </w:pPr>
  </w:style>
  <w:style w:type="numbering" w:customStyle="1" w:styleId="1">
    <w:name w:val="Стиль1"/>
    <w:uiPriority w:val="99"/>
    <w:rsid w:val="00FD0D07"/>
    <w:pPr>
      <w:numPr>
        <w:numId w:val="4"/>
      </w:numPr>
    </w:pPr>
  </w:style>
  <w:style w:type="numbering" w:customStyle="1" w:styleId="2">
    <w:name w:val="Стиль2"/>
    <w:uiPriority w:val="99"/>
    <w:rsid w:val="00FD0D07"/>
    <w:pPr>
      <w:numPr>
        <w:numId w:val="6"/>
      </w:numPr>
    </w:pPr>
  </w:style>
  <w:style w:type="numbering" w:customStyle="1" w:styleId="3">
    <w:name w:val="Стиль3"/>
    <w:uiPriority w:val="99"/>
    <w:rsid w:val="00FD0D07"/>
    <w:pPr>
      <w:numPr>
        <w:numId w:val="9"/>
      </w:numPr>
    </w:pPr>
  </w:style>
  <w:style w:type="numbering" w:customStyle="1" w:styleId="4">
    <w:name w:val="Стиль4"/>
    <w:uiPriority w:val="99"/>
    <w:rsid w:val="00FD0D07"/>
    <w:pPr>
      <w:numPr>
        <w:numId w:val="11"/>
      </w:numPr>
    </w:pPr>
  </w:style>
  <w:style w:type="character" w:styleId="af1">
    <w:name w:val="endnote reference"/>
    <w:uiPriority w:val="99"/>
    <w:unhideWhenUsed/>
    <w:qFormat/>
    <w:rsid w:val="00FD0D07"/>
    <w:rPr>
      <w:vertAlign w:val="superscript"/>
    </w:rPr>
  </w:style>
  <w:style w:type="character" w:customStyle="1" w:styleId="apple-converted-space">
    <w:name w:val="apple-converted-space"/>
    <w:qFormat/>
    <w:rsid w:val="00FD0D07"/>
  </w:style>
  <w:style w:type="character" w:customStyle="1" w:styleId="element-citation">
    <w:name w:val="element-citation"/>
    <w:qFormat/>
    <w:rsid w:val="00FD0D07"/>
  </w:style>
  <w:style w:type="paragraph" w:styleId="af2">
    <w:name w:val="endnote text"/>
    <w:basedOn w:val="a"/>
    <w:link w:val="af3"/>
    <w:uiPriority w:val="99"/>
    <w:unhideWhenUsed/>
    <w:qFormat/>
    <w:rsid w:val="00FD0D07"/>
    <w:rPr>
      <w:sz w:val="20"/>
      <w:szCs w:val="20"/>
    </w:rPr>
  </w:style>
  <w:style w:type="character" w:customStyle="1" w:styleId="af3">
    <w:name w:val="Текст концевой сноски Знак"/>
    <w:basedOn w:val="a1"/>
    <w:link w:val="af2"/>
    <w:uiPriority w:val="99"/>
    <w:qFormat/>
    <w:rsid w:val="00FD0D07"/>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qFormat/>
    <w:rsid w:val="00FD0D07"/>
    <w:rPr>
      <w:sz w:val="20"/>
      <w:szCs w:val="20"/>
    </w:rPr>
  </w:style>
  <w:style w:type="character" w:customStyle="1" w:styleId="af5">
    <w:name w:val="Текст сноски Знак"/>
    <w:basedOn w:val="a1"/>
    <w:link w:val="af4"/>
    <w:uiPriority w:val="99"/>
    <w:semiHidden/>
    <w:qFormat/>
    <w:rsid w:val="00FD0D07"/>
    <w:rPr>
      <w:rFonts w:ascii="Times New Roman" w:eastAsia="Times New Roman" w:hAnsi="Times New Roman" w:cs="Times New Roman"/>
      <w:sz w:val="20"/>
      <w:szCs w:val="20"/>
      <w:lang w:eastAsia="ru-RU"/>
    </w:rPr>
  </w:style>
  <w:style w:type="character" w:styleId="af6">
    <w:name w:val="footnote reference"/>
    <w:basedOn w:val="a1"/>
    <w:uiPriority w:val="99"/>
    <w:semiHidden/>
    <w:unhideWhenUsed/>
    <w:qFormat/>
    <w:rsid w:val="00FD0D07"/>
    <w:rPr>
      <w:vertAlign w:val="superscript"/>
    </w:rPr>
  </w:style>
  <w:style w:type="character" w:customStyle="1" w:styleId="11">
    <w:name w:val="Заголовок 1 Знак"/>
    <w:basedOn w:val="a1"/>
    <w:link w:val="10"/>
    <w:qFormat/>
    <w:rsid w:val="00FD0D07"/>
    <w:rPr>
      <w:rFonts w:ascii="Times New Roman" w:eastAsia="Times New Roman" w:hAnsi="Times New Roman" w:cs="Times New Roman"/>
      <w:b/>
      <w:kern w:val="32"/>
      <w:sz w:val="28"/>
      <w:szCs w:val="20"/>
      <w:lang w:val="x-none" w:eastAsia="ru-RU"/>
    </w:rPr>
  </w:style>
  <w:style w:type="character" w:customStyle="1" w:styleId="21">
    <w:name w:val="Заголовок 2 Знак"/>
    <w:basedOn w:val="a1"/>
    <w:link w:val="20"/>
    <w:qFormat/>
    <w:rsid w:val="00FD0D07"/>
    <w:rPr>
      <w:rFonts w:ascii="Times New Roman" w:eastAsia="Times New Roman" w:hAnsi="Times New Roman" w:cs="Times New Roman"/>
      <w:sz w:val="28"/>
      <w:szCs w:val="20"/>
      <w:lang w:val="uk-UA" w:eastAsia="ru-RU"/>
    </w:rPr>
  </w:style>
  <w:style w:type="paragraph" w:customStyle="1" w:styleId="12">
    <w:name w:val="Абзац списка1"/>
    <w:basedOn w:val="a"/>
    <w:uiPriority w:val="34"/>
    <w:qFormat/>
    <w:rsid w:val="00FD0D07"/>
    <w:pPr>
      <w:ind w:left="720"/>
      <w:contextualSpacing/>
    </w:pPr>
  </w:style>
  <w:style w:type="character" w:customStyle="1" w:styleId="jlqj4b">
    <w:name w:val="jlqj4b"/>
    <w:qFormat/>
    <w:rsid w:val="00FD0D07"/>
  </w:style>
  <w:style w:type="paragraph" w:styleId="af7">
    <w:name w:val="header"/>
    <w:basedOn w:val="a"/>
    <w:link w:val="af8"/>
    <w:uiPriority w:val="99"/>
    <w:unhideWhenUsed/>
    <w:qFormat/>
    <w:rsid w:val="00FD0D07"/>
    <w:pPr>
      <w:tabs>
        <w:tab w:val="center" w:pos="4677"/>
        <w:tab w:val="right" w:pos="9355"/>
      </w:tabs>
    </w:pPr>
  </w:style>
  <w:style w:type="character" w:customStyle="1" w:styleId="af8">
    <w:name w:val="Верхний колонтитул Знак"/>
    <w:basedOn w:val="a1"/>
    <w:link w:val="af7"/>
    <w:uiPriority w:val="99"/>
    <w:qFormat/>
    <w:rsid w:val="00FD0D07"/>
    <w:rPr>
      <w:rFonts w:ascii="Times New Roman" w:eastAsia="Times New Roman" w:hAnsi="Times New Roman" w:cs="Times New Roman"/>
      <w:lang w:eastAsia="ru-RU"/>
    </w:rPr>
  </w:style>
  <w:style w:type="paragraph" w:styleId="af9">
    <w:name w:val="footer"/>
    <w:basedOn w:val="a"/>
    <w:link w:val="afa"/>
    <w:uiPriority w:val="99"/>
    <w:unhideWhenUsed/>
    <w:qFormat/>
    <w:rsid w:val="00FD0D07"/>
    <w:pPr>
      <w:tabs>
        <w:tab w:val="center" w:pos="4677"/>
        <w:tab w:val="right" w:pos="9355"/>
      </w:tabs>
    </w:pPr>
  </w:style>
  <w:style w:type="character" w:customStyle="1" w:styleId="afa">
    <w:name w:val="Нижний колонтитул Знак"/>
    <w:basedOn w:val="a1"/>
    <w:link w:val="af9"/>
    <w:uiPriority w:val="99"/>
    <w:qFormat/>
    <w:rsid w:val="00FD0D07"/>
    <w:rPr>
      <w:rFonts w:ascii="Times New Roman" w:eastAsia="Times New Roman" w:hAnsi="Times New Roman" w:cs="Times New Roman"/>
      <w:lang w:eastAsia="ru-RU"/>
    </w:rPr>
  </w:style>
  <w:style w:type="table" w:styleId="afb">
    <w:name w:val="Table Grid"/>
    <w:basedOn w:val="a2"/>
    <w:uiPriority w:val="39"/>
    <w:qFormat/>
    <w:rsid w:val="00F05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
    <w:basedOn w:val="a1"/>
    <w:link w:val="30"/>
    <w:uiPriority w:val="9"/>
    <w:qFormat/>
    <w:rsid w:val="00F05F4E"/>
    <w:rPr>
      <w:rFonts w:ascii="Calibri Light" w:eastAsia="Times New Roman" w:hAnsi="Calibri Light" w:cs="Times New Roman"/>
      <w:color w:val="1F4D78"/>
      <w:sz w:val="20"/>
      <w:szCs w:val="20"/>
      <w:lang w:val="zh-CN" w:eastAsia="ru-RU"/>
    </w:rPr>
  </w:style>
  <w:style w:type="character" w:customStyle="1" w:styleId="41">
    <w:name w:val="Заголовок 4 Знак"/>
    <w:basedOn w:val="a1"/>
    <w:link w:val="40"/>
    <w:uiPriority w:val="9"/>
    <w:semiHidden/>
    <w:qFormat/>
    <w:rsid w:val="00F05F4E"/>
    <w:rPr>
      <w:rFonts w:ascii="Calibri Light" w:eastAsia="Times New Roman" w:hAnsi="Calibri Light" w:cs="Times New Roman"/>
      <w:b/>
      <w:bCs/>
      <w:i/>
      <w:iCs/>
      <w:color w:val="4472C4"/>
      <w:sz w:val="20"/>
      <w:szCs w:val="20"/>
      <w:lang w:val="zh-CN" w:eastAsia="zh-CN"/>
    </w:rPr>
  </w:style>
  <w:style w:type="character" w:styleId="afc">
    <w:name w:val="FollowedHyperlink"/>
    <w:uiPriority w:val="99"/>
    <w:semiHidden/>
    <w:unhideWhenUsed/>
    <w:qFormat/>
    <w:rsid w:val="00F05F4E"/>
    <w:rPr>
      <w:color w:val="954F72"/>
      <w:u w:val="single"/>
    </w:rPr>
  </w:style>
  <w:style w:type="character" w:styleId="afd">
    <w:name w:val="Emphasis"/>
    <w:uiPriority w:val="20"/>
    <w:qFormat/>
    <w:rsid w:val="00F05F4E"/>
    <w:rPr>
      <w:i/>
      <w:iCs/>
    </w:rPr>
  </w:style>
  <w:style w:type="character" w:styleId="afe">
    <w:name w:val="Hyperlink"/>
    <w:uiPriority w:val="99"/>
    <w:unhideWhenUsed/>
    <w:qFormat/>
    <w:rsid w:val="00F05F4E"/>
    <w:rPr>
      <w:color w:val="0000FF"/>
      <w:u w:val="single"/>
    </w:rPr>
  </w:style>
  <w:style w:type="character" w:styleId="aff">
    <w:name w:val="page number"/>
    <w:basedOn w:val="a1"/>
    <w:uiPriority w:val="99"/>
    <w:semiHidden/>
    <w:unhideWhenUsed/>
    <w:qFormat/>
    <w:rsid w:val="00F05F4E"/>
  </w:style>
  <w:style w:type="character" w:styleId="aff0">
    <w:name w:val="Strong"/>
    <w:uiPriority w:val="22"/>
    <w:qFormat/>
    <w:rsid w:val="00F05F4E"/>
    <w:rPr>
      <w:b/>
      <w:bCs/>
    </w:rPr>
  </w:style>
  <w:style w:type="paragraph" w:styleId="8">
    <w:name w:val="toc 8"/>
    <w:basedOn w:val="a"/>
    <w:next w:val="a"/>
    <w:uiPriority w:val="39"/>
    <w:unhideWhenUsed/>
    <w:qFormat/>
    <w:rsid w:val="00F05F4E"/>
    <w:pPr>
      <w:ind w:left="1680"/>
    </w:pPr>
    <w:rPr>
      <w:rFonts w:ascii="Calibri" w:hAnsi="Calibri"/>
      <w:sz w:val="20"/>
      <w:szCs w:val="20"/>
    </w:rPr>
  </w:style>
  <w:style w:type="paragraph" w:styleId="9">
    <w:name w:val="toc 9"/>
    <w:basedOn w:val="a"/>
    <w:next w:val="a"/>
    <w:uiPriority w:val="39"/>
    <w:unhideWhenUsed/>
    <w:qFormat/>
    <w:rsid w:val="00F05F4E"/>
    <w:pPr>
      <w:ind w:left="1920"/>
    </w:pPr>
    <w:rPr>
      <w:rFonts w:ascii="Calibri" w:hAnsi="Calibri"/>
      <w:sz w:val="20"/>
      <w:szCs w:val="20"/>
    </w:rPr>
  </w:style>
  <w:style w:type="paragraph" w:styleId="7">
    <w:name w:val="toc 7"/>
    <w:basedOn w:val="a"/>
    <w:next w:val="a"/>
    <w:uiPriority w:val="39"/>
    <w:unhideWhenUsed/>
    <w:qFormat/>
    <w:rsid w:val="00F05F4E"/>
    <w:pPr>
      <w:ind w:left="1440"/>
    </w:pPr>
    <w:rPr>
      <w:rFonts w:ascii="Calibri" w:hAnsi="Calibri"/>
      <w:sz w:val="20"/>
      <w:szCs w:val="20"/>
    </w:rPr>
  </w:style>
  <w:style w:type="paragraph" w:styleId="aff1">
    <w:name w:val="Body Text"/>
    <w:basedOn w:val="a"/>
    <w:link w:val="aff2"/>
    <w:uiPriority w:val="99"/>
    <w:semiHidden/>
    <w:unhideWhenUsed/>
    <w:qFormat/>
    <w:rsid w:val="00F05F4E"/>
    <w:pPr>
      <w:spacing w:after="120"/>
    </w:pPr>
    <w:rPr>
      <w:sz w:val="20"/>
      <w:szCs w:val="20"/>
      <w:lang w:val="zh-CN" w:eastAsia="zh-CN"/>
    </w:rPr>
  </w:style>
  <w:style w:type="character" w:customStyle="1" w:styleId="aff2">
    <w:name w:val="Основной текст Знак"/>
    <w:basedOn w:val="a1"/>
    <w:link w:val="aff1"/>
    <w:uiPriority w:val="99"/>
    <w:semiHidden/>
    <w:qFormat/>
    <w:rsid w:val="00F05F4E"/>
    <w:rPr>
      <w:rFonts w:ascii="Times New Roman" w:eastAsia="Times New Roman" w:hAnsi="Times New Roman" w:cs="Times New Roman"/>
      <w:sz w:val="20"/>
      <w:szCs w:val="20"/>
      <w:lang w:val="zh-CN" w:eastAsia="zh-CN"/>
    </w:rPr>
  </w:style>
  <w:style w:type="paragraph" w:styleId="13">
    <w:name w:val="toc 1"/>
    <w:basedOn w:val="a"/>
    <w:next w:val="a"/>
    <w:uiPriority w:val="39"/>
    <w:unhideWhenUsed/>
    <w:qFormat/>
    <w:rsid w:val="00F05F4E"/>
    <w:pPr>
      <w:spacing w:before="120"/>
    </w:pPr>
    <w:rPr>
      <w:rFonts w:ascii="Calibri" w:hAnsi="Calibri"/>
      <w:b/>
      <w:bCs/>
      <w:i/>
      <w:iCs/>
    </w:rPr>
  </w:style>
  <w:style w:type="paragraph" w:styleId="6">
    <w:name w:val="toc 6"/>
    <w:basedOn w:val="a"/>
    <w:next w:val="a"/>
    <w:uiPriority w:val="39"/>
    <w:unhideWhenUsed/>
    <w:qFormat/>
    <w:rsid w:val="00F05F4E"/>
    <w:pPr>
      <w:ind w:left="1200"/>
    </w:pPr>
    <w:rPr>
      <w:rFonts w:ascii="Calibri" w:hAnsi="Calibri"/>
      <w:sz w:val="20"/>
      <w:szCs w:val="20"/>
    </w:rPr>
  </w:style>
  <w:style w:type="paragraph" w:styleId="32">
    <w:name w:val="toc 3"/>
    <w:basedOn w:val="a"/>
    <w:next w:val="a"/>
    <w:uiPriority w:val="39"/>
    <w:unhideWhenUsed/>
    <w:qFormat/>
    <w:rsid w:val="00F05F4E"/>
    <w:pPr>
      <w:ind w:left="480"/>
    </w:pPr>
    <w:rPr>
      <w:rFonts w:ascii="Calibri" w:hAnsi="Calibri"/>
      <w:sz w:val="20"/>
      <w:szCs w:val="20"/>
    </w:rPr>
  </w:style>
  <w:style w:type="paragraph" w:styleId="22">
    <w:name w:val="toc 2"/>
    <w:basedOn w:val="a"/>
    <w:next w:val="a"/>
    <w:uiPriority w:val="39"/>
    <w:unhideWhenUsed/>
    <w:qFormat/>
    <w:rsid w:val="00F05F4E"/>
    <w:pPr>
      <w:spacing w:before="120"/>
      <w:ind w:left="240"/>
    </w:pPr>
    <w:rPr>
      <w:rFonts w:ascii="Calibri" w:hAnsi="Calibri"/>
      <w:b/>
      <w:bCs/>
      <w:sz w:val="22"/>
      <w:szCs w:val="22"/>
    </w:rPr>
  </w:style>
  <w:style w:type="paragraph" w:styleId="42">
    <w:name w:val="toc 4"/>
    <w:basedOn w:val="a"/>
    <w:next w:val="a"/>
    <w:uiPriority w:val="39"/>
    <w:unhideWhenUsed/>
    <w:qFormat/>
    <w:rsid w:val="00F05F4E"/>
    <w:pPr>
      <w:ind w:left="720"/>
    </w:pPr>
    <w:rPr>
      <w:rFonts w:ascii="Calibri" w:hAnsi="Calibri"/>
      <w:sz w:val="20"/>
      <w:szCs w:val="20"/>
    </w:rPr>
  </w:style>
  <w:style w:type="paragraph" w:styleId="5">
    <w:name w:val="toc 5"/>
    <w:basedOn w:val="a"/>
    <w:next w:val="a"/>
    <w:uiPriority w:val="39"/>
    <w:unhideWhenUsed/>
    <w:qFormat/>
    <w:rsid w:val="00F05F4E"/>
    <w:pPr>
      <w:ind w:left="960"/>
    </w:pPr>
    <w:rPr>
      <w:rFonts w:ascii="Calibri" w:hAnsi="Calibri"/>
      <w:sz w:val="20"/>
      <w:szCs w:val="20"/>
    </w:rPr>
  </w:style>
  <w:style w:type="paragraph" w:styleId="23">
    <w:name w:val="Body Text Indent 2"/>
    <w:basedOn w:val="a"/>
    <w:link w:val="24"/>
    <w:uiPriority w:val="99"/>
    <w:semiHidden/>
    <w:unhideWhenUsed/>
    <w:qFormat/>
    <w:rsid w:val="00F05F4E"/>
    <w:pPr>
      <w:spacing w:after="120" w:line="480" w:lineRule="auto"/>
      <w:ind w:left="283"/>
    </w:pPr>
    <w:rPr>
      <w:sz w:val="20"/>
      <w:szCs w:val="20"/>
      <w:lang w:val="zh-CN"/>
    </w:rPr>
  </w:style>
  <w:style w:type="character" w:customStyle="1" w:styleId="24">
    <w:name w:val="Основной текст с отступом 2 Знак"/>
    <w:basedOn w:val="a1"/>
    <w:link w:val="23"/>
    <w:uiPriority w:val="99"/>
    <w:semiHidden/>
    <w:qFormat/>
    <w:rsid w:val="00F05F4E"/>
    <w:rPr>
      <w:rFonts w:ascii="Times New Roman" w:eastAsia="Times New Roman" w:hAnsi="Times New Roman" w:cs="Times New Roman"/>
      <w:sz w:val="20"/>
      <w:szCs w:val="20"/>
      <w:lang w:val="zh-CN" w:eastAsia="ru-RU"/>
    </w:rPr>
  </w:style>
  <w:style w:type="paragraph" w:styleId="HTML">
    <w:name w:val="HTML Preformatted"/>
    <w:basedOn w:val="a"/>
    <w:link w:val="HTML0"/>
    <w:uiPriority w:val="99"/>
    <w:unhideWhenUsed/>
    <w:qFormat/>
    <w:rsid w:val="00F05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zh-CN"/>
    </w:rPr>
  </w:style>
  <w:style w:type="character" w:customStyle="1" w:styleId="HTML0">
    <w:name w:val="Стандартный HTML Знак"/>
    <w:basedOn w:val="a1"/>
    <w:link w:val="HTML"/>
    <w:uiPriority w:val="99"/>
    <w:qFormat/>
    <w:rsid w:val="00F05F4E"/>
    <w:rPr>
      <w:rFonts w:ascii="Courier New" w:eastAsia="Times New Roman" w:hAnsi="Courier New" w:cs="Times New Roman"/>
      <w:sz w:val="20"/>
      <w:szCs w:val="20"/>
      <w:lang w:val="zh-CN" w:eastAsia="ru-RU"/>
    </w:rPr>
  </w:style>
  <w:style w:type="paragraph" w:customStyle="1" w:styleId="14">
    <w:name w:val="Без интервала1"/>
    <w:uiPriority w:val="1"/>
    <w:qFormat/>
    <w:rsid w:val="00F05F4E"/>
    <w:pPr>
      <w:jc w:val="both"/>
    </w:pPr>
    <w:rPr>
      <w:rFonts w:ascii="Times New Roman" w:eastAsia="Times New Roman" w:hAnsi="Times New Roman" w:cs="Times New Roman"/>
      <w:sz w:val="28"/>
    </w:rPr>
  </w:style>
  <w:style w:type="paragraph" w:customStyle="1" w:styleId="Base">
    <w:name w:val="Base"/>
    <w:basedOn w:val="a"/>
    <w:qFormat/>
    <w:rsid w:val="00F05F4E"/>
    <w:pPr>
      <w:spacing w:line="312" w:lineRule="auto"/>
      <w:ind w:firstLine="709"/>
      <w:jc w:val="both"/>
    </w:pPr>
    <w:rPr>
      <w:rFonts w:eastAsia="MS Mincho"/>
      <w:spacing w:val="4"/>
      <w:sz w:val="28"/>
      <w:lang w:val="uk-UA"/>
    </w:rPr>
  </w:style>
  <w:style w:type="character" w:customStyle="1" w:styleId="aff3">
    <w:name w:val="Название Знак"/>
    <w:uiPriority w:val="99"/>
    <w:qFormat/>
    <w:rsid w:val="00F05F4E"/>
    <w:rPr>
      <w:sz w:val="28"/>
      <w:lang w:val="uk-UA"/>
    </w:rPr>
  </w:style>
  <w:style w:type="character" w:customStyle="1" w:styleId="ref-journal">
    <w:name w:val="ref-journal"/>
    <w:basedOn w:val="a1"/>
    <w:qFormat/>
    <w:rsid w:val="00F05F4E"/>
  </w:style>
  <w:style w:type="character" w:customStyle="1" w:styleId="ref-vol">
    <w:name w:val="ref-vol"/>
    <w:basedOn w:val="a1"/>
    <w:rsid w:val="00F05F4E"/>
  </w:style>
  <w:style w:type="character" w:customStyle="1" w:styleId="nowrap">
    <w:name w:val="nowrap"/>
    <w:basedOn w:val="a1"/>
    <w:qFormat/>
    <w:rsid w:val="00F05F4E"/>
  </w:style>
  <w:style w:type="character" w:customStyle="1" w:styleId="citation">
    <w:name w:val="citation"/>
    <w:basedOn w:val="a1"/>
    <w:qFormat/>
    <w:rsid w:val="00F05F4E"/>
  </w:style>
  <w:style w:type="paragraph" w:customStyle="1" w:styleId="rvps4">
    <w:name w:val="rvps4"/>
    <w:basedOn w:val="a"/>
    <w:rsid w:val="00F05F4E"/>
    <w:pPr>
      <w:spacing w:before="100" w:beforeAutospacing="1" w:after="100" w:afterAutospacing="1"/>
    </w:pPr>
  </w:style>
  <w:style w:type="character" w:customStyle="1" w:styleId="rvts23">
    <w:name w:val="rvts23"/>
    <w:basedOn w:val="a1"/>
    <w:qFormat/>
    <w:rsid w:val="00F05F4E"/>
  </w:style>
  <w:style w:type="paragraph" w:customStyle="1" w:styleId="rvps7">
    <w:name w:val="rvps7"/>
    <w:basedOn w:val="a"/>
    <w:qFormat/>
    <w:rsid w:val="00F05F4E"/>
    <w:pPr>
      <w:spacing w:before="100" w:beforeAutospacing="1" w:after="100" w:afterAutospacing="1"/>
    </w:pPr>
  </w:style>
  <w:style w:type="character" w:customStyle="1" w:styleId="rvts9">
    <w:name w:val="rvts9"/>
    <w:basedOn w:val="a1"/>
    <w:qFormat/>
    <w:rsid w:val="00F05F4E"/>
  </w:style>
  <w:style w:type="character" w:customStyle="1" w:styleId="ref-title">
    <w:name w:val="ref-title"/>
    <w:basedOn w:val="a1"/>
    <w:qFormat/>
    <w:rsid w:val="00F05F4E"/>
  </w:style>
  <w:style w:type="paragraph" w:customStyle="1" w:styleId="halfrhythm">
    <w:name w:val="half_rhythm"/>
    <w:basedOn w:val="a"/>
    <w:qFormat/>
    <w:rsid w:val="00F05F4E"/>
    <w:pPr>
      <w:spacing w:before="100" w:beforeAutospacing="1" w:after="100" w:afterAutospacing="1"/>
    </w:pPr>
  </w:style>
  <w:style w:type="character" w:customStyle="1" w:styleId="ref-iss">
    <w:name w:val="ref-iss"/>
    <w:basedOn w:val="a1"/>
    <w:qFormat/>
    <w:rsid w:val="00F05F4E"/>
  </w:style>
  <w:style w:type="character" w:customStyle="1" w:styleId="mixed-citation">
    <w:name w:val="mixed-citation"/>
    <w:basedOn w:val="a1"/>
    <w:qFormat/>
    <w:rsid w:val="00F05F4E"/>
  </w:style>
  <w:style w:type="paragraph" w:customStyle="1" w:styleId="p">
    <w:name w:val="p"/>
    <w:basedOn w:val="a"/>
    <w:rsid w:val="00F05F4E"/>
    <w:pPr>
      <w:spacing w:before="100" w:beforeAutospacing="1" w:after="100" w:afterAutospacing="1"/>
    </w:pPr>
  </w:style>
  <w:style w:type="character" w:customStyle="1" w:styleId="small-caps">
    <w:name w:val="small-caps"/>
    <w:basedOn w:val="a1"/>
    <w:rsid w:val="00F05F4E"/>
  </w:style>
  <w:style w:type="paragraph" w:customStyle="1" w:styleId="15">
    <w:name w:val="Заголовок оглавления1"/>
    <w:basedOn w:val="10"/>
    <w:next w:val="a"/>
    <w:uiPriority w:val="39"/>
    <w:unhideWhenUsed/>
    <w:qFormat/>
    <w:rsid w:val="00F05F4E"/>
    <w:pPr>
      <w:keepLines/>
      <w:spacing w:before="480" w:line="276" w:lineRule="auto"/>
      <w:jc w:val="left"/>
      <w:outlineLvl w:val="9"/>
    </w:pPr>
    <w:rPr>
      <w:rFonts w:ascii="Calibri Light" w:hAnsi="Calibri Light"/>
      <w:bCs/>
      <w:color w:val="2E74B5"/>
      <w:kern w:val="0"/>
      <w:szCs w:val="28"/>
      <w:lang w:val="zh-CN"/>
    </w:rPr>
  </w:style>
  <w:style w:type="character" w:customStyle="1" w:styleId="16">
    <w:name w:val="Замещающий текст1"/>
    <w:uiPriority w:val="99"/>
    <w:semiHidden/>
    <w:qFormat/>
    <w:rsid w:val="00F05F4E"/>
    <w:rPr>
      <w:color w:val="808080"/>
    </w:rPr>
  </w:style>
  <w:style w:type="paragraph" w:customStyle="1" w:styleId="p1">
    <w:name w:val="p1"/>
    <w:basedOn w:val="a"/>
    <w:qFormat/>
    <w:rsid w:val="00F05F4E"/>
    <w:pPr>
      <w:jc w:val="right"/>
    </w:pPr>
    <w:rPr>
      <w:rFonts w:ascii=".AppleSystemUIFont" w:hAnsi=".AppleSystemUIFont"/>
      <w:sz w:val="18"/>
      <w:szCs w:val="18"/>
    </w:rPr>
  </w:style>
  <w:style w:type="table" w:customStyle="1" w:styleId="17">
    <w:name w:val="Сетка таблицы светлая1"/>
    <w:basedOn w:val="a2"/>
    <w:uiPriority w:val="40"/>
    <w:qFormat/>
    <w:rsid w:val="00F05F4E"/>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italic">
    <w:name w:val="italic"/>
    <w:basedOn w:val="a"/>
    <w:uiPriority w:val="99"/>
    <w:qFormat/>
    <w:rsid w:val="00F05F4E"/>
    <w:pPr>
      <w:spacing w:before="100" w:beforeAutospacing="1" w:after="100" w:afterAutospacing="1"/>
      <w:jc w:val="center"/>
    </w:pPr>
    <w:rPr>
      <w:b/>
      <w:bCs/>
      <w:i/>
      <w:iCs/>
    </w:rPr>
  </w:style>
  <w:style w:type="paragraph" w:customStyle="1" w:styleId="sdendnote">
    <w:name w:val="sdendnote"/>
    <w:basedOn w:val="a"/>
    <w:qFormat/>
    <w:rsid w:val="00F05F4E"/>
    <w:pPr>
      <w:spacing w:before="100" w:beforeAutospacing="1"/>
      <w:ind w:left="284" w:hanging="284"/>
    </w:pPr>
    <w:rPr>
      <w:sz w:val="20"/>
      <w:szCs w:val="20"/>
    </w:rPr>
  </w:style>
  <w:style w:type="paragraph" w:customStyle="1" w:styleId="25">
    <w:name w:val="Заголовок оглавления2"/>
    <w:basedOn w:val="10"/>
    <w:next w:val="a"/>
    <w:uiPriority w:val="39"/>
    <w:unhideWhenUsed/>
    <w:qFormat/>
    <w:rsid w:val="00F05F4E"/>
    <w:pPr>
      <w:keepLines/>
      <w:spacing w:before="480" w:line="276" w:lineRule="auto"/>
      <w:jc w:val="left"/>
      <w:outlineLvl w:val="9"/>
    </w:pPr>
    <w:rPr>
      <w:rFonts w:ascii="Calibri Light" w:hAnsi="Calibri Light"/>
      <w:bCs/>
      <w:color w:val="2F5496"/>
      <w:kern w:val="0"/>
      <w:szCs w:val="28"/>
      <w:lang w:val="ru-RU"/>
    </w:rPr>
  </w:style>
  <w:style w:type="character" w:customStyle="1" w:styleId="18">
    <w:name w:val="Неразрешенное упоминание1"/>
    <w:uiPriority w:val="99"/>
    <w:semiHidden/>
    <w:unhideWhenUsed/>
    <w:qFormat/>
    <w:rsid w:val="00F05F4E"/>
    <w:rPr>
      <w:color w:val="605E5C"/>
      <w:shd w:val="clear" w:color="auto" w:fill="E1DFDD"/>
    </w:rPr>
  </w:style>
  <w:style w:type="paragraph" w:styleId="aff4">
    <w:name w:val="No Spacing"/>
    <w:uiPriority w:val="99"/>
    <w:qFormat/>
    <w:rsid w:val="00F05F4E"/>
    <w:rPr>
      <w:rFonts w:ascii="Calibri" w:eastAsia="Times New Roman" w:hAnsi="Calibri" w:cs="Times New Roman"/>
      <w:sz w:val="22"/>
      <w:szCs w:val="22"/>
      <w:lang w:val="uk-UA"/>
    </w:rPr>
  </w:style>
  <w:style w:type="character" w:styleId="aff5">
    <w:name w:val="Placeholder Text"/>
    <w:uiPriority w:val="99"/>
    <w:semiHidden/>
    <w:qFormat/>
    <w:rsid w:val="00F05F4E"/>
    <w:rPr>
      <w:color w:val="808080"/>
    </w:rPr>
  </w:style>
  <w:style w:type="paragraph" w:customStyle="1" w:styleId="19">
    <w:name w:val="Рецензия1"/>
    <w:hidden/>
    <w:uiPriority w:val="99"/>
    <w:semiHidden/>
    <w:qFormat/>
    <w:rsid w:val="00F05F4E"/>
    <w:rPr>
      <w:rFonts w:ascii="Times New Roman" w:eastAsia="Times New Roman" w:hAnsi="Times New Roman" w:cs="Times New Roman"/>
      <w:lang w:eastAsia="ru-RU"/>
    </w:rPr>
  </w:style>
  <w:style w:type="character" w:customStyle="1" w:styleId="f">
    <w:name w:val="f"/>
    <w:qFormat/>
    <w:rsid w:val="00F05F4E"/>
  </w:style>
  <w:style w:type="character" w:customStyle="1" w:styleId="26">
    <w:name w:val="Неразрешенное упоминание2"/>
    <w:uiPriority w:val="99"/>
    <w:semiHidden/>
    <w:unhideWhenUsed/>
    <w:qFormat/>
    <w:rsid w:val="00F05F4E"/>
    <w:rPr>
      <w:color w:val="605E5C"/>
      <w:shd w:val="clear" w:color="auto" w:fill="E1DFDD"/>
    </w:rPr>
  </w:style>
  <w:style w:type="character" w:customStyle="1" w:styleId="33">
    <w:name w:val="Неразрешенное упоминание3"/>
    <w:uiPriority w:val="99"/>
    <w:semiHidden/>
    <w:unhideWhenUsed/>
    <w:qFormat/>
    <w:rsid w:val="00F05F4E"/>
    <w:rPr>
      <w:color w:val="605E5C"/>
      <w:shd w:val="clear" w:color="auto" w:fill="E1DFDD"/>
    </w:rPr>
  </w:style>
  <w:style w:type="character" w:customStyle="1" w:styleId="grame">
    <w:name w:val="grame"/>
    <w:rsid w:val="00F05F4E"/>
  </w:style>
  <w:style w:type="character" w:customStyle="1" w:styleId="spelle">
    <w:name w:val="spelle"/>
    <w:rsid w:val="00F05F4E"/>
  </w:style>
  <w:style w:type="character" w:customStyle="1" w:styleId="person-group">
    <w:name w:val="person-group"/>
    <w:basedOn w:val="a1"/>
    <w:rsid w:val="00F05F4E"/>
  </w:style>
  <w:style w:type="character" w:customStyle="1" w:styleId="label">
    <w:name w:val="label"/>
    <w:basedOn w:val="a1"/>
    <w:rsid w:val="00F05F4E"/>
  </w:style>
  <w:style w:type="character" w:customStyle="1" w:styleId="html-italic">
    <w:name w:val="html-italic"/>
    <w:basedOn w:val="a1"/>
    <w:rsid w:val="00F05F4E"/>
  </w:style>
  <w:style w:type="paragraph" w:customStyle="1" w:styleId="breakall">
    <w:name w:val="breakall"/>
    <w:basedOn w:val="a"/>
    <w:rsid w:val="00F05F4E"/>
    <w:pPr>
      <w:spacing w:before="100" w:beforeAutospacing="1" w:after="100" w:afterAutospacing="1"/>
    </w:pPr>
  </w:style>
  <w:style w:type="character" w:customStyle="1" w:styleId="ej-keyword">
    <w:name w:val="ej-keyword"/>
    <w:rsid w:val="00F05F4E"/>
  </w:style>
  <w:style w:type="character" w:customStyle="1" w:styleId="43">
    <w:name w:val="Неразрешенное упоминание4"/>
    <w:uiPriority w:val="99"/>
    <w:semiHidden/>
    <w:unhideWhenUsed/>
    <w:rsid w:val="00F05F4E"/>
    <w:rPr>
      <w:color w:val="605E5C"/>
      <w:shd w:val="clear" w:color="auto" w:fill="E1DFDD"/>
    </w:rPr>
  </w:style>
  <w:style w:type="character" w:styleId="aff6">
    <w:name w:val="Unresolved Mention"/>
    <w:basedOn w:val="a1"/>
    <w:uiPriority w:val="99"/>
    <w:semiHidden/>
    <w:unhideWhenUsed/>
    <w:rsid w:val="00112A09"/>
    <w:rPr>
      <w:color w:val="605E5C"/>
      <w:shd w:val="clear" w:color="auto" w:fill="E1DFDD"/>
    </w:rPr>
  </w:style>
  <w:style w:type="table" w:styleId="aff7">
    <w:name w:val="Grid Table Light"/>
    <w:basedOn w:val="a2"/>
    <w:uiPriority w:val="40"/>
    <w:rsid w:val="00A508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3362">
      <w:bodyDiv w:val="1"/>
      <w:marLeft w:val="0"/>
      <w:marRight w:val="0"/>
      <w:marTop w:val="0"/>
      <w:marBottom w:val="0"/>
      <w:divBdr>
        <w:top w:val="none" w:sz="0" w:space="0" w:color="auto"/>
        <w:left w:val="none" w:sz="0" w:space="0" w:color="auto"/>
        <w:bottom w:val="none" w:sz="0" w:space="0" w:color="auto"/>
        <w:right w:val="none" w:sz="0" w:space="0" w:color="auto"/>
      </w:divBdr>
    </w:div>
    <w:div w:id="14507604">
      <w:bodyDiv w:val="1"/>
      <w:marLeft w:val="0"/>
      <w:marRight w:val="0"/>
      <w:marTop w:val="0"/>
      <w:marBottom w:val="0"/>
      <w:divBdr>
        <w:top w:val="none" w:sz="0" w:space="0" w:color="auto"/>
        <w:left w:val="none" w:sz="0" w:space="0" w:color="auto"/>
        <w:bottom w:val="none" w:sz="0" w:space="0" w:color="auto"/>
        <w:right w:val="none" w:sz="0" w:space="0" w:color="auto"/>
      </w:divBdr>
    </w:div>
    <w:div w:id="25764497">
      <w:bodyDiv w:val="1"/>
      <w:marLeft w:val="0"/>
      <w:marRight w:val="0"/>
      <w:marTop w:val="0"/>
      <w:marBottom w:val="0"/>
      <w:divBdr>
        <w:top w:val="none" w:sz="0" w:space="0" w:color="auto"/>
        <w:left w:val="none" w:sz="0" w:space="0" w:color="auto"/>
        <w:bottom w:val="none" w:sz="0" w:space="0" w:color="auto"/>
        <w:right w:val="none" w:sz="0" w:space="0" w:color="auto"/>
      </w:divBdr>
    </w:div>
    <w:div w:id="29649526">
      <w:bodyDiv w:val="1"/>
      <w:marLeft w:val="0"/>
      <w:marRight w:val="0"/>
      <w:marTop w:val="0"/>
      <w:marBottom w:val="0"/>
      <w:divBdr>
        <w:top w:val="none" w:sz="0" w:space="0" w:color="auto"/>
        <w:left w:val="none" w:sz="0" w:space="0" w:color="auto"/>
        <w:bottom w:val="none" w:sz="0" w:space="0" w:color="auto"/>
        <w:right w:val="none" w:sz="0" w:space="0" w:color="auto"/>
      </w:divBdr>
    </w:div>
    <w:div w:id="37433923">
      <w:bodyDiv w:val="1"/>
      <w:marLeft w:val="0"/>
      <w:marRight w:val="0"/>
      <w:marTop w:val="0"/>
      <w:marBottom w:val="0"/>
      <w:divBdr>
        <w:top w:val="none" w:sz="0" w:space="0" w:color="auto"/>
        <w:left w:val="none" w:sz="0" w:space="0" w:color="auto"/>
        <w:bottom w:val="none" w:sz="0" w:space="0" w:color="auto"/>
        <w:right w:val="none" w:sz="0" w:space="0" w:color="auto"/>
      </w:divBdr>
    </w:div>
    <w:div w:id="54549838">
      <w:bodyDiv w:val="1"/>
      <w:marLeft w:val="0"/>
      <w:marRight w:val="0"/>
      <w:marTop w:val="0"/>
      <w:marBottom w:val="0"/>
      <w:divBdr>
        <w:top w:val="none" w:sz="0" w:space="0" w:color="auto"/>
        <w:left w:val="none" w:sz="0" w:space="0" w:color="auto"/>
        <w:bottom w:val="none" w:sz="0" w:space="0" w:color="auto"/>
        <w:right w:val="none" w:sz="0" w:space="0" w:color="auto"/>
      </w:divBdr>
    </w:div>
    <w:div w:id="81074041">
      <w:bodyDiv w:val="1"/>
      <w:marLeft w:val="0"/>
      <w:marRight w:val="0"/>
      <w:marTop w:val="0"/>
      <w:marBottom w:val="0"/>
      <w:divBdr>
        <w:top w:val="none" w:sz="0" w:space="0" w:color="auto"/>
        <w:left w:val="none" w:sz="0" w:space="0" w:color="auto"/>
        <w:bottom w:val="none" w:sz="0" w:space="0" w:color="auto"/>
        <w:right w:val="none" w:sz="0" w:space="0" w:color="auto"/>
      </w:divBdr>
    </w:div>
    <w:div w:id="94785872">
      <w:bodyDiv w:val="1"/>
      <w:marLeft w:val="0"/>
      <w:marRight w:val="0"/>
      <w:marTop w:val="0"/>
      <w:marBottom w:val="0"/>
      <w:divBdr>
        <w:top w:val="none" w:sz="0" w:space="0" w:color="auto"/>
        <w:left w:val="none" w:sz="0" w:space="0" w:color="auto"/>
        <w:bottom w:val="none" w:sz="0" w:space="0" w:color="auto"/>
        <w:right w:val="none" w:sz="0" w:space="0" w:color="auto"/>
      </w:divBdr>
    </w:div>
    <w:div w:id="99876939">
      <w:bodyDiv w:val="1"/>
      <w:marLeft w:val="0"/>
      <w:marRight w:val="0"/>
      <w:marTop w:val="0"/>
      <w:marBottom w:val="0"/>
      <w:divBdr>
        <w:top w:val="none" w:sz="0" w:space="0" w:color="auto"/>
        <w:left w:val="none" w:sz="0" w:space="0" w:color="auto"/>
        <w:bottom w:val="none" w:sz="0" w:space="0" w:color="auto"/>
        <w:right w:val="none" w:sz="0" w:space="0" w:color="auto"/>
      </w:divBdr>
    </w:div>
    <w:div w:id="117991355">
      <w:bodyDiv w:val="1"/>
      <w:marLeft w:val="0"/>
      <w:marRight w:val="0"/>
      <w:marTop w:val="0"/>
      <w:marBottom w:val="0"/>
      <w:divBdr>
        <w:top w:val="none" w:sz="0" w:space="0" w:color="auto"/>
        <w:left w:val="none" w:sz="0" w:space="0" w:color="auto"/>
        <w:bottom w:val="none" w:sz="0" w:space="0" w:color="auto"/>
        <w:right w:val="none" w:sz="0" w:space="0" w:color="auto"/>
      </w:divBdr>
    </w:div>
    <w:div w:id="129372465">
      <w:bodyDiv w:val="1"/>
      <w:marLeft w:val="0"/>
      <w:marRight w:val="0"/>
      <w:marTop w:val="0"/>
      <w:marBottom w:val="0"/>
      <w:divBdr>
        <w:top w:val="none" w:sz="0" w:space="0" w:color="auto"/>
        <w:left w:val="none" w:sz="0" w:space="0" w:color="auto"/>
        <w:bottom w:val="none" w:sz="0" w:space="0" w:color="auto"/>
        <w:right w:val="none" w:sz="0" w:space="0" w:color="auto"/>
      </w:divBdr>
    </w:div>
    <w:div w:id="168371608">
      <w:bodyDiv w:val="1"/>
      <w:marLeft w:val="0"/>
      <w:marRight w:val="0"/>
      <w:marTop w:val="0"/>
      <w:marBottom w:val="0"/>
      <w:divBdr>
        <w:top w:val="none" w:sz="0" w:space="0" w:color="auto"/>
        <w:left w:val="none" w:sz="0" w:space="0" w:color="auto"/>
        <w:bottom w:val="none" w:sz="0" w:space="0" w:color="auto"/>
        <w:right w:val="none" w:sz="0" w:space="0" w:color="auto"/>
      </w:divBdr>
    </w:div>
    <w:div w:id="172498877">
      <w:bodyDiv w:val="1"/>
      <w:marLeft w:val="0"/>
      <w:marRight w:val="0"/>
      <w:marTop w:val="0"/>
      <w:marBottom w:val="0"/>
      <w:divBdr>
        <w:top w:val="none" w:sz="0" w:space="0" w:color="auto"/>
        <w:left w:val="none" w:sz="0" w:space="0" w:color="auto"/>
        <w:bottom w:val="none" w:sz="0" w:space="0" w:color="auto"/>
        <w:right w:val="none" w:sz="0" w:space="0" w:color="auto"/>
      </w:divBdr>
    </w:div>
    <w:div w:id="176816717">
      <w:bodyDiv w:val="1"/>
      <w:marLeft w:val="0"/>
      <w:marRight w:val="0"/>
      <w:marTop w:val="0"/>
      <w:marBottom w:val="0"/>
      <w:divBdr>
        <w:top w:val="none" w:sz="0" w:space="0" w:color="auto"/>
        <w:left w:val="none" w:sz="0" w:space="0" w:color="auto"/>
        <w:bottom w:val="none" w:sz="0" w:space="0" w:color="auto"/>
        <w:right w:val="none" w:sz="0" w:space="0" w:color="auto"/>
      </w:divBdr>
    </w:div>
    <w:div w:id="190924026">
      <w:bodyDiv w:val="1"/>
      <w:marLeft w:val="0"/>
      <w:marRight w:val="0"/>
      <w:marTop w:val="0"/>
      <w:marBottom w:val="0"/>
      <w:divBdr>
        <w:top w:val="none" w:sz="0" w:space="0" w:color="auto"/>
        <w:left w:val="none" w:sz="0" w:space="0" w:color="auto"/>
        <w:bottom w:val="none" w:sz="0" w:space="0" w:color="auto"/>
        <w:right w:val="none" w:sz="0" w:space="0" w:color="auto"/>
      </w:divBdr>
    </w:div>
    <w:div w:id="231503432">
      <w:bodyDiv w:val="1"/>
      <w:marLeft w:val="0"/>
      <w:marRight w:val="0"/>
      <w:marTop w:val="0"/>
      <w:marBottom w:val="0"/>
      <w:divBdr>
        <w:top w:val="none" w:sz="0" w:space="0" w:color="auto"/>
        <w:left w:val="none" w:sz="0" w:space="0" w:color="auto"/>
        <w:bottom w:val="none" w:sz="0" w:space="0" w:color="auto"/>
        <w:right w:val="none" w:sz="0" w:space="0" w:color="auto"/>
      </w:divBdr>
    </w:div>
    <w:div w:id="235627814">
      <w:bodyDiv w:val="1"/>
      <w:marLeft w:val="0"/>
      <w:marRight w:val="0"/>
      <w:marTop w:val="0"/>
      <w:marBottom w:val="0"/>
      <w:divBdr>
        <w:top w:val="none" w:sz="0" w:space="0" w:color="auto"/>
        <w:left w:val="none" w:sz="0" w:space="0" w:color="auto"/>
        <w:bottom w:val="none" w:sz="0" w:space="0" w:color="auto"/>
        <w:right w:val="none" w:sz="0" w:space="0" w:color="auto"/>
      </w:divBdr>
    </w:div>
    <w:div w:id="239338627">
      <w:bodyDiv w:val="1"/>
      <w:marLeft w:val="0"/>
      <w:marRight w:val="0"/>
      <w:marTop w:val="0"/>
      <w:marBottom w:val="0"/>
      <w:divBdr>
        <w:top w:val="none" w:sz="0" w:space="0" w:color="auto"/>
        <w:left w:val="none" w:sz="0" w:space="0" w:color="auto"/>
        <w:bottom w:val="none" w:sz="0" w:space="0" w:color="auto"/>
        <w:right w:val="none" w:sz="0" w:space="0" w:color="auto"/>
      </w:divBdr>
    </w:div>
    <w:div w:id="246886305">
      <w:bodyDiv w:val="1"/>
      <w:marLeft w:val="0"/>
      <w:marRight w:val="0"/>
      <w:marTop w:val="0"/>
      <w:marBottom w:val="0"/>
      <w:divBdr>
        <w:top w:val="none" w:sz="0" w:space="0" w:color="auto"/>
        <w:left w:val="none" w:sz="0" w:space="0" w:color="auto"/>
        <w:bottom w:val="none" w:sz="0" w:space="0" w:color="auto"/>
        <w:right w:val="none" w:sz="0" w:space="0" w:color="auto"/>
      </w:divBdr>
    </w:div>
    <w:div w:id="254411286">
      <w:bodyDiv w:val="1"/>
      <w:marLeft w:val="0"/>
      <w:marRight w:val="0"/>
      <w:marTop w:val="0"/>
      <w:marBottom w:val="0"/>
      <w:divBdr>
        <w:top w:val="none" w:sz="0" w:space="0" w:color="auto"/>
        <w:left w:val="none" w:sz="0" w:space="0" w:color="auto"/>
        <w:bottom w:val="none" w:sz="0" w:space="0" w:color="auto"/>
        <w:right w:val="none" w:sz="0" w:space="0" w:color="auto"/>
      </w:divBdr>
    </w:div>
    <w:div w:id="270746280">
      <w:bodyDiv w:val="1"/>
      <w:marLeft w:val="0"/>
      <w:marRight w:val="0"/>
      <w:marTop w:val="0"/>
      <w:marBottom w:val="0"/>
      <w:divBdr>
        <w:top w:val="none" w:sz="0" w:space="0" w:color="auto"/>
        <w:left w:val="none" w:sz="0" w:space="0" w:color="auto"/>
        <w:bottom w:val="none" w:sz="0" w:space="0" w:color="auto"/>
        <w:right w:val="none" w:sz="0" w:space="0" w:color="auto"/>
      </w:divBdr>
    </w:div>
    <w:div w:id="271279203">
      <w:bodyDiv w:val="1"/>
      <w:marLeft w:val="0"/>
      <w:marRight w:val="0"/>
      <w:marTop w:val="0"/>
      <w:marBottom w:val="0"/>
      <w:divBdr>
        <w:top w:val="none" w:sz="0" w:space="0" w:color="auto"/>
        <w:left w:val="none" w:sz="0" w:space="0" w:color="auto"/>
        <w:bottom w:val="none" w:sz="0" w:space="0" w:color="auto"/>
        <w:right w:val="none" w:sz="0" w:space="0" w:color="auto"/>
      </w:divBdr>
    </w:div>
    <w:div w:id="275214777">
      <w:bodyDiv w:val="1"/>
      <w:marLeft w:val="0"/>
      <w:marRight w:val="0"/>
      <w:marTop w:val="0"/>
      <w:marBottom w:val="0"/>
      <w:divBdr>
        <w:top w:val="none" w:sz="0" w:space="0" w:color="auto"/>
        <w:left w:val="none" w:sz="0" w:space="0" w:color="auto"/>
        <w:bottom w:val="none" w:sz="0" w:space="0" w:color="auto"/>
        <w:right w:val="none" w:sz="0" w:space="0" w:color="auto"/>
      </w:divBdr>
    </w:div>
    <w:div w:id="277612746">
      <w:bodyDiv w:val="1"/>
      <w:marLeft w:val="0"/>
      <w:marRight w:val="0"/>
      <w:marTop w:val="0"/>
      <w:marBottom w:val="0"/>
      <w:divBdr>
        <w:top w:val="none" w:sz="0" w:space="0" w:color="auto"/>
        <w:left w:val="none" w:sz="0" w:space="0" w:color="auto"/>
        <w:bottom w:val="none" w:sz="0" w:space="0" w:color="auto"/>
        <w:right w:val="none" w:sz="0" w:space="0" w:color="auto"/>
      </w:divBdr>
    </w:div>
    <w:div w:id="319121002">
      <w:bodyDiv w:val="1"/>
      <w:marLeft w:val="0"/>
      <w:marRight w:val="0"/>
      <w:marTop w:val="0"/>
      <w:marBottom w:val="0"/>
      <w:divBdr>
        <w:top w:val="none" w:sz="0" w:space="0" w:color="auto"/>
        <w:left w:val="none" w:sz="0" w:space="0" w:color="auto"/>
        <w:bottom w:val="none" w:sz="0" w:space="0" w:color="auto"/>
        <w:right w:val="none" w:sz="0" w:space="0" w:color="auto"/>
      </w:divBdr>
    </w:div>
    <w:div w:id="366297139">
      <w:bodyDiv w:val="1"/>
      <w:marLeft w:val="0"/>
      <w:marRight w:val="0"/>
      <w:marTop w:val="0"/>
      <w:marBottom w:val="0"/>
      <w:divBdr>
        <w:top w:val="none" w:sz="0" w:space="0" w:color="auto"/>
        <w:left w:val="none" w:sz="0" w:space="0" w:color="auto"/>
        <w:bottom w:val="none" w:sz="0" w:space="0" w:color="auto"/>
        <w:right w:val="none" w:sz="0" w:space="0" w:color="auto"/>
      </w:divBdr>
    </w:div>
    <w:div w:id="366831449">
      <w:bodyDiv w:val="1"/>
      <w:marLeft w:val="0"/>
      <w:marRight w:val="0"/>
      <w:marTop w:val="0"/>
      <w:marBottom w:val="0"/>
      <w:divBdr>
        <w:top w:val="none" w:sz="0" w:space="0" w:color="auto"/>
        <w:left w:val="none" w:sz="0" w:space="0" w:color="auto"/>
        <w:bottom w:val="none" w:sz="0" w:space="0" w:color="auto"/>
        <w:right w:val="none" w:sz="0" w:space="0" w:color="auto"/>
      </w:divBdr>
    </w:div>
    <w:div w:id="409932487">
      <w:bodyDiv w:val="1"/>
      <w:marLeft w:val="0"/>
      <w:marRight w:val="0"/>
      <w:marTop w:val="0"/>
      <w:marBottom w:val="0"/>
      <w:divBdr>
        <w:top w:val="none" w:sz="0" w:space="0" w:color="auto"/>
        <w:left w:val="none" w:sz="0" w:space="0" w:color="auto"/>
        <w:bottom w:val="none" w:sz="0" w:space="0" w:color="auto"/>
        <w:right w:val="none" w:sz="0" w:space="0" w:color="auto"/>
      </w:divBdr>
    </w:div>
    <w:div w:id="431172849">
      <w:bodyDiv w:val="1"/>
      <w:marLeft w:val="0"/>
      <w:marRight w:val="0"/>
      <w:marTop w:val="0"/>
      <w:marBottom w:val="0"/>
      <w:divBdr>
        <w:top w:val="none" w:sz="0" w:space="0" w:color="auto"/>
        <w:left w:val="none" w:sz="0" w:space="0" w:color="auto"/>
        <w:bottom w:val="none" w:sz="0" w:space="0" w:color="auto"/>
        <w:right w:val="none" w:sz="0" w:space="0" w:color="auto"/>
      </w:divBdr>
    </w:div>
    <w:div w:id="433324704">
      <w:bodyDiv w:val="1"/>
      <w:marLeft w:val="0"/>
      <w:marRight w:val="0"/>
      <w:marTop w:val="0"/>
      <w:marBottom w:val="0"/>
      <w:divBdr>
        <w:top w:val="none" w:sz="0" w:space="0" w:color="auto"/>
        <w:left w:val="none" w:sz="0" w:space="0" w:color="auto"/>
        <w:bottom w:val="none" w:sz="0" w:space="0" w:color="auto"/>
        <w:right w:val="none" w:sz="0" w:space="0" w:color="auto"/>
      </w:divBdr>
    </w:div>
    <w:div w:id="436679543">
      <w:bodyDiv w:val="1"/>
      <w:marLeft w:val="0"/>
      <w:marRight w:val="0"/>
      <w:marTop w:val="0"/>
      <w:marBottom w:val="0"/>
      <w:divBdr>
        <w:top w:val="none" w:sz="0" w:space="0" w:color="auto"/>
        <w:left w:val="none" w:sz="0" w:space="0" w:color="auto"/>
        <w:bottom w:val="none" w:sz="0" w:space="0" w:color="auto"/>
        <w:right w:val="none" w:sz="0" w:space="0" w:color="auto"/>
      </w:divBdr>
    </w:div>
    <w:div w:id="471487152">
      <w:bodyDiv w:val="1"/>
      <w:marLeft w:val="0"/>
      <w:marRight w:val="0"/>
      <w:marTop w:val="0"/>
      <w:marBottom w:val="0"/>
      <w:divBdr>
        <w:top w:val="none" w:sz="0" w:space="0" w:color="auto"/>
        <w:left w:val="none" w:sz="0" w:space="0" w:color="auto"/>
        <w:bottom w:val="none" w:sz="0" w:space="0" w:color="auto"/>
        <w:right w:val="none" w:sz="0" w:space="0" w:color="auto"/>
      </w:divBdr>
    </w:div>
    <w:div w:id="555967664">
      <w:bodyDiv w:val="1"/>
      <w:marLeft w:val="0"/>
      <w:marRight w:val="0"/>
      <w:marTop w:val="0"/>
      <w:marBottom w:val="0"/>
      <w:divBdr>
        <w:top w:val="none" w:sz="0" w:space="0" w:color="auto"/>
        <w:left w:val="none" w:sz="0" w:space="0" w:color="auto"/>
        <w:bottom w:val="none" w:sz="0" w:space="0" w:color="auto"/>
        <w:right w:val="none" w:sz="0" w:space="0" w:color="auto"/>
      </w:divBdr>
    </w:div>
    <w:div w:id="557785936">
      <w:bodyDiv w:val="1"/>
      <w:marLeft w:val="0"/>
      <w:marRight w:val="0"/>
      <w:marTop w:val="0"/>
      <w:marBottom w:val="0"/>
      <w:divBdr>
        <w:top w:val="none" w:sz="0" w:space="0" w:color="auto"/>
        <w:left w:val="none" w:sz="0" w:space="0" w:color="auto"/>
        <w:bottom w:val="none" w:sz="0" w:space="0" w:color="auto"/>
        <w:right w:val="none" w:sz="0" w:space="0" w:color="auto"/>
      </w:divBdr>
    </w:div>
    <w:div w:id="572787111">
      <w:bodyDiv w:val="1"/>
      <w:marLeft w:val="0"/>
      <w:marRight w:val="0"/>
      <w:marTop w:val="0"/>
      <w:marBottom w:val="0"/>
      <w:divBdr>
        <w:top w:val="none" w:sz="0" w:space="0" w:color="auto"/>
        <w:left w:val="none" w:sz="0" w:space="0" w:color="auto"/>
        <w:bottom w:val="none" w:sz="0" w:space="0" w:color="auto"/>
        <w:right w:val="none" w:sz="0" w:space="0" w:color="auto"/>
      </w:divBdr>
    </w:div>
    <w:div w:id="579367741">
      <w:bodyDiv w:val="1"/>
      <w:marLeft w:val="0"/>
      <w:marRight w:val="0"/>
      <w:marTop w:val="0"/>
      <w:marBottom w:val="0"/>
      <w:divBdr>
        <w:top w:val="none" w:sz="0" w:space="0" w:color="auto"/>
        <w:left w:val="none" w:sz="0" w:space="0" w:color="auto"/>
        <w:bottom w:val="none" w:sz="0" w:space="0" w:color="auto"/>
        <w:right w:val="none" w:sz="0" w:space="0" w:color="auto"/>
      </w:divBdr>
    </w:div>
    <w:div w:id="591360343">
      <w:bodyDiv w:val="1"/>
      <w:marLeft w:val="0"/>
      <w:marRight w:val="0"/>
      <w:marTop w:val="0"/>
      <w:marBottom w:val="0"/>
      <w:divBdr>
        <w:top w:val="none" w:sz="0" w:space="0" w:color="auto"/>
        <w:left w:val="none" w:sz="0" w:space="0" w:color="auto"/>
        <w:bottom w:val="none" w:sz="0" w:space="0" w:color="auto"/>
        <w:right w:val="none" w:sz="0" w:space="0" w:color="auto"/>
      </w:divBdr>
    </w:div>
    <w:div w:id="594284174">
      <w:bodyDiv w:val="1"/>
      <w:marLeft w:val="0"/>
      <w:marRight w:val="0"/>
      <w:marTop w:val="0"/>
      <w:marBottom w:val="0"/>
      <w:divBdr>
        <w:top w:val="none" w:sz="0" w:space="0" w:color="auto"/>
        <w:left w:val="none" w:sz="0" w:space="0" w:color="auto"/>
        <w:bottom w:val="none" w:sz="0" w:space="0" w:color="auto"/>
        <w:right w:val="none" w:sz="0" w:space="0" w:color="auto"/>
      </w:divBdr>
    </w:div>
    <w:div w:id="609514227">
      <w:bodyDiv w:val="1"/>
      <w:marLeft w:val="0"/>
      <w:marRight w:val="0"/>
      <w:marTop w:val="0"/>
      <w:marBottom w:val="0"/>
      <w:divBdr>
        <w:top w:val="none" w:sz="0" w:space="0" w:color="auto"/>
        <w:left w:val="none" w:sz="0" w:space="0" w:color="auto"/>
        <w:bottom w:val="none" w:sz="0" w:space="0" w:color="auto"/>
        <w:right w:val="none" w:sz="0" w:space="0" w:color="auto"/>
      </w:divBdr>
    </w:div>
    <w:div w:id="611667873">
      <w:bodyDiv w:val="1"/>
      <w:marLeft w:val="0"/>
      <w:marRight w:val="0"/>
      <w:marTop w:val="0"/>
      <w:marBottom w:val="0"/>
      <w:divBdr>
        <w:top w:val="none" w:sz="0" w:space="0" w:color="auto"/>
        <w:left w:val="none" w:sz="0" w:space="0" w:color="auto"/>
        <w:bottom w:val="none" w:sz="0" w:space="0" w:color="auto"/>
        <w:right w:val="none" w:sz="0" w:space="0" w:color="auto"/>
      </w:divBdr>
    </w:div>
    <w:div w:id="615790685">
      <w:bodyDiv w:val="1"/>
      <w:marLeft w:val="0"/>
      <w:marRight w:val="0"/>
      <w:marTop w:val="0"/>
      <w:marBottom w:val="0"/>
      <w:divBdr>
        <w:top w:val="none" w:sz="0" w:space="0" w:color="auto"/>
        <w:left w:val="none" w:sz="0" w:space="0" w:color="auto"/>
        <w:bottom w:val="none" w:sz="0" w:space="0" w:color="auto"/>
        <w:right w:val="none" w:sz="0" w:space="0" w:color="auto"/>
      </w:divBdr>
    </w:div>
    <w:div w:id="615871062">
      <w:bodyDiv w:val="1"/>
      <w:marLeft w:val="0"/>
      <w:marRight w:val="0"/>
      <w:marTop w:val="0"/>
      <w:marBottom w:val="0"/>
      <w:divBdr>
        <w:top w:val="none" w:sz="0" w:space="0" w:color="auto"/>
        <w:left w:val="none" w:sz="0" w:space="0" w:color="auto"/>
        <w:bottom w:val="none" w:sz="0" w:space="0" w:color="auto"/>
        <w:right w:val="none" w:sz="0" w:space="0" w:color="auto"/>
      </w:divBdr>
    </w:div>
    <w:div w:id="630943418">
      <w:bodyDiv w:val="1"/>
      <w:marLeft w:val="0"/>
      <w:marRight w:val="0"/>
      <w:marTop w:val="0"/>
      <w:marBottom w:val="0"/>
      <w:divBdr>
        <w:top w:val="none" w:sz="0" w:space="0" w:color="auto"/>
        <w:left w:val="none" w:sz="0" w:space="0" w:color="auto"/>
        <w:bottom w:val="none" w:sz="0" w:space="0" w:color="auto"/>
        <w:right w:val="none" w:sz="0" w:space="0" w:color="auto"/>
      </w:divBdr>
    </w:div>
    <w:div w:id="661003992">
      <w:bodyDiv w:val="1"/>
      <w:marLeft w:val="0"/>
      <w:marRight w:val="0"/>
      <w:marTop w:val="0"/>
      <w:marBottom w:val="0"/>
      <w:divBdr>
        <w:top w:val="none" w:sz="0" w:space="0" w:color="auto"/>
        <w:left w:val="none" w:sz="0" w:space="0" w:color="auto"/>
        <w:bottom w:val="none" w:sz="0" w:space="0" w:color="auto"/>
        <w:right w:val="none" w:sz="0" w:space="0" w:color="auto"/>
      </w:divBdr>
    </w:div>
    <w:div w:id="663781096">
      <w:bodyDiv w:val="1"/>
      <w:marLeft w:val="0"/>
      <w:marRight w:val="0"/>
      <w:marTop w:val="0"/>
      <w:marBottom w:val="0"/>
      <w:divBdr>
        <w:top w:val="none" w:sz="0" w:space="0" w:color="auto"/>
        <w:left w:val="none" w:sz="0" w:space="0" w:color="auto"/>
        <w:bottom w:val="none" w:sz="0" w:space="0" w:color="auto"/>
        <w:right w:val="none" w:sz="0" w:space="0" w:color="auto"/>
      </w:divBdr>
    </w:div>
    <w:div w:id="683048843">
      <w:bodyDiv w:val="1"/>
      <w:marLeft w:val="0"/>
      <w:marRight w:val="0"/>
      <w:marTop w:val="0"/>
      <w:marBottom w:val="0"/>
      <w:divBdr>
        <w:top w:val="none" w:sz="0" w:space="0" w:color="auto"/>
        <w:left w:val="none" w:sz="0" w:space="0" w:color="auto"/>
        <w:bottom w:val="none" w:sz="0" w:space="0" w:color="auto"/>
        <w:right w:val="none" w:sz="0" w:space="0" w:color="auto"/>
      </w:divBdr>
    </w:div>
    <w:div w:id="692993302">
      <w:bodyDiv w:val="1"/>
      <w:marLeft w:val="0"/>
      <w:marRight w:val="0"/>
      <w:marTop w:val="0"/>
      <w:marBottom w:val="0"/>
      <w:divBdr>
        <w:top w:val="none" w:sz="0" w:space="0" w:color="auto"/>
        <w:left w:val="none" w:sz="0" w:space="0" w:color="auto"/>
        <w:bottom w:val="none" w:sz="0" w:space="0" w:color="auto"/>
        <w:right w:val="none" w:sz="0" w:space="0" w:color="auto"/>
      </w:divBdr>
    </w:div>
    <w:div w:id="694305358">
      <w:bodyDiv w:val="1"/>
      <w:marLeft w:val="0"/>
      <w:marRight w:val="0"/>
      <w:marTop w:val="0"/>
      <w:marBottom w:val="0"/>
      <w:divBdr>
        <w:top w:val="none" w:sz="0" w:space="0" w:color="auto"/>
        <w:left w:val="none" w:sz="0" w:space="0" w:color="auto"/>
        <w:bottom w:val="none" w:sz="0" w:space="0" w:color="auto"/>
        <w:right w:val="none" w:sz="0" w:space="0" w:color="auto"/>
      </w:divBdr>
    </w:div>
    <w:div w:id="704257106">
      <w:bodyDiv w:val="1"/>
      <w:marLeft w:val="0"/>
      <w:marRight w:val="0"/>
      <w:marTop w:val="0"/>
      <w:marBottom w:val="0"/>
      <w:divBdr>
        <w:top w:val="none" w:sz="0" w:space="0" w:color="auto"/>
        <w:left w:val="none" w:sz="0" w:space="0" w:color="auto"/>
        <w:bottom w:val="none" w:sz="0" w:space="0" w:color="auto"/>
        <w:right w:val="none" w:sz="0" w:space="0" w:color="auto"/>
      </w:divBdr>
    </w:div>
    <w:div w:id="713047566">
      <w:bodyDiv w:val="1"/>
      <w:marLeft w:val="0"/>
      <w:marRight w:val="0"/>
      <w:marTop w:val="0"/>
      <w:marBottom w:val="0"/>
      <w:divBdr>
        <w:top w:val="none" w:sz="0" w:space="0" w:color="auto"/>
        <w:left w:val="none" w:sz="0" w:space="0" w:color="auto"/>
        <w:bottom w:val="none" w:sz="0" w:space="0" w:color="auto"/>
        <w:right w:val="none" w:sz="0" w:space="0" w:color="auto"/>
      </w:divBdr>
    </w:div>
    <w:div w:id="720983081">
      <w:bodyDiv w:val="1"/>
      <w:marLeft w:val="0"/>
      <w:marRight w:val="0"/>
      <w:marTop w:val="0"/>
      <w:marBottom w:val="0"/>
      <w:divBdr>
        <w:top w:val="none" w:sz="0" w:space="0" w:color="auto"/>
        <w:left w:val="none" w:sz="0" w:space="0" w:color="auto"/>
        <w:bottom w:val="none" w:sz="0" w:space="0" w:color="auto"/>
        <w:right w:val="none" w:sz="0" w:space="0" w:color="auto"/>
      </w:divBdr>
    </w:div>
    <w:div w:id="746340643">
      <w:bodyDiv w:val="1"/>
      <w:marLeft w:val="0"/>
      <w:marRight w:val="0"/>
      <w:marTop w:val="0"/>
      <w:marBottom w:val="0"/>
      <w:divBdr>
        <w:top w:val="none" w:sz="0" w:space="0" w:color="auto"/>
        <w:left w:val="none" w:sz="0" w:space="0" w:color="auto"/>
        <w:bottom w:val="none" w:sz="0" w:space="0" w:color="auto"/>
        <w:right w:val="none" w:sz="0" w:space="0" w:color="auto"/>
      </w:divBdr>
    </w:div>
    <w:div w:id="752892668">
      <w:bodyDiv w:val="1"/>
      <w:marLeft w:val="0"/>
      <w:marRight w:val="0"/>
      <w:marTop w:val="0"/>
      <w:marBottom w:val="0"/>
      <w:divBdr>
        <w:top w:val="none" w:sz="0" w:space="0" w:color="auto"/>
        <w:left w:val="none" w:sz="0" w:space="0" w:color="auto"/>
        <w:bottom w:val="none" w:sz="0" w:space="0" w:color="auto"/>
        <w:right w:val="none" w:sz="0" w:space="0" w:color="auto"/>
      </w:divBdr>
    </w:div>
    <w:div w:id="753821527">
      <w:bodyDiv w:val="1"/>
      <w:marLeft w:val="0"/>
      <w:marRight w:val="0"/>
      <w:marTop w:val="0"/>
      <w:marBottom w:val="0"/>
      <w:divBdr>
        <w:top w:val="none" w:sz="0" w:space="0" w:color="auto"/>
        <w:left w:val="none" w:sz="0" w:space="0" w:color="auto"/>
        <w:bottom w:val="none" w:sz="0" w:space="0" w:color="auto"/>
        <w:right w:val="none" w:sz="0" w:space="0" w:color="auto"/>
      </w:divBdr>
    </w:div>
    <w:div w:id="757478380">
      <w:bodyDiv w:val="1"/>
      <w:marLeft w:val="0"/>
      <w:marRight w:val="0"/>
      <w:marTop w:val="0"/>
      <w:marBottom w:val="0"/>
      <w:divBdr>
        <w:top w:val="none" w:sz="0" w:space="0" w:color="auto"/>
        <w:left w:val="none" w:sz="0" w:space="0" w:color="auto"/>
        <w:bottom w:val="none" w:sz="0" w:space="0" w:color="auto"/>
        <w:right w:val="none" w:sz="0" w:space="0" w:color="auto"/>
      </w:divBdr>
    </w:div>
    <w:div w:id="772826181">
      <w:bodyDiv w:val="1"/>
      <w:marLeft w:val="0"/>
      <w:marRight w:val="0"/>
      <w:marTop w:val="0"/>
      <w:marBottom w:val="0"/>
      <w:divBdr>
        <w:top w:val="none" w:sz="0" w:space="0" w:color="auto"/>
        <w:left w:val="none" w:sz="0" w:space="0" w:color="auto"/>
        <w:bottom w:val="none" w:sz="0" w:space="0" w:color="auto"/>
        <w:right w:val="none" w:sz="0" w:space="0" w:color="auto"/>
      </w:divBdr>
    </w:div>
    <w:div w:id="805047439">
      <w:bodyDiv w:val="1"/>
      <w:marLeft w:val="0"/>
      <w:marRight w:val="0"/>
      <w:marTop w:val="0"/>
      <w:marBottom w:val="0"/>
      <w:divBdr>
        <w:top w:val="none" w:sz="0" w:space="0" w:color="auto"/>
        <w:left w:val="none" w:sz="0" w:space="0" w:color="auto"/>
        <w:bottom w:val="none" w:sz="0" w:space="0" w:color="auto"/>
        <w:right w:val="none" w:sz="0" w:space="0" w:color="auto"/>
      </w:divBdr>
    </w:div>
    <w:div w:id="805314668">
      <w:bodyDiv w:val="1"/>
      <w:marLeft w:val="0"/>
      <w:marRight w:val="0"/>
      <w:marTop w:val="0"/>
      <w:marBottom w:val="0"/>
      <w:divBdr>
        <w:top w:val="none" w:sz="0" w:space="0" w:color="auto"/>
        <w:left w:val="none" w:sz="0" w:space="0" w:color="auto"/>
        <w:bottom w:val="none" w:sz="0" w:space="0" w:color="auto"/>
        <w:right w:val="none" w:sz="0" w:space="0" w:color="auto"/>
      </w:divBdr>
    </w:div>
    <w:div w:id="810177933">
      <w:bodyDiv w:val="1"/>
      <w:marLeft w:val="0"/>
      <w:marRight w:val="0"/>
      <w:marTop w:val="0"/>
      <w:marBottom w:val="0"/>
      <w:divBdr>
        <w:top w:val="none" w:sz="0" w:space="0" w:color="auto"/>
        <w:left w:val="none" w:sz="0" w:space="0" w:color="auto"/>
        <w:bottom w:val="none" w:sz="0" w:space="0" w:color="auto"/>
        <w:right w:val="none" w:sz="0" w:space="0" w:color="auto"/>
      </w:divBdr>
    </w:div>
    <w:div w:id="826167423">
      <w:bodyDiv w:val="1"/>
      <w:marLeft w:val="0"/>
      <w:marRight w:val="0"/>
      <w:marTop w:val="0"/>
      <w:marBottom w:val="0"/>
      <w:divBdr>
        <w:top w:val="none" w:sz="0" w:space="0" w:color="auto"/>
        <w:left w:val="none" w:sz="0" w:space="0" w:color="auto"/>
        <w:bottom w:val="none" w:sz="0" w:space="0" w:color="auto"/>
        <w:right w:val="none" w:sz="0" w:space="0" w:color="auto"/>
      </w:divBdr>
    </w:div>
    <w:div w:id="871843136">
      <w:bodyDiv w:val="1"/>
      <w:marLeft w:val="0"/>
      <w:marRight w:val="0"/>
      <w:marTop w:val="0"/>
      <w:marBottom w:val="0"/>
      <w:divBdr>
        <w:top w:val="none" w:sz="0" w:space="0" w:color="auto"/>
        <w:left w:val="none" w:sz="0" w:space="0" w:color="auto"/>
        <w:bottom w:val="none" w:sz="0" w:space="0" w:color="auto"/>
        <w:right w:val="none" w:sz="0" w:space="0" w:color="auto"/>
      </w:divBdr>
    </w:div>
    <w:div w:id="874974350">
      <w:bodyDiv w:val="1"/>
      <w:marLeft w:val="0"/>
      <w:marRight w:val="0"/>
      <w:marTop w:val="0"/>
      <w:marBottom w:val="0"/>
      <w:divBdr>
        <w:top w:val="none" w:sz="0" w:space="0" w:color="auto"/>
        <w:left w:val="none" w:sz="0" w:space="0" w:color="auto"/>
        <w:bottom w:val="none" w:sz="0" w:space="0" w:color="auto"/>
        <w:right w:val="none" w:sz="0" w:space="0" w:color="auto"/>
      </w:divBdr>
    </w:div>
    <w:div w:id="907497086">
      <w:bodyDiv w:val="1"/>
      <w:marLeft w:val="0"/>
      <w:marRight w:val="0"/>
      <w:marTop w:val="0"/>
      <w:marBottom w:val="0"/>
      <w:divBdr>
        <w:top w:val="none" w:sz="0" w:space="0" w:color="auto"/>
        <w:left w:val="none" w:sz="0" w:space="0" w:color="auto"/>
        <w:bottom w:val="none" w:sz="0" w:space="0" w:color="auto"/>
        <w:right w:val="none" w:sz="0" w:space="0" w:color="auto"/>
      </w:divBdr>
    </w:div>
    <w:div w:id="908342548">
      <w:bodyDiv w:val="1"/>
      <w:marLeft w:val="0"/>
      <w:marRight w:val="0"/>
      <w:marTop w:val="0"/>
      <w:marBottom w:val="0"/>
      <w:divBdr>
        <w:top w:val="none" w:sz="0" w:space="0" w:color="auto"/>
        <w:left w:val="none" w:sz="0" w:space="0" w:color="auto"/>
        <w:bottom w:val="none" w:sz="0" w:space="0" w:color="auto"/>
        <w:right w:val="none" w:sz="0" w:space="0" w:color="auto"/>
      </w:divBdr>
    </w:div>
    <w:div w:id="911352423">
      <w:bodyDiv w:val="1"/>
      <w:marLeft w:val="0"/>
      <w:marRight w:val="0"/>
      <w:marTop w:val="0"/>
      <w:marBottom w:val="0"/>
      <w:divBdr>
        <w:top w:val="none" w:sz="0" w:space="0" w:color="auto"/>
        <w:left w:val="none" w:sz="0" w:space="0" w:color="auto"/>
        <w:bottom w:val="none" w:sz="0" w:space="0" w:color="auto"/>
        <w:right w:val="none" w:sz="0" w:space="0" w:color="auto"/>
      </w:divBdr>
    </w:div>
    <w:div w:id="930237759">
      <w:bodyDiv w:val="1"/>
      <w:marLeft w:val="0"/>
      <w:marRight w:val="0"/>
      <w:marTop w:val="0"/>
      <w:marBottom w:val="0"/>
      <w:divBdr>
        <w:top w:val="none" w:sz="0" w:space="0" w:color="auto"/>
        <w:left w:val="none" w:sz="0" w:space="0" w:color="auto"/>
        <w:bottom w:val="none" w:sz="0" w:space="0" w:color="auto"/>
        <w:right w:val="none" w:sz="0" w:space="0" w:color="auto"/>
      </w:divBdr>
    </w:div>
    <w:div w:id="932739348">
      <w:bodyDiv w:val="1"/>
      <w:marLeft w:val="0"/>
      <w:marRight w:val="0"/>
      <w:marTop w:val="0"/>
      <w:marBottom w:val="0"/>
      <w:divBdr>
        <w:top w:val="none" w:sz="0" w:space="0" w:color="auto"/>
        <w:left w:val="none" w:sz="0" w:space="0" w:color="auto"/>
        <w:bottom w:val="none" w:sz="0" w:space="0" w:color="auto"/>
        <w:right w:val="none" w:sz="0" w:space="0" w:color="auto"/>
      </w:divBdr>
    </w:div>
    <w:div w:id="979382124">
      <w:bodyDiv w:val="1"/>
      <w:marLeft w:val="0"/>
      <w:marRight w:val="0"/>
      <w:marTop w:val="0"/>
      <w:marBottom w:val="0"/>
      <w:divBdr>
        <w:top w:val="none" w:sz="0" w:space="0" w:color="auto"/>
        <w:left w:val="none" w:sz="0" w:space="0" w:color="auto"/>
        <w:bottom w:val="none" w:sz="0" w:space="0" w:color="auto"/>
        <w:right w:val="none" w:sz="0" w:space="0" w:color="auto"/>
      </w:divBdr>
    </w:div>
    <w:div w:id="987975543">
      <w:bodyDiv w:val="1"/>
      <w:marLeft w:val="0"/>
      <w:marRight w:val="0"/>
      <w:marTop w:val="0"/>
      <w:marBottom w:val="0"/>
      <w:divBdr>
        <w:top w:val="none" w:sz="0" w:space="0" w:color="auto"/>
        <w:left w:val="none" w:sz="0" w:space="0" w:color="auto"/>
        <w:bottom w:val="none" w:sz="0" w:space="0" w:color="auto"/>
        <w:right w:val="none" w:sz="0" w:space="0" w:color="auto"/>
      </w:divBdr>
    </w:div>
    <w:div w:id="1002050178">
      <w:bodyDiv w:val="1"/>
      <w:marLeft w:val="0"/>
      <w:marRight w:val="0"/>
      <w:marTop w:val="0"/>
      <w:marBottom w:val="0"/>
      <w:divBdr>
        <w:top w:val="none" w:sz="0" w:space="0" w:color="auto"/>
        <w:left w:val="none" w:sz="0" w:space="0" w:color="auto"/>
        <w:bottom w:val="none" w:sz="0" w:space="0" w:color="auto"/>
        <w:right w:val="none" w:sz="0" w:space="0" w:color="auto"/>
      </w:divBdr>
    </w:div>
    <w:div w:id="1033966488">
      <w:bodyDiv w:val="1"/>
      <w:marLeft w:val="0"/>
      <w:marRight w:val="0"/>
      <w:marTop w:val="0"/>
      <w:marBottom w:val="0"/>
      <w:divBdr>
        <w:top w:val="none" w:sz="0" w:space="0" w:color="auto"/>
        <w:left w:val="none" w:sz="0" w:space="0" w:color="auto"/>
        <w:bottom w:val="none" w:sz="0" w:space="0" w:color="auto"/>
        <w:right w:val="none" w:sz="0" w:space="0" w:color="auto"/>
      </w:divBdr>
    </w:div>
    <w:div w:id="1041832065">
      <w:bodyDiv w:val="1"/>
      <w:marLeft w:val="0"/>
      <w:marRight w:val="0"/>
      <w:marTop w:val="0"/>
      <w:marBottom w:val="0"/>
      <w:divBdr>
        <w:top w:val="none" w:sz="0" w:space="0" w:color="auto"/>
        <w:left w:val="none" w:sz="0" w:space="0" w:color="auto"/>
        <w:bottom w:val="none" w:sz="0" w:space="0" w:color="auto"/>
        <w:right w:val="none" w:sz="0" w:space="0" w:color="auto"/>
      </w:divBdr>
    </w:div>
    <w:div w:id="1063219668">
      <w:bodyDiv w:val="1"/>
      <w:marLeft w:val="0"/>
      <w:marRight w:val="0"/>
      <w:marTop w:val="0"/>
      <w:marBottom w:val="0"/>
      <w:divBdr>
        <w:top w:val="none" w:sz="0" w:space="0" w:color="auto"/>
        <w:left w:val="none" w:sz="0" w:space="0" w:color="auto"/>
        <w:bottom w:val="none" w:sz="0" w:space="0" w:color="auto"/>
        <w:right w:val="none" w:sz="0" w:space="0" w:color="auto"/>
      </w:divBdr>
    </w:div>
    <w:div w:id="1067266879">
      <w:bodyDiv w:val="1"/>
      <w:marLeft w:val="0"/>
      <w:marRight w:val="0"/>
      <w:marTop w:val="0"/>
      <w:marBottom w:val="0"/>
      <w:divBdr>
        <w:top w:val="none" w:sz="0" w:space="0" w:color="auto"/>
        <w:left w:val="none" w:sz="0" w:space="0" w:color="auto"/>
        <w:bottom w:val="none" w:sz="0" w:space="0" w:color="auto"/>
        <w:right w:val="none" w:sz="0" w:space="0" w:color="auto"/>
      </w:divBdr>
    </w:div>
    <w:div w:id="1097941015">
      <w:bodyDiv w:val="1"/>
      <w:marLeft w:val="0"/>
      <w:marRight w:val="0"/>
      <w:marTop w:val="0"/>
      <w:marBottom w:val="0"/>
      <w:divBdr>
        <w:top w:val="none" w:sz="0" w:space="0" w:color="auto"/>
        <w:left w:val="none" w:sz="0" w:space="0" w:color="auto"/>
        <w:bottom w:val="none" w:sz="0" w:space="0" w:color="auto"/>
        <w:right w:val="none" w:sz="0" w:space="0" w:color="auto"/>
      </w:divBdr>
    </w:div>
    <w:div w:id="1120343642">
      <w:bodyDiv w:val="1"/>
      <w:marLeft w:val="0"/>
      <w:marRight w:val="0"/>
      <w:marTop w:val="0"/>
      <w:marBottom w:val="0"/>
      <w:divBdr>
        <w:top w:val="none" w:sz="0" w:space="0" w:color="auto"/>
        <w:left w:val="none" w:sz="0" w:space="0" w:color="auto"/>
        <w:bottom w:val="none" w:sz="0" w:space="0" w:color="auto"/>
        <w:right w:val="none" w:sz="0" w:space="0" w:color="auto"/>
      </w:divBdr>
    </w:div>
    <w:div w:id="1125662955">
      <w:bodyDiv w:val="1"/>
      <w:marLeft w:val="0"/>
      <w:marRight w:val="0"/>
      <w:marTop w:val="0"/>
      <w:marBottom w:val="0"/>
      <w:divBdr>
        <w:top w:val="none" w:sz="0" w:space="0" w:color="auto"/>
        <w:left w:val="none" w:sz="0" w:space="0" w:color="auto"/>
        <w:bottom w:val="none" w:sz="0" w:space="0" w:color="auto"/>
        <w:right w:val="none" w:sz="0" w:space="0" w:color="auto"/>
      </w:divBdr>
    </w:div>
    <w:div w:id="1132167074">
      <w:bodyDiv w:val="1"/>
      <w:marLeft w:val="0"/>
      <w:marRight w:val="0"/>
      <w:marTop w:val="0"/>
      <w:marBottom w:val="0"/>
      <w:divBdr>
        <w:top w:val="none" w:sz="0" w:space="0" w:color="auto"/>
        <w:left w:val="none" w:sz="0" w:space="0" w:color="auto"/>
        <w:bottom w:val="none" w:sz="0" w:space="0" w:color="auto"/>
        <w:right w:val="none" w:sz="0" w:space="0" w:color="auto"/>
      </w:divBdr>
    </w:div>
    <w:div w:id="1133403271">
      <w:bodyDiv w:val="1"/>
      <w:marLeft w:val="0"/>
      <w:marRight w:val="0"/>
      <w:marTop w:val="0"/>
      <w:marBottom w:val="0"/>
      <w:divBdr>
        <w:top w:val="none" w:sz="0" w:space="0" w:color="auto"/>
        <w:left w:val="none" w:sz="0" w:space="0" w:color="auto"/>
        <w:bottom w:val="none" w:sz="0" w:space="0" w:color="auto"/>
        <w:right w:val="none" w:sz="0" w:space="0" w:color="auto"/>
      </w:divBdr>
    </w:div>
    <w:div w:id="1135874021">
      <w:bodyDiv w:val="1"/>
      <w:marLeft w:val="0"/>
      <w:marRight w:val="0"/>
      <w:marTop w:val="0"/>
      <w:marBottom w:val="0"/>
      <w:divBdr>
        <w:top w:val="none" w:sz="0" w:space="0" w:color="auto"/>
        <w:left w:val="none" w:sz="0" w:space="0" w:color="auto"/>
        <w:bottom w:val="none" w:sz="0" w:space="0" w:color="auto"/>
        <w:right w:val="none" w:sz="0" w:space="0" w:color="auto"/>
      </w:divBdr>
    </w:div>
    <w:div w:id="1160583871">
      <w:bodyDiv w:val="1"/>
      <w:marLeft w:val="0"/>
      <w:marRight w:val="0"/>
      <w:marTop w:val="0"/>
      <w:marBottom w:val="0"/>
      <w:divBdr>
        <w:top w:val="none" w:sz="0" w:space="0" w:color="auto"/>
        <w:left w:val="none" w:sz="0" w:space="0" w:color="auto"/>
        <w:bottom w:val="none" w:sz="0" w:space="0" w:color="auto"/>
        <w:right w:val="none" w:sz="0" w:space="0" w:color="auto"/>
      </w:divBdr>
    </w:div>
    <w:div w:id="1202211618">
      <w:bodyDiv w:val="1"/>
      <w:marLeft w:val="0"/>
      <w:marRight w:val="0"/>
      <w:marTop w:val="0"/>
      <w:marBottom w:val="0"/>
      <w:divBdr>
        <w:top w:val="none" w:sz="0" w:space="0" w:color="auto"/>
        <w:left w:val="none" w:sz="0" w:space="0" w:color="auto"/>
        <w:bottom w:val="none" w:sz="0" w:space="0" w:color="auto"/>
        <w:right w:val="none" w:sz="0" w:space="0" w:color="auto"/>
      </w:divBdr>
    </w:div>
    <w:div w:id="1226837192">
      <w:bodyDiv w:val="1"/>
      <w:marLeft w:val="0"/>
      <w:marRight w:val="0"/>
      <w:marTop w:val="0"/>
      <w:marBottom w:val="0"/>
      <w:divBdr>
        <w:top w:val="none" w:sz="0" w:space="0" w:color="auto"/>
        <w:left w:val="none" w:sz="0" w:space="0" w:color="auto"/>
        <w:bottom w:val="none" w:sz="0" w:space="0" w:color="auto"/>
        <w:right w:val="none" w:sz="0" w:space="0" w:color="auto"/>
      </w:divBdr>
    </w:div>
    <w:div w:id="1244875548">
      <w:bodyDiv w:val="1"/>
      <w:marLeft w:val="0"/>
      <w:marRight w:val="0"/>
      <w:marTop w:val="0"/>
      <w:marBottom w:val="0"/>
      <w:divBdr>
        <w:top w:val="none" w:sz="0" w:space="0" w:color="auto"/>
        <w:left w:val="none" w:sz="0" w:space="0" w:color="auto"/>
        <w:bottom w:val="none" w:sz="0" w:space="0" w:color="auto"/>
        <w:right w:val="none" w:sz="0" w:space="0" w:color="auto"/>
      </w:divBdr>
    </w:div>
    <w:div w:id="1274675471">
      <w:bodyDiv w:val="1"/>
      <w:marLeft w:val="0"/>
      <w:marRight w:val="0"/>
      <w:marTop w:val="0"/>
      <w:marBottom w:val="0"/>
      <w:divBdr>
        <w:top w:val="none" w:sz="0" w:space="0" w:color="auto"/>
        <w:left w:val="none" w:sz="0" w:space="0" w:color="auto"/>
        <w:bottom w:val="none" w:sz="0" w:space="0" w:color="auto"/>
        <w:right w:val="none" w:sz="0" w:space="0" w:color="auto"/>
      </w:divBdr>
    </w:div>
    <w:div w:id="1286161708">
      <w:bodyDiv w:val="1"/>
      <w:marLeft w:val="0"/>
      <w:marRight w:val="0"/>
      <w:marTop w:val="0"/>
      <w:marBottom w:val="0"/>
      <w:divBdr>
        <w:top w:val="none" w:sz="0" w:space="0" w:color="auto"/>
        <w:left w:val="none" w:sz="0" w:space="0" w:color="auto"/>
        <w:bottom w:val="none" w:sz="0" w:space="0" w:color="auto"/>
        <w:right w:val="none" w:sz="0" w:space="0" w:color="auto"/>
      </w:divBdr>
    </w:div>
    <w:div w:id="1300116114">
      <w:bodyDiv w:val="1"/>
      <w:marLeft w:val="0"/>
      <w:marRight w:val="0"/>
      <w:marTop w:val="0"/>
      <w:marBottom w:val="0"/>
      <w:divBdr>
        <w:top w:val="none" w:sz="0" w:space="0" w:color="auto"/>
        <w:left w:val="none" w:sz="0" w:space="0" w:color="auto"/>
        <w:bottom w:val="none" w:sz="0" w:space="0" w:color="auto"/>
        <w:right w:val="none" w:sz="0" w:space="0" w:color="auto"/>
      </w:divBdr>
    </w:div>
    <w:div w:id="1337538162">
      <w:bodyDiv w:val="1"/>
      <w:marLeft w:val="0"/>
      <w:marRight w:val="0"/>
      <w:marTop w:val="0"/>
      <w:marBottom w:val="0"/>
      <w:divBdr>
        <w:top w:val="none" w:sz="0" w:space="0" w:color="auto"/>
        <w:left w:val="none" w:sz="0" w:space="0" w:color="auto"/>
        <w:bottom w:val="none" w:sz="0" w:space="0" w:color="auto"/>
        <w:right w:val="none" w:sz="0" w:space="0" w:color="auto"/>
      </w:divBdr>
    </w:div>
    <w:div w:id="1348943963">
      <w:bodyDiv w:val="1"/>
      <w:marLeft w:val="0"/>
      <w:marRight w:val="0"/>
      <w:marTop w:val="0"/>
      <w:marBottom w:val="0"/>
      <w:divBdr>
        <w:top w:val="none" w:sz="0" w:space="0" w:color="auto"/>
        <w:left w:val="none" w:sz="0" w:space="0" w:color="auto"/>
        <w:bottom w:val="none" w:sz="0" w:space="0" w:color="auto"/>
        <w:right w:val="none" w:sz="0" w:space="0" w:color="auto"/>
      </w:divBdr>
    </w:div>
    <w:div w:id="1355157836">
      <w:bodyDiv w:val="1"/>
      <w:marLeft w:val="0"/>
      <w:marRight w:val="0"/>
      <w:marTop w:val="0"/>
      <w:marBottom w:val="0"/>
      <w:divBdr>
        <w:top w:val="none" w:sz="0" w:space="0" w:color="auto"/>
        <w:left w:val="none" w:sz="0" w:space="0" w:color="auto"/>
        <w:bottom w:val="none" w:sz="0" w:space="0" w:color="auto"/>
        <w:right w:val="none" w:sz="0" w:space="0" w:color="auto"/>
      </w:divBdr>
    </w:div>
    <w:div w:id="1372456596">
      <w:bodyDiv w:val="1"/>
      <w:marLeft w:val="0"/>
      <w:marRight w:val="0"/>
      <w:marTop w:val="0"/>
      <w:marBottom w:val="0"/>
      <w:divBdr>
        <w:top w:val="none" w:sz="0" w:space="0" w:color="auto"/>
        <w:left w:val="none" w:sz="0" w:space="0" w:color="auto"/>
        <w:bottom w:val="none" w:sz="0" w:space="0" w:color="auto"/>
        <w:right w:val="none" w:sz="0" w:space="0" w:color="auto"/>
      </w:divBdr>
    </w:div>
    <w:div w:id="1373459409">
      <w:bodyDiv w:val="1"/>
      <w:marLeft w:val="0"/>
      <w:marRight w:val="0"/>
      <w:marTop w:val="0"/>
      <w:marBottom w:val="0"/>
      <w:divBdr>
        <w:top w:val="none" w:sz="0" w:space="0" w:color="auto"/>
        <w:left w:val="none" w:sz="0" w:space="0" w:color="auto"/>
        <w:bottom w:val="none" w:sz="0" w:space="0" w:color="auto"/>
        <w:right w:val="none" w:sz="0" w:space="0" w:color="auto"/>
      </w:divBdr>
    </w:div>
    <w:div w:id="1381978138">
      <w:bodyDiv w:val="1"/>
      <w:marLeft w:val="0"/>
      <w:marRight w:val="0"/>
      <w:marTop w:val="0"/>
      <w:marBottom w:val="0"/>
      <w:divBdr>
        <w:top w:val="none" w:sz="0" w:space="0" w:color="auto"/>
        <w:left w:val="none" w:sz="0" w:space="0" w:color="auto"/>
        <w:bottom w:val="none" w:sz="0" w:space="0" w:color="auto"/>
        <w:right w:val="none" w:sz="0" w:space="0" w:color="auto"/>
      </w:divBdr>
    </w:div>
    <w:div w:id="1402213253">
      <w:bodyDiv w:val="1"/>
      <w:marLeft w:val="0"/>
      <w:marRight w:val="0"/>
      <w:marTop w:val="0"/>
      <w:marBottom w:val="0"/>
      <w:divBdr>
        <w:top w:val="none" w:sz="0" w:space="0" w:color="auto"/>
        <w:left w:val="none" w:sz="0" w:space="0" w:color="auto"/>
        <w:bottom w:val="none" w:sz="0" w:space="0" w:color="auto"/>
        <w:right w:val="none" w:sz="0" w:space="0" w:color="auto"/>
      </w:divBdr>
    </w:div>
    <w:div w:id="1405493521">
      <w:bodyDiv w:val="1"/>
      <w:marLeft w:val="0"/>
      <w:marRight w:val="0"/>
      <w:marTop w:val="0"/>
      <w:marBottom w:val="0"/>
      <w:divBdr>
        <w:top w:val="none" w:sz="0" w:space="0" w:color="auto"/>
        <w:left w:val="none" w:sz="0" w:space="0" w:color="auto"/>
        <w:bottom w:val="none" w:sz="0" w:space="0" w:color="auto"/>
        <w:right w:val="none" w:sz="0" w:space="0" w:color="auto"/>
      </w:divBdr>
    </w:div>
    <w:div w:id="1411194033">
      <w:bodyDiv w:val="1"/>
      <w:marLeft w:val="0"/>
      <w:marRight w:val="0"/>
      <w:marTop w:val="0"/>
      <w:marBottom w:val="0"/>
      <w:divBdr>
        <w:top w:val="none" w:sz="0" w:space="0" w:color="auto"/>
        <w:left w:val="none" w:sz="0" w:space="0" w:color="auto"/>
        <w:bottom w:val="none" w:sz="0" w:space="0" w:color="auto"/>
        <w:right w:val="none" w:sz="0" w:space="0" w:color="auto"/>
      </w:divBdr>
    </w:div>
    <w:div w:id="1415512166">
      <w:bodyDiv w:val="1"/>
      <w:marLeft w:val="0"/>
      <w:marRight w:val="0"/>
      <w:marTop w:val="0"/>
      <w:marBottom w:val="0"/>
      <w:divBdr>
        <w:top w:val="none" w:sz="0" w:space="0" w:color="auto"/>
        <w:left w:val="none" w:sz="0" w:space="0" w:color="auto"/>
        <w:bottom w:val="none" w:sz="0" w:space="0" w:color="auto"/>
        <w:right w:val="none" w:sz="0" w:space="0" w:color="auto"/>
      </w:divBdr>
    </w:div>
    <w:div w:id="1423144179">
      <w:bodyDiv w:val="1"/>
      <w:marLeft w:val="0"/>
      <w:marRight w:val="0"/>
      <w:marTop w:val="0"/>
      <w:marBottom w:val="0"/>
      <w:divBdr>
        <w:top w:val="none" w:sz="0" w:space="0" w:color="auto"/>
        <w:left w:val="none" w:sz="0" w:space="0" w:color="auto"/>
        <w:bottom w:val="none" w:sz="0" w:space="0" w:color="auto"/>
        <w:right w:val="none" w:sz="0" w:space="0" w:color="auto"/>
      </w:divBdr>
    </w:div>
    <w:div w:id="1430083655">
      <w:bodyDiv w:val="1"/>
      <w:marLeft w:val="0"/>
      <w:marRight w:val="0"/>
      <w:marTop w:val="0"/>
      <w:marBottom w:val="0"/>
      <w:divBdr>
        <w:top w:val="none" w:sz="0" w:space="0" w:color="auto"/>
        <w:left w:val="none" w:sz="0" w:space="0" w:color="auto"/>
        <w:bottom w:val="none" w:sz="0" w:space="0" w:color="auto"/>
        <w:right w:val="none" w:sz="0" w:space="0" w:color="auto"/>
      </w:divBdr>
    </w:div>
    <w:div w:id="1430157076">
      <w:bodyDiv w:val="1"/>
      <w:marLeft w:val="0"/>
      <w:marRight w:val="0"/>
      <w:marTop w:val="0"/>
      <w:marBottom w:val="0"/>
      <w:divBdr>
        <w:top w:val="none" w:sz="0" w:space="0" w:color="auto"/>
        <w:left w:val="none" w:sz="0" w:space="0" w:color="auto"/>
        <w:bottom w:val="none" w:sz="0" w:space="0" w:color="auto"/>
        <w:right w:val="none" w:sz="0" w:space="0" w:color="auto"/>
      </w:divBdr>
    </w:div>
    <w:div w:id="1433237430">
      <w:bodyDiv w:val="1"/>
      <w:marLeft w:val="0"/>
      <w:marRight w:val="0"/>
      <w:marTop w:val="0"/>
      <w:marBottom w:val="0"/>
      <w:divBdr>
        <w:top w:val="none" w:sz="0" w:space="0" w:color="auto"/>
        <w:left w:val="none" w:sz="0" w:space="0" w:color="auto"/>
        <w:bottom w:val="none" w:sz="0" w:space="0" w:color="auto"/>
        <w:right w:val="none" w:sz="0" w:space="0" w:color="auto"/>
      </w:divBdr>
    </w:div>
    <w:div w:id="1447846801">
      <w:bodyDiv w:val="1"/>
      <w:marLeft w:val="0"/>
      <w:marRight w:val="0"/>
      <w:marTop w:val="0"/>
      <w:marBottom w:val="0"/>
      <w:divBdr>
        <w:top w:val="none" w:sz="0" w:space="0" w:color="auto"/>
        <w:left w:val="none" w:sz="0" w:space="0" w:color="auto"/>
        <w:bottom w:val="none" w:sz="0" w:space="0" w:color="auto"/>
        <w:right w:val="none" w:sz="0" w:space="0" w:color="auto"/>
      </w:divBdr>
    </w:div>
    <w:div w:id="1453671549">
      <w:bodyDiv w:val="1"/>
      <w:marLeft w:val="0"/>
      <w:marRight w:val="0"/>
      <w:marTop w:val="0"/>
      <w:marBottom w:val="0"/>
      <w:divBdr>
        <w:top w:val="none" w:sz="0" w:space="0" w:color="auto"/>
        <w:left w:val="none" w:sz="0" w:space="0" w:color="auto"/>
        <w:bottom w:val="none" w:sz="0" w:space="0" w:color="auto"/>
        <w:right w:val="none" w:sz="0" w:space="0" w:color="auto"/>
      </w:divBdr>
    </w:div>
    <w:div w:id="1455513465">
      <w:bodyDiv w:val="1"/>
      <w:marLeft w:val="0"/>
      <w:marRight w:val="0"/>
      <w:marTop w:val="0"/>
      <w:marBottom w:val="0"/>
      <w:divBdr>
        <w:top w:val="none" w:sz="0" w:space="0" w:color="auto"/>
        <w:left w:val="none" w:sz="0" w:space="0" w:color="auto"/>
        <w:bottom w:val="none" w:sz="0" w:space="0" w:color="auto"/>
        <w:right w:val="none" w:sz="0" w:space="0" w:color="auto"/>
      </w:divBdr>
    </w:div>
    <w:div w:id="1474833953">
      <w:bodyDiv w:val="1"/>
      <w:marLeft w:val="0"/>
      <w:marRight w:val="0"/>
      <w:marTop w:val="0"/>
      <w:marBottom w:val="0"/>
      <w:divBdr>
        <w:top w:val="none" w:sz="0" w:space="0" w:color="auto"/>
        <w:left w:val="none" w:sz="0" w:space="0" w:color="auto"/>
        <w:bottom w:val="none" w:sz="0" w:space="0" w:color="auto"/>
        <w:right w:val="none" w:sz="0" w:space="0" w:color="auto"/>
      </w:divBdr>
    </w:div>
    <w:div w:id="1487819230">
      <w:bodyDiv w:val="1"/>
      <w:marLeft w:val="0"/>
      <w:marRight w:val="0"/>
      <w:marTop w:val="0"/>
      <w:marBottom w:val="0"/>
      <w:divBdr>
        <w:top w:val="none" w:sz="0" w:space="0" w:color="auto"/>
        <w:left w:val="none" w:sz="0" w:space="0" w:color="auto"/>
        <w:bottom w:val="none" w:sz="0" w:space="0" w:color="auto"/>
        <w:right w:val="none" w:sz="0" w:space="0" w:color="auto"/>
      </w:divBdr>
    </w:div>
    <w:div w:id="1531796872">
      <w:bodyDiv w:val="1"/>
      <w:marLeft w:val="0"/>
      <w:marRight w:val="0"/>
      <w:marTop w:val="0"/>
      <w:marBottom w:val="0"/>
      <w:divBdr>
        <w:top w:val="none" w:sz="0" w:space="0" w:color="auto"/>
        <w:left w:val="none" w:sz="0" w:space="0" w:color="auto"/>
        <w:bottom w:val="none" w:sz="0" w:space="0" w:color="auto"/>
        <w:right w:val="none" w:sz="0" w:space="0" w:color="auto"/>
      </w:divBdr>
    </w:div>
    <w:div w:id="1542472346">
      <w:bodyDiv w:val="1"/>
      <w:marLeft w:val="0"/>
      <w:marRight w:val="0"/>
      <w:marTop w:val="0"/>
      <w:marBottom w:val="0"/>
      <w:divBdr>
        <w:top w:val="none" w:sz="0" w:space="0" w:color="auto"/>
        <w:left w:val="none" w:sz="0" w:space="0" w:color="auto"/>
        <w:bottom w:val="none" w:sz="0" w:space="0" w:color="auto"/>
        <w:right w:val="none" w:sz="0" w:space="0" w:color="auto"/>
      </w:divBdr>
    </w:div>
    <w:div w:id="1577977197">
      <w:bodyDiv w:val="1"/>
      <w:marLeft w:val="0"/>
      <w:marRight w:val="0"/>
      <w:marTop w:val="0"/>
      <w:marBottom w:val="0"/>
      <w:divBdr>
        <w:top w:val="none" w:sz="0" w:space="0" w:color="auto"/>
        <w:left w:val="none" w:sz="0" w:space="0" w:color="auto"/>
        <w:bottom w:val="none" w:sz="0" w:space="0" w:color="auto"/>
        <w:right w:val="none" w:sz="0" w:space="0" w:color="auto"/>
      </w:divBdr>
    </w:div>
    <w:div w:id="1621692260">
      <w:bodyDiv w:val="1"/>
      <w:marLeft w:val="0"/>
      <w:marRight w:val="0"/>
      <w:marTop w:val="0"/>
      <w:marBottom w:val="0"/>
      <w:divBdr>
        <w:top w:val="none" w:sz="0" w:space="0" w:color="auto"/>
        <w:left w:val="none" w:sz="0" w:space="0" w:color="auto"/>
        <w:bottom w:val="none" w:sz="0" w:space="0" w:color="auto"/>
        <w:right w:val="none" w:sz="0" w:space="0" w:color="auto"/>
      </w:divBdr>
    </w:div>
    <w:div w:id="1632707219">
      <w:bodyDiv w:val="1"/>
      <w:marLeft w:val="0"/>
      <w:marRight w:val="0"/>
      <w:marTop w:val="0"/>
      <w:marBottom w:val="0"/>
      <w:divBdr>
        <w:top w:val="none" w:sz="0" w:space="0" w:color="auto"/>
        <w:left w:val="none" w:sz="0" w:space="0" w:color="auto"/>
        <w:bottom w:val="none" w:sz="0" w:space="0" w:color="auto"/>
        <w:right w:val="none" w:sz="0" w:space="0" w:color="auto"/>
      </w:divBdr>
    </w:div>
    <w:div w:id="1676568455">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73936697">
      <w:bodyDiv w:val="1"/>
      <w:marLeft w:val="0"/>
      <w:marRight w:val="0"/>
      <w:marTop w:val="0"/>
      <w:marBottom w:val="0"/>
      <w:divBdr>
        <w:top w:val="none" w:sz="0" w:space="0" w:color="auto"/>
        <w:left w:val="none" w:sz="0" w:space="0" w:color="auto"/>
        <w:bottom w:val="none" w:sz="0" w:space="0" w:color="auto"/>
        <w:right w:val="none" w:sz="0" w:space="0" w:color="auto"/>
      </w:divBdr>
    </w:div>
    <w:div w:id="1788892984">
      <w:bodyDiv w:val="1"/>
      <w:marLeft w:val="0"/>
      <w:marRight w:val="0"/>
      <w:marTop w:val="0"/>
      <w:marBottom w:val="0"/>
      <w:divBdr>
        <w:top w:val="none" w:sz="0" w:space="0" w:color="auto"/>
        <w:left w:val="none" w:sz="0" w:space="0" w:color="auto"/>
        <w:bottom w:val="none" w:sz="0" w:space="0" w:color="auto"/>
        <w:right w:val="none" w:sz="0" w:space="0" w:color="auto"/>
      </w:divBdr>
    </w:div>
    <w:div w:id="1790778865">
      <w:bodyDiv w:val="1"/>
      <w:marLeft w:val="0"/>
      <w:marRight w:val="0"/>
      <w:marTop w:val="0"/>
      <w:marBottom w:val="0"/>
      <w:divBdr>
        <w:top w:val="none" w:sz="0" w:space="0" w:color="auto"/>
        <w:left w:val="none" w:sz="0" w:space="0" w:color="auto"/>
        <w:bottom w:val="none" w:sz="0" w:space="0" w:color="auto"/>
        <w:right w:val="none" w:sz="0" w:space="0" w:color="auto"/>
      </w:divBdr>
    </w:div>
    <w:div w:id="1795639327">
      <w:bodyDiv w:val="1"/>
      <w:marLeft w:val="0"/>
      <w:marRight w:val="0"/>
      <w:marTop w:val="0"/>
      <w:marBottom w:val="0"/>
      <w:divBdr>
        <w:top w:val="none" w:sz="0" w:space="0" w:color="auto"/>
        <w:left w:val="none" w:sz="0" w:space="0" w:color="auto"/>
        <w:bottom w:val="none" w:sz="0" w:space="0" w:color="auto"/>
        <w:right w:val="none" w:sz="0" w:space="0" w:color="auto"/>
      </w:divBdr>
    </w:div>
    <w:div w:id="1824813809">
      <w:bodyDiv w:val="1"/>
      <w:marLeft w:val="0"/>
      <w:marRight w:val="0"/>
      <w:marTop w:val="0"/>
      <w:marBottom w:val="0"/>
      <w:divBdr>
        <w:top w:val="none" w:sz="0" w:space="0" w:color="auto"/>
        <w:left w:val="none" w:sz="0" w:space="0" w:color="auto"/>
        <w:bottom w:val="none" w:sz="0" w:space="0" w:color="auto"/>
        <w:right w:val="none" w:sz="0" w:space="0" w:color="auto"/>
      </w:divBdr>
    </w:div>
    <w:div w:id="1833333939">
      <w:bodyDiv w:val="1"/>
      <w:marLeft w:val="0"/>
      <w:marRight w:val="0"/>
      <w:marTop w:val="0"/>
      <w:marBottom w:val="0"/>
      <w:divBdr>
        <w:top w:val="none" w:sz="0" w:space="0" w:color="auto"/>
        <w:left w:val="none" w:sz="0" w:space="0" w:color="auto"/>
        <w:bottom w:val="none" w:sz="0" w:space="0" w:color="auto"/>
        <w:right w:val="none" w:sz="0" w:space="0" w:color="auto"/>
      </w:divBdr>
    </w:div>
    <w:div w:id="1838770375">
      <w:bodyDiv w:val="1"/>
      <w:marLeft w:val="0"/>
      <w:marRight w:val="0"/>
      <w:marTop w:val="0"/>
      <w:marBottom w:val="0"/>
      <w:divBdr>
        <w:top w:val="none" w:sz="0" w:space="0" w:color="auto"/>
        <w:left w:val="none" w:sz="0" w:space="0" w:color="auto"/>
        <w:bottom w:val="none" w:sz="0" w:space="0" w:color="auto"/>
        <w:right w:val="none" w:sz="0" w:space="0" w:color="auto"/>
      </w:divBdr>
    </w:div>
    <w:div w:id="1851290628">
      <w:bodyDiv w:val="1"/>
      <w:marLeft w:val="0"/>
      <w:marRight w:val="0"/>
      <w:marTop w:val="0"/>
      <w:marBottom w:val="0"/>
      <w:divBdr>
        <w:top w:val="none" w:sz="0" w:space="0" w:color="auto"/>
        <w:left w:val="none" w:sz="0" w:space="0" w:color="auto"/>
        <w:bottom w:val="none" w:sz="0" w:space="0" w:color="auto"/>
        <w:right w:val="none" w:sz="0" w:space="0" w:color="auto"/>
      </w:divBdr>
    </w:div>
    <w:div w:id="1868985930">
      <w:bodyDiv w:val="1"/>
      <w:marLeft w:val="0"/>
      <w:marRight w:val="0"/>
      <w:marTop w:val="0"/>
      <w:marBottom w:val="0"/>
      <w:divBdr>
        <w:top w:val="none" w:sz="0" w:space="0" w:color="auto"/>
        <w:left w:val="none" w:sz="0" w:space="0" w:color="auto"/>
        <w:bottom w:val="none" w:sz="0" w:space="0" w:color="auto"/>
        <w:right w:val="none" w:sz="0" w:space="0" w:color="auto"/>
      </w:divBdr>
    </w:div>
    <w:div w:id="1873416768">
      <w:bodyDiv w:val="1"/>
      <w:marLeft w:val="0"/>
      <w:marRight w:val="0"/>
      <w:marTop w:val="0"/>
      <w:marBottom w:val="0"/>
      <w:divBdr>
        <w:top w:val="none" w:sz="0" w:space="0" w:color="auto"/>
        <w:left w:val="none" w:sz="0" w:space="0" w:color="auto"/>
        <w:bottom w:val="none" w:sz="0" w:space="0" w:color="auto"/>
        <w:right w:val="none" w:sz="0" w:space="0" w:color="auto"/>
      </w:divBdr>
    </w:div>
    <w:div w:id="1889533999">
      <w:bodyDiv w:val="1"/>
      <w:marLeft w:val="0"/>
      <w:marRight w:val="0"/>
      <w:marTop w:val="0"/>
      <w:marBottom w:val="0"/>
      <w:divBdr>
        <w:top w:val="none" w:sz="0" w:space="0" w:color="auto"/>
        <w:left w:val="none" w:sz="0" w:space="0" w:color="auto"/>
        <w:bottom w:val="none" w:sz="0" w:space="0" w:color="auto"/>
        <w:right w:val="none" w:sz="0" w:space="0" w:color="auto"/>
      </w:divBdr>
    </w:div>
    <w:div w:id="1897663564">
      <w:bodyDiv w:val="1"/>
      <w:marLeft w:val="0"/>
      <w:marRight w:val="0"/>
      <w:marTop w:val="0"/>
      <w:marBottom w:val="0"/>
      <w:divBdr>
        <w:top w:val="none" w:sz="0" w:space="0" w:color="auto"/>
        <w:left w:val="none" w:sz="0" w:space="0" w:color="auto"/>
        <w:bottom w:val="none" w:sz="0" w:space="0" w:color="auto"/>
        <w:right w:val="none" w:sz="0" w:space="0" w:color="auto"/>
      </w:divBdr>
    </w:div>
    <w:div w:id="1911889807">
      <w:bodyDiv w:val="1"/>
      <w:marLeft w:val="0"/>
      <w:marRight w:val="0"/>
      <w:marTop w:val="0"/>
      <w:marBottom w:val="0"/>
      <w:divBdr>
        <w:top w:val="none" w:sz="0" w:space="0" w:color="auto"/>
        <w:left w:val="none" w:sz="0" w:space="0" w:color="auto"/>
        <w:bottom w:val="none" w:sz="0" w:space="0" w:color="auto"/>
        <w:right w:val="none" w:sz="0" w:space="0" w:color="auto"/>
      </w:divBdr>
    </w:div>
    <w:div w:id="1930390036">
      <w:bodyDiv w:val="1"/>
      <w:marLeft w:val="0"/>
      <w:marRight w:val="0"/>
      <w:marTop w:val="0"/>
      <w:marBottom w:val="0"/>
      <w:divBdr>
        <w:top w:val="none" w:sz="0" w:space="0" w:color="auto"/>
        <w:left w:val="none" w:sz="0" w:space="0" w:color="auto"/>
        <w:bottom w:val="none" w:sz="0" w:space="0" w:color="auto"/>
        <w:right w:val="none" w:sz="0" w:space="0" w:color="auto"/>
      </w:divBdr>
    </w:div>
    <w:div w:id="1955214604">
      <w:bodyDiv w:val="1"/>
      <w:marLeft w:val="0"/>
      <w:marRight w:val="0"/>
      <w:marTop w:val="0"/>
      <w:marBottom w:val="0"/>
      <w:divBdr>
        <w:top w:val="none" w:sz="0" w:space="0" w:color="auto"/>
        <w:left w:val="none" w:sz="0" w:space="0" w:color="auto"/>
        <w:bottom w:val="none" w:sz="0" w:space="0" w:color="auto"/>
        <w:right w:val="none" w:sz="0" w:space="0" w:color="auto"/>
      </w:divBdr>
    </w:div>
    <w:div w:id="1957323950">
      <w:bodyDiv w:val="1"/>
      <w:marLeft w:val="0"/>
      <w:marRight w:val="0"/>
      <w:marTop w:val="0"/>
      <w:marBottom w:val="0"/>
      <w:divBdr>
        <w:top w:val="none" w:sz="0" w:space="0" w:color="auto"/>
        <w:left w:val="none" w:sz="0" w:space="0" w:color="auto"/>
        <w:bottom w:val="none" w:sz="0" w:space="0" w:color="auto"/>
        <w:right w:val="none" w:sz="0" w:space="0" w:color="auto"/>
      </w:divBdr>
    </w:div>
    <w:div w:id="2003970094">
      <w:bodyDiv w:val="1"/>
      <w:marLeft w:val="0"/>
      <w:marRight w:val="0"/>
      <w:marTop w:val="0"/>
      <w:marBottom w:val="0"/>
      <w:divBdr>
        <w:top w:val="none" w:sz="0" w:space="0" w:color="auto"/>
        <w:left w:val="none" w:sz="0" w:space="0" w:color="auto"/>
        <w:bottom w:val="none" w:sz="0" w:space="0" w:color="auto"/>
        <w:right w:val="none" w:sz="0" w:space="0" w:color="auto"/>
      </w:divBdr>
      <w:divsChild>
        <w:div w:id="679700160">
          <w:marLeft w:val="0"/>
          <w:marRight w:val="0"/>
          <w:marTop w:val="0"/>
          <w:marBottom w:val="0"/>
          <w:divBdr>
            <w:top w:val="none" w:sz="0" w:space="0" w:color="auto"/>
            <w:left w:val="none" w:sz="0" w:space="0" w:color="auto"/>
            <w:bottom w:val="none" w:sz="0" w:space="0" w:color="auto"/>
            <w:right w:val="none" w:sz="0" w:space="0" w:color="auto"/>
          </w:divBdr>
          <w:divsChild>
            <w:div w:id="590236725">
              <w:marLeft w:val="0"/>
              <w:marRight w:val="0"/>
              <w:marTop w:val="0"/>
              <w:marBottom w:val="0"/>
              <w:divBdr>
                <w:top w:val="none" w:sz="0" w:space="0" w:color="auto"/>
                <w:left w:val="none" w:sz="0" w:space="0" w:color="auto"/>
                <w:bottom w:val="none" w:sz="0" w:space="0" w:color="auto"/>
                <w:right w:val="none" w:sz="0" w:space="0" w:color="auto"/>
              </w:divBdr>
              <w:divsChild>
                <w:div w:id="9464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4248">
      <w:bodyDiv w:val="1"/>
      <w:marLeft w:val="0"/>
      <w:marRight w:val="0"/>
      <w:marTop w:val="0"/>
      <w:marBottom w:val="0"/>
      <w:divBdr>
        <w:top w:val="none" w:sz="0" w:space="0" w:color="auto"/>
        <w:left w:val="none" w:sz="0" w:space="0" w:color="auto"/>
        <w:bottom w:val="none" w:sz="0" w:space="0" w:color="auto"/>
        <w:right w:val="none" w:sz="0" w:space="0" w:color="auto"/>
      </w:divBdr>
    </w:div>
    <w:div w:id="2025983121">
      <w:bodyDiv w:val="1"/>
      <w:marLeft w:val="0"/>
      <w:marRight w:val="0"/>
      <w:marTop w:val="0"/>
      <w:marBottom w:val="0"/>
      <w:divBdr>
        <w:top w:val="none" w:sz="0" w:space="0" w:color="auto"/>
        <w:left w:val="none" w:sz="0" w:space="0" w:color="auto"/>
        <w:bottom w:val="none" w:sz="0" w:space="0" w:color="auto"/>
        <w:right w:val="none" w:sz="0" w:space="0" w:color="auto"/>
      </w:divBdr>
    </w:div>
    <w:div w:id="2026242879">
      <w:bodyDiv w:val="1"/>
      <w:marLeft w:val="0"/>
      <w:marRight w:val="0"/>
      <w:marTop w:val="0"/>
      <w:marBottom w:val="0"/>
      <w:divBdr>
        <w:top w:val="none" w:sz="0" w:space="0" w:color="auto"/>
        <w:left w:val="none" w:sz="0" w:space="0" w:color="auto"/>
        <w:bottom w:val="none" w:sz="0" w:space="0" w:color="auto"/>
        <w:right w:val="none" w:sz="0" w:space="0" w:color="auto"/>
      </w:divBdr>
    </w:div>
    <w:div w:id="2036226195">
      <w:bodyDiv w:val="1"/>
      <w:marLeft w:val="0"/>
      <w:marRight w:val="0"/>
      <w:marTop w:val="0"/>
      <w:marBottom w:val="0"/>
      <w:divBdr>
        <w:top w:val="none" w:sz="0" w:space="0" w:color="auto"/>
        <w:left w:val="none" w:sz="0" w:space="0" w:color="auto"/>
        <w:bottom w:val="none" w:sz="0" w:space="0" w:color="auto"/>
        <w:right w:val="none" w:sz="0" w:space="0" w:color="auto"/>
      </w:divBdr>
    </w:div>
    <w:div w:id="2039352856">
      <w:bodyDiv w:val="1"/>
      <w:marLeft w:val="0"/>
      <w:marRight w:val="0"/>
      <w:marTop w:val="0"/>
      <w:marBottom w:val="0"/>
      <w:divBdr>
        <w:top w:val="none" w:sz="0" w:space="0" w:color="auto"/>
        <w:left w:val="none" w:sz="0" w:space="0" w:color="auto"/>
        <w:bottom w:val="none" w:sz="0" w:space="0" w:color="auto"/>
        <w:right w:val="none" w:sz="0" w:space="0" w:color="auto"/>
      </w:divBdr>
    </w:div>
    <w:div w:id="2050103742">
      <w:bodyDiv w:val="1"/>
      <w:marLeft w:val="0"/>
      <w:marRight w:val="0"/>
      <w:marTop w:val="0"/>
      <w:marBottom w:val="0"/>
      <w:divBdr>
        <w:top w:val="none" w:sz="0" w:space="0" w:color="auto"/>
        <w:left w:val="none" w:sz="0" w:space="0" w:color="auto"/>
        <w:bottom w:val="none" w:sz="0" w:space="0" w:color="auto"/>
        <w:right w:val="none" w:sz="0" w:space="0" w:color="auto"/>
      </w:divBdr>
    </w:div>
    <w:div w:id="2084646404">
      <w:bodyDiv w:val="1"/>
      <w:marLeft w:val="0"/>
      <w:marRight w:val="0"/>
      <w:marTop w:val="0"/>
      <w:marBottom w:val="0"/>
      <w:divBdr>
        <w:top w:val="none" w:sz="0" w:space="0" w:color="auto"/>
        <w:left w:val="none" w:sz="0" w:space="0" w:color="auto"/>
        <w:bottom w:val="none" w:sz="0" w:space="0" w:color="auto"/>
        <w:right w:val="none" w:sz="0" w:space="0" w:color="auto"/>
      </w:divBdr>
    </w:div>
    <w:div w:id="2086995812">
      <w:bodyDiv w:val="1"/>
      <w:marLeft w:val="0"/>
      <w:marRight w:val="0"/>
      <w:marTop w:val="0"/>
      <w:marBottom w:val="0"/>
      <w:divBdr>
        <w:top w:val="none" w:sz="0" w:space="0" w:color="auto"/>
        <w:left w:val="none" w:sz="0" w:space="0" w:color="auto"/>
        <w:bottom w:val="none" w:sz="0" w:space="0" w:color="auto"/>
        <w:right w:val="none" w:sz="0" w:space="0" w:color="auto"/>
      </w:divBdr>
    </w:div>
    <w:div w:id="2097898311">
      <w:bodyDiv w:val="1"/>
      <w:marLeft w:val="0"/>
      <w:marRight w:val="0"/>
      <w:marTop w:val="0"/>
      <w:marBottom w:val="0"/>
      <w:divBdr>
        <w:top w:val="none" w:sz="0" w:space="0" w:color="auto"/>
        <w:left w:val="none" w:sz="0" w:space="0" w:color="auto"/>
        <w:bottom w:val="none" w:sz="0" w:space="0" w:color="auto"/>
        <w:right w:val="none" w:sz="0" w:space="0" w:color="auto"/>
      </w:divBdr>
    </w:div>
    <w:div w:id="2112625552">
      <w:bodyDiv w:val="1"/>
      <w:marLeft w:val="0"/>
      <w:marRight w:val="0"/>
      <w:marTop w:val="0"/>
      <w:marBottom w:val="0"/>
      <w:divBdr>
        <w:top w:val="none" w:sz="0" w:space="0" w:color="auto"/>
        <w:left w:val="none" w:sz="0" w:space="0" w:color="auto"/>
        <w:bottom w:val="none" w:sz="0" w:space="0" w:color="auto"/>
        <w:right w:val="none" w:sz="0" w:space="0" w:color="auto"/>
      </w:divBdr>
    </w:div>
    <w:div w:id="2124881373">
      <w:bodyDiv w:val="1"/>
      <w:marLeft w:val="0"/>
      <w:marRight w:val="0"/>
      <w:marTop w:val="0"/>
      <w:marBottom w:val="0"/>
      <w:divBdr>
        <w:top w:val="none" w:sz="0" w:space="0" w:color="auto"/>
        <w:left w:val="none" w:sz="0" w:space="0" w:color="auto"/>
        <w:bottom w:val="none" w:sz="0" w:space="0" w:color="auto"/>
        <w:right w:val="none" w:sz="0" w:space="0" w:color="auto"/>
      </w:divBdr>
    </w:div>
    <w:div w:id="2130782397">
      <w:bodyDiv w:val="1"/>
      <w:marLeft w:val="0"/>
      <w:marRight w:val="0"/>
      <w:marTop w:val="0"/>
      <w:marBottom w:val="0"/>
      <w:divBdr>
        <w:top w:val="none" w:sz="0" w:space="0" w:color="auto"/>
        <w:left w:val="none" w:sz="0" w:space="0" w:color="auto"/>
        <w:bottom w:val="none" w:sz="0" w:space="0" w:color="auto"/>
        <w:right w:val="none" w:sz="0" w:space="0" w:color="auto"/>
      </w:divBdr>
    </w:div>
    <w:div w:id="2134667262">
      <w:bodyDiv w:val="1"/>
      <w:marLeft w:val="0"/>
      <w:marRight w:val="0"/>
      <w:marTop w:val="0"/>
      <w:marBottom w:val="0"/>
      <w:divBdr>
        <w:top w:val="none" w:sz="0" w:space="0" w:color="auto"/>
        <w:left w:val="none" w:sz="0" w:space="0" w:color="auto"/>
        <w:bottom w:val="none" w:sz="0" w:space="0" w:color="auto"/>
        <w:right w:val="none" w:sz="0" w:space="0" w:color="auto"/>
      </w:divBdr>
    </w:div>
    <w:div w:id="213786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wmf"/><Relationship Id="rId42" Type="http://schemas.openxmlformats.org/officeDocument/2006/relationships/header" Target="header1.xml"/><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png"/><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oleObject" Target="embeddings/oleObject6.bin"/><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oleObject" Target="embeddings/oleObject1.bin"/><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B27C8-BE38-B34E-A4EC-716CD7581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42132</Words>
  <Characters>240153</Characters>
  <Application>Microsoft Office Word</Application>
  <DocSecurity>0</DocSecurity>
  <Lines>2001</Lines>
  <Paragraphs>563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pochtawt@me.com</dc:creator>
  <cp:keywords/>
  <dc:description/>
  <cp:lastModifiedBy>pochtawt@me.com</cp:lastModifiedBy>
  <cp:revision>2</cp:revision>
  <cp:lastPrinted>2021-04-19T20:24:00Z</cp:lastPrinted>
  <dcterms:created xsi:type="dcterms:W3CDTF">2021-04-23T12:40:00Z</dcterms:created>
  <dcterms:modified xsi:type="dcterms:W3CDTF">2021-04-23T12:40:00Z</dcterms:modified>
</cp:coreProperties>
</file>