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005208" w:rsidRPr="00BE086B" w:rsidRDefault="002C0B49" w:rsidP="00005208">
      <w:pPr>
        <w:jc w:val="center"/>
        <w:rPr>
          <w:bCs/>
          <w:sz w:val="28"/>
          <w:szCs w:val="28"/>
          <w:lang w:val="uk-UA"/>
        </w:rPr>
      </w:pPr>
      <w:r w:rsidRPr="00BE086B">
        <w:rPr>
          <w:bCs/>
          <w:sz w:val="28"/>
          <w:szCs w:val="28"/>
          <w:lang w:val="uk-UA"/>
        </w:rPr>
        <w:t>Міністерство охорони здоров’я України</w:t>
      </w:r>
    </w:p>
    <w:p w:rsidR="00380CA6" w:rsidRPr="00BE086B" w:rsidRDefault="002C0B49" w:rsidP="00380CA6">
      <w:pPr>
        <w:pStyle w:val="2"/>
        <w:ind w:left="0" w:right="0"/>
        <w:rPr>
          <w:szCs w:val="28"/>
        </w:rPr>
      </w:pPr>
      <w:r w:rsidRPr="00BE086B">
        <w:rPr>
          <w:bCs/>
          <w:szCs w:val="28"/>
        </w:rPr>
        <w:t>Державний заклад «Дніпропетровська медична академія Міністерства охорони здоров’я України»</w:t>
      </w:r>
    </w:p>
    <w:p w:rsidR="002C0B49" w:rsidRPr="00BE086B" w:rsidRDefault="002C0B49" w:rsidP="00005208">
      <w:pPr>
        <w:pStyle w:val="11"/>
        <w:rPr>
          <w:b w:val="0"/>
          <w:szCs w:val="28"/>
        </w:rPr>
      </w:pPr>
      <w:r w:rsidRPr="00BE086B">
        <w:rPr>
          <w:b w:val="0"/>
          <w:szCs w:val="28"/>
        </w:rPr>
        <w:t>Національна академія медичних наук України</w:t>
      </w:r>
    </w:p>
    <w:p w:rsidR="00380CA6" w:rsidRPr="00BE086B" w:rsidRDefault="003B09CF" w:rsidP="00005208">
      <w:pPr>
        <w:pStyle w:val="11"/>
      </w:pPr>
      <w:r w:rsidRPr="00BE086B">
        <w:rPr>
          <w:b w:val="0"/>
          <w:szCs w:val="28"/>
        </w:rPr>
        <w:t>Д</w:t>
      </w:r>
      <w:r w:rsidR="002C0B49" w:rsidRPr="00BE086B">
        <w:rPr>
          <w:b w:val="0"/>
          <w:szCs w:val="28"/>
        </w:rPr>
        <w:t>ержавна установа</w:t>
      </w:r>
      <w:r w:rsidRPr="00BE086B">
        <w:rPr>
          <w:b w:val="0"/>
          <w:szCs w:val="28"/>
        </w:rPr>
        <w:t xml:space="preserve"> «І</w:t>
      </w:r>
      <w:r w:rsidR="002C0B49" w:rsidRPr="00BE086B">
        <w:rPr>
          <w:b w:val="0"/>
          <w:szCs w:val="28"/>
        </w:rPr>
        <w:t xml:space="preserve">нститут фармакології та токсикології </w:t>
      </w:r>
      <w:r w:rsidRPr="00BE086B">
        <w:rPr>
          <w:b w:val="0"/>
          <w:szCs w:val="28"/>
        </w:rPr>
        <w:t>НАМН У</w:t>
      </w:r>
      <w:r w:rsidR="002C0B49" w:rsidRPr="00BE086B">
        <w:rPr>
          <w:b w:val="0"/>
          <w:szCs w:val="28"/>
        </w:rPr>
        <w:t>країни»</w:t>
      </w:r>
    </w:p>
    <w:p w:rsidR="00380CA6" w:rsidRPr="00BE086B" w:rsidRDefault="00380CA6">
      <w:pPr>
        <w:pStyle w:val="af0"/>
        <w:jc w:val="center"/>
        <w:rPr>
          <w:caps/>
          <w:sz w:val="28"/>
          <w:szCs w:val="28"/>
          <w:lang w:val="uk-UA"/>
        </w:rPr>
      </w:pPr>
    </w:p>
    <w:p w:rsidR="00380CA6" w:rsidRPr="00BE086B" w:rsidRDefault="00380CA6">
      <w:pPr>
        <w:rPr>
          <w:caps/>
          <w:sz w:val="28"/>
          <w:szCs w:val="28"/>
          <w:lang w:val="uk-UA"/>
        </w:rPr>
      </w:pPr>
    </w:p>
    <w:p w:rsidR="00380CA6" w:rsidRPr="00BE086B" w:rsidRDefault="00380CA6">
      <w:pPr>
        <w:ind w:left="360" w:right="465"/>
        <w:jc w:val="center"/>
        <w:rPr>
          <w:caps/>
          <w:sz w:val="28"/>
          <w:szCs w:val="28"/>
          <w:lang w:val="uk-UA"/>
        </w:rPr>
      </w:pPr>
    </w:p>
    <w:p w:rsidR="00A50947" w:rsidRPr="00BE086B" w:rsidRDefault="00380CA6" w:rsidP="00380CA6">
      <w:pPr>
        <w:pStyle w:val="1"/>
        <w:rPr>
          <w:i/>
        </w:rPr>
      </w:pPr>
      <w:r w:rsidRPr="00BE086B">
        <w:rPr>
          <w:i/>
          <w:szCs w:val="28"/>
        </w:rPr>
        <w:t>Кваліфікаційна наукова</w:t>
      </w:r>
      <w:r w:rsidR="00A50947" w:rsidRPr="00BE086B">
        <w:rPr>
          <w:i/>
          <w:szCs w:val="28"/>
        </w:rPr>
        <w:t xml:space="preserve"> </w:t>
      </w:r>
      <w:r w:rsidRPr="00BE086B">
        <w:rPr>
          <w:i/>
          <w:szCs w:val="28"/>
        </w:rPr>
        <w:t>праця</w:t>
      </w:r>
    </w:p>
    <w:p w:rsidR="00380CA6" w:rsidRPr="00BE086B" w:rsidRDefault="00380CA6" w:rsidP="00380CA6">
      <w:pPr>
        <w:pStyle w:val="1"/>
        <w:rPr>
          <w:i/>
        </w:rPr>
      </w:pPr>
      <w:r w:rsidRPr="00BE086B">
        <w:rPr>
          <w:i/>
          <w:szCs w:val="28"/>
        </w:rPr>
        <w:t>на правах рукопису</w:t>
      </w:r>
    </w:p>
    <w:p w:rsidR="00380CA6" w:rsidRPr="00BE086B" w:rsidRDefault="00A50947">
      <w:pPr>
        <w:ind w:left="360" w:right="465"/>
        <w:jc w:val="right"/>
        <w:rPr>
          <w:sz w:val="28"/>
          <w:szCs w:val="28"/>
          <w:lang w:val="uk-UA"/>
        </w:rPr>
      </w:pPr>
      <w:r w:rsidRPr="00BE086B">
        <w:rPr>
          <w:sz w:val="28"/>
          <w:szCs w:val="28"/>
          <w:lang w:val="uk-UA"/>
        </w:rPr>
        <w:t>Прим. _____</w:t>
      </w:r>
    </w:p>
    <w:p w:rsidR="00380CA6" w:rsidRPr="00BE086B" w:rsidRDefault="00380CA6">
      <w:pPr>
        <w:ind w:left="360" w:right="465"/>
        <w:jc w:val="center"/>
        <w:rPr>
          <w:sz w:val="28"/>
          <w:szCs w:val="28"/>
          <w:lang w:val="uk-UA"/>
        </w:rPr>
      </w:pPr>
    </w:p>
    <w:p w:rsidR="00380CA6" w:rsidRPr="00BE086B" w:rsidRDefault="00380CA6">
      <w:pPr>
        <w:ind w:left="360" w:right="465"/>
        <w:jc w:val="center"/>
        <w:rPr>
          <w:sz w:val="28"/>
          <w:szCs w:val="28"/>
          <w:lang w:val="uk-UA"/>
        </w:rPr>
      </w:pPr>
    </w:p>
    <w:p w:rsidR="00380CA6" w:rsidRPr="00BE086B" w:rsidRDefault="00380CA6">
      <w:pPr>
        <w:pStyle w:val="5"/>
      </w:pPr>
      <w:r w:rsidRPr="00BE086B">
        <w:rPr>
          <w:szCs w:val="28"/>
        </w:rPr>
        <w:t xml:space="preserve">НОСІВЕЦЬ </w:t>
      </w:r>
      <w:r w:rsidR="00515C0F" w:rsidRPr="00BE086B">
        <w:rPr>
          <w:szCs w:val="28"/>
        </w:rPr>
        <w:t>ДМИТРО СЕРГІЙОВИЧ</w:t>
      </w:r>
    </w:p>
    <w:p w:rsidR="00A50947" w:rsidRPr="00BE086B" w:rsidRDefault="00A50947">
      <w:pPr>
        <w:pStyle w:val="4"/>
        <w:jc w:val="right"/>
      </w:pPr>
    </w:p>
    <w:p w:rsidR="00A50947" w:rsidRPr="00BE086B" w:rsidRDefault="00A50947">
      <w:pPr>
        <w:pStyle w:val="4"/>
        <w:jc w:val="right"/>
      </w:pPr>
    </w:p>
    <w:p w:rsidR="00380CA6" w:rsidRPr="00BE086B" w:rsidRDefault="008B70A3">
      <w:pPr>
        <w:pStyle w:val="4"/>
        <w:jc w:val="right"/>
      </w:pPr>
      <w:r w:rsidRPr="00BE086B">
        <w:rPr>
          <w:szCs w:val="28"/>
        </w:rPr>
        <w:t>УДК 616.414-008.64:616.72-007.2]-092.9:615.212:615.276</w:t>
      </w:r>
    </w:p>
    <w:p w:rsidR="00380CA6" w:rsidRPr="00BE086B" w:rsidRDefault="00380CA6">
      <w:pPr>
        <w:ind w:left="360" w:right="465"/>
        <w:jc w:val="center"/>
        <w:rPr>
          <w:sz w:val="28"/>
          <w:szCs w:val="28"/>
          <w:lang w:val="uk-UA"/>
        </w:rPr>
      </w:pPr>
    </w:p>
    <w:p w:rsidR="00380CA6" w:rsidRPr="00BE086B" w:rsidRDefault="00380CA6">
      <w:pPr>
        <w:ind w:left="360" w:right="465"/>
        <w:jc w:val="center"/>
        <w:rPr>
          <w:b/>
          <w:bCs/>
          <w:sz w:val="28"/>
          <w:szCs w:val="28"/>
          <w:lang w:val="uk-UA"/>
        </w:rPr>
      </w:pPr>
    </w:p>
    <w:p w:rsidR="00380CA6" w:rsidRPr="00BE086B" w:rsidRDefault="00380CA6">
      <w:pPr>
        <w:ind w:left="360" w:right="465"/>
        <w:jc w:val="center"/>
        <w:rPr>
          <w:lang w:val="uk-UA"/>
        </w:rPr>
      </w:pPr>
      <w:r w:rsidRPr="00BE086B">
        <w:rPr>
          <w:b/>
          <w:bCs/>
          <w:sz w:val="28"/>
          <w:szCs w:val="28"/>
          <w:lang w:val="uk-UA"/>
        </w:rPr>
        <w:t>ДИСЕРТАЦІЯ</w:t>
      </w:r>
    </w:p>
    <w:p w:rsidR="00380CA6" w:rsidRPr="00BE086B" w:rsidRDefault="005C1537">
      <w:pPr>
        <w:pStyle w:val="western"/>
        <w:spacing w:after="0" w:line="360" w:lineRule="auto"/>
        <w:jc w:val="center"/>
        <w:rPr>
          <w:rFonts w:ascii="Times New Roman" w:hAnsi="Times New Roman" w:cs="Times New Roman"/>
          <w:b/>
          <w:color w:val="auto"/>
          <w:lang w:val="uk-UA"/>
        </w:rPr>
      </w:pPr>
      <w:r w:rsidRPr="00BE086B">
        <w:rPr>
          <w:rFonts w:ascii="Times New Roman" w:hAnsi="Times New Roman" w:cs="Times New Roman"/>
          <w:b/>
          <w:caps/>
          <w:color w:val="auto"/>
          <w:sz w:val="28"/>
          <w:szCs w:val="28"/>
          <w:lang w:val="uk-UA"/>
        </w:rPr>
        <w:t>Фармакологічний аналіз знеболення та хондропротекції за умов експериментальнОГО остеоартрозу НА ТЛІ гіпотиреозу</w:t>
      </w:r>
    </w:p>
    <w:p w:rsidR="00380CA6" w:rsidRPr="00BE086B" w:rsidRDefault="00380CA6">
      <w:pPr>
        <w:pStyle w:val="af3"/>
        <w:shd w:val="clear" w:color="auto" w:fill="FFFFFF"/>
        <w:spacing w:before="0" w:after="0" w:line="360" w:lineRule="auto"/>
        <w:jc w:val="center"/>
        <w:rPr>
          <w:bCs/>
          <w:caps/>
          <w:sz w:val="28"/>
          <w:szCs w:val="28"/>
          <w:lang w:val="uk-UA"/>
        </w:rPr>
      </w:pPr>
    </w:p>
    <w:p w:rsidR="00380CA6" w:rsidRPr="00BE086B" w:rsidRDefault="00380CA6">
      <w:pPr>
        <w:ind w:left="360" w:right="465"/>
        <w:jc w:val="center"/>
        <w:rPr>
          <w:lang w:val="uk-UA"/>
        </w:rPr>
      </w:pPr>
      <w:r w:rsidRPr="00BE086B">
        <w:rPr>
          <w:sz w:val="28"/>
          <w:szCs w:val="28"/>
          <w:lang w:val="uk-UA"/>
        </w:rPr>
        <w:t>14.03.05 – фармакологія</w:t>
      </w:r>
    </w:p>
    <w:p w:rsidR="00380CA6" w:rsidRPr="00BE086B" w:rsidRDefault="00380CA6">
      <w:pPr>
        <w:ind w:left="360" w:right="465"/>
        <w:jc w:val="center"/>
        <w:rPr>
          <w:sz w:val="28"/>
          <w:szCs w:val="28"/>
          <w:lang w:val="uk-UA"/>
        </w:rPr>
      </w:pPr>
    </w:p>
    <w:p w:rsidR="00380CA6" w:rsidRPr="00BE086B" w:rsidRDefault="00380CA6">
      <w:pPr>
        <w:ind w:left="360" w:right="465"/>
        <w:jc w:val="center"/>
        <w:rPr>
          <w:lang w:val="uk-UA"/>
        </w:rPr>
      </w:pPr>
      <w:r w:rsidRPr="00BE086B">
        <w:rPr>
          <w:sz w:val="28"/>
          <w:szCs w:val="28"/>
          <w:lang w:val="uk-UA"/>
        </w:rPr>
        <w:t xml:space="preserve"> </w:t>
      </w:r>
    </w:p>
    <w:p w:rsidR="00380CA6" w:rsidRPr="00BE086B" w:rsidRDefault="00380CA6">
      <w:pPr>
        <w:pStyle w:val="2"/>
      </w:pPr>
      <w:r w:rsidRPr="00BE086B">
        <w:rPr>
          <w:rFonts w:eastAsia="Times New Roman"/>
          <w:szCs w:val="28"/>
        </w:rPr>
        <w:t>Подається на здобуття наукового ступеня доктора медичних наук</w:t>
      </w:r>
    </w:p>
    <w:p w:rsidR="00380CA6" w:rsidRPr="00BE086B" w:rsidRDefault="00380CA6">
      <w:pPr>
        <w:rPr>
          <w:sz w:val="28"/>
          <w:szCs w:val="28"/>
          <w:lang w:val="uk-UA"/>
        </w:rPr>
      </w:pPr>
    </w:p>
    <w:p w:rsidR="00380CA6" w:rsidRPr="00BE086B" w:rsidRDefault="00380CA6">
      <w:pPr>
        <w:rPr>
          <w:lang w:val="uk-UA"/>
        </w:rPr>
      </w:pPr>
      <w:r w:rsidRPr="00BE086B">
        <w:rPr>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380CA6" w:rsidRPr="00BE086B" w:rsidRDefault="00380CA6">
      <w:pPr>
        <w:rPr>
          <w:sz w:val="28"/>
          <w:szCs w:val="28"/>
          <w:lang w:val="uk-UA"/>
        </w:rPr>
      </w:pPr>
    </w:p>
    <w:p w:rsidR="00380CA6" w:rsidRPr="00BE086B" w:rsidRDefault="00380CA6">
      <w:pPr>
        <w:rPr>
          <w:lang w:val="uk-UA"/>
        </w:rPr>
      </w:pPr>
      <w:r w:rsidRPr="00BE086B">
        <w:rPr>
          <w:sz w:val="28"/>
          <w:szCs w:val="28"/>
          <w:lang w:val="uk-UA"/>
        </w:rPr>
        <w:t>_____________ Д.С. Носівець</w:t>
      </w:r>
    </w:p>
    <w:p w:rsidR="00380CA6" w:rsidRPr="00BE086B" w:rsidRDefault="00380CA6">
      <w:pPr>
        <w:rPr>
          <w:sz w:val="28"/>
          <w:szCs w:val="28"/>
          <w:lang w:val="uk-UA"/>
        </w:rPr>
      </w:pPr>
    </w:p>
    <w:p w:rsidR="00380CA6" w:rsidRPr="00BE086B" w:rsidRDefault="00380CA6">
      <w:pPr>
        <w:ind w:right="465"/>
        <w:rPr>
          <w:lang w:val="uk-UA"/>
        </w:rPr>
      </w:pPr>
      <w:r w:rsidRPr="00BE086B">
        <w:rPr>
          <w:sz w:val="28"/>
          <w:szCs w:val="28"/>
          <w:lang w:val="uk-UA"/>
        </w:rPr>
        <w:t xml:space="preserve">Науковий консультант: </w:t>
      </w:r>
      <w:r w:rsidRPr="00BE086B">
        <w:rPr>
          <w:sz w:val="28"/>
          <w:szCs w:val="28"/>
          <w:lang w:val="uk-UA"/>
        </w:rPr>
        <w:tab/>
      </w:r>
      <w:r w:rsidRPr="00BE086B">
        <w:rPr>
          <w:bCs/>
          <w:sz w:val="28"/>
          <w:szCs w:val="28"/>
          <w:lang w:val="uk-UA"/>
        </w:rPr>
        <w:t>Мамчур Віталій Йосипович,</w:t>
      </w:r>
    </w:p>
    <w:p w:rsidR="00380CA6" w:rsidRPr="00BE086B" w:rsidRDefault="00380CA6">
      <w:pPr>
        <w:ind w:right="465"/>
        <w:rPr>
          <w:lang w:val="uk-UA"/>
        </w:rPr>
      </w:pPr>
      <w:r w:rsidRPr="00BE086B">
        <w:rPr>
          <w:sz w:val="28"/>
          <w:szCs w:val="28"/>
          <w:lang w:val="uk-UA"/>
        </w:rPr>
        <w:tab/>
      </w:r>
      <w:r w:rsidRPr="00BE086B">
        <w:rPr>
          <w:sz w:val="28"/>
          <w:szCs w:val="28"/>
          <w:lang w:val="uk-UA"/>
        </w:rPr>
        <w:tab/>
      </w:r>
      <w:r w:rsidRPr="00BE086B">
        <w:rPr>
          <w:sz w:val="28"/>
          <w:szCs w:val="28"/>
          <w:lang w:val="uk-UA"/>
        </w:rPr>
        <w:tab/>
      </w:r>
      <w:r w:rsidRPr="00BE086B">
        <w:rPr>
          <w:sz w:val="28"/>
          <w:szCs w:val="28"/>
          <w:lang w:val="uk-UA"/>
        </w:rPr>
        <w:tab/>
      </w:r>
      <w:r w:rsidRPr="00BE086B">
        <w:rPr>
          <w:sz w:val="28"/>
          <w:szCs w:val="28"/>
          <w:lang w:val="uk-UA"/>
        </w:rPr>
        <w:tab/>
        <w:t>доктор медичних наук, професор</w:t>
      </w:r>
    </w:p>
    <w:p w:rsidR="00380CA6" w:rsidRPr="00BE086B" w:rsidRDefault="00380CA6">
      <w:pPr>
        <w:ind w:left="360" w:right="465"/>
        <w:jc w:val="center"/>
        <w:rPr>
          <w:sz w:val="28"/>
          <w:szCs w:val="28"/>
          <w:lang w:val="uk-UA"/>
        </w:rPr>
      </w:pPr>
    </w:p>
    <w:p w:rsidR="00380CA6" w:rsidRPr="00BE086B" w:rsidRDefault="00380CA6">
      <w:pPr>
        <w:ind w:left="360" w:right="465"/>
        <w:jc w:val="center"/>
        <w:rPr>
          <w:sz w:val="28"/>
          <w:szCs w:val="28"/>
          <w:lang w:val="uk-UA"/>
        </w:rPr>
      </w:pPr>
    </w:p>
    <w:p w:rsidR="00380CA6" w:rsidRPr="00BE086B" w:rsidRDefault="00380CA6">
      <w:pPr>
        <w:pStyle w:val="af0"/>
        <w:spacing w:after="140"/>
        <w:ind w:left="-720" w:right="-363"/>
        <w:jc w:val="center"/>
        <w:rPr>
          <w:lang w:val="uk-UA"/>
        </w:rPr>
        <w:sectPr w:rsidR="00380CA6" w:rsidRPr="00BE086B" w:rsidSect="00FB2078">
          <w:pgSz w:w="11906" w:h="16838"/>
          <w:pgMar w:top="1134" w:right="851" w:bottom="1134" w:left="1701" w:header="1134" w:footer="1134" w:gutter="0"/>
          <w:cols w:space="720"/>
          <w:titlePg/>
          <w:docGrid w:linePitch="360"/>
        </w:sectPr>
      </w:pPr>
      <w:r w:rsidRPr="00BE086B">
        <w:rPr>
          <w:sz w:val="28"/>
          <w:szCs w:val="28"/>
          <w:lang w:val="uk-UA"/>
        </w:rPr>
        <w:t>Дніпро 2021</w:t>
      </w:r>
    </w:p>
    <w:p w:rsidR="006933CB" w:rsidRPr="00BE086B" w:rsidRDefault="006933CB" w:rsidP="006933CB">
      <w:pPr>
        <w:pStyle w:val="af0"/>
        <w:tabs>
          <w:tab w:val="left" w:pos="9720"/>
        </w:tabs>
        <w:ind w:firstLine="709"/>
        <w:jc w:val="center"/>
        <w:rPr>
          <w:sz w:val="28"/>
          <w:szCs w:val="28"/>
          <w:lang w:val="uk-UA"/>
        </w:rPr>
      </w:pPr>
      <w:r w:rsidRPr="00BE086B">
        <w:rPr>
          <w:b/>
          <w:caps/>
          <w:sz w:val="28"/>
          <w:szCs w:val="28"/>
          <w:lang w:val="uk-UA"/>
        </w:rPr>
        <w:lastRenderedPageBreak/>
        <w:t>анотація</w:t>
      </w:r>
    </w:p>
    <w:p w:rsidR="006933CB" w:rsidRPr="00BE086B" w:rsidRDefault="006933CB" w:rsidP="006B2405">
      <w:pPr>
        <w:spacing w:line="360" w:lineRule="auto"/>
        <w:ind w:firstLine="709"/>
        <w:jc w:val="both"/>
        <w:rPr>
          <w:sz w:val="28"/>
          <w:szCs w:val="28"/>
          <w:lang w:val="uk-UA"/>
        </w:rPr>
      </w:pPr>
      <w:r w:rsidRPr="00BE086B">
        <w:rPr>
          <w:bCs/>
          <w:i/>
          <w:iCs/>
          <w:sz w:val="28"/>
          <w:szCs w:val="28"/>
          <w:lang w:val="uk-UA"/>
        </w:rPr>
        <w:t>Носівець Д.С.</w:t>
      </w:r>
      <w:r w:rsidRPr="00BE086B">
        <w:rPr>
          <w:bCs/>
          <w:sz w:val="28"/>
          <w:szCs w:val="28"/>
          <w:lang w:val="uk-UA"/>
        </w:rPr>
        <w:t xml:space="preserve"> Фармакологічний аналіз знеболення та хондропротекції за умов експериментальн</w:t>
      </w:r>
      <w:r w:rsidR="00D42B44" w:rsidRPr="00BE086B">
        <w:rPr>
          <w:bCs/>
          <w:sz w:val="28"/>
          <w:szCs w:val="28"/>
          <w:lang w:val="uk-UA"/>
        </w:rPr>
        <w:t>ого</w:t>
      </w:r>
      <w:r w:rsidRPr="00BE086B">
        <w:rPr>
          <w:bCs/>
          <w:sz w:val="28"/>
          <w:szCs w:val="28"/>
          <w:lang w:val="uk-UA"/>
        </w:rPr>
        <w:t xml:space="preserve"> </w:t>
      </w:r>
      <w:r w:rsidR="00D42B44" w:rsidRPr="00BE086B">
        <w:rPr>
          <w:bCs/>
          <w:sz w:val="28"/>
          <w:szCs w:val="28"/>
          <w:lang w:val="uk-UA"/>
        </w:rPr>
        <w:t xml:space="preserve">остеоартрозу на тлі </w:t>
      </w:r>
      <w:r w:rsidRPr="00BE086B">
        <w:rPr>
          <w:bCs/>
          <w:sz w:val="28"/>
          <w:szCs w:val="28"/>
          <w:lang w:val="uk-UA"/>
        </w:rPr>
        <w:t>гіпотиреозу. – Кваліфікаційна наукова праця на правах рукопису.</w:t>
      </w:r>
    </w:p>
    <w:p w:rsidR="006933CB" w:rsidRPr="00BE086B" w:rsidRDefault="006933CB" w:rsidP="006B2405">
      <w:pPr>
        <w:pStyle w:val="2"/>
        <w:spacing w:line="360" w:lineRule="auto"/>
        <w:ind w:left="0" w:right="0" w:firstLine="709"/>
        <w:jc w:val="both"/>
        <w:rPr>
          <w:szCs w:val="28"/>
        </w:rPr>
      </w:pPr>
      <w:r w:rsidRPr="00BE086B">
        <w:rPr>
          <w:szCs w:val="28"/>
        </w:rPr>
        <w:t xml:space="preserve">Дисертація на здобуття наукового ступеня доктора медичних наук за спеціальністю 14.03.05 – фармакологія. – ДЗ «Дніпропетровська медична академія МОЗ України» (виконання роботи), Дніпро; - </w:t>
      </w:r>
      <w:r w:rsidRPr="00BE086B">
        <w:rPr>
          <w:bCs/>
          <w:caps/>
          <w:szCs w:val="28"/>
        </w:rPr>
        <w:t>ДУ «</w:t>
      </w:r>
      <w:r w:rsidRPr="00BE086B">
        <w:rPr>
          <w:bCs/>
          <w:szCs w:val="28"/>
        </w:rPr>
        <w:t>Інститут фармакології та токсикології НАМН України</w:t>
      </w:r>
      <w:r w:rsidRPr="00BE086B">
        <w:rPr>
          <w:bCs/>
          <w:caps/>
          <w:szCs w:val="28"/>
        </w:rPr>
        <w:t>»</w:t>
      </w:r>
      <w:r w:rsidRPr="00BE086B">
        <w:rPr>
          <w:bCs/>
          <w:szCs w:val="28"/>
        </w:rPr>
        <w:t xml:space="preserve"> (захист), Київ</w:t>
      </w:r>
      <w:r w:rsidRPr="00BE086B">
        <w:rPr>
          <w:szCs w:val="28"/>
        </w:rPr>
        <w:t>, 2021.</w:t>
      </w:r>
    </w:p>
    <w:p w:rsidR="006933CB" w:rsidRPr="00BE086B" w:rsidRDefault="006933CB" w:rsidP="006B2405">
      <w:pPr>
        <w:spacing w:line="360" w:lineRule="auto"/>
        <w:ind w:firstLine="709"/>
        <w:jc w:val="both"/>
        <w:rPr>
          <w:sz w:val="28"/>
          <w:szCs w:val="28"/>
          <w:lang w:val="uk-UA" w:eastAsia="en-US"/>
        </w:rPr>
      </w:pPr>
      <w:r w:rsidRPr="00BE086B">
        <w:rPr>
          <w:sz w:val="28"/>
          <w:szCs w:val="28"/>
          <w:lang w:val="uk-UA"/>
        </w:rPr>
        <w:t xml:space="preserve">Дисертаційна робота присвячена </w:t>
      </w:r>
      <w:r w:rsidR="0041149E" w:rsidRPr="00BE086B">
        <w:rPr>
          <w:sz w:val="28"/>
          <w:szCs w:val="28"/>
          <w:lang w:val="uk-UA"/>
        </w:rPr>
        <w:t>фармакологічному аналізу процесів знеболення та хондропротекції для експериментального обґрунтування оптимізованого застосування аналгетичних та хондропротекторних засобів за умов остеоартрозу на тлі гіпотиреозу</w:t>
      </w:r>
      <w:r w:rsidRPr="00BE086B">
        <w:rPr>
          <w:sz w:val="28"/>
          <w:szCs w:val="28"/>
          <w:lang w:val="uk-UA"/>
        </w:rPr>
        <w:t>.</w:t>
      </w:r>
    </w:p>
    <w:p w:rsidR="00D562DD" w:rsidRPr="00BE086B" w:rsidRDefault="00D562DD" w:rsidP="006B2405">
      <w:pPr>
        <w:spacing w:line="360" w:lineRule="auto"/>
        <w:ind w:firstLine="567"/>
        <w:jc w:val="both"/>
        <w:rPr>
          <w:sz w:val="28"/>
          <w:szCs w:val="28"/>
          <w:lang w:eastAsia="en-US"/>
        </w:rPr>
      </w:pPr>
      <w:r w:rsidRPr="00BE086B">
        <w:rPr>
          <w:sz w:val="28"/>
          <w:szCs w:val="28"/>
        </w:rPr>
        <w:t>Біль є одним з основних проявів численних захворювань та причиною страждань людини, що спонукає до застосування аналгетичних засобів. Біль є фактором, що обтяжує перебіг коморбідної і, особливо, хронічної патології, що зумовлює необхідність тривалого та безперервного застосування аналгетиків і тим самим підвищує ризики ускладнень та побічних реакцій фармакотерапії.</w:t>
      </w:r>
    </w:p>
    <w:p w:rsidR="00D562DD" w:rsidRPr="00BE086B" w:rsidRDefault="00D562DD" w:rsidP="006B2405">
      <w:pPr>
        <w:spacing w:line="360" w:lineRule="auto"/>
        <w:ind w:firstLine="567"/>
        <w:jc w:val="both"/>
        <w:rPr>
          <w:sz w:val="28"/>
          <w:szCs w:val="28"/>
          <w:lang w:val="uk-UA"/>
        </w:rPr>
      </w:pPr>
      <w:r w:rsidRPr="00BE086B">
        <w:rPr>
          <w:sz w:val="28"/>
          <w:szCs w:val="28"/>
          <w:lang w:val="uk-UA"/>
        </w:rPr>
        <w:t xml:space="preserve">Відомий взаємозв'язок патології </w:t>
      </w:r>
      <w:r w:rsidR="008E2D59" w:rsidRPr="00BE086B">
        <w:rPr>
          <w:sz w:val="28"/>
          <w:szCs w:val="28"/>
          <w:lang w:val="uk-UA"/>
        </w:rPr>
        <w:t>щитоподібної залози</w:t>
      </w:r>
      <w:r w:rsidRPr="00BE086B">
        <w:rPr>
          <w:sz w:val="28"/>
          <w:szCs w:val="28"/>
          <w:lang w:val="uk-UA"/>
        </w:rPr>
        <w:t xml:space="preserve"> з розвитком ревматоїдного артриту і системного червоного вовчаку, цукрового діабету, патології</w:t>
      </w:r>
      <w:r w:rsidR="00511126" w:rsidRPr="00BE086B">
        <w:rPr>
          <w:sz w:val="28"/>
          <w:szCs w:val="28"/>
          <w:lang w:val="uk-UA"/>
        </w:rPr>
        <w:t xml:space="preserve"> ССС</w:t>
      </w:r>
      <w:r w:rsidRPr="00BE086B">
        <w:rPr>
          <w:sz w:val="28"/>
          <w:szCs w:val="28"/>
          <w:lang w:val="uk-UA"/>
        </w:rPr>
        <w:t xml:space="preserve">, розладами ШКТ, енергетичного обміну, вегетативної нервової системи і дисбалансу статевих гормонів. При </w:t>
      </w:r>
      <w:r w:rsidR="008E2D59" w:rsidRPr="00BE086B">
        <w:rPr>
          <w:sz w:val="28"/>
          <w:szCs w:val="28"/>
          <w:lang w:val="uk-UA"/>
        </w:rPr>
        <w:t>гіпотиреозі</w:t>
      </w:r>
      <w:r w:rsidRPr="00BE086B">
        <w:rPr>
          <w:sz w:val="28"/>
          <w:szCs w:val="28"/>
          <w:lang w:val="uk-UA"/>
        </w:rPr>
        <w:t xml:space="preserve"> активуються процеси перекисного окислення ліпідів, підвищується чутливість до стресу, уповільнюються окислювально-відновні реакції, порушується терморегуляція, накопичуються продукти обміну, виникають функціональні порушення ЦНС та ССС, розвивається дистрофія тканин з формуванням слизового набряку (мікседема) і розвитком «гіпотиреозних» артропатій і міопатій. </w:t>
      </w:r>
      <w:r w:rsidR="005838B0" w:rsidRPr="00BE086B">
        <w:rPr>
          <w:sz w:val="28"/>
          <w:szCs w:val="28"/>
          <w:lang w:val="uk-UA"/>
        </w:rPr>
        <w:t>О</w:t>
      </w:r>
      <w:r w:rsidRPr="00BE086B">
        <w:rPr>
          <w:sz w:val="28"/>
          <w:szCs w:val="28"/>
          <w:lang w:val="uk-UA"/>
        </w:rPr>
        <w:t xml:space="preserve">собливого значення набувають питання фармакологічної корекції за сумісного перебігу </w:t>
      </w:r>
      <w:r w:rsidR="000D447B" w:rsidRPr="00BE086B">
        <w:rPr>
          <w:sz w:val="28"/>
          <w:szCs w:val="28"/>
          <w:lang w:val="uk-UA"/>
        </w:rPr>
        <w:t>остеоартрозу</w:t>
      </w:r>
      <w:r w:rsidRPr="00BE086B">
        <w:rPr>
          <w:sz w:val="28"/>
          <w:szCs w:val="28"/>
          <w:lang w:val="uk-UA"/>
        </w:rPr>
        <w:t xml:space="preserve"> з </w:t>
      </w:r>
      <w:r w:rsidR="008E2D59" w:rsidRPr="00BE086B">
        <w:rPr>
          <w:sz w:val="28"/>
          <w:szCs w:val="28"/>
          <w:lang w:val="uk-UA"/>
        </w:rPr>
        <w:t>гіпотиреозом</w:t>
      </w:r>
      <w:r w:rsidRPr="00BE086B">
        <w:rPr>
          <w:sz w:val="28"/>
          <w:szCs w:val="28"/>
          <w:lang w:val="uk-UA"/>
        </w:rPr>
        <w:t>, здатних ускладнювати та прискорювати негативні нас</w:t>
      </w:r>
      <w:r w:rsidR="005838B0" w:rsidRPr="00BE086B">
        <w:rPr>
          <w:sz w:val="28"/>
          <w:szCs w:val="28"/>
          <w:lang w:val="uk-UA"/>
        </w:rPr>
        <w:t>лідки метаболічного дисбалансу.</w:t>
      </w:r>
    </w:p>
    <w:p w:rsidR="00D562DD" w:rsidRPr="00BE086B" w:rsidRDefault="00D562DD" w:rsidP="006B2405">
      <w:pPr>
        <w:spacing w:line="360" w:lineRule="auto"/>
        <w:ind w:firstLine="567"/>
        <w:jc w:val="both"/>
        <w:rPr>
          <w:sz w:val="28"/>
          <w:szCs w:val="28"/>
          <w:lang w:val="uk-UA"/>
        </w:rPr>
      </w:pPr>
      <w:r w:rsidRPr="00BE086B">
        <w:rPr>
          <w:sz w:val="28"/>
          <w:szCs w:val="28"/>
          <w:shd w:val="clear" w:color="auto" w:fill="FFFFFF"/>
          <w:lang w:val="uk-UA"/>
        </w:rPr>
        <w:lastRenderedPageBreak/>
        <w:t xml:space="preserve">Неопіоідні аналгетики, а особливо, </w:t>
      </w:r>
      <w:r w:rsidR="00BD617F" w:rsidRPr="00BE086B">
        <w:rPr>
          <w:sz w:val="28"/>
          <w:szCs w:val="28"/>
          <w:shd w:val="clear" w:color="auto" w:fill="FFFFFF"/>
          <w:lang w:val="uk-UA"/>
        </w:rPr>
        <w:t>НПЗЗ</w:t>
      </w:r>
      <w:r w:rsidRPr="00BE086B">
        <w:rPr>
          <w:sz w:val="28"/>
          <w:szCs w:val="28"/>
          <w:shd w:val="clear" w:color="auto" w:fill="FFFFFF"/>
          <w:lang w:val="uk-UA"/>
        </w:rPr>
        <w:t xml:space="preserve">, що найчастіше використовуються для усунення больового синдрому при </w:t>
      </w:r>
      <w:r w:rsidR="000D447B" w:rsidRPr="00BE086B">
        <w:rPr>
          <w:sz w:val="28"/>
          <w:szCs w:val="28"/>
          <w:lang w:val="uk-UA"/>
        </w:rPr>
        <w:t>остеоартрозі</w:t>
      </w:r>
      <w:r w:rsidRPr="00BE086B">
        <w:rPr>
          <w:sz w:val="28"/>
          <w:szCs w:val="28"/>
          <w:shd w:val="clear" w:color="auto" w:fill="FFFFFF"/>
          <w:lang w:val="uk-UA"/>
        </w:rPr>
        <w:t xml:space="preserve">, можуть прискорити ураження суглобів при </w:t>
      </w:r>
      <w:r w:rsidR="000D447B" w:rsidRPr="00BE086B">
        <w:rPr>
          <w:sz w:val="28"/>
          <w:szCs w:val="28"/>
          <w:lang w:val="uk-UA"/>
        </w:rPr>
        <w:t>остеоартрозі</w:t>
      </w:r>
      <w:r w:rsidRPr="00BE086B">
        <w:rPr>
          <w:sz w:val="28"/>
          <w:szCs w:val="28"/>
          <w:shd w:val="clear" w:color="auto" w:fill="FFFFFF"/>
          <w:lang w:val="uk-UA"/>
        </w:rPr>
        <w:t xml:space="preserve"> шляхом посилення синтезу прозапальних цитокінів або інгібуючи синтез протеогліканів хряща. Проте питання впливу аналгетичної терапії на стан кісткової та хрящової тканин при </w:t>
      </w:r>
      <w:r w:rsidR="008E2D59" w:rsidRPr="00BE086B">
        <w:rPr>
          <w:sz w:val="28"/>
          <w:szCs w:val="28"/>
          <w:shd w:val="clear" w:color="auto" w:fill="FFFFFF"/>
          <w:lang w:val="uk-UA"/>
        </w:rPr>
        <w:t xml:space="preserve">гіпотиреозі </w:t>
      </w:r>
      <w:r w:rsidRPr="00BE086B">
        <w:rPr>
          <w:sz w:val="28"/>
          <w:szCs w:val="28"/>
          <w:shd w:val="clear" w:color="auto" w:fill="FFFFFF"/>
          <w:lang w:val="uk-UA"/>
        </w:rPr>
        <w:t xml:space="preserve">та їхній вплив на рівень біохімічних маркерів при гіпофункції </w:t>
      </w:r>
      <w:r w:rsidR="008E2D59" w:rsidRPr="00BE086B">
        <w:rPr>
          <w:sz w:val="28"/>
          <w:szCs w:val="28"/>
          <w:lang w:val="uk-UA"/>
        </w:rPr>
        <w:t>щитоподібної залози</w:t>
      </w:r>
      <w:r w:rsidRPr="00BE086B">
        <w:rPr>
          <w:sz w:val="28"/>
          <w:szCs w:val="28"/>
          <w:shd w:val="clear" w:color="auto" w:fill="FFFFFF"/>
          <w:lang w:val="uk-UA"/>
        </w:rPr>
        <w:t xml:space="preserve"> досліджено недостатньо</w:t>
      </w:r>
      <w:r w:rsidRPr="00BE086B">
        <w:rPr>
          <w:sz w:val="28"/>
          <w:szCs w:val="28"/>
          <w:lang w:val="uk-UA"/>
        </w:rPr>
        <w:t>.</w:t>
      </w:r>
    </w:p>
    <w:p w:rsidR="00D562DD" w:rsidRPr="00AF27FE" w:rsidRDefault="00D562DD" w:rsidP="006B2405">
      <w:pPr>
        <w:spacing w:line="360" w:lineRule="auto"/>
        <w:ind w:firstLine="567"/>
        <w:jc w:val="both"/>
        <w:rPr>
          <w:sz w:val="28"/>
          <w:szCs w:val="28"/>
          <w:lang w:val="uk-UA"/>
        </w:rPr>
      </w:pPr>
      <w:r w:rsidRPr="00BE086B">
        <w:rPr>
          <w:sz w:val="28"/>
          <w:szCs w:val="28"/>
          <w:lang w:val="uk-UA"/>
        </w:rPr>
        <w:t xml:space="preserve">Відомо, що аналгетики можуть впливати на гормональну активність </w:t>
      </w:r>
      <w:r w:rsidR="008E2D59" w:rsidRPr="00BE086B">
        <w:rPr>
          <w:sz w:val="28"/>
          <w:szCs w:val="28"/>
          <w:lang w:val="uk-UA"/>
        </w:rPr>
        <w:t>щитоподібної залози</w:t>
      </w:r>
      <w:r w:rsidRPr="00BE086B">
        <w:rPr>
          <w:sz w:val="28"/>
          <w:szCs w:val="28"/>
          <w:lang w:val="uk-UA"/>
        </w:rPr>
        <w:t xml:space="preserve"> через безпосередній вплив на синтез та </w:t>
      </w:r>
      <w:r w:rsidRPr="00BE086B">
        <w:rPr>
          <w:kern w:val="28"/>
          <w:sz w:val="28"/>
          <w:szCs w:val="28"/>
          <w:lang w:val="uk-UA"/>
        </w:rPr>
        <w:t>виділення гормонів або їх метаболізм, кліренс та поглинання тканинами</w:t>
      </w:r>
      <w:r w:rsidRPr="00BE086B">
        <w:rPr>
          <w:sz w:val="28"/>
          <w:szCs w:val="28"/>
          <w:lang w:val="uk-UA"/>
        </w:rPr>
        <w:t xml:space="preserve">. </w:t>
      </w:r>
      <w:r w:rsidRPr="00AF27FE">
        <w:rPr>
          <w:sz w:val="28"/>
          <w:szCs w:val="28"/>
          <w:lang w:val="uk-UA"/>
        </w:rPr>
        <w:t xml:space="preserve">Проте, важливим та недослідженим питанням є вивчення процесів взаємодії аналгетичних засобів з препаратом замісної гормональної терапії </w:t>
      </w:r>
      <w:r w:rsidRPr="00BE086B">
        <w:rPr>
          <w:sz w:val="28"/>
          <w:szCs w:val="28"/>
        </w:rPr>
        <w:t>L</w:t>
      </w:r>
      <w:r w:rsidRPr="00AF27FE">
        <w:rPr>
          <w:sz w:val="28"/>
          <w:szCs w:val="28"/>
          <w:lang w:val="uk-UA"/>
        </w:rPr>
        <w:t>-тироксином, їхньої здатності впливати на біль різної інтенсивності.</w:t>
      </w:r>
    </w:p>
    <w:p w:rsidR="00D562DD" w:rsidRPr="00BE086B" w:rsidRDefault="00D562DD" w:rsidP="006B2405">
      <w:pPr>
        <w:spacing w:line="360" w:lineRule="auto"/>
        <w:ind w:firstLine="567"/>
        <w:jc w:val="both"/>
        <w:rPr>
          <w:sz w:val="28"/>
          <w:szCs w:val="28"/>
        </w:rPr>
      </w:pPr>
      <w:r w:rsidRPr="00BE086B">
        <w:rPr>
          <w:sz w:val="28"/>
          <w:szCs w:val="28"/>
        </w:rPr>
        <w:t xml:space="preserve">Вважається, що призначення замісної гормональної терапії </w:t>
      </w:r>
      <w:r w:rsidR="001C5605" w:rsidRPr="00BE086B">
        <w:rPr>
          <w:sz w:val="28"/>
          <w:szCs w:val="28"/>
          <w:lang w:val="uk-UA"/>
        </w:rPr>
        <w:t>гіпотиреозу</w:t>
      </w:r>
      <w:r w:rsidRPr="00BE086B">
        <w:rPr>
          <w:sz w:val="28"/>
          <w:szCs w:val="28"/>
        </w:rPr>
        <w:t xml:space="preserve"> призводить до відновлення інтенсивності метаболічних процесів, проте дослідження питання впливу гормонотерапії на структуру гіалінового хряща не проводились. </w:t>
      </w:r>
      <w:r w:rsidR="00511126" w:rsidRPr="00BE086B">
        <w:rPr>
          <w:sz w:val="28"/>
          <w:szCs w:val="28"/>
          <w:lang w:val="uk-UA"/>
        </w:rPr>
        <w:t>З</w:t>
      </w:r>
      <w:r w:rsidRPr="00BE086B">
        <w:rPr>
          <w:sz w:val="28"/>
          <w:szCs w:val="28"/>
        </w:rPr>
        <w:t xml:space="preserve">алишаються відкритими питання профілактики дегенеративно-дистрофічних змін у суглобах за </w:t>
      </w:r>
      <w:r w:rsidR="001C5605" w:rsidRPr="00BE086B">
        <w:rPr>
          <w:sz w:val="28"/>
          <w:szCs w:val="28"/>
          <w:lang w:val="uk-UA"/>
        </w:rPr>
        <w:t>гіпотиреозу</w:t>
      </w:r>
      <w:r w:rsidRPr="00BE086B">
        <w:rPr>
          <w:sz w:val="28"/>
          <w:szCs w:val="28"/>
        </w:rPr>
        <w:t xml:space="preserve"> і вивчення лікарської взаємодії з метою пропозицій щодо ефективного та безпечного комбінованого застосування препаратів різних фармакотерапевтичних груп.</w:t>
      </w:r>
    </w:p>
    <w:p w:rsidR="00D562DD" w:rsidRPr="00BE086B" w:rsidRDefault="00D562DD" w:rsidP="006B2405">
      <w:pPr>
        <w:pStyle w:val="af0"/>
        <w:ind w:firstLine="567"/>
        <w:jc w:val="both"/>
        <w:rPr>
          <w:sz w:val="28"/>
          <w:szCs w:val="28"/>
        </w:rPr>
      </w:pPr>
      <w:r w:rsidRPr="00BE086B">
        <w:rPr>
          <w:sz w:val="28"/>
          <w:szCs w:val="28"/>
        </w:rPr>
        <w:t xml:space="preserve">Вищезазначене вказує на існування актуальної сучасної проблеми медицини, яка пов’язана з пошуком нових підходів до фармакотерапії </w:t>
      </w:r>
      <w:r w:rsidRPr="00BE086B">
        <w:rPr>
          <w:rStyle w:val="highlight"/>
          <w:sz w:val="28"/>
          <w:szCs w:val="28"/>
        </w:rPr>
        <w:t xml:space="preserve">больового синдрому та медикаментозного захисту суглобів у хворих на </w:t>
      </w:r>
      <w:r w:rsidR="008E2D59" w:rsidRPr="00BE086B">
        <w:rPr>
          <w:rStyle w:val="highlight"/>
          <w:sz w:val="28"/>
          <w:szCs w:val="28"/>
          <w:lang w:val="uk-UA"/>
        </w:rPr>
        <w:t>остеоартроз</w:t>
      </w:r>
      <w:r w:rsidRPr="00BE086B">
        <w:rPr>
          <w:rStyle w:val="highlight"/>
          <w:sz w:val="28"/>
          <w:szCs w:val="28"/>
        </w:rPr>
        <w:t xml:space="preserve"> та </w:t>
      </w:r>
      <w:r w:rsidR="001C5605" w:rsidRPr="00BE086B">
        <w:rPr>
          <w:rStyle w:val="highlight"/>
          <w:sz w:val="28"/>
          <w:szCs w:val="28"/>
          <w:lang w:val="uk-UA"/>
        </w:rPr>
        <w:t>гіпотиреоз</w:t>
      </w:r>
      <w:r w:rsidRPr="00BE086B">
        <w:rPr>
          <w:rStyle w:val="highlight"/>
          <w:sz w:val="28"/>
          <w:szCs w:val="28"/>
        </w:rPr>
        <w:t xml:space="preserve"> шляхом визначення ефективності використання знеболювальних та хондропротекторних засобів за умов замісної гормональної терапії гіпотиреозу, що може слугувати теоретичними передумовами оптимізації лікування коморбідного стану.</w:t>
      </w:r>
    </w:p>
    <w:p w:rsidR="006B2405" w:rsidRPr="00BE086B" w:rsidRDefault="00511126" w:rsidP="00E905D2">
      <w:pPr>
        <w:pStyle w:val="af0"/>
        <w:ind w:firstLine="567"/>
        <w:jc w:val="both"/>
        <w:rPr>
          <w:sz w:val="28"/>
          <w:szCs w:val="28"/>
          <w:lang w:val="uk-UA" w:eastAsia="en-US"/>
        </w:rPr>
      </w:pPr>
      <w:r w:rsidRPr="00BE086B">
        <w:rPr>
          <w:sz w:val="28"/>
          <w:szCs w:val="28"/>
        </w:rPr>
        <w:t xml:space="preserve">Новизна роботи полягає в </w:t>
      </w:r>
      <w:r w:rsidRPr="00BE086B">
        <w:rPr>
          <w:sz w:val="28"/>
          <w:szCs w:val="28"/>
          <w:lang w:val="uk-UA"/>
        </w:rPr>
        <w:t>тому, що</w:t>
      </w:r>
      <w:r w:rsidR="000D447B" w:rsidRPr="00BE086B">
        <w:rPr>
          <w:sz w:val="28"/>
          <w:szCs w:val="28"/>
        </w:rPr>
        <w:t xml:space="preserve"> </w:t>
      </w:r>
      <w:r w:rsidR="001C5605" w:rsidRPr="00BE086B">
        <w:rPr>
          <w:iCs/>
          <w:sz w:val="28"/>
          <w:szCs w:val="28"/>
          <w:lang w:val="uk-UA"/>
        </w:rPr>
        <w:t xml:space="preserve">вперше </w:t>
      </w:r>
      <w:r w:rsidR="001C5605" w:rsidRPr="00BE086B">
        <w:rPr>
          <w:sz w:val="28"/>
          <w:szCs w:val="28"/>
          <w:lang w:val="uk-UA"/>
        </w:rPr>
        <w:t>в</w:t>
      </w:r>
      <w:r w:rsidR="006B2405" w:rsidRPr="00BE086B">
        <w:rPr>
          <w:iCs/>
          <w:sz w:val="28"/>
          <w:szCs w:val="28"/>
          <w:lang w:val="uk-UA"/>
        </w:rPr>
        <w:t xml:space="preserve"> експерименті проведені системні порівняльні дослідження аналгетичної, протизапальної (диклофенак натрію, ібупрофен, мелоксикам, німесулід, целекоксиб, парацетамол) та </w:t>
      </w:r>
      <w:r w:rsidR="006B2405" w:rsidRPr="00BE086B">
        <w:rPr>
          <w:iCs/>
          <w:sz w:val="28"/>
          <w:szCs w:val="28"/>
          <w:lang w:val="uk-UA"/>
        </w:rPr>
        <w:lastRenderedPageBreak/>
        <w:t>хондропротекторної (хондроїтину сульфат) терапії за умов призначення засобу замісної гормональної терапії (</w:t>
      </w:r>
      <w:r w:rsidR="006B2405" w:rsidRPr="00BE086B">
        <w:rPr>
          <w:sz w:val="28"/>
          <w:szCs w:val="28"/>
        </w:rPr>
        <w:t>L</w:t>
      </w:r>
      <w:r w:rsidR="006B2405" w:rsidRPr="00BE086B">
        <w:rPr>
          <w:sz w:val="28"/>
          <w:szCs w:val="28"/>
          <w:lang w:val="uk-UA"/>
        </w:rPr>
        <w:t>-тироксину)</w:t>
      </w:r>
      <w:r w:rsidR="006B2405" w:rsidRPr="00BE086B">
        <w:rPr>
          <w:iCs/>
          <w:sz w:val="28"/>
          <w:szCs w:val="28"/>
          <w:lang w:val="uk-UA"/>
        </w:rPr>
        <w:t xml:space="preserve"> на тлі коморбідної патології – </w:t>
      </w:r>
      <w:r w:rsidR="001C5605" w:rsidRPr="00BE086B">
        <w:rPr>
          <w:iCs/>
          <w:sz w:val="28"/>
          <w:szCs w:val="28"/>
          <w:lang w:val="uk-UA"/>
        </w:rPr>
        <w:t xml:space="preserve">остеоартроз </w:t>
      </w:r>
      <w:r w:rsidR="006B2405" w:rsidRPr="00BE086B">
        <w:rPr>
          <w:sz w:val="28"/>
          <w:szCs w:val="28"/>
          <w:lang w:val="uk-UA"/>
        </w:rPr>
        <w:t xml:space="preserve">та </w:t>
      </w:r>
      <w:r w:rsidR="001C5605" w:rsidRPr="00BE086B">
        <w:rPr>
          <w:sz w:val="28"/>
          <w:szCs w:val="28"/>
          <w:lang w:val="uk-UA"/>
        </w:rPr>
        <w:t>гіпотиреоз</w:t>
      </w:r>
      <w:r w:rsidR="006B2405" w:rsidRPr="00BE086B">
        <w:rPr>
          <w:iCs/>
          <w:sz w:val="28"/>
          <w:szCs w:val="28"/>
          <w:lang w:val="uk-UA"/>
        </w:rPr>
        <w:t>.</w:t>
      </w:r>
    </w:p>
    <w:p w:rsidR="006B2405" w:rsidRPr="00BE086B" w:rsidRDefault="006B2405" w:rsidP="00E905D2">
      <w:pPr>
        <w:spacing w:line="360" w:lineRule="auto"/>
        <w:ind w:firstLine="567"/>
        <w:jc w:val="both"/>
        <w:rPr>
          <w:sz w:val="28"/>
          <w:szCs w:val="28"/>
          <w:lang w:val="uk-UA"/>
        </w:rPr>
      </w:pPr>
      <w:r w:rsidRPr="00BE086B">
        <w:rPr>
          <w:bCs/>
          <w:sz w:val="28"/>
          <w:szCs w:val="28"/>
          <w:lang w:val="uk-UA"/>
        </w:rPr>
        <w:t xml:space="preserve">Вперше досліджені структурні зміни кістково-хрящової тканини на тлі гіпофункції </w:t>
      </w:r>
      <w:r w:rsidR="00BD617F" w:rsidRPr="00BE086B">
        <w:rPr>
          <w:bCs/>
          <w:sz w:val="28"/>
          <w:szCs w:val="28"/>
          <w:lang w:val="uk-UA"/>
        </w:rPr>
        <w:t>щитоподібної залози</w:t>
      </w:r>
      <w:r w:rsidRPr="00BE086B">
        <w:rPr>
          <w:bCs/>
          <w:sz w:val="28"/>
          <w:szCs w:val="28"/>
          <w:lang w:val="uk-UA"/>
        </w:rPr>
        <w:t>, що свідчать про вплив гормональної недостатності на хрящову тканину та висвітлюють необхідність медикаментозної корекції патологічних порушень.</w:t>
      </w:r>
    </w:p>
    <w:p w:rsidR="006B2405" w:rsidRPr="00BE086B" w:rsidRDefault="006B2405" w:rsidP="006B2405">
      <w:pPr>
        <w:shd w:val="clear" w:color="auto" w:fill="FFFFFF"/>
        <w:spacing w:line="360" w:lineRule="auto"/>
        <w:ind w:firstLine="567"/>
        <w:jc w:val="both"/>
        <w:rPr>
          <w:rFonts w:eastAsia="Calibri"/>
          <w:iCs/>
          <w:sz w:val="28"/>
          <w:szCs w:val="28"/>
        </w:rPr>
      </w:pPr>
      <w:r w:rsidRPr="00BE086B">
        <w:rPr>
          <w:bCs/>
          <w:sz w:val="28"/>
          <w:szCs w:val="28"/>
        </w:rPr>
        <w:t xml:space="preserve">Доповнено дані щодо особливостей </w:t>
      </w:r>
      <w:r w:rsidRPr="00BE086B">
        <w:rPr>
          <w:sz w:val="28"/>
          <w:szCs w:val="28"/>
        </w:rPr>
        <w:t>больової перцепції</w:t>
      </w:r>
      <w:r w:rsidRPr="00BE086B">
        <w:rPr>
          <w:bCs/>
          <w:sz w:val="28"/>
          <w:szCs w:val="28"/>
        </w:rPr>
        <w:t xml:space="preserve"> за експериментальних патологічних станів та під впливом НПЗЗ та парацетамолу. В</w:t>
      </w:r>
      <w:r w:rsidRPr="00BE086B">
        <w:rPr>
          <w:sz w:val="28"/>
          <w:szCs w:val="28"/>
        </w:rPr>
        <w:t>становлено, що</w:t>
      </w:r>
      <w:r w:rsidRPr="00BE086B">
        <w:rPr>
          <w:rFonts w:eastAsia="Calibri"/>
          <w:iCs/>
          <w:sz w:val="28"/>
          <w:szCs w:val="28"/>
        </w:rPr>
        <w:t xml:space="preserve"> експериментальний </w:t>
      </w:r>
      <w:r w:rsidR="00BD617F" w:rsidRPr="00BE086B">
        <w:rPr>
          <w:rFonts w:eastAsia="Calibri"/>
          <w:iCs/>
          <w:sz w:val="28"/>
          <w:szCs w:val="28"/>
          <w:lang w:val="uk-UA"/>
        </w:rPr>
        <w:t>остеоартроз</w:t>
      </w:r>
      <w:r w:rsidRPr="00BE086B">
        <w:rPr>
          <w:rFonts w:eastAsia="Calibri"/>
          <w:iCs/>
          <w:sz w:val="28"/>
          <w:szCs w:val="28"/>
        </w:rPr>
        <w:t xml:space="preserve"> супроводжується зниженням порогу больової чутливості на 24% </w:t>
      </w:r>
      <w:r w:rsidRPr="00BE086B">
        <w:rPr>
          <w:sz w:val="28"/>
          <w:szCs w:val="28"/>
        </w:rPr>
        <w:t>(р&lt;0,0</w:t>
      </w:r>
      <w:r w:rsidR="00DC7DA1" w:rsidRPr="00BE086B">
        <w:rPr>
          <w:sz w:val="28"/>
          <w:szCs w:val="28"/>
        </w:rPr>
        <w:t>5</w:t>
      </w:r>
      <w:r w:rsidRPr="00BE086B">
        <w:rPr>
          <w:sz w:val="28"/>
          <w:szCs w:val="28"/>
        </w:rPr>
        <w:t xml:space="preserve">), тоді як за наявності коморбідної патології </w:t>
      </w:r>
      <w:r w:rsidRPr="00BE086B">
        <w:rPr>
          <w:rFonts w:eastAsia="Calibri"/>
          <w:iCs/>
          <w:sz w:val="28"/>
          <w:szCs w:val="28"/>
        </w:rPr>
        <w:t>зниження порогу больового відчуття є меншим і сягає 17% (р</w:t>
      </w:r>
      <w:r w:rsidRPr="00BE086B">
        <w:rPr>
          <w:sz w:val="28"/>
          <w:szCs w:val="28"/>
        </w:rPr>
        <w:t>&lt;</w:t>
      </w:r>
      <w:r w:rsidRPr="00BE086B">
        <w:rPr>
          <w:rFonts w:eastAsia="Calibri"/>
          <w:iCs/>
          <w:sz w:val="28"/>
          <w:szCs w:val="28"/>
        </w:rPr>
        <w:t xml:space="preserve">0,05). </w:t>
      </w:r>
      <w:r w:rsidRPr="00BE086B">
        <w:rPr>
          <w:rStyle w:val="Default20Paragraph20Font"/>
          <w:rFonts w:eastAsia="Calibri"/>
          <w:iCs/>
          <w:sz w:val="28"/>
          <w:szCs w:val="28"/>
        </w:rPr>
        <w:t>З</w:t>
      </w:r>
      <w:r w:rsidRPr="00BE086B">
        <w:rPr>
          <w:rFonts w:eastAsia="Calibri"/>
          <w:sz w:val="28"/>
          <w:szCs w:val="28"/>
        </w:rPr>
        <w:t xml:space="preserve">а умов експериментального </w:t>
      </w:r>
      <w:r w:rsidR="001C5605" w:rsidRPr="00BE086B">
        <w:rPr>
          <w:rFonts w:eastAsia="Calibri"/>
          <w:sz w:val="28"/>
          <w:szCs w:val="28"/>
          <w:lang w:val="uk-UA"/>
        </w:rPr>
        <w:t>остеоартрозу</w:t>
      </w:r>
      <w:r w:rsidRPr="00BE086B">
        <w:rPr>
          <w:rFonts w:eastAsia="Calibri"/>
          <w:sz w:val="28"/>
          <w:szCs w:val="28"/>
        </w:rPr>
        <w:t xml:space="preserve"> та </w:t>
      </w:r>
      <w:r w:rsidR="001C5605" w:rsidRPr="00BE086B">
        <w:rPr>
          <w:rFonts w:eastAsia="Calibri"/>
          <w:sz w:val="28"/>
          <w:szCs w:val="28"/>
          <w:lang w:val="uk-UA"/>
        </w:rPr>
        <w:t>гіпотиреозу</w:t>
      </w:r>
      <w:r w:rsidRPr="00BE086B">
        <w:rPr>
          <w:rFonts w:eastAsia="Calibri"/>
          <w:sz w:val="28"/>
          <w:szCs w:val="28"/>
        </w:rPr>
        <w:t xml:space="preserve"> селективні та переважні інгібітори ЦОГ-2 значно втратили свою знеболювальну активність у порівнянні з аналгетиками - невибірковими інгібіторами ЦОГ, особливо диклофенаком натрію. Найбільш слабку аналгетичну дію виявляв парацетамол. </w:t>
      </w:r>
      <w:r w:rsidRPr="00BE086B">
        <w:rPr>
          <w:rFonts w:eastAsia="Calibri"/>
          <w:iCs/>
          <w:sz w:val="28"/>
          <w:szCs w:val="28"/>
        </w:rPr>
        <w:t>З</w:t>
      </w:r>
      <w:r w:rsidRPr="00BE086B">
        <w:rPr>
          <w:iCs/>
          <w:sz w:val="28"/>
          <w:szCs w:val="28"/>
        </w:rPr>
        <w:t xml:space="preserve">амісна гормонотерапія </w:t>
      </w:r>
      <w:r w:rsidRPr="00BE086B">
        <w:rPr>
          <w:sz w:val="28"/>
          <w:szCs w:val="28"/>
        </w:rPr>
        <w:t xml:space="preserve">L-тироксином відновлювала антиноціцептивну активність </w:t>
      </w:r>
      <w:r w:rsidRPr="00BE086B">
        <w:rPr>
          <w:bCs/>
          <w:sz w:val="28"/>
          <w:szCs w:val="28"/>
        </w:rPr>
        <w:t>НПЗЗ та парацетамолу</w:t>
      </w:r>
      <w:r w:rsidRPr="00BE086B">
        <w:rPr>
          <w:rFonts w:eastAsia="Calibri"/>
          <w:iCs/>
          <w:sz w:val="28"/>
          <w:szCs w:val="28"/>
        </w:rPr>
        <w:t>.</w:t>
      </w:r>
    </w:p>
    <w:p w:rsidR="006B2405" w:rsidRPr="00BE086B" w:rsidRDefault="006B2405" w:rsidP="006B2405">
      <w:pPr>
        <w:pStyle w:val="WW-"/>
        <w:spacing w:after="0" w:line="360" w:lineRule="auto"/>
        <w:ind w:firstLine="567"/>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Показано, що сумісне призначення НПЗЗ та парацетамолу з препаратом замісної гормональної терапії L-тироксином сприяє позитивним змінам </w:t>
      </w:r>
      <w:r w:rsidRPr="00BE086B">
        <w:rPr>
          <w:rFonts w:ascii="Times New Roman" w:hAnsi="Times New Roman" w:cs="Times New Roman"/>
          <w:bCs/>
          <w:color w:val="auto"/>
          <w:sz w:val="28"/>
          <w:szCs w:val="28"/>
          <w:lang w:val="uk-UA"/>
        </w:rPr>
        <w:t>рухової та дослідницької активності</w:t>
      </w:r>
      <w:r w:rsidRPr="00BE086B">
        <w:rPr>
          <w:rFonts w:ascii="Times New Roman" w:hAnsi="Times New Roman" w:cs="Times New Roman"/>
          <w:color w:val="auto"/>
          <w:sz w:val="28"/>
          <w:szCs w:val="28"/>
          <w:lang w:val="uk-UA"/>
        </w:rPr>
        <w:t xml:space="preserve"> щурів за умов експериментального </w:t>
      </w:r>
      <w:r w:rsidR="001C5605" w:rsidRPr="00BE086B">
        <w:rPr>
          <w:rFonts w:ascii="Times New Roman" w:hAnsi="Times New Roman" w:cs="Times New Roman"/>
          <w:color w:val="auto"/>
          <w:sz w:val="28"/>
          <w:szCs w:val="28"/>
          <w:lang w:val="uk-UA"/>
        </w:rPr>
        <w:t>остеоартрозу</w:t>
      </w:r>
      <w:r w:rsidRPr="00BE086B">
        <w:rPr>
          <w:rFonts w:ascii="Times New Roman" w:hAnsi="Times New Roman" w:cs="Times New Roman"/>
          <w:color w:val="auto"/>
          <w:sz w:val="28"/>
          <w:szCs w:val="28"/>
          <w:lang w:val="uk-UA"/>
        </w:rPr>
        <w:t xml:space="preserve"> та </w:t>
      </w:r>
      <w:r w:rsidR="001C5605" w:rsidRPr="00BE086B">
        <w:rPr>
          <w:rFonts w:ascii="Times New Roman" w:hAnsi="Times New Roman" w:cs="Times New Roman"/>
          <w:color w:val="auto"/>
          <w:sz w:val="28"/>
          <w:szCs w:val="28"/>
          <w:lang w:val="uk-UA"/>
        </w:rPr>
        <w:t>гіпотиреозу</w:t>
      </w:r>
      <w:r w:rsidRPr="00BE086B">
        <w:rPr>
          <w:rFonts w:ascii="Times New Roman" w:hAnsi="Times New Roman" w:cs="Times New Roman"/>
          <w:color w:val="auto"/>
          <w:sz w:val="28"/>
          <w:szCs w:val="28"/>
          <w:lang w:val="uk-UA"/>
        </w:rPr>
        <w:t xml:space="preserve"> та чинить різний вплив на показники спонтанної поведінкової активності</w:t>
      </w:r>
      <w:r w:rsidR="00726870" w:rsidRPr="00BE086B">
        <w:rPr>
          <w:rFonts w:ascii="Times New Roman" w:hAnsi="Times New Roman" w:cs="Times New Roman"/>
          <w:color w:val="auto"/>
          <w:sz w:val="28"/>
          <w:szCs w:val="28"/>
          <w:lang w:val="uk-UA"/>
        </w:rPr>
        <w:t xml:space="preserve"> </w:t>
      </w:r>
      <w:r w:rsidR="00726870" w:rsidRPr="00BE086B">
        <w:rPr>
          <w:rFonts w:ascii="Times New Roman" w:hAnsi="Times New Roman" w:cs="Times New Roman"/>
          <w:color w:val="auto"/>
          <w:sz w:val="28"/>
          <w:szCs w:val="28"/>
        </w:rPr>
        <w:t>(р&lt;0,05)</w:t>
      </w:r>
      <w:r w:rsidRPr="00BE086B">
        <w:rPr>
          <w:rFonts w:ascii="Times New Roman" w:hAnsi="Times New Roman" w:cs="Times New Roman"/>
          <w:color w:val="auto"/>
          <w:sz w:val="28"/>
          <w:szCs w:val="28"/>
          <w:lang w:val="uk-UA"/>
        </w:rPr>
        <w:t>.</w:t>
      </w:r>
    </w:p>
    <w:p w:rsidR="006B2405" w:rsidRPr="00BE086B" w:rsidRDefault="006B2405" w:rsidP="006B2405">
      <w:pPr>
        <w:spacing w:line="360" w:lineRule="auto"/>
        <w:ind w:firstLine="567"/>
        <w:jc w:val="both"/>
        <w:rPr>
          <w:sz w:val="28"/>
          <w:szCs w:val="28"/>
          <w:lang w:val="uk-UA"/>
        </w:rPr>
      </w:pPr>
      <w:r w:rsidRPr="00BE086B">
        <w:rPr>
          <w:sz w:val="28"/>
          <w:szCs w:val="28"/>
          <w:lang w:val="uk-UA"/>
        </w:rPr>
        <w:t xml:space="preserve">Вперше оцінена протизапальна та хондропротекторна активність НПЗЗ та парацетамолу за рівнем маркерів </w:t>
      </w:r>
      <w:r w:rsidRPr="00BE086B">
        <w:rPr>
          <w:sz w:val="28"/>
          <w:szCs w:val="28"/>
        </w:rPr>
        <w:t>IL</w:t>
      </w:r>
      <w:r w:rsidRPr="00BE086B">
        <w:rPr>
          <w:sz w:val="28"/>
          <w:szCs w:val="28"/>
          <w:lang w:val="uk-UA"/>
        </w:rPr>
        <w:t xml:space="preserve"> 1, </w:t>
      </w:r>
      <w:r w:rsidRPr="00BE086B">
        <w:rPr>
          <w:sz w:val="28"/>
          <w:szCs w:val="28"/>
        </w:rPr>
        <w:t>IL</w:t>
      </w:r>
      <w:r w:rsidRPr="00BE086B">
        <w:rPr>
          <w:sz w:val="28"/>
          <w:szCs w:val="28"/>
          <w:lang w:val="uk-UA"/>
        </w:rPr>
        <w:t xml:space="preserve"> 6, </w:t>
      </w:r>
      <w:r w:rsidRPr="00BE086B">
        <w:rPr>
          <w:sz w:val="28"/>
          <w:szCs w:val="28"/>
        </w:rPr>
        <w:t>IL</w:t>
      </w:r>
      <w:r w:rsidRPr="00BE086B">
        <w:rPr>
          <w:sz w:val="28"/>
          <w:szCs w:val="28"/>
          <w:lang w:val="uk-UA"/>
        </w:rPr>
        <w:t xml:space="preserve"> 8, ММП-3, ММП-9, ММП-13, </w:t>
      </w:r>
      <w:r w:rsidR="0023091D" w:rsidRPr="00BE086B">
        <w:rPr>
          <w:sz w:val="28"/>
          <w:szCs w:val="28"/>
          <w:lang w:val="uk-UA"/>
        </w:rPr>
        <w:t>фактору некрозу пухлин, С-реактивного протеїну</w:t>
      </w:r>
      <w:r w:rsidRPr="00BE086B">
        <w:rPr>
          <w:sz w:val="28"/>
          <w:szCs w:val="28"/>
          <w:lang w:val="uk-UA"/>
        </w:rPr>
        <w:t xml:space="preserve">, </w:t>
      </w:r>
      <w:r w:rsidR="0023091D" w:rsidRPr="00BE086B">
        <w:rPr>
          <w:sz w:val="28"/>
          <w:szCs w:val="28"/>
          <w:lang w:val="uk-UA"/>
        </w:rPr>
        <w:t>кісткової лужної фосфатази</w:t>
      </w:r>
      <w:r w:rsidRPr="00BE086B">
        <w:rPr>
          <w:bCs/>
          <w:sz w:val="28"/>
          <w:szCs w:val="28"/>
          <w:lang w:val="uk-UA"/>
        </w:rPr>
        <w:t>,</w:t>
      </w:r>
      <w:r w:rsidRPr="00BE086B">
        <w:rPr>
          <w:sz w:val="28"/>
          <w:szCs w:val="28"/>
          <w:lang w:val="uk-UA"/>
        </w:rPr>
        <w:t xml:space="preserve"> СТХ </w:t>
      </w:r>
      <w:r w:rsidRPr="00BE086B">
        <w:rPr>
          <w:sz w:val="28"/>
          <w:szCs w:val="28"/>
        </w:rPr>
        <w:t>I</w:t>
      </w:r>
      <w:r w:rsidRPr="00BE086B">
        <w:rPr>
          <w:sz w:val="28"/>
          <w:szCs w:val="28"/>
          <w:lang w:val="uk-UA"/>
        </w:rPr>
        <w:t xml:space="preserve">, СТХ </w:t>
      </w:r>
      <w:r w:rsidRPr="00BE086B">
        <w:rPr>
          <w:sz w:val="28"/>
          <w:szCs w:val="28"/>
        </w:rPr>
        <w:t>I</w:t>
      </w:r>
      <w:r w:rsidRPr="00BE086B">
        <w:rPr>
          <w:sz w:val="28"/>
          <w:szCs w:val="28"/>
          <w:lang w:val="uk-UA"/>
        </w:rPr>
        <w:t>І та встановлена спроможність досліджуваних препаратів до впливу на запальні та дегенеративно-дистрофічні процеси у хрящовій тканині та тканині суглобу за коморбідного стану.</w:t>
      </w:r>
    </w:p>
    <w:p w:rsidR="006B2405" w:rsidRPr="00BE086B" w:rsidRDefault="006B2405" w:rsidP="006B2405">
      <w:pPr>
        <w:pStyle w:val="WW-1"/>
        <w:spacing w:after="0" w:line="360" w:lineRule="auto"/>
        <w:ind w:firstLine="567"/>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 xml:space="preserve">Визначені препарати групи НПЗЗ, що впливають на концентрацію ТТГ, Т3 та Т4 у сироватці крові при </w:t>
      </w:r>
      <w:r w:rsidR="001C5605" w:rsidRPr="00BE086B">
        <w:rPr>
          <w:rFonts w:ascii="Times New Roman" w:hAnsi="Times New Roman" w:cs="Times New Roman"/>
          <w:color w:val="auto"/>
          <w:sz w:val="28"/>
          <w:szCs w:val="28"/>
          <w:lang w:val="uk-UA"/>
        </w:rPr>
        <w:t>остеоартрозі</w:t>
      </w:r>
      <w:r w:rsidRPr="00BE086B">
        <w:rPr>
          <w:rFonts w:ascii="Times New Roman" w:hAnsi="Times New Roman" w:cs="Times New Roman"/>
          <w:color w:val="auto"/>
          <w:sz w:val="28"/>
          <w:szCs w:val="28"/>
          <w:lang w:val="uk-UA"/>
        </w:rPr>
        <w:t xml:space="preserve"> та </w:t>
      </w:r>
      <w:r w:rsidR="001C5605" w:rsidRPr="00BE086B">
        <w:rPr>
          <w:rFonts w:ascii="Times New Roman" w:hAnsi="Times New Roman" w:cs="Times New Roman"/>
          <w:color w:val="auto"/>
          <w:sz w:val="28"/>
          <w:szCs w:val="28"/>
          <w:lang w:val="uk-UA"/>
        </w:rPr>
        <w:t>гіпотиреозі</w:t>
      </w:r>
      <w:r w:rsidR="00A412C5" w:rsidRPr="00BE086B">
        <w:rPr>
          <w:rFonts w:ascii="Times New Roman" w:hAnsi="Times New Roman" w:cs="Times New Roman"/>
          <w:color w:val="auto"/>
          <w:sz w:val="28"/>
          <w:szCs w:val="28"/>
          <w:lang w:val="uk-UA"/>
        </w:rPr>
        <w:t>.</w:t>
      </w:r>
    </w:p>
    <w:p w:rsidR="006B2405" w:rsidRPr="00BE086B" w:rsidRDefault="006B2405" w:rsidP="006B2405">
      <w:pPr>
        <w:spacing w:line="360" w:lineRule="auto"/>
        <w:ind w:firstLine="567"/>
        <w:jc w:val="both"/>
        <w:rPr>
          <w:sz w:val="28"/>
          <w:szCs w:val="28"/>
          <w:lang w:val="uk-UA"/>
        </w:rPr>
      </w:pPr>
      <w:r w:rsidRPr="00BE086B">
        <w:rPr>
          <w:sz w:val="28"/>
          <w:szCs w:val="28"/>
          <w:lang w:val="uk-UA"/>
        </w:rPr>
        <w:t xml:space="preserve">Встановлена здатність хондроїтину сульфату відновлювати морфометричні розміри уражених суглобів, показники рухової, дослідницької та вегетативної активності у щурів, проявляти помірну знеболювальну дію та позитивно впливати на біохімічні показники (рівні серомукоїдів, сіалових кислот, глікозаміногліканів, оксипроліну, сивороткового кальцію та маркеру СТХ ІІ) за коморбідного стану – </w:t>
      </w:r>
      <w:r w:rsidR="001C5605" w:rsidRPr="00BE086B">
        <w:rPr>
          <w:sz w:val="28"/>
          <w:szCs w:val="28"/>
          <w:lang w:val="uk-UA"/>
        </w:rPr>
        <w:t>остеоартрозу</w:t>
      </w:r>
      <w:r w:rsidRPr="00BE086B">
        <w:rPr>
          <w:sz w:val="28"/>
          <w:szCs w:val="28"/>
          <w:lang w:val="uk-UA"/>
        </w:rPr>
        <w:t xml:space="preserve"> та </w:t>
      </w:r>
      <w:r w:rsidR="001C5605" w:rsidRPr="00BE086B">
        <w:rPr>
          <w:sz w:val="28"/>
          <w:szCs w:val="28"/>
          <w:lang w:val="uk-UA"/>
        </w:rPr>
        <w:t>гіпотиреозу</w:t>
      </w:r>
      <w:r w:rsidRPr="00BE086B">
        <w:rPr>
          <w:sz w:val="28"/>
          <w:szCs w:val="28"/>
          <w:lang w:val="uk-UA"/>
        </w:rPr>
        <w:t>.</w:t>
      </w:r>
    </w:p>
    <w:p w:rsidR="006B2405" w:rsidRPr="00AF27FE" w:rsidRDefault="006B2405" w:rsidP="006B2405">
      <w:pPr>
        <w:spacing w:line="360" w:lineRule="auto"/>
        <w:ind w:firstLine="567"/>
        <w:jc w:val="both"/>
        <w:rPr>
          <w:sz w:val="28"/>
          <w:szCs w:val="28"/>
          <w:lang w:val="uk-UA" w:eastAsia="ru-RU"/>
        </w:rPr>
      </w:pPr>
      <w:r w:rsidRPr="00BE086B">
        <w:rPr>
          <w:iCs/>
          <w:sz w:val="28"/>
          <w:szCs w:val="28"/>
          <w:lang w:val="uk-UA"/>
        </w:rPr>
        <w:t xml:space="preserve">Вперше при </w:t>
      </w:r>
      <w:r w:rsidR="008226D5" w:rsidRPr="00BE086B">
        <w:rPr>
          <w:iCs/>
          <w:sz w:val="28"/>
          <w:szCs w:val="28"/>
          <w:lang w:val="uk-UA"/>
        </w:rPr>
        <w:t>остеоартрозі</w:t>
      </w:r>
      <w:r w:rsidRPr="00BE086B">
        <w:rPr>
          <w:iCs/>
          <w:sz w:val="28"/>
          <w:szCs w:val="28"/>
          <w:lang w:val="uk-UA"/>
        </w:rPr>
        <w:t xml:space="preserve">, коморбідного з </w:t>
      </w:r>
      <w:r w:rsidR="008226D5" w:rsidRPr="00BE086B">
        <w:rPr>
          <w:iCs/>
          <w:sz w:val="28"/>
          <w:szCs w:val="28"/>
          <w:lang w:val="uk-UA"/>
        </w:rPr>
        <w:t>гіпотиреозом</w:t>
      </w:r>
      <w:r w:rsidRPr="00BE086B">
        <w:rPr>
          <w:iCs/>
          <w:sz w:val="28"/>
          <w:szCs w:val="28"/>
          <w:lang w:val="uk-UA"/>
        </w:rPr>
        <w:t xml:space="preserve"> обґрунтовано комбіноване застосування </w:t>
      </w:r>
      <w:r w:rsidRPr="00BE086B">
        <w:rPr>
          <w:sz w:val="28"/>
          <w:szCs w:val="28"/>
        </w:rPr>
        <w:t>L</w:t>
      </w:r>
      <w:r w:rsidRPr="00BE086B">
        <w:rPr>
          <w:sz w:val="28"/>
          <w:szCs w:val="28"/>
          <w:lang w:val="uk-UA"/>
        </w:rPr>
        <w:t xml:space="preserve">-тироксину, диклофенаку натрію та хондроїтину сульфату. </w:t>
      </w:r>
      <w:r w:rsidRPr="00AF27FE">
        <w:rPr>
          <w:sz w:val="28"/>
          <w:szCs w:val="28"/>
          <w:lang w:val="uk-UA"/>
        </w:rPr>
        <w:t>Саме за комбінованого застосування цих препаратів виявлені знеболювальні та протизапальні ефекти, а також активна регенерація як хрящової, так і кісткової тканини з формуванням ділянок неоваскулогенезу у пошкодженому суглобі.</w:t>
      </w:r>
      <w:r w:rsidRPr="00AF27FE">
        <w:rPr>
          <w:iCs/>
          <w:sz w:val="28"/>
          <w:szCs w:val="28"/>
          <w:lang w:val="uk-UA"/>
        </w:rPr>
        <w:t xml:space="preserve"> Доведено, що</w:t>
      </w:r>
      <w:r w:rsidRPr="00AF27FE">
        <w:rPr>
          <w:sz w:val="28"/>
          <w:szCs w:val="28"/>
          <w:lang w:val="uk-UA" w:eastAsia="ru-RU"/>
        </w:rPr>
        <w:t xml:space="preserve"> аналгетична активність за комбінованого застосування д</w:t>
      </w:r>
      <w:r w:rsidRPr="00AF27FE">
        <w:rPr>
          <w:sz w:val="28"/>
          <w:szCs w:val="28"/>
          <w:lang w:val="uk-UA"/>
        </w:rPr>
        <w:t xml:space="preserve">иклофенаку натрію з хондроїтином сульфатом та </w:t>
      </w:r>
      <w:r w:rsidRPr="00BE086B">
        <w:rPr>
          <w:sz w:val="28"/>
          <w:szCs w:val="28"/>
        </w:rPr>
        <w:t>L</w:t>
      </w:r>
      <w:r w:rsidRPr="00AF27FE">
        <w:rPr>
          <w:sz w:val="28"/>
          <w:szCs w:val="28"/>
          <w:lang w:val="uk-UA"/>
        </w:rPr>
        <w:t>-тироксином</w:t>
      </w:r>
      <w:r w:rsidRPr="00AF27FE">
        <w:rPr>
          <w:sz w:val="28"/>
          <w:szCs w:val="28"/>
          <w:lang w:val="uk-UA" w:eastAsia="ru-RU"/>
        </w:rPr>
        <w:t xml:space="preserve"> при одноразовому внутрішньошлунковому введені</w:t>
      </w:r>
      <w:r w:rsidRPr="00AF27FE">
        <w:rPr>
          <w:rStyle w:val="Default20Paragraph20Font"/>
          <w:bCs/>
          <w:iCs/>
          <w:sz w:val="28"/>
          <w:szCs w:val="28"/>
          <w:lang w:val="uk-UA"/>
        </w:rPr>
        <w:t xml:space="preserve"> на різних моделях больової перцепції </w:t>
      </w:r>
      <w:r w:rsidRPr="00AF27FE">
        <w:rPr>
          <w:sz w:val="28"/>
          <w:szCs w:val="28"/>
          <w:lang w:val="uk-UA" w:eastAsia="ru-RU"/>
        </w:rPr>
        <w:t>вища за знеболювальну дію окремих препаратів.</w:t>
      </w:r>
    </w:p>
    <w:p w:rsidR="006B2405" w:rsidRPr="00AF27FE" w:rsidRDefault="006B2405" w:rsidP="008226D5">
      <w:pPr>
        <w:spacing w:line="360" w:lineRule="auto"/>
        <w:ind w:firstLine="567"/>
        <w:jc w:val="both"/>
        <w:rPr>
          <w:sz w:val="28"/>
          <w:szCs w:val="28"/>
          <w:lang w:val="uk-UA" w:eastAsia="ru-RU"/>
        </w:rPr>
      </w:pPr>
      <w:r w:rsidRPr="00AF27FE">
        <w:rPr>
          <w:sz w:val="28"/>
          <w:szCs w:val="28"/>
          <w:lang w:val="uk-UA"/>
        </w:rPr>
        <w:t xml:space="preserve">Встановлена відсутність біофармацевтичної взаємодії між препаратами, що використовувалися для знеболення та зменшення запальних симптомів, на тлі </w:t>
      </w:r>
      <w:r w:rsidR="008226D5" w:rsidRPr="00BE086B">
        <w:rPr>
          <w:sz w:val="28"/>
          <w:szCs w:val="28"/>
          <w:lang w:val="uk-UA"/>
        </w:rPr>
        <w:t>остеоартрозу</w:t>
      </w:r>
      <w:r w:rsidRPr="00AF27FE">
        <w:rPr>
          <w:sz w:val="28"/>
          <w:szCs w:val="28"/>
          <w:lang w:val="uk-UA"/>
        </w:rPr>
        <w:t xml:space="preserve">, асоційованого з </w:t>
      </w:r>
      <w:r w:rsidR="008226D5" w:rsidRPr="00BE086B">
        <w:rPr>
          <w:sz w:val="28"/>
          <w:szCs w:val="28"/>
          <w:lang w:val="uk-UA"/>
        </w:rPr>
        <w:t>гіпотиреозом</w:t>
      </w:r>
      <w:r w:rsidRPr="00AF27FE">
        <w:rPr>
          <w:sz w:val="28"/>
          <w:szCs w:val="28"/>
          <w:lang w:val="uk-UA"/>
        </w:rPr>
        <w:t>.</w:t>
      </w:r>
    </w:p>
    <w:p w:rsidR="001C5605" w:rsidRPr="00AF27FE" w:rsidRDefault="001C5605" w:rsidP="008226D5">
      <w:pPr>
        <w:spacing w:line="360" w:lineRule="auto"/>
        <w:ind w:firstLine="567"/>
        <w:jc w:val="both"/>
        <w:rPr>
          <w:sz w:val="28"/>
          <w:szCs w:val="28"/>
          <w:lang w:val="uk-UA" w:eastAsia="en-US"/>
        </w:rPr>
      </w:pPr>
      <w:r w:rsidRPr="00AF27FE">
        <w:rPr>
          <w:sz w:val="28"/>
          <w:szCs w:val="28"/>
          <w:lang w:val="uk-UA"/>
        </w:rPr>
        <w:t xml:space="preserve">Результати роботи є передумовою для обґрунтування раціональних підходів до фармакотерапії болю і запалення та забезпечення адекватної хондропротекції у хворих на </w:t>
      </w:r>
      <w:r w:rsidR="008226D5" w:rsidRPr="00BE086B">
        <w:rPr>
          <w:sz w:val="28"/>
          <w:szCs w:val="28"/>
          <w:lang w:val="uk-UA"/>
        </w:rPr>
        <w:t>остеоартроз</w:t>
      </w:r>
      <w:r w:rsidRPr="00AF27FE">
        <w:rPr>
          <w:sz w:val="28"/>
          <w:szCs w:val="28"/>
          <w:lang w:val="uk-UA"/>
        </w:rPr>
        <w:t xml:space="preserve"> при супутньому </w:t>
      </w:r>
      <w:r w:rsidR="008226D5" w:rsidRPr="00BE086B">
        <w:rPr>
          <w:sz w:val="28"/>
          <w:szCs w:val="28"/>
          <w:lang w:val="uk-UA"/>
        </w:rPr>
        <w:t>гіпотиреозі</w:t>
      </w:r>
      <w:r w:rsidRPr="00AF27FE">
        <w:rPr>
          <w:sz w:val="28"/>
          <w:szCs w:val="28"/>
          <w:lang w:val="uk-UA"/>
        </w:rPr>
        <w:t>.</w:t>
      </w:r>
    </w:p>
    <w:p w:rsidR="000D447B" w:rsidRPr="00AF27FE" w:rsidRDefault="001C5605" w:rsidP="003C236F">
      <w:pPr>
        <w:spacing w:line="360" w:lineRule="auto"/>
        <w:ind w:firstLine="709"/>
        <w:jc w:val="both"/>
        <w:rPr>
          <w:bCs/>
          <w:i/>
          <w:sz w:val="28"/>
          <w:szCs w:val="28"/>
          <w:lang w:val="uk-UA"/>
        </w:rPr>
      </w:pPr>
      <w:r w:rsidRPr="00AF27FE">
        <w:rPr>
          <w:sz w:val="28"/>
          <w:szCs w:val="28"/>
          <w:lang w:val="uk-UA"/>
        </w:rPr>
        <w:t xml:space="preserve">На підставі проведеного дослідження визначена раціональна комбінація лікарських засобів для перорального застосування із знеболювальною та хондропротекторною діями, яка включає </w:t>
      </w:r>
      <w:r w:rsidRPr="00BE086B">
        <w:rPr>
          <w:iCs/>
          <w:sz w:val="28"/>
          <w:szCs w:val="28"/>
        </w:rPr>
        <w:t>L</w:t>
      </w:r>
      <w:r w:rsidRPr="00AF27FE">
        <w:rPr>
          <w:iCs/>
          <w:sz w:val="28"/>
          <w:szCs w:val="28"/>
          <w:lang w:val="uk-UA"/>
        </w:rPr>
        <w:t>-тироксин дозою 50-100 мг,</w:t>
      </w:r>
      <w:r w:rsidRPr="00AF27FE">
        <w:rPr>
          <w:sz w:val="28"/>
          <w:szCs w:val="28"/>
          <w:lang w:val="uk-UA"/>
        </w:rPr>
        <w:t xml:space="preserve"> </w:t>
      </w:r>
      <w:r w:rsidRPr="00AF27FE">
        <w:rPr>
          <w:iCs/>
          <w:sz w:val="28"/>
          <w:szCs w:val="28"/>
          <w:lang w:val="uk-UA"/>
        </w:rPr>
        <w:t xml:space="preserve">диклофенак натрію дозою 150 мг та хондроїтину сульфат дозою 2 мл на добу при коморбідній патології </w:t>
      </w:r>
      <w:r w:rsidR="008226D5" w:rsidRPr="00BE086B">
        <w:rPr>
          <w:iCs/>
          <w:sz w:val="28"/>
          <w:szCs w:val="28"/>
          <w:lang w:val="uk-UA"/>
        </w:rPr>
        <w:t>остеоартрозу</w:t>
      </w:r>
      <w:r w:rsidRPr="00AF27FE">
        <w:rPr>
          <w:iCs/>
          <w:sz w:val="28"/>
          <w:szCs w:val="28"/>
          <w:lang w:val="uk-UA"/>
        </w:rPr>
        <w:t xml:space="preserve"> та </w:t>
      </w:r>
      <w:r w:rsidR="008226D5" w:rsidRPr="00BE086B">
        <w:rPr>
          <w:iCs/>
          <w:sz w:val="28"/>
          <w:szCs w:val="28"/>
          <w:lang w:val="uk-UA"/>
        </w:rPr>
        <w:t>гіпотиреозу.</w:t>
      </w:r>
    </w:p>
    <w:p w:rsidR="008226D5" w:rsidRPr="00BE086B" w:rsidRDefault="003C236F" w:rsidP="00D629E6">
      <w:pPr>
        <w:spacing w:line="360" w:lineRule="auto"/>
        <w:ind w:firstLine="709"/>
        <w:jc w:val="both"/>
        <w:rPr>
          <w:rFonts w:eastAsia="Calibri"/>
          <w:iCs/>
          <w:sz w:val="28"/>
          <w:szCs w:val="28"/>
          <w:lang w:eastAsia="en-US"/>
        </w:rPr>
      </w:pPr>
      <w:r w:rsidRPr="00BE086B">
        <w:rPr>
          <w:rFonts w:eastAsia="Calibri"/>
          <w:iCs/>
          <w:sz w:val="28"/>
          <w:szCs w:val="28"/>
          <w:lang w:val="uk-UA"/>
        </w:rPr>
        <w:t>Встановлено, що з</w:t>
      </w:r>
      <w:r w:rsidR="008226D5" w:rsidRPr="00BE086B">
        <w:rPr>
          <w:rFonts w:eastAsia="Calibri"/>
          <w:iCs/>
          <w:sz w:val="28"/>
          <w:szCs w:val="28"/>
        </w:rPr>
        <w:t xml:space="preserve">неболювальний ефект </w:t>
      </w:r>
      <w:r w:rsidRPr="00BE086B">
        <w:rPr>
          <w:rFonts w:eastAsia="Calibri"/>
          <w:iCs/>
          <w:sz w:val="28"/>
          <w:szCs w:val="28"/>
          <w:lang w:val="uk-UA"/>
        </w:rPr>
        <w:t>аналгетиків</w:t>
      </w:r>
      <w:r w:rsidR="008226D5" w:rsidRPr="00BE086B">
        <w:rPr>
          <w:rFonts w:eastAsia="Calibri"/>
          <w:iCs/>
          <w:sz w:val="28"/>
          <w:szCs w:val="28"/>
        </w:rPr>
        <w:t xml:space="preserve"> на тлі коморбідної патології та за призначення L-тироксину проявився більш виразно. </w:t>
      </w:r>
      <w:r w:rsidR="008226D5" w:rsidRPr="00BE086B">
        <w:rPr>
          <w:rStyle w:val="Default20Paragraph20Font"/>
          <w:rFonts w:eastAsia="Calibri"/>
          <w:iCs/>
          <w:sz w:val="28"/>
          <w:szCs w:val="28"/>
        </w:rPr>
        <w:t xml:space="preserve">Даний </w:t>
      </w:r>
      <w:r w:rsidR="008226D5" w:rsidRPr="00BE086B">
        <w:rPr>
          <w:rStyle w:val="Default20Paragraph20Font"/>
          <w:rFonts w:eastAsia="Calibri"/>
          <w:iCs/>
          <w:sz w:val="28"/>
          <w:szCs w:val="28"/>
        </w:rPr>
        <w:lastRenderedPageBreak/>
        <w:t xml:space="preserve">результат є свідченням потенціювання знеболювального впливу зазначених НПЗЗ </w:t>
      </w:r>
      <w:r w:rsidR="008226D5" w:rsidRPr="00BE086B">
        <w:rPr>
          <w:rStyle w:val="Default20Paragraph20Font"/>
          <w:rFonts w:eastAsia="Calibri"/>
          <w:bCs/>
          <w:iCs/>
          <w:sz w:val="28"/>
          <w:szCs w:val="28"/>
        </w:rPr>
        <w:t xml:space="preserve">L-тироксином на тлі </w:t>
      </w:r>
      <w:r w:rsidRPr="00BE086B">
        <w:rPr>
          <w:rStyle w:val="Default20Paragraph20Font"/>
          <w:rFonts w:eastAsia="Calibri"/>
          <w:bCs/>
          <w:iCs/>
          <w:sz w:val="28"/>
          <w:szCs w:val="28"/>
          <w:lang w:val="uk-UA"/>
        </w:rPr>
        <w:t>остеоартрозу</w:t>
      </w:r>
      <w:r w:rsidR="008226D5" w:rsidRPr="00BE086B">
        <w:rPr>
          <w:rStyle w:val="Default20Paragraph20Font"/>
          <w:rFonts w:eastAsia="Calibri"/>
          <w:bCs/>
          <w:iCs/>
          <w:sz w:val="28"/>
          <w:szCs w:val="28"/>
        </w:rPr>
        <w:t xml:space="preserve">, коморбідного з </w:t>
      </w:r>
      <w:r w:rsidRPr="00BE086B">
        <w:rPr>
          <w:rStyle w:val="Default20Paragraph20Font"/>
          <w:rFonts w:eastAsia="Calibri"/>
          <w:bCs/>
          <w:iCs/>
          <w:sz w:val="28"/>
          <w:szCs w:val="28"/>
          <w:lang w:val="uk-UA"/>
        </w:rPr>
        <w:t>гіпотиреозом</w:t>
      </w:r>
      <w:r w:rsidR="008226D5" w:rsidRPr="00BE086B">
        <w:rPr>
          <w:rStyle w:val="Default20Paragraph20Font"/>
          <w:rFonts w:eastAsia="Calibri"/>
          <w:bCs/>
          <w:iCs/>
          <w:sz w:val="28"/>
          <w:szCs w:val="28"/>
        </w:rPr>
        <w:t>, і</w:t>
      </w:r>
      <w:r w:rsidR="008226D5" w:rsidRPr="00BE086B">
        <w:rPr>
          <w:rStyle w:val="Default20Paragraph20Font"/>
          <w:rFonts w:eastAsia="Calibri"/>
          <w:iCs/>
          <w:sz w:val="28"/>
          <w:szCs w:val="28"/>
        </w:rPr>
        <w:t xml:space="preserve"> відображає найсуттєвіший знеболювальний ефект диклофенаку натрію. Фактично, </w:t>
      </w:r>
      <w:r w:rsidR="008226D5" w:rsidRPr="00BE086B">
        <w:rPr>
          <w:rStyle w:val="Default20Paragraph20Font"/>
          <w:rFonts w:eastAsia="Calibri"/>
          <w:bCs/>
          <w:iCs/>
          <w:sz w:val="28"/>
          <w:szCs w:val="28"/>
        </w:rPr>
        <w:t>L-тироксин</w:t>
      </w:r>
      <w:r w:rsidR="008226D5" w:rsidRPr="00BE086B">
        <w:rPr>
          <w:rStyle w:val="Default20Paragraph20Font"/>
          <w:rFonts w:eastAsia="Calibri"/>
          <w:szCs w:val="28"/>
        </w:rPr>
        <w:t xml:space="preserve"> </w:t>
      </w:r>
      <w:r w:rsidR="008226D5" w:rsidRPr="00BE086B">
        <w:rPr>
          <w:rFonts w:eastAsia="Calibri"/>
          <w:sz w:val="28"/>
          <w:szCs w:val="28"/>
        </w:rPr>
        <w:t>за комбінованого застосування з диклофенаком натрію призводить до зростання аналгетичної активності останнього на 48% (р&lt;0,05).</w:t>
      </w:r>
      <w:r w:rsidR="008226D5" w:rsidRPr="00BE086B">
        <w:rPr>
          <w:rFonts w:eastAsia="Calibri"/>
        </w:rPr>
        <w:t xml:space="preserve"> </w:t>
      </w:r>
      <w:r w:rsidR="008226D5" w:rsidRPr="00BE086B">
        <w:rPr>
          <w:rFonts w:eastAsia="Calibri"/>
          <w:sz w:val="28"/>
          <w:szCs w:val="28"/>
        </w:rPr>
        <w:t>Знеболювальна активність</w:t>
      </w:r>
      <w:r w:rsidR="008226D5" w:rsidRPr="00BE086B">
        <w:rPr>
          <w:rFonts w:eastAsia="Calibri"/>
        </w:rPr>
        <w:t xml:space="preserve"> </w:t>
      </w:r>
      <w:r w:rsidR="008226D5" w:rsidRPr="00BE086B">
        <w:rPr>
          <w:rFonts w:eastAsia="Calibri"/>
          <w:iCs/>
          <w:sz w:val="28"/>
          <w:szCs w:val="28"/>
        </w:rPr>
        <w:t xml:space="preserve">парацетамолу на фоні призначення L-тироксину зросла у 1,8 рази </w:t>
      </w:r>
      <w:r w:rsidR="008226D5" w:rsidRPr="00BE086B">
        <w:rPr>
          <w:rFonts w:eastAsia="Calibri"/>
          <w:sz w:val="28"/>
          <w:szCs w:val="28"/>
        </w:rPr>
        <w:t>(р&lt;0,05)</w:t>
      </w:r>
      <w:r w:rsidR="008226D5" w:rsidRPr="00BE086B">
        <w:rPr>
          <w:rFonts w:eastAsia="Calibri"/>
          <w:iCs/>
          <w:sz w:val="28"/>
          <w:szCs w:val="28"/>
        </w:rPr>
        <w:t xml:space="preserve">, порівняно до даних за самостійного призначення антипіретика лише на тлі </w:t>
      </w:r>
      <w:r w:rsidRPr="00BE086B">
        <w:rPr>
          <w:rFonts w:eastAsia="Calibri"/>
          <w:iCs/>
          <w:sz w:val="28"/>
          <w:szCs w:val="28"/>
          <w:lang w:val="uk-UA"/>
        </w:rPr>
        <w:t>остеоартрозу</w:t>
      </w:r>
      <w:r w:rsidR="008226D5" w:rsidRPr="00BE086B">
        <w:rPr>
          <w:rFonts w:eastAsia="Calibri"/>
          <w:iCs/>
          <w:sz w:val="28"/>
          <w:szCs w:val="28"/>
        </w:rPr>
        <w:t>.</w:t>
      </w:r>
    </w:p>
    <w:p w:rsidR="003C236F" w:rsidRPr="00BE086B" w:rsidRDefault="003C236F" w:rsidP="00D629E6">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підставі аналізу отриманих даних були визначені препарати, які змінювали гормональний фон. Такі препарати, як ібупрофен, мелоксикам та німесулід знижували рівень ТТГ у сироватці крові щурів у 1,47; 1,</w:t>
      </w:r>
      <w:r w:rsidR="00407973" w:rsidRPr="00BE086B">
        <w:rPr>
          <w:rFonts w:ascii="Times New Roman" w:hAnsi="Times New Roman" w:cs="Times New Roman"/>
          <w:color w:val="auto"/>
          <w:sz w:val="28"/>
          <w:szCs w:val="28"/>
          <w:lang w:val="uk-UA"/>
        </w:rPr>
        <w:t>29</w:t>
      </w:r>
      <w:r w:rsidRPr="00BE086B">
        <w:rPr>
          <w:rFonts w:ascii="Times New Roman" w:hAnsi="Times New Roman" w:cs="Times New Roman"/>
          <w:color w:val="auto"/>
          <w:sz w:val="28"/>
          <w:szCs w:val="28"/>
          <w:lang w:val="uk-UA"/>
        </w:rPr>
        <w:t xml:space="preserve"> та 1,4</w:t>
      </w:r>
      <w:r w:rsidR="00407973" w:rsidRPr="00BE086B">
        <w:rPr>
          <w:rFonts w:ascii="Times New Roman" w:hAnsi="Times New Roman" w:cs="Times New Roman"/>
          <w:color w:val="auto"/>
          <w:sz w:val="28"/>
          <w:szCs w:val="28"/>
          <w:lang w:val="uk-UA"/>
        </w:rPr>
        <w:t>0</w:t>
      </w:r>
      <w:r w:rsidRPr="00BE086B">
        <w:rPr>
          <w:rFonts w:ascii="Times New Roman" w:hAnsi="Times New Roman" w:cs="Times New Roman"/>
          <w:color w:val="auto"/>
          <w:sz w:val="28"/>
          <w:szCs w:val="28"/>
          <w:lang w:val="uk-UA"/>
        </w:rPr>
        <w:t xml:space="preserve"> рази відповідно (</w:t>
      </w:r>
      <w:r w:rsidRPr="00BE086B">
        <w:rPr>
          <w:rFonts w:ascii="Times New Roman" w:eastAsia="Calibri" w:hAnsi="Times New Roman" w:cs="Times New Roman"/>
          <w:iCs/>
          <w:color w:val="auto"/>
          <w:sz w:val="28"/>
          <w:szCs w:val="28"/>
          <w:lang w:val="uk-UA"/>
        </w:rPr>
        <w:t>р&lt;0,05</w:t>
      </w:r>
      <w:r w:rsidRPr="00BE086B">
        <w:rPr>
          <w:rFonts w:ascii="Times New Roman" w:hAnsi="Times New Roman" w:cs="Times New Roman"/>
          <w:color w:val="auto"/>
          <w:sz w:val="28"/>
          <w:szCs w:val="28"/>
          <w:lang w:val="uk-UA"/>
        </w:rPr>
        <w:t>). Водночас, за їхнього застосування спостерігалося підвищення рівня Т4 у 1,23; 1,27 та 1,26 разів відповідно (</w:t>
      </w:r>
      <w:r w:rsidRPr="00BE086B">
        <w:rPr>
          <w:rFonts w:ascii="Times New Roman" w:eastAsia="Calibri" w:hAnsi="Times New Roman" w:cs="Times New Roman"/>
          <w:iCs/>
          <w:color w:val="auto"/>
          <w:sz w:val="28"/>
          <w:szCs w:val="28"/>
          <w:lang w:val="uk-UA"/>
        </w:rPr>
        <w:t>р&lt;0,05</w:t>
      </w:r>
      <w:r w:rsidRPr="00BE086B">
        <w:rPr>
          <w:rFonts w:ascii="Times New Roman" w:hAnsi="Times New Roman" w:cs="Times New Roman"/>
          <w:color w:val="auto"/>
          <w:sz w:val="28"/>
          <w:szCs w:val="28"/>
          <w:lang w:val="uk-UA"/>
        </w:rPr>
        <w:t>).</w:t>
      </w:r>
    </w:p>
    <w:p w:rsidR="003C236F" w:rsidRPr="00BE086B" w:rsidRDefault="003C236F" w:rsidP="00D629E6">
      <w:pPr>
        <w:pStyle w:val="WW-1"/>
        <w:spacing w:after="0" w:line="360" w:lineRule="auto"/>
        <w:ind w:firstLine="709"/>
        <w:jc w:val="both"/>
        <w:rPr>
          <w:rFonts w:ascii="Times New Roman" w:hAnsi="Times New Roman" w:cs="Times New Roman"/>
          <w:color w:val="auto"/>
          <w:sz w:val="28"/>
          <w:lang w:val="uk-UA"/>
        </w:rPr>
      </w:pPr>
      <w:r w:rsidRPr="00BE086B">
        <w:rPr>
          <w:rFonts w:ascii="Times New Roman" w:hAnsi="Times New Roman" w:cs="Times New Roman"/>
          <w:color w:val="auto"/>
          <w:sz w:val="28"/>
          <w:szCs w:val="28"/>
          <w:lang w:val="uk-UA"/>
        </w:rPr>
        <w:t xml:space="preserve">Результати проведеного дослідження дозволили встановити, що на </w:t>
      </w:r>
      <w:r w:rsidR="00407973" w:rsidRPr="00BE086B">
        <w:rPr>
          <w:rFonts w:ascii="Times New Roman" w:hAnsi="Times New Roman" w:cs="Times New Roman"/>
          <w:color w:val="auto"/>
          <w:sz w:val="28"/>
          <w:szCs w:val="28"/>
          <w:lang w:val="uk-UA"/>
        </w:rPr>
        <w:t>середньо ефективних</w:t>
      </w:r>
      <w:r w:rsidRPr="00BE086B">
        <w:rPr>
          <w:rFonts w:ascii="Times New Roman" w:hAnsi="Times New Roman" w:cs="Times New Roman"/>
          <w:color w:val="auto"/>
          <w:sz w:val="28"/>
          <w:szCs w:val="28"/>
          <w:lang w:val="uk-UA"/>
        </w:rPr>
        <w:t xml:space="preserve"> дозах визначена лише тенденція до зниження рівня гормонів ЩЗ (Т3 та Т4) та ТТГ, у сироватці крові щурів при внутрішньошлунковому введенні досліджуваних препаратів (р&gt;0,05), а при збільшені </w:t>
      </w:r>
      <w:r w:rsidR="00407973" w:rsidRPr="00BE086B">
        <w:rPr>
          <w:rFonts w:ascii="Times New Roman" w:hAnsi="Times New Roman" w:cs="Times New Roman"/>
          <w:color w:val="auto"/>
          <w:sz w:val="28"/>
          <w:szCs w:val="28"/>
          <w:lang w:val="uk-UA"/>
        </w:rPr>
        <w:t>середньо ефективних</w:t>
      </w:r>
      <w:r w:rsidRPr="00BE086B">
        <w:rPr>
          <w:rFonts w:ascii="Times New Roman" w:hAnsi="Times New Roman" w:cs="Times New Roman"/>
          <w:color w:val="auto"/>
          <w:sz w:val="28"/>
          <w:szCs w:val="28"/>
          <w:lang w:val="uk-UA"/>
        </w:rPr>
        <w:t xml:space="preserve"> доз отримані різноманітні дані за рівнем впливу на концентрацію ТТГ, Т3 та Т4 у сироватці крові щурів.</w:t>
      </w:r>
    </w:p>
    <w:p w:rsidR="00BD617F" w:rsidRPr="00BE086B" w:rsidRDefault="00BD617F" w:rsidP="00BD617F">
      <w:pPr>
        <w:spacing w:line="360" w:lineRule="auto"/>
        <w:ind w:firstLine="709"/>
        <w:jc w:val="both"/>
        <w:rPr>
          <w:rFonts w:eastAsia="Calibri"/>
          <w:iCs/>
          <w:sz w:val="28"/>
          <w:szCs w:val="28"/>
          <w:lang w:val="uk-UA"/>
        </w:rPr>
      </w:pPr>
      <w:r w:rsidRPr="00BE086B">
        <w:rPr>
          <w:sz w:val="28"/>
          <w:szCs w:val="28"/>
          <w:lang w:val="uk-UA" w:eastAsia="uk-UA"/>
        </w:rPr>
        <w:t xml:space="preserve">На підставі проведених гістоморфологічних досліджень встановлено, що </w:t>
      </w:r>
      <w:r w:rsidRPr="00BE086B">
        <w:rPr>
          <w:sz w:val="28"/>
          <w:szCs w:val="28"/>
          <w:lang w:val="uk-UA"/>
        </w:rPr>
        <w:t xml:space="preserve">комбіноване застосування диклофенаку натрію, хондроїтину сульфату та </w:t>
      </w:r>
      <w:r w:rsidRPr="00BE086B">
        <w:rPr>
          <w:sz w:val="28"/>
          <w:szCs w:val="28"/>
        </w:rPr>
        <w:t>L</w:t>
      </w:r>
      <w:r w:rsidRPr="00BE086B">
        <w:rPr>
          <w:sz w:val="28"/>
          <w:szCs w:val="28"/>
          <w:lang w:val="uk-UA"/>
        </w:rPr>
        <w:t>-тироксину сприяє активній регенерації хрящової і кісткової тканини з ділянками неоваскулогенезу, зменшенню ознак реактивного запалення та фіброзу синовіальної оболонки та формуванню молодого хряща.</w:t>
      </w:r>
    </w:p>
    <w:p w:rsidR="006B2405" w:rsidRPr="00BE086B" w:rsidRDefault="006B2405" w:rsidP="008226D5">
      <w:pPr>
        <w:spacing w:line="360" w:lineRule="auto"/>
        <w:ind w:firstLine="709"/>
        <w:jc w:val="both"/>
        <w:rPr>
          <w:rFonts w:eastAsia="Calibri"/>
          <w:iCs/>
          <w:sz w:val="28"/>
          <w:szCs w:val="28"/>
          <w:lang w:val="uk-UA" w:eastAsia="en-US"/>
        </w:rPr>
      </w:pPr>
      <w:r w:rsidRPr="00BE086B">
        <w:rPr>
          <w:rFonts w:eastAsia="Calibri"/>
          <w:iCs/>
          <w:sz w:val="28"/>
          <w:szCs w:val="28"/>
          <w:lang w:val="uk-UA"/>
        </w:rPr>
        <w:t>Гіпотиреоз призводить до гіп</w:t>
      </w:r>
      <w:r w:rsidR="00D34C39" w:rsidRPr="00BE086B">
        <w:rPr>
          <w:rFonts w:eastAsia="Calibri"/>
          <w:iCs/>
          <w:sz w:val="28"/>
          <w:szCs w:val="28"/>
          <w:lang w:val="uk-UA"/>
        </w:rPr>
        <w:t>ер</w:t>
      </w:r>
      <w:r w:rsidRPr="00BE086B">
        <w:rPr>
          <w:rFonts w:eastAsia="Calibri"/>
          <w:iCs/>
          <w:sz w:val="28"/>
          <w:szCs w:val="28"/>
          <w:lang w:val="uk-UA"/>
        </w:rPr>
        <w:t>алгезії на тлі остеоартрозу, про що свідчить зменшення порогу больової чутливості на 17% (р&lt;0,05) за коморбідного стану проти 24% (р&lt;0,0</w:t>
      </w:r>
      <w:r w:rsidR="00DC7DA1" w:rsidRPr="00BE086B">
        <w:rPr>
          <w:rFonts w:eastAsia="Calibri"/>
          <w:iCs/>
          <w:sz w:val="28"/>
          <w:szCs w:val="28"/>
          <w:lang w:val="uk-UA"/>
        </w:rPr>
        <w:t>5</w:t>
      </w:r>
      <w:r w:rsidRPr="00BE086B">
        <w:rPr>
          <w:rFonts w:eastAsia="Calibri"/>
          <w:iCs/>
          <w:sz w:val="28"/>
          <w:szCs w:val="28"/>
          <w:lang w:val="uk-UA"/>
        </w:rPr>
        <w:t>) за остеоартрозу.</w:t>
      </w:r>
    </w:p>
    <w:p w:rsidR="006B2405" w:rsidRPr="00BE086B" w:rsidRDefault="006B2405" w:rsidP="008226D5">
      <w:pPr>
        <w:spacing w:line="360" w:lineRule="auto"/>
        <w:ind w:firstLine="709"/>
        <w:jc w:val="both"/>
        <w:rPr>
          <w:rStyle w:val="Default20Paragraph20Font"/>
          <w:bCs/>
          <w:sz w:val="28"/>
          <w:szCs w:val="28"/>
        </w:rPr>
      </w:pPr>
      <w:r w:rsidRPr="00BE086B">
        <w:rPr>
          <w:rStyle w:val="Default20Paragraph20Font"/>
          <w:rFonts w:eastAsia="Calibri"/>
          <w:iCs/>
          <w:sz w:val="28"/>
          <w:szCs w:val="28"/>
        </w:rPr>
        <w:t>Експериментальні патологічні стани – остеоартроз та гіпотиреоз значно змінюють антиноцицептивну активність лікарських засобів, призводячи до втрати ними аналгезуючих властивостей.</w:t>
      </w:r>
      <w:r w:rsidRPr="00BE086B">
        <w:rPr>
          <w:rFonts w:eastAsia="Calibri"/>
          <w:sz w:val="28"/>
          <w:szCs w:val="28"/>
        </w:rPr>
        <w:t xml:space="preserve"> З</w:t>
      </w:r>
      <w:r w:rsidRPr="00BE086B">
        <w:rPr>
          <w:rStyle w:val="Default20Paragraph20Font"/>
          <w:rFonts w:eastAsia="Calibri"/>
          <w:sz w:val="28"/>
          <w:szCs w:val="28"/>
        </w:rPr>
        <w:t>а</w:t>
      </w:r>
      <w:r w:rsidRPr="00BE086B">
        <w:rPr>
          <w:rStyle w:val="Default20Paragraph20Font"/>
          <w:rFonts w:eastAsia="Calibri"/>
          <w:bCs/>
          <w:iCs/>
          <w:sz w:val="28"/>
          <w:szCs w:val="28"/>
        </w:rPr>
        <w:t xml:space="preserve"> умов остеоартрозу та гіпотиреозу </w:t>
      </w:r>
      <w:r w:rsidRPr="00BE086B">
        <w:rPr>
          <w:rStyle w:val="Default20Paragraph20Font"/>
          <w:rFonts w:eastAsia="Calibri"/>
          <w:bCs/>
          <w:iCs/>
          <w:sz w:val="28"/>
          <w:szCs w:val="28"/>
        </w:rPr>
        <w:lastRenderedPageBreak/>
        <w:t>на фоні замісної гормональної терапії L-тироксином</w:t>
      </w:r>
      <w:r w:rsidRPr="00BE086B">
        <w:rPr>
          <w:rStyle w:val="Default20Paragraph20Font"/>
          <w:rFonts w:eastAsia="Calibri"/>
          <w:sz w:val="28"/>
          <w:szCs w:val="28"/>
        </w:rPr>
        <w:t xml:space="preserve"> встановлено, що </w:t>
      </w:r>
      <w:r w:rsidRPr="00BE086B">
        <w:rPr>
          <w:sz w:val="28"/>
          <w:szCs w:val="28"/>
          <w:lang w:eastAsia="ru-RU"/>
        </w:rPr>
        <w:t xml:space="preserve">за інтенсивністю антиноцицептивної дії дані препарати розташовуються наступним чином: </w:t>
      </w:r>
      <w:r w:rsidR="00DC7DA1" w:rsidRPr="00BE086B">
        <w:rPr>
          <w:rStyle w:val="Default20Paragraph20Font"/>
          <w:rFonts w:eastAsia="Calibri"/>
          <w:iCs/>
          <w:sz w:val="28"/>
          <w:szCs w:val="28"/>
        </w:rPr>
        <w:t xml:space="preserve">диклофенак натрію (+212%) </w:t>
      </w:r>
      <w:r w:rsidR="00DC7DA1" w:rsidRPr="00BE086B">
        <w:rPr>
          <w:rFonts w:eastAsia="Calibri"/>
          <w:sz w:val="28"/>
          <w:szCs w:val="28"/>
        </w:rPr>
        <w:t>(р</w:t>
      </w:r>
      <w:r w:rsidR="00726870" w:rsidRPr="00BE086B">
        <w:rPr>
          <w:rFonts w:eastAsia="Calibri"/>
          <w:sz w:val="28"/>
          <w:szCs w:val="28"/>
          <w:lang w:val="uk-UA"/>
        </w:rPr>
        <w:t xml:space="preserve"> </w:t>
      </w:r>
      <w:r w:rsidR="00DC7DA1" w:rsidRPr="00BE086B">
        <w:rPr>
          <w:rFonts w:eastAsia="Calibri"/>
          <w:iCs/>
          <w:sz w:val="28"/>
          <w:szCs w:val="28"/>
        </w:rPr>
        <w:t>&lt;</w:t>
      </w:r>
      <w:r w:rsidR="00726870" w:rsidRPr="00BE086B">
        <w:rPr>
          <w:rFonts w:eastAsia="Calibri"/>
          <w:iCs/>
          <w:sz w:val="28"/>
          <w:szCs w:val="28"/>
          <w:lang w:val="uk-UA"/>
        </w:rPr>
        <w:t xml:space="preserve"> </w:t>
      </w:r>
      <w:r w:rsidR="00DC7DA1" w:rsidRPr="00BE086B">
        <w:rPr>
          <w:rFonts w:eastAsia="Calibri"/>
          <w:sz w:val="28"/>
          <w:szCs w:val="28"/>
        </w:rPr>
        <w:t xml:space="preserve">0,001) </w:t>
      </w:r>
      <w:r w:rsidR="00DC7DA1" w:rsidRPr="00BE086B">
        <w:rPr>
          <w:rStyle w:val="Default20Paragraph20Font"/>
          <w:rFonts w:eastAsia="Calibri"/>
          <w:iCs/>
          <w:sz w:val="28"/>
          <w:szCs w:val="28"/>
        </w:rPr>
        <w:t xml:space="preserve">≥ ібупрофен (+144%) </w:t>
      </w:r>
      <w:r w:rsidR="00DC7DA1" w:rsidRPr="00BE086B">
        <w:rPr>
          <w:rFonts w:eastAsia="Calibri"/>
          <w:sz w:val="28"/>
          <w:szCs w:val="28"/>
        </w:rPr>
        <w:t>(р</w:t>
      </w:r>
      <w:r w:rsidR="00726870" w:rsidRPr="00BE086B">
        <w:rPr>
          <w:rFonts w:eastAsia="Calibri"/>
          <w:sz w:val="28"/>
          <w:szCs w:val="28"/>
          <w:lang w:val="uk-UA"/>
        </w:rPr>
        <w:t xml:space="preserve"> </w:t>
      </w:r>
      <w:r w:rsidR="00DC7DA1" w:rsidRPr="00BE086B">
        <w:rPr>
          <w:rFonts w:eastAsia="Calibri"/>
          <w:iCs/>
          <w:sz w:val="28"/>
          <w:szCs w:val="28"/>
        </w:rPr>
        <w:t>&lt;</w:t>
      </w:r>
      <w:r w:rsidR="00726870" w:rsidRPr="00BE086B">
        <w:rPr>
          <w:rFonts w:eastAsia="Calibri"/>
          <w:iCs/>
          <w:sz w:val="28"/>
          <w:szCs w:val="28"/>
          <w:lang w:val="uk-UA"/>
        </w:rPr>
        <w:t xml:space="preserve"> </w:t>
      </w:r>
      <w:r w:rsidR="00DC7DA1" w:rsidRPr="00BE086B">
        <w:rPr>
          <w:rFonts w:eastAsia="Calibri"/>
          <w:sz w:val="28"/>
          <w:szCs w:val="28"/>
        </w:rPr>
        <w:t xml:space="preserve">0,001) </w:t>
      </w:r>
      <w:r w:rsidR="00DC7DA1" w:rsidRPr="00BE086B">
        <w:rPr>
          <w:rStyle w:val="Default20Paragraph20Font"/>
          <w:rFonts w:eastAsia="Calibri"/>
          <w:iCs/>
          <w:sz w:val="28"/>
          <w:szCs w:val="28"/>
        </w:rPr>
        <w:t xml:space="preserve">≥ німесулід (+134%) </w:t>
      </w:r>
      <w:r w:rsidR="00DC7DA1" w:rsidRPr="00BE086B">
        <w:rPr>
          <w:rFonts w:eastAsia="Calibri"/>
          <w:sz w:val="28"/>
          <w:szCs w:val="28"/>
        </w:rPr>
        <w:t>(р</w:t>
      </w:r>
      <w:r w:rsidR="00726870" w:rsidRPr="00BE086B">
        <w:rPr>
          <w:rFonts w:eastAsia="Calibri"/>
          <w:sz w:val="28"/>
          <w:szCs w:val="28"/>
          <w:lang w:val="uk-UA"/>
        </w:rPr>
        <w:t xml:space="preserve"> </w:t>
      </w:r>
      <w:r w:rsidR="00DC7DA1" w:rsidRPr="00BE086B">
        <w:rPr>
          <w:rFonts w:eastAsia="Calibri"/>
          <w:iCs/>
          <w:sz w:val="28"/>
          <w:szCs w:val="28"/>
        </w:rPr>
        <w:t>&lt;</w:t>
      </w:r>
      <w:r w:rsidR="00726870" w:rsidRPr="00BE086B">
        <w:rPr>
          <w:rFonts w:eastAsia="Calibri"/>
          <w:iCs/>
          <w:sz w:val="28"/>
          <w:szCs w:val="28"/>
          <w:lang w:val="uk-UA"/>
        </w:rPr>
        <w:t xml:space="preserve"> </w:t>
      </w:r>
      <w:r w:rsidR="00DC7DA1" w:rsidRPr="00BE086B">
        <w:rPr>
          <w:rFonts w:eastAsia="Calibri"/>
          <w:sz w:val="28"/>
          <w:szCs w:val="28"/>
        </w:rPr>
        <w:t xml:space="preserve">0,001) </w:t>
      </w:r>
      <w:r w:rsidR="00DC7DA1" w:rsidRPr="00BE086B">
        <w:rPr>
          <w:rStyle w:val="Default20Paragraph20Font"/>
          <w:rFonts w:eastAsia="Calibri"/>
          <w:iCs/>
          <w:sz w:val="28"/>
          <w:szCs w:val="28"/>
        </w:rPr>
        <w:t xml:space="preserve">≥ парацетамол (+116%) </w:t>
      </w:r>
      <w:r w:rsidR="00DC7DA1" w:rsidRPr="00BE086B">
        <w:rPr>
          <w:rFonts w:eastAsia="Calibri"/>
          <w:sz w:val="28"/>
          <w:szCs w:val="28"/>
        </w:rPr>
        <w:t>(р</w:t>
      </w:r>
      <w:r w:rsidR="00726870" w:rsidRPr="00BE086B">
        <w:rPr>
          <w:rFonts w:eastAsia="Calibri"/>
          <w:sz w:val="28"/>
          <w:szCs w:val="28"/>
          <w:lang w:val="uk-UA"/>
        </w:rPr>
        <w:t xml:space="preserve"> </w:t>
      </w:r>
      <w:r w:rsidR="00DC7DA1" w:rsidRPr="00BE086B">
        <w:rPr>
          <w:rFonts w:eastAsia="Calibri"/>
          <w:iCs/>
          <w:sz w:val="28"/>
          <w:szCs w:val="28"/>
        </w:rPr>
        <w:t>&lt;</w:t>
      </w:r>
      <w:r w:rsidR="00726870" w:rsidRPr="00BE086B">
        <w:rPr>
          <w:rFonts w:eastAsia="Calibri"/>
          <w:iCs/>
          <w:sz w:val="28"/>
          <w:szCs w:val="28"/>
          <w:lang w:val="uk-UA"/>
        </w:rPr>
        <w:t xml:space="preserve"> </w:t>
      </w:r>
      <w:r w:rsidR="00DC7DA1" w:rsidRPr="00BE086B">
        <w:rPr>
          <w:rFonts w:eastAsia="Calibri"/>
          <w:sz w:val="28"/>
          <w:szCs w:val="28"/>
        </w:rPr>
        <w:t xml:space="preserve">0,001) </w:t>
      </w:r>
      <w:r w:rsidR="00DC7DA1" w:rsidRPr="00BE086B">
        <w:rPr>
          <w:rStyle w:val="Default20Paragraph20Font"/>
          <w:rFonts w:eastAsia="Calibri"/>
          <w:iCs/>
          <w:sz w:val="28"/>
          <w:szCs w:val="28"/>
        </w:rPr>
        <w:t xml:space="preserve">≥ мелоксикам (+104%) </w:t>
      </w:r>
      <w:r w:rsidR="00DC7DA1" w:rsidRPr="00BE086B">
        <w:rPr>
          <w:rFonts w:eastAsia="Calibri"/>
          <w:sz w:val="28"/>
          <w:szCs w:val="28"/>
        </w:rPr>
        <w:t>(р</w:t>
      </w:r>
      <w:r w:rsidR="00726870" w:rsidRPr="00BE086B">
        <w:rPr>
          <w:rFonts w:eastAsia="Calibri"/>
          <w:sz w:val="28"/>
          <w:szCs w:val="28"/>
          <w:lang w:val="uk-UA"/>
        </w:rPr>
        <w:t xml:space="preserve"> </w:t>
      </w:r>
      <w:r w:rsidR="00DC7DA1" w:rsidRPr="00BE086B">
        <w:rPr>
          <w:rFonts w:eastAsia="Calibri"/>
          <w:iCs/>
          <w:sz w:val="28"/>
          <w:szCs w:val="28"/>
        </w:rPr>
        <w:t>&lt;</w:t>
      </w:r>
      <w:r w:rsidR="00726870" w:rsidRPr="00BE086B">
        <w:rPr>
          <w:rFonts w:eastAsia="Calibri"/>
          <w:iCs/>
          <w:sz w:val="28"/>
          <w:szCs w:val="28"/>
          <w:lang w:val="uk-UA"/>
        </w:rPr>
        <w:t xml:space="preserve"> </w:t>
      </w:r>
      <w:r w:rsidR="00DC7DA1" w:rsidRPr="00BE086B">
        <w:rPr>
          <w:rFonts w:eastAsia="Calibri"/>
          <w:sz w:val="28"/>
          <w:szCs w:val="28"/>
        </w:rPr>
        <w:t xml:space="preserve">0,001) </w:t>
      </w:r>
      <w:r w:rsidR="00DC7DA1" w:rsidRPr="00BE086B">
        <w:rPr>
          <w:rStyle w:val="Default20Paragraph20Font"/>
          <w:rFonts w:eastAsia="Calibri"/>
          <w:iCs/>
          <w:sz w:val="28"/>
          <w:szCs w:val="28"/>
        </w:rPr>
        <w:t xml:space="preserve">≥ целекоксиб (+93%) </w:t>
      </w:r>
      <w:r w:rsidR="00DC7DA1" w:rsidRPr="00BE086B">
        <w:rPr>
          <w:rFonts w:eastAsia="Calibri"/>
          <w:sz w:val="28"/>
          <w:szCs w:val="28"/>
        </w:rPr>
        <w:t>(р</w:t>
      </w:r>
      <w:r w:rsidR="00DC7DA1" w:rsidRPr="00BE086B">
        <w:rPr>
          <w:rFonts w:eastAsia="Calibri"/>
          <w:iCs/>
          <w:sz w:val="28"/>
          <w:szCs w:val="28"/>
        </w:rPr>
        <w:t>&lt;</w:t>
      </w:r>
      <w:r w:rsidR="00DC7DA1" w:rsidRPr="00BE086B">
        <w:rPr>
          <w:rFonts w:eastAsia="Calibri"/>
          <w:sz w:val="28"/>
          <w:szCs w:val="28"/>
        </w:rPr>
        <w:t>0,001)</w:t>
      </w:r>
      <w:r w:rsidRPr="00BE086B">
        <w:rPr>
          <w:rStyle w:val="Default20Paragraph20Font"/>
          <w:rFonts w:eastAsia="Calibri"/>
          <w:iCs/>
          <w:sz w:val="28"/>
          <w:szCs w:val="28"/>
        </w:rPr>
        <w:t>, що відображає найвищу антиноцицептивну активність диклофенаку натрію.</w:t>
      </w:r>
    </w:p>
    <w:p w:rsidR="006B2405" w:rsidRPr="00BE086B" w:rsidRDefault="006B2405" w:rsidP="008226D5">
      <w:pPr>
        <w:spacing w:line="360" w:lineRule="auto"/>
        <w:ind w:firstLine="709"/>
        <w:jc w:val="both"/>
        <w:rPr>
          <w:sz w:val="28"/>
          <w:szCs w:val="28"/>
        </w:rPr>
      </w:pPr>
      <w:r w:rsidRPr="00BE086B">
        <w:rPr>
          <w:sz w:val="28"/>
          <w:szCs w:val="28"/>
        </w:rPr>
        <w:t>О</w:t>
      </w:r>
      <w:r w:rsidRPr="00BE086B">
        <w:rPr>
          <w:bCs/>
          <w:sz w:val="28"/>
          <w:szCs w:val="28"/>
        </w:rPr>
        <w:t xml:space="preserve">стеоартроз та гіпотиреоз </w:t>
      </w:r>
      <w:r w:rsidRPr="00BE086B">
        <w:rPr>
          <w:sz w:val="28"/>
          <w:szCs w:val="28"/>
        </w:rPr>
        <w:t xml:space="preserve">сприяють погіршенню </w:t>
      </w:r>
      <w:r w:rsidRPr="00BE086B">
        <w:rPr>
          <w:bCs/>
          <w:sz w:val="28"/>
          <w:szCs w:val="28"/>
        </w:rPr>
        <w:t>рухової та дослідницької активності</w:t>
      </w:r>
      <w:r w:rsidRPr="00BE086B">
        <w:rPr>
          <w:sz w:val="28"/>
          <w:szCs w:val="28"/>
        </w:rPr>
        <w:t xml:space="preserve"> у щурів, а замісна гормональна фармакотерапія L-тироксином сприяє її відновленню</w:t>
      </w:r>
      <w:r w:rsidR="00726870" w:rsidRPr="00BE086B">
        <w:rPr>
          <w:sz w:val="28"/>
          <w:szCs w:val="28"/>
          <w:lang w:val="uk-UA"/>
        </w:rPr>
        <w:t xml:space="preserve"> </w:t>
      </w:r>
      <w:r w:rsidR="00726870" w:rsidRPr="00BE086B">
        <w:rPr>
          <w:sz w:val="28"/>
          <w:szCs w:val="28"/>
        </w:rPr>
        <w:t>(р&lt;0,05)</w:t>
      </w:r>
      <w:r w:rsidRPr="00BE086B">
        <w:rPr>
          <w:sz w:val="28"/>
          <w:szCs w:val="28"/>
        </w:rPr>
        <w:t>. Призначення диклофенаку натрію сумісно з L-тироксином призводить до потенціювання позитивного впливу L-тироксину на рухову та дослідницьку активність порівняно до монотерапії L-тироксином (</w:t>
      </w:r>
      <w:r w:rsidRPr="00BE086B">
        <w:rPr>
          <w:rFonts w:eastAsia="Calibri"/>
          <w:iCs/>
          <w:sz w:val="28"/>
          <w:szCs w:val="28"/>
        </w:rPr>
        <w:t>р&lt;0,05</w:t>
      </w:r>
      <w:r w:rsidRPr="00BE086B">
        <w:rPr>
          <w:sz w:val="28"/>
          <w:szCs w:val="28"/>
        </w:rPr>
        <w:t>).</w:t>
      </w:r>
    </w:p>
    <w:p w:rsidR="006B2405" w:rsidRPr="00BE086B" w:rsidRDefault="006B2405" w:rsidP="008226D5">
      <w:pPr>
        <w:spacing w:line="360" w:lineRule="auto"/>
        <w:ind w:left="142" w:firstLine="709"/>
        <w:jc w:val="both"/>
        <w:rPr>
          <w:sz w:val="28"/>
          <w:szCs w:val="28"/>
        </w:rPr>
      </w:pPr>
      <w:r w:rsidRPr="00BE086B">
        <w:rPr>
          <w:sz w:val="28"/>
          <w:szCs w:val="28"/>
        </w:rPr>
        <w:t xml:space="preserve">За ступенем впливу на запальні процеси у суглобі за показниками рівнів інтерлейкінів (IL 1, IL 6 та IL 8), матриксних металопротеїназ (ММП-3, ММП-9 та ММП-13), фактору некрозу пухлин та С-реактивного протеїну та за </w:t>
      </w:r>
      <w:r w:rsidRPr="00BE086B">
        <w:rPr>
          <w:bCs/>
          <w:sz w:val="28"/>
          <w:szCs w:val="28"/>
        </w:rPr>
        <w:t xml:space="preserve">інтенсивністю впливу на дегенеративно-дистрофічні процеси у кістковій тканині (за рівнем маркеру розпаду колагену </w:t>
      </w:r>
      <w:r w:rsidRPr="00BE086B">
        <w:rPr>
          <w:sz w:val="28"/>
          <w:szCs w:val="28"/>
        </w:rPr>
        <w:t>I</w:t>
      </w:r>
      <w:r w:rsidRPr="00BE086B">
        <w:rPr>
          <w:bCs/>
          <w:sz w:val="28"/>
          <w:szCs w:val="28"/>
        </w:rPr>
        <w:t xml:space="preserve"> типу (</w:t>
      </w:r>
      <w:r w:rsidRPr="00BE086B">
        <w:rPr>
          <w:sz w:val="28"/>
          <w:szCs w:val="28"/>
        </w:rPr>
        <w:t>СТХ I) у сироватці крові щурів) досліджені препарати розташувались наступним чином: диклофенак натрію &gt; ібупрофен &gt; німесулід = мелоксикам &gt; целекоксиб &gt; парацетамол, що відображає різну ефективність зазначених препаратів на патологічні прояви коморбідної патології.</w:t>
      </w:r>
    </w:p>
    <w:p w:rsidR="006B2405" w:rsidRPr="00BE086B" w:rsidRDefault="006B2405" w:rsidP="006B2405">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kern w:val="28"/>
          <w:sz w:val="28"/>
          <w:szCs w:val="28"/>
          <w:lang w:val="uk-UA"/>
        </w:rPr>
        <w:t>З</w:t>
      </w:r>
      <w:r w:rsidRPr="00BE086B">
        <w:rPr>
          <w:rFonts w:ascii="Times New Roman" w:hAnsi="Times New Roman" w:cs="Times New Roman"/>
          <w:color w:val="auto"/>
          <w:sz w:val="28"/>
          <w:szCs w:val="28"/>
          <w:lang w:val="uk-UA"/>
        </w:rPr>
        <w:t>а ступенем впливу на дегенеративно-дистрофічні процеси у хрящовій тканині,</w:t>
      </w:r>
      <w:r w:rsidRPr="00BE086B">
        <w:rPr>
          <w:rFonts w:ascii="Times New Roman" w:hAnsi="Times New Roman" w:cs="Times New Roman"/>
          <w:bCs/>
          <w:color w:val="auto"/>
          <w:sz w:val="28"/>
          <w:szCs w:val="28"/>
          <w:lang w:val="uk-UA"/>
        </w:rPr>
        <w:t xml:space="preserve"> що оцінені за рівнем маркеру розпаду колагену </w:t>
      </w:r>
      <w:r w:rsidRPr="00BE086B">
        <w:rPr>
          <w:rFonts w:ascii="Times New Roman" w:hAnsi="Times New Roman" w:cs="Times New Roman"/>
          <w:color w:val="auto"/>
          <w:sz w:val="28"/>
          <w:szCs w:val="28"/>
          <w:lang w:val="uk-UA"/>
        </w:rPr>
        <w:t>IІ</w:t>
      </w:r>
      <w:r w:rsidRPr="00BE086B">
        <w:rPr>
          <w:rFonts w:ascii="Times New Roman" w:hAnsi="Times New Roman" w:cs="Times New Roman"/>
          <w:bCs/>
          <w:color w:val="auto"/>
          <w:sz w:val="28"/>
          <w:szCs w:val="28"/>
          <w:lang w:val="uk-UA"/>
        </w:rPr>
        <w:t xml:space="preserve"> типу (</w:t>
      </w:r>
      <w:r w:rsidRPr="00BE086B">
        <w:rPr>
          <w:rFonts w:ascii="Times New Roman" w:hAnsi="Times New Roman" w:cs="Times New Roman"/>
          <w:color w:val="auto"/>
          <w:sz w:val="28"/>
          <w:szCs w:val="28"/>
          <w:lang w:val="uk-UA"/>
        </w:rPr>
        <w:t>СТХ IІ) у сироватці крові щурів, досліджені препарати розташувались наступним чином: німесулід &gt; целекоксиб &gt; мелоксикам &gt; ібупрофен &gt; диклофенак натрію &gt; парацетамол.</w:t>
      </w:r>
    </w:p>
    <w:p w:rsidR="006B2405" w:rsidRPr="00BE086B" w:rsidRDefault="006B2405" w:rsidP="006B2405">
      <w:pPr>
        <w:pStyle w:val="afc"/>
        <w:spacing w:line="360" w:lineRule="auto"/>
        <w:ind w:left="0" w:right="0" w:firstLine="709"/>
        <w:rPr>
          <w:color w:val="auto"/>
          <w:sz w:val="28"/>
          <w:szCs w:val="28"/>
        </w:rPr>
      </w:pPr>
      <w:r w:rsidRPr="00BE086B">
        <w:rPr>
          <w:color w:val="auto"/>
          <w:sz w:val="28"/>
          <w:szCs w:val="28"/>
        </w:rPr>
        <w:t>З</w:t>
      </w:r>
      <w:r w:rsidRPr="00BE086B">
        <w:rPr>
          <w:bCs/>
          <w:color w:val="auto"/>
          <w:sz w:val="28"/>
          <w:szCs w:val="28"/>
        </w:rPr>
        <w:t xml:space="preserve">а ступенем впливу на активність остеобластів у кістковій тканині, які оцінені за рівнем кісткової лужної фосфатази </w:t>
      </w:r>
      <w:r w:rsidRPr="00BE086B">
        <w:rPr>
          <w:color w:val="auto"/>
          <w:sz w:val="28"/>
          <w:szCs w:val="28"/>
        </w:rPr>
        <w:t xml:space="preserve">у сироватці крові щурів </w:t>
      </w:r>
      <w:r w:rsidRPr="00BE086B">
        <w:rPr>
          <w:bCs/>
          <w:color w:val="auto"/>
          <w:sz w:val="28"/>
          <w:szCs w:val="28"/>
        </w:rPr>
        <w:t>досліджені препарати розташувались наступним чином: диклофенак натрію &gt; ібупрофен &gt; мелоксикам &gt; німесулід &gt; целекоксиб &gt; парацетамол.</w:t>
      </w:r>
    </w:p>
    <w:p w:rsidR="006B2405" w:rsidRPr="00BE086B" w:rsidRDefault="006B2405" w:rsidP="006B2405">
      <w:pPr>
        <w:spacing w:line="360" w:lineRule="auto"/>
        <w:ind w:firstLine="709"/>
        <w:jc w:val="both"/>
        <w:rPr>
          <w:bCs/>
          <w:sz w:val="28"/>
          <w:szCs w:val="28"/>
        </w:rPr>
      </w:pPr>
      <w:r w:rsidRPr="00BE086B">
        <w:rPr>
          <w:sz w:val="28"/>
          <w:szCs w:val="28"/>
          <w:lang w:val="uk-UA"/>
        </w:rPr>
        <w:lastRenderedPageBreak/>
        <w:t>На фоні остеоартрозу та гіпотиреозу у щурів ібупрофен, мелоксикам та німесулід знижують рівень ТТГ у сироватці крові щурів у 1,47; 1,</w:t>
      </w:r>
      <w:r w:rsidR="00933482" w:rsidRPr="00BE086B">
        <w:rPr>
          <w:sz w:val="28"/>
          <w:szCs w:val="28"/>
          <w:lang w:val="uk-UA"/>
        </w:rPr>
        <w:t>29</w:t>
      </w:r>
      <w:r w:rsidRPr="00BE086B">
        <w:rPr>
          <w:sz w:val="28"/>
          <w:szCs w:val="28"/>
          <w:lang w:val="uk-UA"/>
        </w:rPr>
        <w:t xml:space="preserve"> та 1,4</w:t>
      </w:r>
      <w:r w:rsidR="00933482" w:rsidRPr="00BE086B">
        <w:rPr>
          <w:sz w:val="28"/>
          <w:szCs w:val="28"/>
          <w:lang w:val="uk-UA"/>
        </w:rPr>
        <w:t>0</w:t>
      </w:r>
      <w:r w:rsidRPr="00BE086B">
        <w:rPr>
          <w:sz w:val="28"/>
          <w:szCs w:val="28"/>
          <w:lang w:val="uk-UA"/>
        </w:rPr>
        <w:t xml:space="preserve"> рази відповідно (</w:t>
      </w:r>
      <w:r w:rsidRPr="00BE086B">
        <w:rPr>
          <w:rFonts w:eastAsia="Calibri"/>
          <w:iCs/>
          <w:sz w:val="28"/>
          <w:szCs w:val="28"/>
          <w:lang w:val="uk-UA"/>
        </w:rPr>
        <w:t>р&lt;0,05</w:t>
      </w:r>
      <w:r w:rsidRPr="00BE086B">
        <w:rPr>
          <w:sz w:val="28"/>
          <w:szCs w:val="28"/>
          <w:lang w:val="uk-UA"/>
        </w:rPr>
        <w:t>) та підвищують рівень Т4 у 1,23; 1,27 та 1,26 раз</w:t>
      </w:r>
      <w:r w:rsidR="001C1551" w:rsidRPr="00BE086B">
        <w:rPr>
          <w:sz w:val="28"/>
          <w:szCs w:val="28"/>
          <w:lang w:val="uk-UA"/>
        </w:rPr>
        <w:t>и</w:t>
      </w:r>
      <w:r w:rsidRPr="00BE086B">
        <w:rPr>
          <w:sz w:val="28"/>
          <w:szCs w:val="28"/>
          <w:lang w:val="uk-UA"/>
        </w:rPr>
        <w:t xml:space="preserve"> відповідно (</w:t>
      </w:r>
      <w:r w:rsidRPr="00BE086B">
        <w:rPr>
          <w:rFonts w:eastAsia="Calibri"/>
          <w:iCs/>
          <w:sz w:val="28"/>
          <w:szCs w:val="28"/>
          <w:lang w:val="uk-UA"/>
        </w:rPr>
        <w:t>р&lt;0,05</w:t>
      </w:r>
      <w:r w:rsidRPr="00BE086B">
        <w:rPr>
          <w:sz w:val="28"/>
          <w:szCs w:val="28"/>
          <w:lang w:val="uk-UA"/>
        </w:rPr>
        <w:t xml:space="preserve">). </w:t>
      </w:r>
      <w:r w:rsidRPr="00BE086B">
        <w:rPr>
          <w:sz w:val="28"/>
          <w:szCs w:val="28"/>
        </w:rPr>
        <w:t xml:space="preserve">Диклофенак натрію та целекоксиб </w:t>
      </w:r>
      <w:r w:rsidR="001C1551" w:rsidRPr="00BE086B">
        <w:rPr>
          <w:sz w:val="28"/>
          <w:szCs w:val="28"/>
          <w:lang w:val="uk-UA"/>
        </w:rPr>
        <w:t>знижують рівень ТТГ лише у 1,16 та 1,15 рази (р</w:t>
      </w:r>
      <w:r w:rsidR="001C1551" w:rsidRPr="00BE086B">
        <w:rPr>
          <w:rFonts w:eastAsia="Calibri"/>
          <w:iCs/>
          <w:sz w:val="28"/>
          <w:szCs w:val="28"/>
          <w:lang w:val="uk-UA"/>
        </w:rPr>
        <w:t>&lt;</w:t>
      </w:r>
      <w:r w:rsidR="001C1551" w:rsidRPr="00BE086B">
        <w:rPr>
          <w:sz w:val="28"/>
          <w:szCs w:val="28"/>
          <w:lang w:val="uk-UA"/>
        </w:rPr>
        <w:t>0,05) відповідно.</w:t>
      </w:r>
    </w:p>
    <w:p w:rsidR="006B2405" w:rsidRPr="00BE086B" w:rsidRDefault="006B2405" w:rsidP="006B2405">
      <w:pPr>
        <w:spacing w:line="360" w:lineRule="auto"/>
        <w:ind w:firstLine="709"/>
        <w:jc w:val="both"/>
        <w:rPr>
          <w:bCs/>
          <w:sz w:val="28"/>
          <w:szCs w:val="28"/>
        </w:rPr>
      </w:pPr>
      <w:r w:rsidRPr="00BE086B">
        <w:rPr>
          <w:bCs/>
          <w:sz w:val="28"/>
          <w:szCs w:val="28"/>
        </w:rPr>
        <w:t>На тлі коморбідного стану – остеоартрозу з гіпотиреозом доцільне комбіноване застосування</w:t>
      </w:r>
      <w:r w:rsidRPr="00BE086B">
        <w:rPr>
          <w:sz w:val="28"/>
          <w:szCs w:val="28"/>
        </w:rPr>
        <w:t xml:space="preserve"> L-тироксину, диклофенаку натрію та хондроїтину сульфату з метою посилення знеболювального ефекту окремих препаратів, відновлення морфометричних розмірів уражених суглобів, рухової, дослідницької та вегетативної активності щурів і біохімічних маркерів запального процесу. Встановлена відсутність біофармацевтичної взаємодії між зазначеними препаратами.</w:t>
      </w:r>
    </w:p>
    <w:p w:rsidR="006B2405" w:rsidRPr="00BE086B" w:rsidRDefault="006B2405" w:rsidP="006B2405">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iCs/>
          <w:color w:val="auto"/>
          <w:sz w:val="28"/>
          <w:szCs w:val="28"/>
          <w:lang w:val="uk-UA"/>
        </w:rPr>
        <w:t>К</w:t>
      </w:r>
      <w:r w:rsidRPr="00BE086B">
        <w:rPr>
          <w:rFonts w:ascii="Times New Roman" w:hAnsi="Times New Roman" w:cs="Times New Roman"/>
          <w:color w:val="auto"/>
          <w:sz w:val="28"/>
          <w:szCs w:val="28"/>
          <w:lang w:val="uk-UA"/>
        </w:rPr>
        <w:t>омбіноване застосування диклофенаку натрію, хондроїтину сульфату та L-тироксину сприяє активній регенерації як хрящової, так і кісткової тканини з формуванням ділянок неоваскулогенезу, а комбіноване застосування L-тироксину, диклофенаку натрію та хондроїтину сульфату можна рекомендувати до використання за клінічного дослідження на тлі остеоартрозу, коморбідного з гіпотиреозом.</w:t>
      </w:r>
    </w:p>
    <w:p w:rsidR="006933CB" w:rsidRPr="00BE086B" w:rsidRDefault="006933CB" w:rsidP="006933CB">
      <w:pPr>
        <w:spacing w:line="360" w:lineRule="auto"/>
        <w:ind w:firstLine="709"/>
        <w:jc w:val="both"/>
        <w:rPr>
          <w:bCs/>
          <w:sz w:val="28"/>
          <w:szCs w:val="28"/>
          <w:lang w:val="uk-UA"/>
        </w:rPr>
      </w:pPr>
      <w:r w:rsidRPr="00BE086B">
        <w:rPr>
          <w:bCs/>
          <w:i/>
          <w:sz w:val="28"/>
          <w:szCs w:val="28"/>
          <w:lang w:val="uk-UA"/>
        </w:rPr>
        <w:t>Ключові слова:</w:t>
      </w:r>
      <w:r w:rsidRPr="00BE086B">
        <w:rPr>
          <w:bCs/>
          <w:sz w:val="28"/>
          <w:szCs w:val="28"/>
          <w:lang w:val="uk-UA"/>
        </w:rPr>
        <w:t xml:space="preserve"> гіпотиреоз, остеоартроз, експериментальні моделі, нестероїдні протизапальні засоби, неопіоїдні анальгетики, хондропротектори, диклофенак натрію, хондроїтину сульфат, </w:t>
      </w:r>
      <w:r w:rsidRPr="00BE086B">
        <w:rPr>
          <w:iCs/>
          <w:sz w:val="28"/>
          <w:szCs w:val="28"/>
        </w:rPr>
        <w:t>L</w:t>
      </w:r>
      <w:r w:rsidRPr="00BE086B">
        <w:rPr>
          <w:iCs/>
          <w:sz w:val="28"/>
          <w:szCs w:val="28"/>
          <w:lang w:val="uk-UA"/>
        </w:rPr>
        <w:t xml:space="preserve">-тироксин, </w:t>
      </w:r>
      <w:r w:rsidRPr="00BE086B">
        <w:rPr>
          <w:bCs/>
          <w:sz w:val="28"/>
          <w:szCs w:val="28"/>
          <w:lang w:val="uk-UA"/>
        </w:rPr>
        <w:t>больовий поріг, знеболення, фармакотерапія, гіаліновий хрящ, суглоб, взаємодія лікарських засобів.</w:t>
      </w:r>
    </w:p>
    <w:p w:rsidR="00A412C5" w:rsidRPr="00BE086B" w:rsidRDefault="00A412C5" w:rsidP="006933CB">
      <w:pPr>
        <w:spacing w:line="360" w:lineRule="auto"/>
        <w:ind w:firstLine="709"/>
        <w:jc w:val="both"/>
        <w:rPr>
          <w:bCs/>
          <w:sz w:val="28"/>
          <w:szCs w:val="28"/>
          <w:lang w:val="uk-UA"/>
        </w:rPr>
      </w:pPr>
    </w:p>
    <w:p w:rsidR="00A412C5" w:rsidRPr="00BE086B" w:rsidRDefault="00A412C5" w:rsidP="006933CB">
      <w:pPr>
        <w:spacing w:line="360" w:lineRule="auto"/>
        <w:ind w:firstLine="709"/>
        <w:jc w:val="both"/>
        <w:rPr>
          <w:bCs/>
          <w:sz w:val="28"/>
          <w:szCs w:val="28"/>
          <w:lang w:val="uk-UA"/>
        </w:rPr>
      </w:pPr>
    </w:p>
    <w:p w:rsidR="00A412C5" w:rsidRDefault="00A412C5" w:rsidP="006933CB">
      <w:pPr>
        <w:spacing w:line="360" w:lineRule="auto"/>
        <w:ind w:firstLine="709"/>
        <w:jc w:val="both"/>
        <w:rPr>
          <w:lang w:val="uk-UA"/>
        </w:rPr>
      </w:pPr>
    </w:p>
    <w:p w:rsidR="00AF27FE" w:rsidRDefault="00AF27FE" w:rsidP="006933CB">
      <w:pPr>
        <w:spacing w:line="360" w:lineRule="auto"/>
        <w:ind w:firstLine="709"/>
        <w:jc w:val="both"/>
        <w:rPr>
          <w:lang w:val="uk-UA"/>
        </w:rPr>
      </w:pPr>
    </w:p>
    <w:p w:rsidR="00AF27FE" w:rsidRDefault="00AF27FE" w:rsidP="006933CB">
      <w:pPr>
        <w:spacing w:line="360" w:lineRule="auto"/>
        <w:ind w:firstLine="709"/>
        <w:jc w:val="both"/>
        <w:rPr>
          <w:lang w:val="uk-UA"/>
        </w:rPr>
      </w:pPr>
    </w:p>
    <w:p w:rsidR="00AF27FE" w:rsidRDefault="00AF27FE" w:rsidP="006933CB">
      <w:pPr>
        <w:spacing w:line="360" w:lineRule="auto"/>
        <w:ind w:firstLine="709"/>
        <w:jc w:val="both"/>
        <w:rPr>
          <w:lang w:val="uk-UA"/>
        </w:rPr>
      </w:pPr>
    </w:p>
    <w:p w:rsidR="00AF27FE" w:rsidRPr="00BE086B" w:rsidRDefault="00AF27FE" w:rsidP="006933CB">
      <w:pPr>
        <w:spacing w:line="360" w:lineRule="auto"/>
        <w:ind w:firstLine="709"/>
        <w:jc w:val="both"/>
        <w:rPr>
          <w:lang w:val="uk-UA"/>
        </w:rPr>
      </w:pPr>
    </w:p>
    <w:p w:rsidR="00380CA6" w:rsidRPr="00BE086B" w:rsidRDefault="00380CA6">
      <w:pPr>
        <w:spacing w:line="360" w:lineRule="auto"/>
        <w:jc w:val="center"/>
        <w:rPr>
          <w:b/>
          <w:sz w:val="28"/>
          <w:szCs w:val="28"/>
          <w:lang w:val="uk-UA"/>
        </w:rPr>
      </w:pPr>
      <w:r w:rsidRPr="00BE086B">
        <w:rPr>
          <w:b/>
          <w:sz w:val="28"/>
          <w:szCs w:val="28"/>
          <w:lang w:val="uk-UA"/>
        </w:rPr>
        <w:lastRenderedPageBreak/>
        <w:t>ANNOTATION</w:t>
      </w:r>
    </w:p>
    <w:p w:rsidR="004E51CE" w:rsidRPr="00BE086B" w:rsidRDefault="004E51CE">
      <w:pPr>
        <w:spacing w:line="360" w:lineRule="auto"/>
        <w:jc w:val="center"/>
        <w:rPr>
          <w:lang w:val="uk-UA"/>
        </w:rPr>
      </w:pPr>
    </w:p>
    <w:p w:rsidR="00380CA6" w:rsidRPr="00BE086B" w:rsidRDefault="00380CA6" w:rsidP="00C41444">
      <w:pPr>
        <w:spacing w:line="360" w:lineRule="auto"/>
        <w:ind w:right="21"/>
        <w:jc w:val="both"/>
        <w:rPr>
          <w:lang w:val="uk-UA"/>
        </w:rPr>
      </w:pPr>
      <w:r w:rsidRPr="00BE086B">
        <w:rPr>
          <w:bCs/>
          <w:i/>
          <w:sz w:val="28"/>
          <w:lang w:val="uk-UA"/>
        </w:rPr>
        <w:t>Nosivets D.S.</w:t>
      </w:r>
      <w:r w:rsidRPr="00BE086B">
        <w:rPr>
          <w:bCs/>
          <w:sz w:val="28"/>
          <w:lang w:val="uk-UA"/>
        </w:rPr>
        <w:t xml:space="preserve"> </w:t>
      </w:r>
      <w:r w:rsidR="00BE5638" w:rsidRPr="00BE086B">
        <w:rPr>
          <w:bCs/>
          <w:sz w:val="28"/>
          <w:szCs w:val="28"/>
          <w:lang w:val="uk-UA"/>
        </w:rPr>
        <w:t>Pharmacological analysis of analgesia and chondroprotection in experimental osteoarthritis on the background of hypothyroidism</w:t>
      </w:r>
      <w:r w:rsidRPr="00BE086B">
        <w:rPr>
          <w:bCs/>
          <w:sz w:val="28"/>
          <w:szCs w:val="28"/>
          <w:lang w:val="uk-UA"/>
        </w:rPr>
        <w:t>.</w:t>
      </w:r>
      <w:r w:rsidRPr="00BE086B">
        <w:rPr>
          <w:bCs/>
          <w:sz w:val="28"/>
          <w:lang w:val="uk-UA"/>
        </w:rPr>
        <w:t xml:space="preserve"> - </w:t>
      </w:r>
      <w:r w:rsidR="00C41444" w:rsidRPr="00BE086B">
        <w:rPr>
          <w:bCs/>
          <w:sz w:val="28"/>
          <w:szCs w:val="28"/>
          <w:lang w:val="en-US"/>
        </w:rPr>
        <w:t>Qualifying scientific work has published as a manuscript.</w:t>
      </w:r>
    </w:p>
    <w:p w:rsidR="00380CA6" w:rsidRPr="00BE086B" w:rsidRDefault="00C41444">
      <w:pPr>
        <w:autoSpaceDE w:val="0"/>
        <w:spacing w:line="360" w:lineRule="auto"/>
        <w:ind w:firstLine="567"/>
        <w:jc w:val="both"/>
        <w:rPr>
          <w:lang w:val="uk-UA"/>
        </w:rPr>
      </w:pPr>
      <w:r w:rsidRPr="00BE086B">
        <w:rPr>
          <w:sz w:val="28"/>
          <w:szCs w:val="28"/>
          <w:lang w:val="en-US"/>
        </w:rPr>
        <w:t xml:space="preserve">Thesis for the scientific degree of Doctor of Medical Sciences in specialty 14.03.05 – Pharmacology. – </w:t>
      </w:r>
      <w:r w:rsidR="00380CA6" w:rsidRPr="00BE086B">
        <w:rPr>
          <w:bCs/>
          <w:sz w:val="28"/>
          <w:lang w:val="uk-UA"/>
        </w:rPr>
        <w:t>SE «Dnipropetrovsk medical academy of Health Ministry of Ukraine» (Implementation of the thesis), Dnipro</w:t>
      </w:r>
      <w:r w:rsidRPr="00BE086B">
        <w:rPr>
          <w:bCs/>
          <w:sz w:val="28"/>
          <w:lang w:val="uk-UA"/>
        </w:rPr>
        <w:t>. -</w:t>
      </w:r>
      <w:r w:rsidR="00380CA6" w:rsidRPr="00BE086B">
        <w:rPr>
          <w:bCs/>
          <w:caps/>
          <w:szCs w:val="28"/>
          <w:lang w:val="uk-UA"/>
        </w:rPr>
        <w:t xml:space="preserve"> </w:t>
      </w:r>
      <w:r w:rsidR="00380CA6" w:rsidRPr="00BE086B">
        <w:rPr>
          <w:sz w:val="28"/>
          <w:szCs w:val="28"/>
          <w:lang w:val="uk-UA"/>
        </w:rPr>
        <w:t>SI «</w:t>
      </w:r>
      <w:r w:rsidR="00380CA6" w:rsidRPr="00BE086B">
        <w:rPr>
          <w:sz w:val="28"/>
          <w:lang w:val="uk-UA"/>
        </w:rPr>
        <w:t>Institute of Pharmacology and Toxicology of the</w:t>
      </w:r>
      <w:r w:rsidR="00380CA6" w:rsidRPr="00BE086B">
        <w:rPr>
          <w:sz w:val="28"/>
          <w:szCs w:val="28"/>
          <w:lang w:val="uk-UA"/>
        </w:rPr>
        <w:t xml:space="preserve"> National Academy of Medical Sciences of </w:t>
      </w:r>
      <w:r w:rsidR="00380CA6" w:rsidRPr="00BE086B">
        <w:rPr>
          <w:sz w:val="28"/>
          <w:lang w:val="uk-UA"/>
        </w:rPr>
        <w:t>Ukraine</w:t>
      </w:r>
      <w:r w:rsidR="00380CA6" w:rsidRPr="00BE086B">
        <w:rPr>
          <w:sz w:val="28"/>
          <w:szCs w:val="28"/>
          <w:lang w:val="uk-UA"/>
        </w:rPr>
        <w:t xml:space="preserve">» </w:t>
      </w:r>
      <w:r w:rsidR="00380CA6" w:rsidRPr="00BE086B">
        <w:rPr>
          <w:bCs/>
          <w:sz w:val="28"/>
          <w:szCs w:val="28"/>
          <w:lang w:val="uk-UA"/>
        </w:rPr>
        <w:t>(defense),</w:t>
      </w:r>
      <w:r w:rsidR="00380CA6" w:rsidRPr="00BE086B">
        <w:rPr>
          <w:bCs/>
          <w:szCs w:val="28"/>
          <w:lang w:val="uk-UA"/>
        </w:rPr>
        <w:t xml:space="preserve"> </w:t>
      </w:r>
      <w:r w:rsidR="00380CA6" w:rsidRPr="00BE086B">
        <w:rPr>
          <w:sz w:val="28"/>
          <w:szCs w:val="28"/>
          <w:lang w:val="uk-UA"/>
        </w:rPr>
        <w:t>Kyiv, 2021.</w:t>
      </w:r>
    </w:p>
    <w:p w:rsidR="00BE5638" w:rsidRPr="00BE086B" w:rsidRDefault="00B60811" w:rsidP="00684CE6">
      <w:pPr>
        <w:spacing w:line="360" w:lineRule="auto"/>
        <w:ind w:firstLine="709"/>
        <w:jc w:val="both"/>
        <w:rPr>
          <w:bCs/>
          <w:sz w:val="28"/>
          <w:szCs w:val="28"/>
          <w:lang w:val="en-US"/>
        </w:rPr>
      </w:pPr>
      <w:r w:rsidRPr="00BE086B">
        <w:rPr>
          <w:bCs/>
          <w:sz w:val="28"/>
          <w:szCs w:val="28"/>
          <w:lang w:val="en-US"/>
        </w:rPr>
        <w:t>The dissertation work is dedicated to pharmacological analysis of the processes of pain relief and chondroprotection for experimental consideration of the optimal use of analgesic and chondroprotective drugs for osteoarthritis with hypothyroidism.</w:t>
      </w:r>
    </w:p>
    <w:p w:rsidR="00195D3A" w:rsidRPr="00BE086B" w:rsidRDefault="00195D3A" w:rsidP="00195D3A">
      <w:pPr>
        <w:spacing w:line="360" w:lineRule="auto"/>
        <w:ind w:firstLine="709"/>
        <w:jc w:val="both"/>
        <w:rPr>
          <w:sz w:val="28"/>
          <w:szCs w:val="28"/>
          <w:lang w:val="uk-UA"/>
        </w:rPr>
      </w:pPr>
      <w:r w:rsidRPr="00BE086B">
        <w:rPr>
          <w:sz w:val="28"/>
          <w:szCs w:val="28"/>
          <w:lang w:val="uk-UA"/>
        </w:rPr>
        <w:t>Pain is one of the main manifestations of many diseases and the cause of human suffering, which leads to the use of analgesics. Pain is a factor that aggravates the course of comorbid and, especially, chronic pathology, which necessitates continuous and continuous use of analgesics and thus increases the risk of complications and adverse reactions to pharmacotherapy.</w:t>
      </w:r>
    </w:p>
    <w:p w:rsidR="00195D3A" w:rsidRPr="00BE086B" w:rsidRDefault="00195D3A" w:rsidP="00195D3A">
      <w:pPr>
        <w:spacing w:line="360" w:lineRule="auto"/>
        <w:ind w:firstLine="709"/>
        <w:jc w:val="both"/>
        <w:rPr>
          <w:sz w:val="28"/>
          <w:szCs w:val="28"/>
          <w:lang w:val="en-US"/>
        </w:rPr>
      </w:pPr>
      <w:r w:rsidRPr="00BE086B">
        <w:rPr>
          <w:sz w:val="28"/>
          <w:szCs w:val="28"/>
          <w:lang w:val="en-US"/>
        </w:rPr>
        <w:t xml:space="preserve">Known relationship of thyroid gland pathology with the development of rheumatoid arthritis and systemic lupus erythematosus, diabetes mellitus, pathology of the cardiovascular system, disorders of the gastrointestinal tract, energy metabolism, autonomic nervous system and imbalance of sex hormones. Hypothyroidism activates lipid peroxidation processes, increases sensitivity to stress, oxidation and hydration reactions are strengthened, thermoregulation is disrupted, metabolic products are accumulated, functional disorders of the central nervous system and the cardiovascular system arise, tissue dystrophy develops with the formation of mucous edema (myxedema) and the development of «hypothyroid» arthropathies and miopathies. Of particular importance are the pharmacological </w:t>
      </w:r>
      <w:r w:rsidRPr="00BE086B">
        <w:rPr>
          <w:sz w:val="28"/>
          <w:szCs w:val="28"/>
          <w:lang w:val="en-US"/>
        </w:rPr>
        <w:lastRenderedPageBreak/>
        <w:t>treatment of osteoarthritis with hypothyroidism, which can complicate and accelerate the negative effects of metabolic imbalance.</w:t>
      </w:r>
    </w:p>
    <w:p w:rsidR="00195D3A" w:rsidRPr="00BE086B" w:rsidRDefault="00195D3A" w:rsidP="00195D3A">
      <w:pPr>
        <w:spacing w:line="360" w:lineRule="auto"/>
        <w:ind w:firstLine="709"/>
        <w:jc w:val="both"/>
        <w:rPr>
          <w:sz w:val="28"/>
          <w:szCs w:val="28"/>
          <w:lang w:val="en-US"/>
        </w:rPr>
      </w:pPr>
      <w:r w:rsidRPr="00BE086B">
        <w:rPr>
          <w:sz w:val="28"/>
          <w:szCs w:val="28"/>
          <w:lang w:val="en-US"/>
        </w:rPr>
        <w:t>Nonopioid analgesics, especially NSAIDs, which are most often used for pain relief in osteoarthritis, can accelerate joint damage in osteoarthritis by enhancing the synthesis of proinflammatory cytokines or by inhibiting the synthesis of cartilage proteoglycans. However, the impact of analgesic therapy on the bone and cartilage tissues in hypothyroidism and their influence on the level of biochemical markers in hypothyroidism has not been sufficiently investigated.</w:t>
      </w:r>
    </w:p>
    <w:p w:rsidR="00195D3A" w:rsidRPr="00BE086B" w:rsidRDefault="00195D3A" w:rsidP="00195D3A">
      <w:pPr>
        <w:spacing w:line="360" w:lineRule="auto"/>
        <w:ind w:firstLine="709"/>
        <w:jc w:val="both"/>
        <w:rPr>
          <w:sz w:val="28"/>
          <w:szCs w:val="28"/>
          <w:lang w:val="en-US"/>
        </w:rPr>
      </w:pPr>
      <w:r w:rsidRPr="00BE086B">
        <w:rPr>
          <w:sz w:val="28"/>
          <w:szCs w:val="28"/>
          <w:lang w:val="en-US"/>
        </w:rPr>
        <w:t>It is known that analgesics can affect the hormonal activity of the thyroid gland through an indirect effect on the synthesis and release of hormones or their metabolism, clerance and tissue absorption. However, an important and understudied issue is to study the processes of interaction between analgesics and the replacement hormone therapy L-thyroxine, their ability to influence pain of varying intensity.</w:t>
      </w:r>
    </w:p>
    <w:p w:rsidR="00195D3A" w:rsidRPr="00BE086B" w:rsidRDefault="00195D3A" w:rsidP="00195D3A">
      <w:pPr>
        <w:spacing w:line="360" w:lineRule="auto"/>
        <w:ind w:firstLine="709"/>
        <w:jc w:val="both"/>
        <w:rPr>
          <w:sz w:val="28"/>
          <w:szCs w:val="28"/>
          <w:lang w:val="en-US"/>
        </w:rPr>
      </w:pPr>
      <w:r w:rsidRPr="00BE086B">
        <w:rPr>
          <w:sz w:val="28"/>
          <w:szCs w:val="28"/>
          <w:lang w:val="en-US"/>
        </w:rPr>
        <w:t>It is believed that the appointment of replacement hormonal therapy for hypothyroidism leads to restoration of intensity of metabolism processes, but studies on the effect of hormone therapy on the structure of hyaline cartilage have not been conducted. The prevention of degenerative-dystrophic changes in the joints due to hypothyroidism and the study of drug interactions with the aim of making suggestions for effective and safe combined use of drugs of different pharmacotherapeutic groups remain open.</w:t>
      </w:r>
    </w:p>
    <w:p w:rsidR="00195D3A" w:rsidRPr="00BE086B" w:rsidRDefault="00195D3A" w:rsidP="00195D3A">
      <w:pPr>
        <w:spacing w:line="360" w:lineRule="auto"/>
        <w:ind w:firstLine="709"/>
        <w:jc w:val="both"/>
        <w:rPr>
          <w:sz w:val="28"/>
          <w:szCs w:val="28"/>
          <w:lang w:val="en-US"/>
        </w:rPr>
      </w:pPr>
      <w:r w:rsidRPr="00BE086B">
        <w:rPr>
          <w:sz w:val="28"/>
          <w:szCs w:val="28"/>
          <w:lang w:val="en-US"/>
        </w:rPr>
        <w:t>The above mentioned points to the existence of an actual current problem of medicine, which is associated with the search for new approaches to pharmacotherapy of pain syndrome and joint drug protection in patients with osteoarthritis and hypothyroidism by determining the efficacy of the use of analgesic and chondroprotective agents in the conditions of replacement hormonal therapy of hypothyroidism, which can serve as a theoretical redefinition of optimization of treatment of comorbid condition.</w:t>
      </w:r>
    </w:p>
    <w:p w:rsidR="00195D3A" w:rsidRPr="00BE086B" w:rsidRDefault="00195D3A" w:rsidP="00195D3A">
      <w:pPr>
        <w:spacing w:line="360" w:lineRule="auto"/>
        <w:ind w:firstLine="709"/>
        <w:jc w:val="both"/>
        <w:rPr>
          <w:sz w:val="28"/>
          <w:szCs w:val="28"/>
          <w:lang w:val="en-US"/>
        </w:rPr>
      </w:pPr>
      <w:r w:rsidRPr="00BE086B">
        <w:rPr>
          <w:sz w:val="28"/>
          <w:szCs w:val="28"/>
          <w:lang w:val="en-US"/>
        </w:rPr>
        <w:t xml:space="preserve">The novelty of the work lies in the fact that for the first time in the experiment a systemic comparative study of analgesic, anti-inflammatory (diclofenac sodium, </w:t>
      </w:r>
      <w:r w:rsidRPr="00BE086B">
        <w:rPr>
          <w:sz w:val="28"/>
          <w:szCs w:val="28"/>
          <w:lang w:val="en-US"/>
        </w:rPr>
        <w:lastRenderedPageBreak/>
        <w:t>ibuprofen, meloxicam, nimesulide, celecoxib, paracetamol) and chondroprotective (chondroitin sulfate) therapy for the recognition of a replacement hormone therapy (L-thyroxine) on the body of comorbid pathology - osteoarthritis and hypothyroidism.</w:t>
      </w:r>
    </w:p>
    <w:p w:rsidR="00195D3A" w:rsidRPr="00BE086B" w:rsidRDefault="00195D3A" w:rsidP="00195D3A">
      <w:pPr>
        <w:spacing w:line="360" w:lineRule="auto"/>
        <w:ind w:firstLine="709"/>
        <w:jc w:val="both"/>
        <w:rPr>
          <w:sz w:val="28"/>
          <w:szCs w:val="28"/>
          <w:lang w:val="en-US"/>
        </w:rPr>
      </w:pPr>
      <w:r w:rsidRPr="00BE086B">
        <w:rPr>
          <w:sz w:val="28"/>
          <w:szCs w:val="28"/>
          <w:lang w:val="en-US"/>
        </w:rPr>
        <w:t>The structural changes of the bone-cartilaginous tissue on the tissues of the thyroid gland hypofunction, which indicate the influence of hormonal deficiency on the cartilage tissue and highlight the need for medication to correct the pathological disorders, were investigated for the first time.</w:t>
      </w:r>
    </w:p>
    <w:p w:rsidR="00195D3A" w:rsidRPr="00BE086B" w:rsidRDefault="00195D3A" w:rsidP="00195D3A">
      <w:pPr>
        <w:spacing w:line="360" w:lineRule="auto"/>
        <w:ind w:firstLine="709"/>
        <w:jc w:val="both"/>
        <w:rPr>
          <w:sz w:val="28"/>
          <w:szCs w:val="28"/>
          <w:lang w:val="uk-UA"/>
        </w:rPr>
      </w:pPr>
      <w:r w:rsidRPr="00BE086B">
        <w:rPr>
          <w:sz w:val="28"/>
          <w:szCs w:val="28"/>
          <w:lang w:val="uk-UA"/>
        </w:rPr>
        <w:t>The data on peculiarities of pain perception in experimental pathological conditions and under the influence of NSAIDs and paracetamol were supplemented. Experimental osteoarthritis was found to be accompanied by a 24% decrease in pain</w:t>
      </w:r>
      <w:r w:rsidR="00756BC5" w:rsidRPr="00BE086B">
        <w:rPr>
          <w:sz w:val="28"/>
          <w:szCs w:val="28"/>
          <w:lang w:val="uk-UA"/>
        </w:rPr>
        <w:t xml:space="preserve"> perception threshold (p&lt;0,</w:t>
      </w:r>
      <w:r w:rsidRPr="00BE086B">
        <w:rPr>
          <w:sz w:val="28"/>
          <w:szCs w:val="28"/>
          <w:lang w:val="uk-UA"/>
        </w:rPr>
        <w:t>0</w:t>
      </w:r>
      <w:r w:rsidR="00DC7DA1" w:rsidRPr="00BE086B">
        <w:rPr>
          <w:sz w:val="28"/>
          <w:szCs w:val="28"/>
          <w:lang w:val="uk-UA"/>
        </w:rPr>
        <w:t>5</w:t>
      </w:r>
      <w:r w:rsidRPr="00BE086B">
        <w:rPr>
          <w:sz w:val="28"/>
          <w:szCs w:val="28"/>
          <w:lang w:val="uk-UA"/>
        </w:rPr>
        <w:t>), while the presence of comorbid pathology resulted in a smaller decrease in pain p</w:t>
      </w:r>
      <w:r w:rsidR="00756BC5" w:rsidRPr="00BE086B">
        <w:rPr>
          <w:sz w:val="28"/>
          <w:szCs w:val="28"/>
          <w:lang w:val="uk-UA"/>
        </w:rPr>
        <w:t>erception threshold of 17% (p&lt;0,</w:t>
      </w:r>
      <w:r w:rsidRPr="00BE086B">
        <w:rPr>
          <w:sz w:val="28"/>
          <w:szCs w:val="28"/>
          <w:lang w:val="uk-UA"/>
        </w:rPr>
        <w:t>05). Under conditions of experimental osteoarthritis and hypothyroidism selective and highly selective COX-2 inhibitors significantly lost their inhibitory activity in comparison with analgesics - non-selective COX inhibitors, especially diclofenac sodium. Paracetamol had the weakest analgesic effect. Replacement hormone therapy with L-thyroxine renewed antinociceptive activity of NSAIDs and paracetamol.</w:t>
      </w:r>
    </w:p>
    <w:p w:rsidR="00195D3A" w:rsidRPr="00BE086B" w:rsidRDefault="00195D3A" w:rsidP="00195D3A">
      <w:pPr>
        <w:spacing w:line="360" w:lineRule="auto"/>
        <w:ind w:firstLine="709"/>
        <w:jc w:val="both"/>
        <w:rPr>
          <w:sz w:val="28"/>
          <w:szCs w:val="28"/>
          <w:lang w:val="uk-UA"/>
        </w:rPr>
      </w:pPr>
      <w:r w:rsidRPr="00BE086B">
        <w:rPr>
          <w:sz w:val="28"/>
          <w:szCs w:val="28"/>
          <w:lang w:val="uk-UA"/>
        </w:rPr>
        <w:t>It was shown that the combination of NSAIDs and paracetamol with L-thyroxine replacement hormone therapy promotes positive changes in the motor and investigational activity of the rats under experimental osteoarthritis and hypothyroidism and has a different effect on the indicators of spontaneous behavioral activity</w:t>
      </w:r>
      <w:r w:rsidR="00726870" w:rsidRPr="00BE086B">
        <w:rPr>
          <w:sz w:val="28"/>
          <w:szCs w:val="28"/>
          <w:lang w:val="uk-UA"/>
        </w:rPr>
        <w:t xml:space="preserve"> </w:t>
      </w:r>
      <w:r w:rsidR="00726870" w:rsidRPr="00BE086B">
        <w:rPr>
          <w:sz w:val="28"/>
          <w:szCs w:val="28"/>
          <w:lang w:val="en-US"/>
        </w:rPr>
        <w:t>(</w:t>
      </w:r>
      <w:r w:rsidR="00726870" w:rsidRPr="00BE086B">
        <w:rPr>
          <w:sz w:val="28"/>
          <w:szCs w:val="28"/>
        </w:rPr>
        <w:t>р</w:t>
      </w:r>
      <w:r w:rsidR="00726870" w:rsidRPr="00BE086B">
        <w:rPr>
          <w:sz w:val="28"/>
          <w:szCs w:val="28"/>
          <w:lang w:val="en-US"/>
        </w:rPr>
        <w:t>&lt;0,05)</w:t>
      </w:r>
      <w:r w:rsidRPr="00BE086B">
        <w:rPr>
          <w:sz w:val="28"/>
          <w:szCs w:val="28"/>
          <w:lang w:val="uk-UA"/>
        </w:rPr>
        <w:t>.</w:t>
      </w:r>
    </w:p>
    <w:p w:rsidR="00195D3A" w:rsidRPr="00BE086B" w:rsidRDefault="00195D3A" w:rsidP="00195D3A">
      <w:pPr>
        <w:spacing w:line="360" w:lineRule="auto"/>
        <w:ind w:firstLine="709"/>
        <w:jc w:val="both"/>
        <w:rPr>
          <w:sz w:val="28"/>
          <w:szCs w:val="28"/>
          <w:lang w:val="en-US"/>
        </w:rPr>
      </w:pPr>
      <w:r w:rsidRPr="00BE086B">
        <w:rPr>
          <w:sz w:val="28"/>
          <w:szCs w:val="28"/>
          <w:lang w:val="en-US"/>
        </w:rPr>
        <w:t xml:space="preserve">The anti-inflammatory and chondroprotective activity of NSAIDs and paracetamol on the level of markers IL 1, IL 6, IL 8, MMP-3, MMP-9, MMP-13, tumor necrosis factor, C-reactive protein, bone alkaline phosphatase, </w:t>
      </w:r>
      <w:r w:rsidRPr="00BE086B">
        <w:rPr>
          <w:sz w:val="28"/>
          <w:szCs w:val="28"/>
        </w:rPr>
        <w:t>С</w:t>
      </w:r>
      <w:r w:rsidRPr="00BE086B">
        <w:rPr>
          <w:sz w:val="28"/>
          <w:szCs w:val="28"/>
          <w:lang w:val="en-US"/>
        </w:rPr>
        <w:t>TX I, CTX II was evaluated for the first time and determined the ability of the investigated drugs to influence inflammatory and degenerative-dystrophic processes in cartilage tissue and joint tissue for comorbid condition.</w:t>
      </w:r>
    </w:p>
    <w:p w:rsidR="00195D3A" w:rsidRPr="00BE086B" w:rsidRDefault="00195D3A" w:rsidP="00195D3A">
      <w:pPr>
        <w:spacing w:line="360" w:lineRule="auto"/>
        <w:ind w:firstLine="709"/>
        <w:jc w:val="both"/>
        <w:rPr>
          <w:sz w:val="28"/>
          <w:szCs w:val="28"/>
          <w:lang w:val="en-US"/>
        </w:rPr>
      </w:pPr>
      <w:r w:rsidRPr="00BE086B">
        <w:rPr>
          <w:sz w:val="28"/>
          <w:szCs w:val="28"/>
          <w:lang w:val="en-US"/>
        </w:rPr>
        <w:lastRenderedPageBreak/>
        <w:t>NSAIDs affecting TSH, T3 and T4 concentrations in the serum of the blood in osteoarthritis and hypothyroidism were determined.</w:t>
      </w:r>
    </w:p>
    <w:p w:rsidR="00195D3A" w:rsidRPr="00BE086B" w:rsidRDefault="00195D3A" w:rsidP="00195D3A">
      <w:pPr>
        <w:spacing w:line="360" w:lineRule="auto"/>
        <w:ind w:firstLine="709"/>
        <w:jc w:val="both"/>
        <w:rPr>
          <w:sz w:val="28"/>
          <w:szCs w:val="28"/>
          <w:lang w:val="en-US"/>
        </w:rPr>
      </w:pPr>
      <w:r w:rsidRPr="00BE086B">
        <w:rPr>
          <w:sz w:val="28"/>
          <w:szCs w:val="28"/>
          <w:lang w:val="en-US"/>
        </w:rPr>
        <w:t>The ability of chondroitin sulfate to restore the morphometric dimensions of the affected joints, indicators of motor, investigative and vegetative activity in rats was established, exhibit moderate analgesic effect and positively influence on biochemical parameters (levels of seromucoids, sialic acids, glucosaminoglycans, oxyproline, serum calcium and marker CTX II) for comorbid condition - osteoarthritis and hypothyroidism.</w:t>
      </w:r>
    </w:p>
    <w:p w:rsidR="00195D3A" w:rsidRPr="00BE086B" w:rsidRDefault="00195D3A" w:rsidP="00195D3A">
      <w:pPr>
        <w:spacing w:line="360" w:lineRule="auto"/>
        <w:ind w:firstLine="709"/>
        <w:jc w:val="both"/>
        <w:rPr>
          <w:sz w:val="28"/>
          <w:szCs w:val="28"/>
          <w:lang w:val="en-US"/>
        </w:rPr>
      </w:pPr>
      <w:r w:rsidRPr="00BE086B">
        <w:rPr>
          <w:sz w:val="28"/>
          <w:szCs w:val="28"/>
          <w:lang w:val="en-US"/>
        </w:rPr>
        <w:t>Combined use of L-thyroxine, diclofenac sodium and chondroitin sulfate in osteoarthritis comorbid with hypothyroidism was firstly grounded. It is the combined use of these drugs that has been shown to have analgesic and anti-inflammatory effects, as well as active regeneration of both cartilage and bone tissue with the formation of neovasculogenesis lobes in the injured joint. It was proved that analgesic activity of the combined use of diclofenac sodium with chondroitin sulfate and L-thyroxine at a single intraintestinal introduction on different models of pain perception is higher than the analgesic activity of individual drugs.</w:t>
      </w:r>
    </w:p>
    <w:p w:rsidR="00195D3A" w:rsidRPr="00BE086B" w:rsidRDefault="00195D3A" w:rsidP="00195D3A">
      <w:pPr>
        <w:spacing w:line="360" w:lineRule="auto"/>
        <w:ind w:firstLine="709"/>
        <w:jc w:val="both"/>
        <w:rPr>
          <w:sz w:val="28"/>
          <w:szCs w:val="28"/>
          <w:lang w:val="en-US"/>
        </w:rPr>
      </w:pPr>
      <w:r w:rsidRPr="00BE086B">
        <w:rPr>
          <w:sz w:val="28"/>
          <w:szCs w:val="28"/>
          <w:lang w:val="en-US"/>
        </w:rPr>
        <w:t>The absence of biopharmaceutical interrelation between the drugs used for pain relief and reduction of inflammatory symptoms in osteoarthritis associated with hypothyroidism was established.</w:t>
      </w:r>
    </w:p>
    <w:p w:rsidR="00195D3A" w:rsidRPr="00BE086B" w:rsidRDefault="00195D3A" w:rsidP="00195D3A">
      <w:pPr>
        <w:spacing w:line="360" w:lineRule="auto"/>
        <w:ind w:firstLine="709"/>
        <w:jc w:val="both"/>
        <w:rPr>
          <w:sz w:val="28"/>
          <w:szCs w:val="28"/>
          <w:lang w:val="en-US"/>
        </w:rPr>
      </w:pPr>
      <w:r w:rsidRPr="00BE086B">
        <w:rPr>
          <w:sz w:val="28"/>
          <w:szCs w:val="28"/>
          <w:lang w:val="en-US"/>
        </w:rPr>
        <w:t>The results of the work is a basis for the development of rational approaches to pharmacotherapy of pain and inflammation and providing adequate chondroprotection in patients with osteoarthritis with concomitant hypothyroidism.</w:t>
      </w:r>
    </w:p>
    <w:p w:rsidR="00195D3A" w:rsidRPr="00BE086B" w:rsidRDefault="00195D3A" w:rsidP="00195D3A">
      <w:pPr>
        <w:spacing w:line="360" w:lineRule="auto"/>
        <w:ind w:firstLine="709"/>
        <w:jc w:val="both"/>
        <w:rPr>
          <w:sz w:val="28"/>
          <w:szCs w:val="28"/>
          <w:lang w:val="en-US"/>
        </w:rPr>
      </w:pPr>
      <w:r w:rsidRPr="00BE086B">
        <w:rPr>
          <w:sz w:val="28"/>
          <w:szCs w:val="28"/>
          <w:lang w:val="en-US"/>
        </w:rPr>
        <w:t>On the basis of the study a rational combination of drugs for oral use with analgesic and chondroprotective actions was determined, which includes L-thyroxine 50-100 mg, diclofenac sodium 150 mg and chondroitin sulfate 2 ml per day for comorbid pathology of osteoarthritis and hypothyroidism.</w:t>
      </w:r>
    </w:p>
    <w:p w:rsidR="00195D3A" w:rsidRPr="00BE086B" w:rsidRDefault="00195D3A" w:rsidP="00195D3A">
      <w:pPr>
        <w:spacing w:line="360" w:lineRule="auto"/>
        <w:ind w:firstLine="709"/>
        <w:jc w:val="both"/>
        <w:rPr>
          <w:sz w:val="28"/>
          <w:szCs w:val="28"/>
          <w:lang w:val="uk-UA"/>
        </w:rPr>
      </w:pPr>
      <w:r w:rsidRPr="00BE086B">
        <w:rPr>
          <w:sz w:val="28"/>
          <w:szCs w:val="28"/>
          <w:lang w:val="uk-UA"/>
        </w:rPr>
        <w:t xml:space="preserve">It was found that the analgesic effect of drugs against the background of comorbid pathology and administration of L-thyroxine was more significant. This result is evidence of potentiation of the analgesic effect of the NSAIDs by L-thyroxine against the background of osteoarthritis, comorbid with hypothyroidism, </w:t>
      </w:r>
      <w:r w:rsidRPr="00BE086B">
        <w:rPr>
          <w:sz w:val="28"/>
          <w:szCs w:val="28"/>
          <w:lang w:val="uk-UA"/>
        </w:rPr>
        <w:lastRenderedPageBreak/>
        <w:t>and reflects a significant analgesic effect of diclofenac sodium. In fact, L-thyroxine when combined with diclofenac sodium leads to an increase in the analgesic activi</w:t>
      </w:r>
      <w:r w:rsidR="00756BC5" w:rsidRPr="00BE086B">
        <w:rPr>
          <w:sz w:val="28"/>
          <w:szCs w:val="28"/>
          <w:lang w:val="uk-UA"/>
        </w:rPr>
        <w:t>ty of the latter by 48% (p&lt;0,</w:t>
      </w:r>
      <w:r w:rsidRPr="00BE086B">
        <w:rPr>
          <w:sz w:val="28"/>
          <w:szCs w:val="28"/>
          <w:lang w:val="uk-UA"/>
        </w:rPr>
        <w:t>05). Analgesic activity of paracetamol against the background of administration of L-thyroxine increased by 1,8 times (p&lt;0,05) compared to the data when the antipyretic was administered alone against a background of osteoarthritis.</w:t>
      </w:r>
    </w:p>
    <w:p w:rsidR="00195D3A" w:rsidRPr="00BE086B" w:rsidRDefault="00195D3A" w:rsidP="00195D3A">
      <w:pPr>
        <w:spacing w:line="360" w:lineRule="auto"/>
        <w:ind w:firstLine="709"/>
        <w:jc w:val="both"/>
        <w:rPr>
          <w:sz w:val="28"/>
          <w:szCs w:val="28"/>
          <w:lang w:val="uk-UA"/>
        </w:rPr>
      </w:pPr>
      <w:r w:rsidRPr="00BE086B">
        <w:rPr>
          <w:sz w:val="28"/>
          <w:szCs w:val="28"/>
          <w:lang w:val="uk-UA"/>
        </w:rPr>
        <w:t xml:space="preserve">Based on the analysis of the obtained data, drugs that changed the hormonal background were identified. Such drugs as ibuprofen, meloxicam and nimesulide decreased the TSH level in the </w:t>
      </w:r>
      <w:r w:rsidRPr="00BE086B">
        <w:rPr>
          <w:sz w:val="28"/>
          <w:szCs w:val="28"/>
          <w:lang w:val="en-US"/>
        </w:rPr>
        <w:t xml:space="preserve">blood serum </w:t>
      </w:r>
      <w:r w:rsidR="00BC4A83" w:rsidRPr="00BE086B">
        <w:rPr>
          <w:sz w:val="28"/>
          <w:szCs w:val="28"/>
          <w:lang w:val="uk-UA"/>
        </w:rPr>
        <w:t>in 1,47, 1,29</w:t>
      </w:r>
      <w:r w:rsidR="00756BC5" w:rsidRPr="00BE086B">
        <w:rPr>
          <w:sz w:val="28"/>
          <w:szCs w:val="28"/>
          <w:lang w:val="uk-UA"/>
        </w:rPr>
        <w:t xml:space="preserve"> and 1,</w:t>
      </w:r>
      <w:r w:rsidRPr="00BE086B">
        <w:rPr>
          <w:sz w:val="28"/>
          <w:szCs w:val="28"/>
          <w:lang w:val="uk-UA"/>
        </w:rPr>
        <w:t>4</w:t>
      </w:r>
      <w:r w:rsidR="00BC4A83" w:rsidRPr="00BE086B">
        <w:rPr>
          <w:sz w:val="28"/>
          <w:szCs w:val="28"/>
          <w:lang w:val="uk-UA"/>
        </w:rPr>
        <w:t>0</w:t>
      </w:r>
      <w:r w:rsidRPr="00BE086B">
        <w:rPr>
          <w:sz w:val="28"/>
          <w:szCs w:val="28"/>
          <w:lang w:val="uk-UA"/>
        </w:rPr>
        <w:t xml:space="preserve"> times respectively (p&lt;0,05). At the same time their use caused an increase of T4 level in 1,23, 1,27 and 1,26 times accordingly (p&lt;0,05).</w:t>
      </w:r>
    </w:p>
    <w:p w:rsidR="00195D3A" w:rsidRPr="00BE086B" w:rsidRDefault="00195D3A" w:rsidP="00195D3A">
      <w:pPr>
        <w:spacing w:line="360" w:lineRule="auto"/>
        <w:ind w:firstLine="709"/>
        <w:jc w:val="both"/>
        <w:rPr>
          <w:sz w:val="28"/>
          <w:szCs w:val="28"/>
          <w:lang w:val="uk-UA"/>
        </w:rPr>
      </w:pPr>
      <w:r w:rsidRPr="00BE086B">
        <w:rPr>
          <w:sz w:val="28"/>
          <w:szCs w:val="28"/>
          <w:lang w:val="uk-UA"/>
        </w:rPr>
        <w:t xml:space="preserve">The results of the study allowed us to determine that the </w:t>
      </w:r>
      <w:r w:rsidR="009B7CB4" w:rsidRPr="00BE086B">
        <w:rPr>
          <w:sz w:val="28"/>
          <w:szCs w:val="28"/>
          <w:lang w:val="en-US"/>
        </w:rPr>
        <w:t>average effective</w:t>
      </w:r>
      <w:r w:rsidRPr="00BE086B">
        <w:rPr>
          <w:sz w:val="28"/>
          <w:szCs w:val="28"/>
          <w:lang w:val="uk-UA"/>
        </w:rPr>
        <w:t xml:space="preserve"> doses showed only a tendency to a decrease in the level of thyroid hormones (T3 and T4) and TSH, in the blood serum when the intragastric administration</w:t>
      </w:r>
      <w:r w:rsidR="00756BC5" w:rsidRPr="00BE086B">
        <w:rPr>
          <w:sz w:val="28"/>
          <w:szCs w:val="28"/>
          <w:lang w:val="uk-UA"/>
        </w:rPr>
        <w:t xml:space="preserve"> of the studied drugs (p&gt;0,</w:t>
      </w:r>
      <w:r w:rsidRPr="00BE086B">
        <w:rPr>
          <w:sz w:val="28"/>
          <w:szCs w:val="28"/>
          <w:lang w:val="uk-UA"/>
        </w:rPr>
        <w:t xml:space="preserve">05), and when therapeutic doses were increased, different data were obtained for the level of influence on the concentration of TSH, T3 and T4 in the blood serum of the </w:t>
      </w:r>
      <w:r w:rsidRPr="00BE086B">
        <w:rPr>
          <w:sz w:val="28"/>
          <w:szCs w:val="28"/>
          <w:lang w:val="en-US"/>
        </w:rPr>
        <w:t>rat</w:t>
      </w:r>
      <w:r w:rsidRPr="00BE086B">
        <w:rPr>
          <w:sz w:val="28"/>
          <w:szCs w:val="28"/>
          <w:lang w:val="uk-UA"/>
        </w:rPr>
        <w:t>s.</w:t>
      </w:r>
    </w:p>
    <w:p w:rsidR="00195D3A" w:rsidRPr="00BE086B" w:rsidRDefault="00195D3A" w:rsidP="00195D3A">
      <w:pPr>
        <w:spacing w:line="360" w:lineRule="auto"/>
        <w:ind w:firstLine="709"/>
        <w:jc w:val="both"/>
        <w:rPr>
          <w:sz w:val="28"/>
          <w:szCs w:val="28"/>
          <w:lang w:val="uk-UA"/>
        </w:rPr>
      </w:pPr>
      <w:r w:rsidRPr="00BE086B">
        <w:rPr>
          <w:sz w:val="28"/>
          <w:szCs w:val="28"/>
          <w:lang w:val="uk-UA"/>
        </w:rPr>
        <w:t>On the basis of the conducted histomorphological investigations it was established that the combined use of diclofenac sodium, chondroitin sulfate and L-thyroxine promotes active regeneration of cartilage and bone tissue with neovasculogenesis areas, reduction of signs of reactive inflammation and synovial fibrosis and formation of young cartilage.</w:t>
      </w:r>
    </w:p>
    <w:p w:rsidR="00195D3A" w:rsidRPr="00BE086B" w:rsidRDefault="00195D3A" w:rsidP="00195D3A">
      <w:pPr>
        <w:spacing w:line="360" w:lineRule="auto"/>
        <w:ind w:firstLine="709"/>
        <w:jc w:val="both"/>
        <w:rPr>
          <w:sz w:val="28"/>
          <w:szCs w:val="28"/>
          <w:lang w:val="uk-UA"/>
        </w:rPr>
      </w:pPr>
      <w:r w:rsidRPr="00BE086B">
        <w:rPr>
          <w:sz w:val="28"/>
          <w:szCs w:val="28"/>
          <w:lang w:val="uk-UA"/>
        </w:rPr>
        <w:t xml:space="preserve">Hypothyroidism leads to </w:t>
      </w:r>
      <w:r w:rsidR="00D34C39" w:rsidRPr="00BE086B">
        <w:rPr>
          <w:sz w:val="28"/>
          <w:szCs w:val="28"/>
          <w:lang w:val="en-US"/>
        </w:rPr>
        <w:t>hyperalgesia</w:t>
      </w:r>
      <w:r w:rsidRPr="00BE086B">
        <w:rPr>
          <w:sz w:val="28"/>
          <w:szCs w:val="28"/>
          <w:lang w:val="uk-UA"/>
        </w:rPr>
        <w:t xml:space="preserve"> in osteoarthri</w:t>
      </w:r>
      <w:r w:rsidR="00756BC5" w:rsidRPr="00BE086B">
        <w:rPr>
          <w:sz w:val="28"/>
          <w:szCs w:val="28"/>
          <w:lang w:val="uk-UA"/>
        </w:rPr>
        <w:t>tis, as evidenced by a 17% (p&lt;0,</w:t>
      </w:r>
      <w:r w:rsidRPr="00BE086B">
        <w:rPr>
          <w:sz w:val="28"/>
          <w:szCs w:val="28"/>
          <w:lang w:val="uk-UA"/>
        </w:rPr>
        <w:t>05) decrease in the threshold of pain sensitivity for com</w:t>
      </w:r>
      <w:r w:rsidR="00756BC5" w:rsidRPr="00BE086B">
        <w:rPr>
          <w:sz w:val="28"/>
          <w:szCs w:val="28"/>
          <w:lang w:val="uk-UA"/>
        </w:rPr>
        <w:t>orbid condition versus 24% (p&lt;0,</w:t>
      </w:r>
      <w:r w:rsidRPr="00BE086B">
        <w:rPr>
          <w:sz w:val="28"/>
          <w:szCs w:val="28"/>
          <w:lang w:val="uk-UA"/>
        </w:rPr>
        <w:t>0</w:t>
      </w:r>
      <w:r w:rsidR="00DC7DA1" w:rsidRPr="00BE086B">
        <w:rPr>
          <w:sz w:val="28"/>
          <w:szCs w:val="28"/>
          <w:lang w:val="uk-UA"/>
        </w:rPr>
        <w:t>5</w:t>
      </w:r>
      <w:r w:rsidRPr="00BE086B">
        <w:rPr>
          <w:sz w:val="28"/>
          <w:szCs w:val="28"/>
          <w:lang w:val="uk-UA"/>
        </w:rPr>
        <w:t>) for osteoarthritis.</w:t>
      </w:r>
    </w:p>
    <w:p w:rsidR="00195D3A" w:rsidRPr="00BE086B" w:rsidRDefault="00195D3A" w:rsidP="00195D3A">
      <w:pPr>
        <w:spacing w:line="360" w:lineRule="auto"/>
        <w:ind w:firstLine="709"/>
        <w:jc w:val="both"/>
        <w:rPr>
          <w:sz w:val="28"/>
          <w:szCs w:val="28"/>
          <w:lang w:val="en-US"/>
        </w:rPr>
      </w:pPr>
      <w:r w:rsidRPr="00BE086B">
        <w:rPr>
          <w:sz w:val="28"/>
          <w:szCs w:val="28"/>
          <w:lang w:val="uk-UA"/>
        </w:rPr>
        <w:t>Experimental pathological conditions - osteoarthritis and hypothyroidism significantly change antinociceptive activity of drugs, leading to loss of their analgesic properties. Under conditions of osteoarthritis and hypothyroidism on the background of replacement hormonal therapy with L-thyroxine, these drugs are ranked as follows according to the intensity of their antinociceptive action</w:t>
      </w:r>
      <w:r w:rsidR="00DC7DA1" w:rsidRPr="00BE086B">
        <w:rPr>
          <w:sz w:val="28"/>
          <w:szCs w:val="28"/>
          <w:lang w:val="uk-UA"/>
        </w:rPr>
        <w:t xml:space="preserve">: </w:t>
      </w:r>
      <w:r w:rsidRPr="00BE086B">
        <w:rPr>
          <w:sz w:val="28"/>
          <w:szCs w:val="28"/>
          <w:lang w:val="uk-UA"/>
        </w:rPr>
        <w:lastRenderedPageBreak/>
        <w:t xml:space="preserve">diclofenac sodium (+212%) </w:t>
      </w:r>
      <w:r w:rsidR="00DC7DA1" w:rsidRPr="00BE086B">
        <w:rPr>
          <w:rFonts w:eastAsia="Calibri"/>
          <w:sz w:val="28"/>
          <w:szCs w:val="28"/>
          <w:lang w:val="uk-UA"/>
        </w:rPr>
        <w:t>(р</w:t>
      </w:r>
      <w:r w:rsidR="00DC7DA1" w:rsidRPr="00BE086B">
        <w:rPr>
          <w:rFonts w:eastAsia="Calibri"/>
          <w:iCs/>
          <w:sz w:val="28"/>
          <w:szCs w:val="28"/>
          <w:lang w:val="uk-UA"/>
        </w:rPr>
        <w:t>&lt;</w:t>
      </w:r>
      <w:r w:rsidR="00DC7DA1" w:rsidRPr="00BE086B">
        <w:rPr>
          <w:rFonts w:eastAsia="Calibri"/>
          <w:sz w:val="28"/>
          <w:szCs w:val="28"/>
          <w:lang w:val="uk-UA"/>
        </w:rPr>
        <w:t xml:space="preserve">0,001) </w:t>
      </w:r>
      <w:r w:rsidRPr="00BE086B">
        <w:rPr>
          <w:sz w:val="28"/>
          <w:szCs w:val="28"/>
          <w:lang w:val="uk-UA"/>
        </w:rPr>
        <w:t xml:space="preserve">&gt; ibuprofen (+144%) </w:t>
      </w:r>
      <w:r w:rsidR="00DC7DA1" w:rsidRPr="00BE086B">
        <w:rPr>
          <w:rFonts w:eastAsia="Calibri"/>
          <w:sz w:val="28"/>
          <w:szCs w:val="28"/>
          <w:lang w:val="uk-UA"/>
        </w:rPr>
        <w:t>(р</w:t>
      </w:r>
      <w:r w:rsidR="00DC7DA1" w:rsidRPr="00BE086B">
        <w:rPr>
          <w:rFonts w:eastAsia="Calibri"/>
          <w:iCs/>
          <w:sz w:val="28"/>
          <w:szCs w:val="28"/>
          <w:lang w:val="uk-UA"/>
        </w:rPr>
        <w:t>&lt;</w:t>
      </w:r>
      <w:r w:rsidR="00DC7DA1" w:rsidRPr="00BE086B">
        <w:rPr>
          <w:rFonts w:eastAsia="Calibri"/>
          <w:sz w:val="28"/>
          <w:szCs w:val="28"/>
          <w:lang w:val="uk-UA"/>
        </w:rPr>
        <w:t xml:space="preserve">0,001) </w:t>
      </w:r>
      <w:r w:rsidRPr="00BE086B">
        <w:rPr>
          <w:sz w:val="28"/>
          <w:szCs w:val="28"/>
          <w:lang w:val="uk-UA"/>
        </w:rPr>
        <w:t xml:space="preserve">&gt; nimesulide (+134%) </w:t>
      </w:r>
      <w:r w:rsidR="00DC7DA1" w:rsidRPr="00BE086B">
        <w:rPr>
          <w:rFonts w:eastAsia="Calibri"/>
          <w:sz w:val="28"/>
          <w:szCs w:val="28"/>
          <w:lang w:val="uk-UA"/>
        </w:rPr>
        <w:t>(р</w:t>
      </w:r>
      <w:r w:rsidR="00DC7DA1" w:rsidRPr="00BE086B">
        <w:rPr>
          <w:rFonts w:eastAsia="Calibri"/>
          <w:iCs/>
          <w:sz w:val="28"/>
          <w:szCs w:val="28"/>
          <w:lang w:val="uk-UA"/>
        </w:rPr>
        <w:t>&lt;</w:t>
      </w:r>
      <w:r w:rsidR="00DC7DA1" w:rsidRPr="00BE086B">
        <w:rPr>
          <w:rFonts w:eastAsia="Calibri"/>
          <w:sz w:val="28"/>
          <w:szCs w:val="28"/>
          <w:lang w:val="uk-UA"/>
        </w:rPr>
        <w:t xml:space="preserve">0,001) </w:t>
      </w:r>
      <w:r w:rsidRPr="00BE086B">
        <w:rPr>
          <w:sz w:val="28"/>
          <w:szCs w:val="28"/>
          <w:lang w:val="uk-UA"/>
        </w:rPr>
        <w:t>&gt; paracetamol (+11</w:t>
      </w:r>
      <w:r w:rsidR="00756BC5" w:rsidRPr="00BE086B">
        <w:rPr>
          <w:sz w:val="28"/>
          <w:szCs w:val="28"/>
          <w:lang w:val="uk-UA"/>
        </w:rPr>
        <w:t>6</w:t>
      </w:r>
      <w:r w:rsidRPr="00BE086B">
        <w:rPr>
          <w:sz w:val="28"/>
          <w:szCs w:val="28"/>
          <w:lang w:val="uk-UA"/>
        </w:rPr>
        <w:t xml:space="preserve">%) </w:t>
      </w:r>
      <w:r w:rsidR="00DC7DA1" w:rsidRPr="00BE086B">
        <w:rPr>
          <w:rFonts w:eastAsia="Calibri"/>
          <w:sz w:val="28"/>
          <w:szCs w:val="28"/>
          <w:lang w:val="uk-UA"/>
        </w:rPr>
        <w:t>(р</w:t>
      </w:r>
      <w:r w:rsidR="00DC7DA1" w:rsidRPr="00BE086B">
        <w:rPr>
          <w:rFonts w:eastAsia="Calibri"/>
          <w:iCs/>
          <w:sz w:val="28"/>
          <w:szCs w:val="28"/>
          <w:lang w:val="uk-UA"/>
        </w:rPr>
        <w:t>&lt;</w:t>
      </w:r>
      <w:r w:rsidR="00DC7DA1" w:rsidRPr="00BE086B">
        <w:rPr>
          <w:rFonts w:eastAsia="Calibri"/>
          <w:sz w:val="28"/>
          <w:szCs w:val="28"/>
          <w:lang w:val="uk-UA"/>
        </w:rPr>
        <w:t xml:space="preserve">0,001) </w:t>
      </w:r>
      <w:r w:rsidRPr="00BE086B">
        <w:rPr>
          <w:sz w:val="28"/>
          <w:szCs w:val="28"/>
          <w:lang w:val="uk-UA"/>
        </w:rPr>
        <w:t xml:space="preserve">&gt; meloxicam (+104%) </w:t>
      </w:r>
      <w:r w:rsidR="00DC7DA1" w:rsidRPr="00BE086B">
        <w:rPr>
          <w:rFonts w:eastAsia="Calibri"/>
          <w:sz w:val="28"/>
          <w:szCs w:val="28"/>
          <w:lang w:val="uk-UA"/>
        </w:rPr>
        <w:t>(р</w:t>
      </w:r>
      <w:r w:rsidR="00DC7DA1" w:rsidRPr="00BE086B">
        <w:rPr>
          <w:rFonts w:eastAsia="Calibri"/>
          <w:iCs/>
          <w:sz w:val="28"/>
          <w:szCs w:val="28"/>
          <w:lang w:val="uk-UA"/>
        </w:rPr>
        <w:t>&lt;</w:t>
      </w:r>
      <w:r w:rsidR="00DC7DA1" w:rsidRPr="00BE086B">
        <w:rPr>
          <w:rFonts w:eastAsia="Calibri"/>
          <w:sz w:val="28"/>
          <w:szCs w:val="28"/>
          <w:lang w:val="uk-UA"/>
        </w:rPr>
        <w:t xml:space="preserve">0,001) </w:t>
      </w:r>
      <w:r w:rsidRPr="00BE086B">
        <w:rPr>
          <w:sz w:val="28"/>
          <w:szCs w:val="28"/>
          <w:lang w:val="uk-UA"/>
        </w:rPr>
        <w:t>&gt; celecoxib (+93%)</w:t>
      </w:r>
      <w:r w:rsidR="00DC7DA1" w:rsidRPr="00BE086B">
        <w:rPr>
          <w:sz w:val="28"/>
          <w:szCs w:val="28"/>
          <w:lang w:val="uk-UA"/>
        </w:rPr>
        <w:t xml:space="preserve"> </w:t>
      </w:r>
      <w:r w:rsidR="00DC7DA1" w:rsidRPr="00BE086B">
        <w:rPr>
          <w:rFonts w:eastAsia="Calibri"/>
          <w:sz w:val="28"/>
          <w:szCs w:val="28"/>
          <w:lang w:val="uk-UA"/>
        </w:rPr>
        <w:t>(р</w:t>
      </w:r>
      <w:r w:rsidR="00DC7DA1" w:rsidRPr="00BE086B">
        <w:rPr>
          <w:rFonts w:eastAsia="Calibri"/>
          <w:iCs/>
          <w:sz w:val="28"/>
          <w:szCs w:val="28"/>
          <w:lang w:val="uk-UA"/>
        </w:rPr>
        <w:t>&lt;</w:t>
      </w:r>
      <w:r w:rsidR="00DC7DA1" w:rsidRPr="00BE086B">
        <w:rPr>
          <w:rFonts w:eastAsia="Calibri"/>
          <w:sz w:val="28"/>
          <w:szCs w:val="28"/>
          <w:lang w:val="uk-UA"/>
        </w:rPr>
        <w:t>0,001)</w:t>
      </w:r>
      <w:r w:rsidRPr="00BE086B">
        <w:rPr>
          <w:sz w:val="28"/>
          <w:szCs w:val="28"/>
          <w:lang w:val="uk-UA"/>
        </w:rPr>
        <w:t>, which reflects the highest antinociceptive activity of diclofenac sodium.</w:t>
      </w:r>
    </w:p>
    <w:p w:rsidR="00195D3A" w:rsidRPr="00BE086B" w:rsidRDefault="00195D3A" w:rsidP="00195D3A">
      <w:pPr>
        <w:spacing w:line="360" w:lineRule="auto"/>
        <w:ind w:firstLine="709"/>
        <w:jc w:val="both"/>
        <w:rPr>
          <w:sz w:val="28"/>
          <w:szCs w:val="28"/>
          <w:lang w:val="uk-UA"/>
        </w:rPr>
      </w:pPr>
      <w:r w:rsidRPr="00BE086B">
        <w:rPr>
          <w:sz w:val="28"/>
          <w:szCs w:val="28"/>
          <w:lang w:val="uk-UA"/>
        </w:rPr>
        <w:t xml:space="preserve">Osteoarthritis and hypothyroidism contribute to the degradation of </w:t>
      </w:r>
      <w:r w:rsidRPr="00BE086B">
        <w:rPr>
          <w:sz w:val="28"/>
          <w:szCs w:val="28"/>
          <w:lang w:val="en-US"/>
        </w:rPr>
        <w:t>motor</w:t>
      </w:r>
      <w:r w:rsidRPr="00BE086B">
        <w:rPr>
          <w:sz w:val="28"/>
          <w:szCs w:val="28"/>
          <w:lang w:val="uk-UA"/>
        </w:rPr>
        <w:t xml:space="preserve"> and </w:t>
      </w:r>
      <w:r w:rsidRPr="00BE086B">
        <w:rPr>
          <w:sz w:val="28"/>
          <w:szCs w:val="28"/>
          <w:lang w:val="en-US"/>
        </w:rPr>
        <w:t>investigative</w:t>
      </w:r>
      <w:r w:rsidRPr="00BE086B">
        <w:rPr>
          <w:sz w:val="28"/>
          <w:szCs w:val="28"/>
          <w:lang w:val="uk-UA"/>
        </w:rPr>
        <w:t xml:space="preserve"> activity in the rats, and replacement hormonal pharmacotherapy with L-thyroxine contributes to its restoration</w:t>
      </w:r>
      <w:r w:rsidR="00726870" w:rsidRPr="00BE086B">
        <w:rPr>
          <w:sz w:val="28"/>
          <w:szCs w:val="28"/>
          <w:lang w:val="uk-UA"/>
        </w:rPr>
        <w:t xml:space="preserve"> </w:t>
      </w:r>
      <w:r w:rsidR="00726870" w:rsidRPr="00BE086B">
        <w:rPr>
          <w:sz w:val="28"/>
          <w:szCs w:val="28"/>
          <w:lang w:val="en-US"/>
        </w:rPr>
        <w:t>(</w:t>
      </w:r>
      <w:r w:rsidR="00726870" w:rsidRPr="00BE086B">
        <w:rPr>
          <w:sz w:val="28"/>
          <w:szCs w:val="28"/>
        </w:rPr>
        <w:t>р</w:t>
      </w:r>
      <w:r w:rsidR="00726870" w:rsidRPr="00BE086B">
        <w:rPr>
          <w:sz w:val="28"/>
          <w:szCs w:val="28"/>
          <w:lang w:val="en-US"/>
        </w:rPr>
        <w:t>&lt;0,05)</w:t>
      </w:r>
      <w:r w:rsidRPr="00BE086B">
        <w:rPr>
          <w:sz w:val="28"/>
          <w:szCs w:val="28"/>
          <w:lang w:val="uk-UA"/>
        </w:rPr>
        <w:t xml:space="preserve">. The use of diclofenac sodium in combination with L-thyroxine leads to the potentiation of positive effect of L-thyroxine on </w:t>
      </w:r>
      <w:r w:rsidRPr="00BE086B">
        <w:rPr>
          <w:sz w:val="28"/>
          <w:szCs w:val="28"/>
          <w:lang w:val="en-US"/>
        </w:rPr>
        <w:t>motor</w:t>
      </w:r>
      <w:r w:rsidRPr="00BE086B">
        <w:rPr>
          <w:sz w:val="28"/>
          <w:szCs w:val="28"/>
          <w:lang w:val="uk-UA"/>
        </w:rPr>
        <w:t xml:space="preserve"> and investigative activity compared to L-thyroxine monotherapy (p&lt;0,05).</w:t>
      </w:r>
    </w:p>
    <w:p w:rsidR="00195D3A" w:rsidRPr="00BE086B" w:rsidRDefault="00195D3A" w:rsidP="00195D3A">
      <w:pPr>
        <w:spacing w:line="360" w:lineRule="auto"/>
        <w:ind w:firstLine="709"/>
        <w:jc w:val="both"/>
        <w:rPr>
          <w:sz w:val="28"/>
          <w:szCs w:val="28"/>
          <w:lang w:val="uk-UA"/>
        </w:rPr>
      </w:pPr>
      <w:r w:rsidRPr="00BE086B">
        <w:rPr>
          <w:sz w:val="28"/>
          <w:szCs w:val="28"/>
          <w:lang w:val="uk-UA"/>
        </w:rPr>
        <w:t xml:space="preserve">The degree of influence on the inflammatory processes in the joint by the measures of the levels of interleukin (IL 1, IL 6 and IL 8), matrix metalloproteinases (MMP-3, MMP-9 and MMP-13), and C-reactive protein and for the intensity of the effect on degenerative-dystrophic processes in the bone tissue (for the level of the marker of collagen degradation type I (CTX I) in the </w:t>
      </w:r>
      <w:r w:rsidRPr="00BE086B">
        <w:rPr>
          <w:sz w:val="28"/>
          <w:szCs w:val="28"/>
          <w:lang w:val="en-US"/>
        </w:rPr>
        <w:t>blood serum</w:t>
      </w:r>
      <w:r w:rsidRPr="00BE086B">
        <w:rPr>
          <w:sz w:val="28"/>
          <w:szCs w:val="28"/>
          <w:lang w:val="uk-UA"/>
        </w:rPr>
        <w:t xml:space="preserve"> of the rats) the drugs were ranked as follows: diclofenac sodium &gt; ibuprofen &gt; nimesulide = meloxicam &gt; celecoxib &gt; paracetamol, which reflects the different efficacy of the indicated drugs on pathological manifestations of comorbid pathology.</w:t>
      </w:r>
    </w:p>
    <w:p w:rsidR="00195D3A" w:rsidRPr="00BE086B" w:rsidRDefault="00195D3A" w:rsidP="00195D3A">
      <w:pPr>
        <w:spacing w:line="360" w:lineRule="auto"/>
        <w:ind w:firstLine="709"/>
        <w:jc w:val="both"/>
        <w:rPr>
          <w:sz w:val="28"/>
          <w:szCs w:val="28"/>
          <w:lang w:val="uk-UA"/>
        </w:rPr>
      </w:pPr>
      <w:r w:rsidRPr="00BE086B">
        <w:rPr>
          <w:sz w:val="28"/>
          <w:szCs w:val="28"/>
          <w:lang w:val="uk-UA"/>
        </w:rPr>
        <w:t>For the degree of influence on degenerative-dystrophic processes in cartilage tissue, evaluated by the level of collagen degradation marker type II (</w:t>
      </w:r>
      <w:r w:rsidRPr="00BE086B">
        <w:rPr>
          <w:sz w:val="28"/>
          <w:szCs w:val="28"/>
          <w:lang w:val="en-US"/>
        </w:rPr>
        <w:t>CTX</w:t>
      </w:r>
      <w:r w:rsidRPr="00BE086B">
        <w:rPr>
          <w:sz w:val="28"/>
          <w:szCs w:val="28"/>
          <w:lang w:val="uk-UA"/>
        </w:rPr>
        <w:t xml:space="preserve"> II) in the blood </w:t>
      </w:r>
      <w:r w:rsidRPr="00BE086B">
        <w:rPr>
          <w:sz w:val="28"/>
          <w:szCs w:val="28"/>
          <w:lang w:val="en-US"/>
        </w:rPr>
        <w:t>serum</w:t>
      </w:r>
      <w:r w:rsidRPr="00BE086B">
        <w:rPr>
          <w:sz w:val="28"/>
          <w:szCs w:val="28"/>
          <w:lang w:val="uk-UA"/>
        </w:rPr>
        <w:t xml:space="preserve"> of the rats, the drugs were ranked in the following way: nimesulide &gt; celecoxib &gt; meloxicam &gt; ibuprofen &gt; diclofenac sodium &gt; paracetamol.</w:t>
      </w:r>
    </w:p>
    <w:p w:rsidR="00195D3A" w:rsidRPr="00BE086B" w:rsidRDefault="00195D3A" w:rsidP="009B7CB4">
      <w:pPr>
        <w:spacing w:line="360" w:lineRule="auto"/>
        <w:ind w:firstLine="709"/>
        <w:jc w:val="both"/>
        <w:rPr>
          <w:sz w:val="28"/>
          <w:szCs w:val="28"/>
          <w:lang w:val="en-US"/>
        </w:rPr>
      </w:pPr>
      <w:r w:rsidRPr="00BE086B">
        <w:rPr>
          <w:sz w:val="28"/>
          <w:szCs w:val="28"/>
          <w:lang w:val="uk-UA"/>
        </w:rPr>
        <w:t xml:space="preserve">According to the degree of influence on the activity of osteoblasts in the bone tissue, which was assessed by the level of bone alkaline phosphatase in the blood </w:t>
      </w:r>
      <w:r w:rsidRPr="00BE086B">
        <w:rPr>
          <w:sz w:val="28"/>
          <w:szCs w:val="28"/>
          <w:lang w:val="en-US"/>
        </w:rPr>
        <w:t>serum</w:t>
      </w:r>
      <w:r w:rsidRPr="00BE086B">
        <w:rPr>
          <w:sz w:val="28"/>
          <w:szCs w:val="28"/>
          <w:lang w:val="uk-UA"/>
        </w:rPr>
        <w:t xml:space="preserve"> of the rats, the studied drugs were ranked as follows: diclofenac sodium &gt; ibuprofen &gt; meloxicam &gt; nimesulide &gt; celecoxib &gt; paracetamol.</w:t>
      </w:r>
    </w:p>
    <w:p w:rsidR="009B7CB4" w:rsidRPr="00BE086B" w:rsidRDefault="00195D3A" w:rsidP="009B7CB4">
      <w:pPr>
        <w:spacing w:line="360" w:lineRule="auto"/>
        <w:ind w:firstLine="709"/>
        <w:jc w:val="both"/>
        <w:rPr>
          <w:sz w:val="28"/>
          <w:szCs w:val="28"/>
          <w:lang w:val="en-US"/>
        </w:rPr>
      </w:pPr>
      <w:r w:rsidRPr="00BE086B">
        <w:rPr>
          <w:sz w:val="28"/>
          <w:szCs w:val="28"/>
          <w:lang w:val="en-US"/>
        </w:rPr>
        <w:t>Against the background of osteoarthritis and hypothyroidism in the rats ibuprofen, meloxicam and nimesulide reduced the TS</w:t>
      </w:r>
      <w:r w:rsidR="00756BC5" w:rsidRPr="00BE086B">
        <w:rPr>
          <w:sz w:val="28"/>
          <w:szCs w:val="28"/>
          <w:lang w:val="en-US"/>
        </w:rPr>
        <w:t>H level in the rats' blood in 1,47; 1,</w:t>
      </w:r>
      <w:r w:rsidR="00933482" w:rsidRPr="00BE086B">
        <w:rPr>
          <w:sz w:val="28"/>
          <w:szCs w:val="28"/>
          <w:lang w:val="en-US"/>
        </w:rPr>
        <w:t>29</w:t>
      </w:r>
      <w:r w:rsidR="00756BC5" w:rsidRPr="00BE086B">
        <w:rPr>
          <w:sz w:val="28"/>
          <w:szCs w:val="28"/>
          <w:lang w:val="en-US"/>
        </w:rPr>
        <w:t xml:space="preserve"> and 1,4</w:t>
      </w:r>
      <w:r w:rsidR="00933482" w:rsidRPr="00BE086B">
        <w:rPr>
          <w:sz w:val="28"/>
          <w:szCs w:val="28"/>
          <w:lang w:val="en-US"/>
        </w:rPr>
        <w:t>0</w:t>
      </w:r>
      <w:r w:rsidR="00756BC5" w:rsidRPr="00BE086B">
        <w:rPr>
          <w:sz w:val="28"/>
          <w:szCs w:val="28"/>
          <w:lang w:val="en-US"/>
        </w:rPr>
        <w:t xml:space="preserve"> times respectively (p&lt;0,05) and raise the T4 level by 1,23, 1,27 and 1,</w:t>
      </w:r>
      <w:r w:rsidRPr="00BE086B">
        <w:rPr>
          <w:sz w:val="28"/>
          <w:szCs w:val="28"/>
          <w:lang w:val="en-US"/>
        </w:rPr>
        <w:t xml:space="preserve">26 times </w:t>
      </w:r>
      <w:r w:rsidR="00756BC5" w:rsidRPr="00BE086B">
        <w:rPr>
          <w:sz w:val="28"/>
          <w:szCs w:val="28"/>
          <w:lang w:val="en-US"/>
        </w:rPr>
        <w:t>respectively (p&lt;0,</w:t>
      </w:r>
      <w:r w:rsidRPr="00BE086B">
        <w:rPr>
          <w:sz w:val="28"/>
          <w:szCs w:val="28"/>
          <w:lang w:val="en-US"/>
        </w:rPr>
        <w:t xml:space="preserve">05). </w:t>
      </w:r>
      <w:r w:rsidR="009B7CB4" w:rsidRPr="00BE086B">
        <w:rPr>
          <w:sz w:val="28"/>
          <w:szCs w:val="28"/>
          <w:lang w:val="en-US"/>
        </w:rPr>
        <w:t xml:space="preserve">Diclofenac sodium and celecoxib decrease the </w:t>
      </w:r>
      <w:r w:rsidR="009B7CB4" w:rsidRPr="00BE086B">
        <w:rPr>
          <w:sz w:val="28"/>
          <w:szCs w:val="28"/>
          <w:lang w:val="en-US"/>
        </w:rPr>
        <w:lastRenderedPageBreak/>
        <w:t>TSH level by 1,16 and 1,15 times (p&lt;0.05) and increase the T4 level by 1,1 and 1,05 times (p&gt;0.05) respectively.</w:t>
      </w:r>
    </w:p>
    <w:p w:rsidR="00195D3A" w:rsidRPr="00BE086B" w:rsidRDefault="00195D3A" w:rsidP="009B7CB4">
      <w:pPr>
        <w:spacing w:line="360" w:lineRule="auto"/>
        <w:ind w:firstLine="709"/>
        <w:jc w:val="both"/>
        <w:rPr>
          <w:sz w:val="28"/>
          <w:szCs w:val="28"/>
          <w:lang w:val="uk-UA"/>
        </w:rPr>
      </w:pPr>
      <w:r w:rsidRPr="00BE086B">
        <w:rPr>
          <w:sz w:val="28"/>
          <w:szCs w:val="28"/>
          <w:lang w:val="uk-UA"/>
        </w:rPr>
        <w:t>Combined use of L-thyroxine, diclofenac sodium and chondroitin sulfate with the aim of increasing the non-inflammatory effect of single drugs is advisable for comorbid condition - osteoarthritis with hypothyroidism, renewal of morphometric dimensions of the affected joints, rupture, examination and vegetative activity of the gums and biochemical markers of the inflammatory process. The absence of biopharmaceutical interaction between the indicated preparations was established.</w:t>
      </w:r>
    </w:p>
    <w:p w:rsidR="00195D3A" w:rsidRPr="00BE086B" w:rsidRDefault="00195D3A" w:rsidP="00195D3A">
      <w:pPr>
        <w:spacing w:line="360" w:lineRule="auto"/>
        <w:ind w:firstLine="709"/>
        <w:jc w:val="both"/>
        <w:rPr>
          <w:sz w:val="28"/>
          <w:szCs w:val="28"/>
          <w:lang w:val="uk-UA"/>
        </w:rPr>
      </w:pPr>
      <w:r w:rsidRPr="00BE086B">
        <w:rPr>
          <w:sz w:val="28"/>
          <w:szCs w:val="28"/>
          <w:lang w:val="uk-UA"/>
        </w:rPr>
        <w:t>Combined use of diclofenac sodium, chondroitin sulfate and L-thyroxine promotes active regeneration of both cartilage and bone tissue with formation of neovasculogenesis areas, and combined use of L-thyroxine, diclofenac sodium and chondroitin sulfate can be recommended for clinical examination of osteoarthritis comorbid with hypothyroidism.</w:t>
      </w:r>
    </w:p>
    <w:p w:rsidR="00684CE6" w:rsidRPr="00BE086B" w:rsidRDefault="00684CE6" w:rsidP="00684CE6">
      <w:pPr>
        <w:spacing w:line="360" w:lineRule="auto"/>
        <w:ind w:firstLine="709"/>
        <w:jc w:val="both"/>
        <w:rPr>
          <w:bCs/>
          <w:sz w:val="28"/>
          <w:szCs w:val="28"/>
          <w:lang w:val="en-US" w:eastAsia="en-US"/>
        </w:rPr>
      </w:pPr>
      <w:r w:rsidRPr="00BE086B">
        <w:rPr>
          <w:bCs/>
          <w:i/>
          <w:sz w:val="28"/>
          <w:szCs w:val="28"/>
          <w:lang w:val="en-US"/>
        </w:rPr>
        <w:t>Key words:</w:t>
      </w:r>
      <w:r w:rsidRPr="00BE086B">
        <w:rPr>
          <w:bCs/>
          <w:sz w:val="28"/>
          <w:szCs w:val="28"/>
          <w:lang w:val="en-US"/>
        </w:rPr>
        <w:t xml:space="preserve"> hypothyroidism, osteoarthritis, experimental models, non-steroidal anti-inflammatory drugs, non-opioid analgesics, chondroprotectors, diclofenac sodium, chondroitin sulfate, L-thyroxine, pain threshold, pain relief, pharmacotherapy, hyaline cartilage, joint, drug interaction.</w:t>
      </w:r>
    </w:p>
    <w:p w:rsidR="00380CA6" w:rsidRPr="00BE086B" w:rsidRDefault="00380CA6">
      <w:pPr>
        <w:spacing w:line="360" w:lineRule="auto"/>
        <w:ind w:firstLine="709"/>
        <w:jc w:val="both"/>
        <w:rPr>
          <w:b/>
          <w:caps/>
          <w:sz w:val="28"/>
          <w:szCs w:val="28"/>
          <w:lang w:val="en-US"/>
        </w:rPr>
      </w:pPr>
    </w:p>
    <w:p w:rsidR="00756BC5" w:rsidRPr="00BE086B" w:rsidRDefault="00756BC5">
      <w:pPr>
        <w:spacing w:line="360" w:lineRule="auto"/>
        <w:ind w:firstLine="709"/>
        <w:jc w:val="both"/>
        <w:rPr>
          <w:b/>
          <w:caps/>
          <w:sz w:val="28"/>
          <w:szCs w:val="28"/>
          <w:lang w:val="en-US"/>
        </w:rPr>
      </w:pPr>
    </w:p>
    <w:p w:rsidR="00756BC5" w:rsidRPr="00BE086B" w:rsidRDefault="00756BC5">
      <w:pPr>
        <w:spacing w:line="360" w:lineRule="auto"/>
        <w:ind w:firstLine="709"/>
        <w:jc w:val="both"/>
        <w:rPr>
          <w:b/>
          <w:caps/>
          <w:sz w:val="28"/>
          <w:szCs w:val="28"/>
          <w:lang w:val="en-US"/>
        </w:rPr>
      </w:pPr>
    </w:p>
    <w:p w:rsidR="00756BC5" w:rsidRPr="00BE086B" w:rsidRDefault="00756BC5">
      <w:pPr>
        <w:spacing w:line="360" w:lineRule="auto"/>
        <w:ind w:firstLine="709"/>
        <w:jc w:val="both"/>
        <w:rPr>
          <w:b/>
          <w:caps/>
          <w:sz w:val="28"/>
          <w:szCs w:val="28"/>
          <w:lang w:val="en-US"/>
        </w:rPr>
      </w:pPr>
    </w:p>
    <w:p w:rsidR="00756BC5" w:rsidRPr="00BE086B" w:rsidRDefault="00756BC5">
      <w:pPr>
        <w:spacing w:line="360" w:lineRule="auto"/>
        <w:ind w:firstLine="709"/>
        <w:jc w:val="both"/>
        <w:rPr>
          <w:b/>
          <w:caps/>
          <w:sz w:val="28"/>
          <w:szCs w:val="28"/>
          <w:lang w:val="en-US"/>
        </w:rPr>
      </w:pPr>
    </w:p>
    <w:p w:rsidR="00756BC5" w:rsidRDefault="00756BC5">
      <w:pPr>
        <w:spacing w:line="360" w:lineRule="auto"/>
        <w:ind w:firstLine="709"/>
        <w:jc w:val="both"/>
        <w:rPr>
          <w:b/>
          <w:caps/>
          <w:sz w:val="28"/>
          <w:szCs w:val="28"/>
          <w:lang w:val="en-US"/>
        </w:rPr>
      </w:pPr>
    </w:p>
    <w:p w:rsidR="00AF27FE" w:rsidRDefault="00AF27FE">
      <w:pPr>
        <w:spacing w:line="360" w:lineRule="auto"/>
        <w:ind w:firstLine="709"/>
        <w:jc w:val="both"/>
        <w:rPr>
          <w:b/>
          <w:caps/>
          <w:sz w:val="28"/>
          <w:szCs w:val="28"/>
          <w:lang w:val="en-US"/>
        </w:rPr>
      </w:pPr>
    </w:p>
    <w:p w:rsidR="00AF27FE" w:rsidRDefault="00AF27FE">
      <w:pPr>
        <w:spacing w:line="360" w:lineRule="auto"/>
        <w:ind w:firstLine="709"/>
        <w:jc w:val="both"/>
        <w:rPr>
          <w:b/>
          <w:caps/>
          <w:sz w:val="28"/>
          <w:szCs w:val="28"/>
          <w:lang w:val="en-US"/>
        </w:rPr>
      </w:pPr>
    </w:p>
    <w:p w:rsidR="00AF27FE" w:rsidRDefault="00AF27FE">
      <w:pPr>
        <w:spacing w:line="360" w:lineRule="auto"/>
        <w:ind w:firstLine="709"/>
        <w:jc w:val="both"/>
        <w:rPr>
          <w:b/>
          <w:caps/>
          <w:sz w:val="28"/>
          <w:szCs w:val="28"/>
          <w:lang w:val="en-US"/>
        </w:rPr>
      </w:pPr>
    </w:p>
    <w:p w:rsidR="00AF27FE" w:rsidRDefault="00AF27FE">
      <w:pPr>
        <w:spacing w:line="360" w:lineRule="auto"/>
        <w:ind w:firstLine="709"/>
        <w:jc w:val="both"/>
        <w:rPr>
          <w:b/>
          <w:caps/>
          <w:sz w:val="28"/>
          <w:szCs w:val="28"/>
          <w:lang w:val="en-US"/>
        </w:rPr>
      </w:pPr>
    </w:p>
    <w:p w:rsidR="00AF27FE" w:rsidRPr="00BE086B" w:rsidRDefault="00AF27FE">
      <w:pPr>
        <w:spacing w:line="360" w:lineRule="auto"/>
        <w:ind w:firstLine="709"/>
        <w:jc w:val="both"/>
        <w:rPr>
          <w:b/>
          <w:caps/>
          <w:sz w:val="28"/>
          <w:szCs w:val="28"/>
          <w:lang w:val="en-US"/>
        </w:rPr>
      </w:pPr>
    </w:p>
    <w:p w:rsidR="00756BC5" w:rsidRPr="00BE086B" w:rsidRDefault="00756BC5">
      <w:pPr>
        <w:spacing w:line="360" w:lineRule="auto"/>
        <w:ind w:firstLine="709"/>
        <w:jc w:val="both"/>
        <w:rPr>
          <w:b/>
          <w:caps/>
          <w:sz w:val="28"/>
          <w:szCs w:val="28"/>
          <w:lang w:val="en-US"/>
        </w:rPr>
      </w:pPr>
    </w:p>
    <w:p w:rsidR="00756BC5" w:rsidRPr="00BE086B" w:rsidRDefault="00756BC5">
      <w:pPr>
        <w:spacing w:line="360" w:lineRule="auto"/>
        <w:ind w:firstLine="709"/>
        <w:jc w:val="both"/>
        <w:rPr>
          <w:b/>
          <w:caps/>
          <w:sz w:val="28"/>
          <w:szCs w:val="28"/>
          <w:lang w:val="en-US"/>
        </w:rPr>
      </w:pPr>
    </w:p>
    <w:p w:rsidR="00153B73" w:rsidRPr="00BE086B" w:rsidRDefault="00153B73" w:rsidP="00153B73">
      <w:pPr>
        <w:autoSpaceDN w:val="0"/>
        <w:spacing w:line="360" w:lineRule="auto"/>
        <w:ind w:left="709"/>
        <w:jc w:val="both"/>
        <w:rPr>
          <w:b/>
          <w:bCs/>
          <w:sz w:val="28"/>
          <w:szCs w:val="28"/>
        </w:rPr>
      </w:pPr>
      <w:r w:rsidRPr="00BE086B">
        <w:rPr>
          <w:b/>
          <w:bCs/>
          <w:sz w:val="28"/>
          <w:szCs w:val="28"/>
        </w:rPr>
        <w:lastRenderedPageBreak/>
        <w:t>СПИСОК ПРАЦЬ, ОПУБЛІКОВАНИХ ЗА ТЕМОЮ ДИСЕРТАЦІЇ</w:t>
      </w:r>
    </w:p>
    <w:p w:rsidR="00AF3BD4" w:rsidRPr="00BE086B" w:rsidRDefault="00AF3BD4" w:rsidP="00153B73">
      <w:pPr>
        <w:autoSpaceDN w:val="0"/>
        <w:spacing w:line="360" w:lineRule="auto"/>
        <w:ind w:left="709"/>
        <w:jc w:val="both"/>
        <w:rPr>
          <w:sz w:val="28"/>
          <w:szCs w:val="28"/>
        </w:rPr>
      </w:pP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 xml:space="preserve">Носівець Д.С. Фармакологія хондропротекторів (огляд фармацевтичного ринку України). Вісник проблем біології та медицини. </w:t>
      </w:r>
      <w:r w:rsidRPr="00BE086B">
        <w:rPr>
          <w:bCs/>
          <w:sz w:val="28"/>
          <w:szCs w:val="28"/>
        </w:rPr>
        <w:t>2013. Т. 1 (104), № 4. С. 57-63.</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 xml:space="preserve">Носивец Д.С. Влияние функциональной недостаточности щитовидной железы на костно-хрящевую ткань. </w:t>
      </w:r>
      <w:r w:rsidRPr="00BE086B">
        <w:rPr>
          <w:rFonts w:eastAsia="Calibri"/>
          <w:sz w:val="28"/>
          <w:szCs w:val="28"/>
          <w:lang w:eastAsia="uk-UA"/>
        </w:rPr>
        <w:t>Morphologia</w:t>
      </w:r>
      <w:r w:rsidRPr="00BE086B">
        <w:rPr>
          <w:rFonts w:eastAsia="Calibri"/>
          <w:sz w:val="28"/>
          <w:szCs w:val="28"/>
        </w:rPr>
        <w:t>. 2019. Т. 13, № 1. С. 47-51.</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 xml:space="preserve">Носивец Д.С. Влияние комбинации НПВС на течение остеоартроза при сопутствующем гипотиреозе. Проблемы эндокринной патологии. 2019. № 2 (68). С. 40-45. </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 xml:space="preserve">Носивец Д.С. Экспериментальные модели патологии хрящевой ткани. Запорожский медицинский журнал. 2019. </w:t>
      </w:r>
      <w:r w:rsidRPr="00BE086B">
        <w:rPr>
          <w:rFonts w:eastAsia="Franklin Gothic Demi"/>
          <w:sz w:val="28"/>
          <w:szCs w:val="28"/>
        </w:rPr>
        <w:t>Т. 21, № 4 (115). С. 554-560.</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Носівець Д.С. Вплив нестероїдних протизапальних засобів на руховий, дослідницький та емоційний статус щурів у тесті «відкрите поле» за умов експериментального гіпотиреозу й остеоартрозу. Фармакологія та лікарська токсикологія. 2019. Т. 13, № 2. С. 98-104.</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 xml:space="preserve">Носівець Д.С. Можливість сумісного використання </w:t>
      </w:r>
      <w:r w:rsidRPr="00BE086B">
        <w:rPr>
          <w:sz w:val="28"/>
          <w:szCs w:val="28"/>
        </w:rPr>
        <w:t>L-тироксину, диклофенаку натрію та хондроітину сульфату</w:t>
      </w:r>
      <w:r w:rsidRPr="00BE086B">
        <w:rPr>
          <w:rFonts w:eastAsia="Calibri"/>
          <w:sz w:val="28"/>
          <w:szCs w:val="28"/>
        </w:rPr>
        <w:t xml:space="preserve"> при</w:t>
      </w:r>
      <w:r w:rsidRPr="00BE086B">
        <w:rPr>
          <w:sz w:val="28"/>
          <w:szCs w:val="28"/>
        </w:rPr>
        <w:t xml:space="preserve"> гіпотиреозі. </w:t>
      </w:r>
      <w:r w:rsidRPr="00BE086B">
        <w:rPr>
          <w:rFonts w:eastAsia="Calibri-Bold"/>
          <w:sz w:val="28"/>
          <w:szCs w:val="28"/>
        </w:rPr>
        <w:t>Вісник проблем біології і медицини. 2019. Т. 1 (150), № 2. С. 172-176.</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 xml:space="preserve">Носівець Д.С., Кошарний В.В., Мамчур В.Й., Опришко В.І. Дослідження впливу комбінованного застосування </w:t>
      </w:r>
      <w:r w:rsidRPr="00BE086B">
        <w:rPr>
          <w:sz w:val="28"/>
          <w:szCs w:val="28"/>
        </w:rPr>
        <w:t xml:space="preserve">L-тироксину (левотироксину), диклофенаку натрію та хондроітину сульфату на гістологічну структуру хрящової тканини. </w:t>
      </w:r>
      <w:r w:rsidRPr="00BE086B">
        <w:rPr>
          <w:rFonts w:eastAsia="Calibri"/>
          <w:sz w:val="28"/>
          <w:szCs w:val="28"/>
          <w:lang w:eastAsia="uk-UA"/>
        </w:rPr>
        <w:t>Morphologia</w:t>
      </w:r>
      <w:r w:rsidRPr="00BE086B">
        <w:rPr>
          <w:rFonts w:eastAsia="Calibri"/>
          <w:sz w:val="28"/>
          <w:szCs w:val="28"/>
        </w:rPr>
        <w:t>. 2019. Т. 13, № 2. С. 71-75. (</w:t>
      </w:r>
      <w:r w:rsidRPr="00BE086B">
        <w:rPr>
          <w:rFonts w:eastAsia="Georgia"/>
          <w:i/>
          <w:sz w:val="28"/>
          <w:szCs w:val="28"/>
        </w:rPr>
        <w:t xml:space="preserve">Особистий внесок дисертанта: </w:t>
      </w:r>
      <w:r w:rsidRPr="00BE086B">
        <w:rPr>
          <w:i/>
          <w:sz w:val="28"/>
          <w:szCs w:val="28"/>
          <w:lang w:eastAsia="ru-RU"/>
        </w:rPr>
        <w:t>концепція та дизайн дослідження</w:t>
      </w:r>
      <w:r w:rsidRPr="00BE086B">
        <w:rPr>
          <w:i/>
          <w:sz w:val="28"/>
          <w:szCs w:val="28"/>
        </w:rPr>
        <w:t>,</w:t>
      </w:r>
      <w:r w:rsidRPr="00BE086B">
        <w:rPr>
          <w:i/>
          <w:sz w:val="28"/>
          <w:szCs w:val="28"/>
          <w:lang w:eastAsia="ru-RU"/>
        </w:rPr>
        <w:t xml:space="preserve"> збір даних</w:t>
      </w:r>
      <w:r w:rsidRPr="00BE086B">
        <w:rPr>
          <w:i/>
          <w:sz w:val="28"/>
          <w:szCs w:val="28"/>
        </w:rPr>
        <w:t xml:space="preserve">, </w:t>
      </w:r>
      <w:r w:rsidRPr="00BE086B">
        <w:rPr>
          <w:rFonts w:eastAsia="PragmaticaC"/>
          <w:i/>
          <w:sz w:val="28"/>
          <w:szCs w:val="28"/>
        </w:rPr>
        <w:t xml:space="preserve">аналіз літературних джерел, </w:t>
      </w:r>
      <w:r w:rsidRPr="00BE086B">
        <w:rPr>
          <w:i/>
          <w:sz w:val="28"/>
          <w:szCs w:val="28"/>
        </w:rPr>
        <w:t xml:space="preserve">проведення експерименту, статистична обробка отриманих результатів,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статті</w:t>
      </w:r>
      <w:r w:rsidRPr="00BE086B">
        <w:rPr>
          <w:rFonts w:eastAsia="Calibri"/>
          <w:sz w:val="28"/>
          <w:szCs w:val="28"/>
        </w:rPr>
        <w:t>).</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lastRenderedPageBreak/>
        <w:t xml:space="preserve">Носівець Д.С. Дослідження впливу хондроітину сульфату на прояви остеоартрозу внаслідок гіпотиреозу. </w:t>
      </w:r>
      <w:r w:rsidRPr="00BE086B">
        <w:rPr>
          <w:rFonts w:eastAsia="Calibri-Bold"/>
          <w:sz w:val="28"/>
          <w:szCs w:val="28"/>
        </w:rPr>
        <w:t>Вісник проблем біології і медицини. 2019. Т. 152, № 3. С.</w:t>
      </w:r>
      <w:r w:rsidRPr="00BE086B">
        <w:rPr>
          <w:rFonts w:eastAsia="Calibri"/>
          <w:sz w:val="28"/>
          <w:szCs w:val="28"/>
        </w:rPr>
        <w:t xml:space="preserve"> 161-165.</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Носівець Д.С. В</w:t>
      </w:r>
      <w:r w:rsidRPr="00BE086B">
        <w:rPr>
          <w:sz w:val="28"/>
          <w:szCs w:val="28"/>
        </w:rPr>
        <w:t>плив нестероїдних протизапальних засобів на рівень маркеру CTX II за умов експериментального гіпотиреозу та остеоартрозу. Український журнал медицини, біології та спорту. 2019. Т. 4, № 6 (22). С. 67-73.</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 xml:space="preserve">Носівець Д.С. </w:t>
      </w:r>
      <w:r w:rsidRPr="00BE086B">
        <w:rPr>
          <w:sz w:val="28"/>
          <w:szCs w:val="28"/>
        </w:rPr>
        <w:t xml:space="preserve">Біофармацевтичний аналіз взаємодії L-тироксину, диклофенаку натрію та хондроітину сульфату, як компонентів фармакотерапії проявів остеоартрозу внаслідок гіпотиреозу. </w:t>
      </w:r>
      <w:r w:rsidRPr="00BE086B">
        <w:rPr>
          <w:rFonts w:eastAsia="Calibri"/>
          <w:sz w:val="28"/>
          <w:szCs w:val="28"/>
        </w:rPr>
        <w:t>Медичні перспективи. 2019. Т. XXIV, № 3. С.</w:t>
      </w:r>
      <w:r w:rsidRPr="00BE086B">
        <w:rPr>
          <w:sz w:val="28"/>
          <w:szCs w:val="28"/>
        </w:rPr>
        <w:t xml:space="preserve"> 10-14.</w:t>
      </w:r>
    </w:p>
    <w:p w:rsidR="00C15C24" w:rsidRPr="00BE086B" w:rsidRDefault="00C15C24" w:rsidP="00C15C24">
      <w:pPr>
        <w:pStyle w:val="af0"/>
        <w:numPr>
          <w:ilvl w:val="0"/>
          <w:numId w:val="3"/>
        </w:numPr>
        <w:autoSpaceDN w:val="0"/>
        <w:ind w:left="0" w:firstLine="709"/>
        <w:jc w:val="both"/>
        <w:rPr>
          <w:sz w:val="28"/>
          <w:szCs w:val="28"/>
        </w:rPr>
      </w:pPr>
      <w:r w:rsidRPr="00BE086B">
        <w:rPr>
          <w:rFonts w:eastAsia="Calibri"/>
          <w:sz w:val="28"/>
          <w:szCs w:val="28"/>
        </w:rPr>
        <w:t>Носівець Д.С. В</w:t>
      </w:r>
      <w:r w:rsidRPr="00BE086B">
        <w:rPr>
          <w:sz w:val="28"/>
          <w:szCs w:val="28"/>
        </w:rPr>
        <w:t xml:space="preserve">плив нестероїдних протизапальних засобів та парацетамолу на стан кісткової тканини за умов експериментального гіпотиреозу та остеоартрозу. </w:t>
      </w:r>
      <w:r w:rsidRPr="00BE086B">
        <w:rPr>
          <w:rFonts w:eastAsia="Calibri-Bold"/>
          <w:sz w:val="28"/>
          <w:szCs w:val="28"/>
        </w:rPr>
        <w:t>Вісник проблем біології і медицини. 2019. Т. 153, № 4. С. 130-133.</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Носівець Д.С. Показники порогу больової чутливості при експериментальному остеоартрозі та гіпотиреозі. Медичні перспективи. 2019. Т. XXIV, № 4. С.</w:t>
      </w:r>
      <w:r w:rsidRPr="00BE086B">
        <w:rPr>
          <w:bCs/>
          <w:sz w:val="28"/>
          <w:szCs w:val="28"/>
        </w:rPr>
        <w:t xml:space="preserve"> 25-29.</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t xml:space="preserve">Носівець Д.С. Оцінка впливу хондроітину сульфату на морфометричні параметри колінного суглобу, больовий поріг та біохімічні показники у щурів при експериментальному остеоартрозі. </w:t>
      </w:r>
      <w:r w:rsidRPr="00BE086B">
        <w:rPr>
          <w:sz w:val="28"/>
          <w:szCs w:val="28"/>
        </w:rPr>
        <w:t>Український журнал медицини, біології та спорту. 2020. Т. 5, № 2 (24). С. 77-83.</w:t>
      </w:r>
    </w:p>
    <w:p w:rsidR="00C15C24" w:rsidRPr="00BE086B" w:rsidRDefault="00C15C24" w:rsidP="00C15C24">
      <w:pPr>
        <w:pStyle w:val="Default"/>
        <w:numPr>
          <w:ilvl w:val="0"/>
          <w:numId w:val="3"/>
        </w:numPr>
        <w:autoSpaceDE/>
        <w:spacing w:line="360" w:lineRule="auto"/>
        <w:ind w:left="0" w:firstLine="709"/>
        <w:jc w:val="both"/>
        <w:rPr>
          <w:rFonts w:ascii="Times New Roman" w:hAnsi="Times New Roman" w:cs="Times New Roman"/>
          <w:color w:val="auto"/>
          <w:sz w:val="28"/>
          <w:szCs w:val="28"/>
          <w:lang w:val="uk-UA"/>
        </w:rPr>
      </w:pPr>
      <w:r w:rsidRPr="00BE086B">
        <w:rPr>
          <w:rFonts w:ascii="Times New Roman" w:eastAsia="Calibri" w:hAnsi="Times New Roman" w:cs="Times New Roman"/>
          <w:color w:val="auto"/>
          <w:sz w:val="28"/>
          <w:szCs w:val="28"/>
          <w:lang w:val="uk-UA"/>
        </w:rPr>
        <w:t>Носівець Д.С., Мамчур В.Й., Опришко В.І. Вплив диклофенаку натрію на спонтанну поведінкову активність щурів за умов остеоартрозу при супутньому гіпотиреозі</w:t>
      </w:r>
      <w:r w:rsidRPr="00BE086B">
        <w:rPr>
          <w:rFonts w:ascii="Times New Roman" w:hAnsi="Times New Roman" w:cs="Times New Roman"/>
          <w:color w:val="auto"/>
          <w:sz w:val="28"/>
          <w:szCs w:val="28"/>
          <w:lang w:val="uk-UA"/>
        </w:rPr>
        <w:t xml:space="preserve">. </w:t>
      </w:r>
      <w:r w:rsidRPr="00BE086B">
        <w:rPr>
          <w:rFonts w:ascii="Times New Roman" w:eastAsia="Calibri" w:hAnsi="Times New Roman" w:cs="Times New Roman"/>
          <w:color w:val="auto"/>
          <w:sz w:val="28"/>
          <w:szCs w:val="28"/>
          <w:lang w:val="uk-UA"/>
        </w:rPr>
        <w:t>Запорожский медицинский журнал. 2020. Т. 22, № 1 (118)</w:t>
      </w:r>
      <w:r w:rsidRPr="00BE086B">
        <w:rPr>
          <w:rFonts w:ascii="Times New Roman" w:hAnsi="Times New Roman" w:cs="Times New Roman"/>
          <w:color w:val="auto"/>
          <w:sz w:val="28"/>
          <w:szCs w:val="28"/>
          <w:lang w:val="uk-UA"/>
        </w:rPr>
        <w:t>. С. 107-111. (</w:t>
      </w:r>
      <w:r w:rsidRPr="00BE086B">
        <w:rPr>
          <w:rFonts w:ascii="Times New Roman" w:eastAsia="Georgia" w:hAnsi="Times New Roman" w:cs="Times New Roman"/>
          <w:i/>
          <w:color w:val="auto"/>
          <w:sz w:val="28"/>
          <w:szCs w:val="28"/>
          <w:lang w:val="uk-UA"/>
        </w:rPr>
        <w:t xml:space="preserve">Особистий внесок дисертанта: </w:t>
      </w:r>
      <w:r w:rsidRPr="00BE086B">
        <w:rPr>
          <w:rFonts w:ascii="Times New Roman" w:hAnsi="Times New Roman" w:cs="Times New Roman"/>
          <w:i/>
          <w:color w:val="auto"/>
          <w:sz w:val="28"/>
          <w:szCs w:val="28"/>
          <w:lang w:val="uk-UA"/>
        </w:rPr>
        <w:t>концепція та дизайн дослідження, збір даних, проведення експерименту, статистична обробка отриманих результатів, формулювання висновків, аналіз та інтерпретація даних, написання та редагування статті</w:t>
      </w:r>
      <w:r w:rsidRPr="00BE086B">
        <w:rPr>
          <w:rFonts w:ascii="Times New Roman" w:hAnsi="Times New Roman" w:cs="Times New Roman"/>
          <w:color w:val="auto"/>
          <w:sz w:val="28"/>
          <w:szCs w:val="28"/>
          <w:lang w:val="uk-UA"/>
        </w:rPr>
        <w:t>).</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Calibri"/>
          <w:sz w:val="28"/>
          <w:szCs w:val="28"/>
        </w:rPr>
        <w:lastRenderedPageBreak/>
        <w:t>Носівець Д.С. В</w:t>
      </w:r>
      <w:r w:rsidRPr="00BE086B">
        <w:rPr>
          <w:sz w:val="28"/>
          <w:szCs w:val="28"/>
        </w:rPr>
        <w:t xml:space="preserve">плив нестероїдних протизапальних засобів та парацетамолу на рівень інтерлейкінів сироватки крові щурів за умов експериментального гіпотиреозу та остеоартрозу. </w:t>
      </w:r>
      <w:r w:rsidRPr="00BE086B">
        <w:rPr>
          <w:rFonts w:eastAsia="Calibri-Bold"/>
          <w:sz w:val="28"/>
          <w:szCs w:val="28"/>
        </w:rPr>
        <w:t>Вісник проблем біології і медицини. 2020. Т. 155, № 1. С. 175-179</w:t>
      </w:r>
      <w:r w:rsidRPr="00BE086B">
        <w:rPr>
          <w:sz w:val="28"/>
          <w:szCs w:val="28"/>
        </w:rPr>
        <w:t>.</w:t>
      </w:r>
    </w:p>
    <w:p w:rsidR="00C15C24" w:rsidRPr="00BE086B" w:rsidRDefault="00C15C24" w:rsidP="00C15C24">
      <w:pPr>
        <w:pStyle w:val="af0"/>
        <w:numPr>
          <w:ilvl w:val="0"/>
          <w:numId w:val="3"/>
        </w:numPr>
        <w:autoSpaceDN w:val="0"/>
        <w:ind w:left="0" w:firstLine="709"/>
        <w:jc w:val="both"/>
        <w:rPr>
          <w:sz w:val="28"/>
          <w:szCs w:val="28"/>
        </w:rPr>
      </w:pPr>
      <w:r w:rsidRPr="00BE086B">
        <w:rPr>
          <w:rFonts w:eastAsia="Calibri"/>
          <w:sz w:val="28"/>
          <w:szCs w:val="28"/>
        </w:rPr>
        <w:t>Носівець Д.С., Мамчур В.Й., Опришко В.І. Зміни вмісту металопротеїназ сироватки крові щурів під впливом нестероїдних протизапальних засобів і парацетамолу на фоні експериментального остеоартрозу та гіпотиреозу</w:t>
      </w:r>
      <w:r w:rsidRPr="00BE086B">
        <w:rPr>
          <w:sz w:val="28"/>
          <w:szCs w:val="28"/>
        </w:rPr>
        <w:t xml:space="preserve">. </w:t>
      </w:r>
      <w:r w:rsidRPr="00BE086B">
        <w:rPr>
          <w:rFonts w:eastAsia="Calibri"/>
          <w:sz w:val="28"/>
          <w:szCs w:val="28"/>
        </w:rPr>
        <w:t>Фармакологія та лікарська токсикологія</w:t>
      </w:r>
      <w:r w:rsidRPr="00BE086B">
        <w:rPr>
          <w:sz w:val="28"/>
          <w:szCs w:val="28"/>
        </w:rPr>
        <w:t>. 2020. Т. 14, № 1. С. 36-42. (</w:t>
      </w:r>
      <w:r w:rsidRPr="00BE086B">
        <w:rPr>
          <w:rFonts w:eastAsia="Georgia"/>
          <w:i/>
          <w:sz w:val="28"/>
          <w:szCs w:val="28"/>
        </w:rPr>
        <w:t xml:space="preserve">Особистий внесок дисертанта: </w:t>
      </w:r>
      <w:r w:rsidRPr="00BE086B">
        <w:rPr>
          <w:i/>
          <w:sz w:val="28"/>
          <w:szCs w:val="28"/>
          <w:lang w:eastAsia="ru-RU"/>
        </w:rPr>
        <w:t>концепція та дизайн дослідження</w:t>
      </w:r>
      <w:r w:rsidRPr="00BE086B">
        <w:rPr>
          <w:i/>
          <w:sz w:val="28"/>
          <w:szCs w:val="28"/>
        </w:rPr>
        <w:t>,</w:t>
      </w:r>
      <w:r w:rsidRPr="00BE086B">
        <w:rPr>
          <w:i/>
          <w:sz w:val="28"/>
          <w:szCs w:val="28"/>
          <w:lang w:eastAsia="ru-RU"/>
        </w:rPr>
        <w:t xml:space="preserve"> збір даних</w:t>
      </w:r>
      <w:r w:rsidRPr="00BE086B">
        <w:rPr>
          <w:i/>
          <w:sz w:val="28"/>
          <w:szCs w:val="28"/>
        </w:rPr>
        <w:t xml:space="preserve">, проведення експерименту, статистична обробка отриманих результатів,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статті</w:t>
      </w:r>
      <w:r w:rsidRPr="00BE086B">
        <w:rPr>
          <w:sz w:val="28"/>
          <w:szCs w:val="28"/>
        </w:rPr>
        <w:t>).</w:t>
      </w:r>
    </w:p>
    <w:p w:rsidR="00C15C24" w:rsidRPr="00BE086B" w:rsidRDefault="00C15C24" w:rsidP="00C15C24">
      <w:pPr>
        <w:pStyle w:val="af0"/>
        <w:numPr>
          <w:ilvl w:val="0"/>
          <w:numId w:val="3"/>
        </w:numPr>
        <w:autoSpaceDN w:val="0"/>
        <w:ind w:left="0" w:firstLine="709"/>
        <w:jc w:val="both"/>
        <w:rPr>
          <w:sz w:val="28"/>
          <w:szCs w:val="28"/>
        </w:rPr>
      </w:pPr>
      <w:r w:rsidRPr="00BE086B">
        <w:rPr>
          <w:rFonts w:eastAsia="Calibri"/>
          <w:sz w:val="28"/>
          <w:szCs w:val="28"/>
        </w:rPr>
        <w:t>Носівець Д.С. Вплив нестероїдних протизапальних засобів та парацетамолу на рівень С-реактивного протеїну сироватки крові щурів при експериментальних еквівалентах гіпотиреозу та остеоартрозу</w:t>
      </w:r>
      <w:r w:rsidRPr="00BE086B">
        <w:rPr>
          <w:sz w:val="28"/>
          <w:szCs w:val="28"/>
        </w:rPr>
        <w:t>. Український журнал медицини, біології та спорту.</w:t>
      </w:r>
      <w:r w:rsidRPr="00BE086B">
        <w:rPr>
          <w:rFonts w:eastAsia="Calibri"/>
          <w:sz w:val="28"/>
          <w:szCs w:val="28"/>
        </w:rPr>
        <w:t xml:space="preserve"> 2020. </w:t>
      </w:r>
      <w:r w:rsidRPr="00BE086B">
        <w:rPr>
          <w:sz w:val="28"/>
          <w:szCs w:val="28"/>
        </w:rPr>
        <w:t>Т. 5, № 6 (28). С. 79-83.</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 xml:space="preserve">Мамчур В.Й., Носівець Д.С. Факторы эффективности и безопасности при клиническом применении готового лекарственного препарата хондроитина сульфата. Neurology and neurosurgery. Eastern Europe. 2020. Т. 10, № 1. С. 150-156. </w:t>
      </w:r>
      <w:r w:rsidRPr="00BE086B">
        <w:rPr>
          <w:rFonts w:eastAsia="PragmaticaC"/>
          <w:sz w:val="28"/>
          <w:szCs w:val="28"/>
        </w:rPr>
        <w:t>(</w:t>
      </w:r>
      <w:r w:rsidRPr="00BE086B">
        <w:rPr>
          <w:rFonts w:eastAsia="Georgia"/>
          <w:i/>
          <w:sz w:val="28"/>
          <w:szCs w:val="28"/>
        </w:rPr>
        <w:t xml:space="preserve">Особистий внесок дисертанта: </w:t>
      </w:r>
      <w:r w:rsidRPr="00BE086B">
        <w:rPr>
          <w:rFonts w:eastAsia="PragmaticaC"/>
          <w:i/>
          <w:sz w:val="28"/>
          <w:szCs w:val="28"/>
        </w:rPr>
        <w:t xml:space="preserve">аналіз літературних джерел та отриманих результатів, </w:t>
      </w:r>
      <w:r w:rsidRPr="00BE086B">
        <w:rPr>
          <w:i/>
          <w:sz w:val="28"/>
          <w:szCs w:val="28"/>
          <w:lang w:eastAsia="ru-RU"/>
        </w:rPr>
        <w:t>збір даних</w:t>
      </w:r>
      <w:r w:rsidRPr="00BE086B">
        <w:rPr>
          <w:i/>
          <w:sz w:val="28"/>
          <w:szCs w:val="28"/>
        </w:rPr>
        <w:t xml:space="preserve">,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статті</w:t>
      </w:r>
      <w:r w:rsidRPr="00BE086B">
        <w:rPr>
          <w:rFonts w:eastAsia="PragmaticaC"/>
          <w:sz w:val="28"/>
          <w:szCs w:val="28"/>
        </w:rPr>
        <w:t>).</w:t>
      </w:r>
    </w:p>
    <w:p w:rsidR="00C15C24" w:rsidRPr="00BE086B" w:rsidRDefault="00C15C24" w:rsidP="00C15C24">
      <w:pPr>
        <w:pStyle w:val="af0"/>
        <w:numPr>
          <w:ilvl w:val="0"/>
          <w:numId w:val="3"/>
        </w:numPr>
        <w:shd w:val="clear" w:color="auto" w:fill="FFFFFF"/>
        <w:autoSpaceDN w:val="0"/>
        <w:ind w:left="0" w:firstLine="709"/>
        <w:jc w:val="both"/>
        <w:rPr>
          <w:sz w:val="28"/>
          <w:szCs w:val="28"/>
        </w:rPr>
      </w:pPr>
      <w:r w:rsidRPr="00BE086B">
        <w:rPr>
          <w:rFonts w:eastAsia="Calibri"/>
          <w:sz w:val="28"/>
          <w:szCs w:val="28"/>
        </w:rPr>
        <w:t>Носівець Д.С. Ф</w:t>
      </w:r>
      <w:r w:rsidRPr="00BE086B">
        <w:rPr>
          <w:sz w:val="28"/>
          <w:szCs w:val="28"/>
        </w:rPr>
        <w:t>актор некрозу пухлин, як маркер визначення фармакологічної активності нестероїдних протизапальних засобів та парацетамолу при гіпотиреозі та остеоартрозі. Український журнал медицини, біології та спорту. 2020. Т. 5, № 3 (25). С. 129-134.</w:t>
      </w:r>
    </w:p>
    <w:p w:rsidR="00C15C24" w:rsidRPr="00BE086B" w:rsidRDefault="00C15C24" w:rsidP="00C15C24">
      <w:pPr>
        <w:pStyle w:val="af0"/>
        <w:numPr>
          <w:ilvl w:val="0"/>
          <w:numId w:val="3"/>
        </w:numPr>
        <w:shd w:val="clear" w:color="auto" w:fill="FFFFFF"/>
        <w:autoSpaceDN w:val="0"/>
        <w:ind w:left="0" w:firstLine="709"/>
        <w:jc w:val="both"/>
        <w:rPr>
          <w:rStyle w:val="af"/>
          <w:b w:val="0"/>
          <w:bCs w:val="0"/>
          <w:sz w:val="28"/>
          <w:szCs w:val="28"/>
          <w:lang w:eastAsia="ru-RU"/>
        </w:rPr>
      </w:pPr>
      <w:r w:rsidRPr="00BE086B">
        <w:rPr>
          <w:rFonts w:eastAsia="Calibri"/>
          <w:kern w:val="2"/>
          <w:sz w:val="28"/>
          <w:szCs w:val="28"/>
          <w:lang w:val="en-US"/>
        </w:rPr>
        <w:t xml:space="preserve">Nosivets D.S. Changes in the level of interleukin-8 in the blood serum of rats with experimental osteoarthritis and hypothyroidism. </w:t>
      </w:r>
      <w:r w:rsidRPr="00BE086B">
        <w:rPr>
          <w:rStyle w:val="af"/>
          <w:rFonts w:eastAsia="Calibri"/>
          <w:b w:val="0"/>
          <w:sz w:val="28"/>
          <w:szCs w:val="28"/>
        </w:rPr>
        <w:t>Ukr. Biochem. J. 2020. Vol. 92, N 6. Р. 178-182.</w:t>
      </w:r>
    </w:p>
    <w:p w:rsidR="00C15C24" w:rsidRPr="00BE086B" w:rsidRDefault="00C15C24" w:rsidP="00C15C24">
      <w:pPr>
        <w:pStyle w:val="af0"/>
        <w:numPr>
          <w:ilvl w:val="0"/>
          <w:numId w:val="3"/>
        </w:numPr>
        <w:shd w:val="clear" w:color="auto" w:fill="FFFFFF"/>
        <w:autoSpaceDN w:val="0"/>
        <w:ind w:left="0" w:firstLine="709"/>
        <w:jc w:val="both"/>
        <w:rPr>
          <w:bCs/>
          <w:sz w:val="28"/>
          <w:szCs w:val="28"/>
        </w:rPr>
      </w:pPr>
      <w:r w:rsidRPr="00BE086B">
        <w:rPr>
          <w:sz w:val="28"/>
          <w:szCs w:val="28"/>
        </w:rPr>
        <w:lastRenderedPageBreak/>
        <w:t xml:space="preserve">Носівець Д.С., Мамчур В.Й., Опришко В.І. </w:t>
      </w:r>
      <w:r w:rsidRPr="00BE086B">
        <w:rPr>
          <w:sz w:val="28"/>
          <w:szCs w:val="28"/>
          <w:lang w:eastAsia="ru-RU"/>
        </w:rPr>
        <w:t>Аналгетична активність нестероїдних протизапальних засобів і парацетамолу за експериментального остеоартрозу та гіпотиреозу</w:t>
      </w:r>
      <w:r w:rsidRPr="00BE086B">
        <w:rPr>
          <w:sz w:val="28"/>
          <w:szCs w:val="28"/>
        </w:rPr>
        <w:t>. Фармакологія та лікарська токсикологія. 2020. Т. 14, № 6. С. 413-421. (</w:t>
      </w:r>
      <w:r w:rsidRPr="00BE086B">
        <w:rPr>
          <w:rFonts w:eastAsia="Georgia"/>
          <w:i/>
          <w:sz w:val="28"/>
          <w:szCs w:val="28"/>
        </w:rPr>
        <w:t xml:space="preserve">Особистий внесок дисертанта: </w:t>
      </w:r>
      <w:r w:rsidRPr="00BE086B">
        <w:rPr>
          <w:i/>
          <w:sz w:val="28"/>
          <w:szCs w:val="28"/>
          <w:lang w:eastAsia="ru-RU"/>
        </w:rPr>
        <w:t>концепція та дизайн дослідження</w:t>
      </w:r>
      <w:r w:rsidRPr="00BE086B">
        <w:rPr>
          <w:i/>
          <w:sz w:val="28"/>
          <w:szCs w:val="28"/>
        </w:rPr>
        <w:t>,</w:t>
      </w:r>
      <w:r w:rsidRPr="00BE086B">
        <w:rPr>
          <w:i/>
          <w:sz w:val="28"/>
          <w:szCs w:val="28"/>
          <w:lang w:eastAsia="ru-RU"/>
        </w:rPr>
        <w:t xml:space="preserve"> збір даних</w:t>
      </w:r>
      <w:r w:rsidRPr="00BE086B">
        <w:rPr>
          <w:i/>
          <w:sz w:val="28"/>
          <w:szCs w:val="28"/>
        </w:rPr>
        <w:t xml:space="preserve">, проведення експерименту, статистична обробка отриманих результатів,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статті</w:t>
      </w:r>
      <w:r w:rsidRPr="00BE086B">
        <w:rPr>
          <w:sz w:val="28"/>
          <w:szCs w:val="28"/>
        </w:rPr>
        <w:t>).</w:t>
      </w:r>
    </w:p>
    <w:p w:rsidR="00C15C24" w:rsidRPr="00BE086B" w:rsidRDefault="00C15C24" w:rsidP="00C15C24">
      <w:pPr>
        <w:pStyle w:val="western"/>
        <w:numPr>
          <w:ilvl w:val="0"/>
          <w:numId w:val="3"/>
        </w:numPr>
        <w:suppressAutoHyphens/>
        <w:spacing w:before="0" w:after="0" w:line="360" w:lineRule="auto"/>
        <w:ind w:left="0"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 xml:space="preserve">Носівець Д.С. Дослідження рівня кісткової лужної фосфатази сироватки крові щурів при експериментальних еквівалентах гіпотиреозу та остеоартрозу на фоні призначення </w:t>
      </w:r>
      <w:r w:rsidRPr="00BE086B">
        <w:rPr>
          <w:rFonts w:ascii="Times New Roman" w:hAnsi="Times New Roman" w:cs="Times New Roman"/>
          <w:color w:val="auto"/>
          <w:sz w:val="28"/>
          <w:szCs w:val="28"/>
          <w:lang w:eastAsia="ru-RU"/>
        </w:rPr>
        <w:t>нестероїдних протизапальних засобів</w:t>
      </w:r>
      <w:r w:rsidRPr="00BE086B">
        <w:rPr>
          <w:rFonts w:ascii="Times New Roman" w:hAnsi="Times New Roman" w:cs="Times New Roman"/>
          <w:color w:val="auto"/>
          <w:sz w:val="28"/>
          <w:szCs w:val="28"/>
        </w:rPr>
        <w:t xml:space="preserve"> та парацетамолу. Український журнал медицини, біології та спорту. 2021. Т. 6, № 1 (29). С. 32-36.</w:t>
      </w:r>
    </w:p>
    <w:p w:rsidR="00C15C24" w:rsidRPr="00BE086B" w:rsidRDefault="00C15C24" w:rsidP="00C15C24">
      <w:pPr>
        <w:pStyle w:val="western"/>
        <w:numPr>
          <w:ilvl w:val="0"/>
          <w:numId w:val="3"/>
        </w:numPr>
        <w:suppressAutoHyphens/>
        <w:spacing w:before="0" w:after="0" w:line="360" w:lineRule="auto"/>
        <w:ind w:left="0"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 xml:space="preserve">Носівець Д.С. </w:t>
      </w:r>
      <w:r w:rsidRPr="00BE086B">
        <w:rPr>
          <w:rFonts w:ascii="Times New Roman" w:eastAsia="Calibri-Bold" w:hAnsi="Times New Roman" w:cs="Times New Roman"/>
          <w:color w:val="auto"/>
          <w:sz w:val="28"/>
          <w:szCs w:val="28"/>
        </w:rPr>
        <w:t xml:space="preserve">Дослідження впливу комбінації </w:t>
      </w:r>
      <w:r w:rsidRPr="00BE086B">
        <w:rPr>
          <w:rFonts w:ascii="Times New Roman" w:hAnsi="Times New Roman" w:cs="Times New Roman"/>
          <w:color w:val="auto"/>
          <w:sz w:val="28"/>
          <w:szCs w:val="28"/>
        </w:rPr>
        <w:t xml:space="preserve">L-тироксину, диклофенаку натрію та хондроїтину сульфату на біль при остеоартрозі внаслідок гіпотиреозу. </w:t>
      </w:r>
      <w:r w:rsidRPr="00BE086B">
        <w:rPr>
          <w:rFonts w:ascii="Times New Roman" w:eastAsia="Calibri-Bold" w:hAnsi="Times New Roman" w:cs="Times New Roman"/>
          <w:color w:val="auto"/>
          <w:sz w:val="28"/>
          <w:szCs w:val="28"/>
        </w:rPr>
        <w:t>Вісник проблем біології і медицини. 2021. Т. 159, № 1. С. 97-101.</w:t>
      </w:r>
    </w:p>
    <w:p w:rsidR="00C15C24" w:rsidRPr="00BE086B" w:rsidRDefault="00C15C24" w:rsidP="00C15C24">
      <w:pPr>
        <w:pStyle w:val="af0"/>
        <w:widowControl w:val="0"/>
        <w:numPr>
          <w:ilvl w:val="0"/>
          <w:numId w:val="3"/>
        </w:numPr>
        <w:autoSpaceDE w:val="0"/>
        <w:autoSpaceDN w:val="0"/>
        <w:adjustRightInd w:val="0"/>
        <w:ind w:left="0" w:firstLine="709"/>
        <w:jc w:val="both"/>
        <w:rPr>
          <w:sz w:val="28"/>
          <w:szCs w:val="28"/>
          <w:lang w:val="en-US" w:eastAsia="ru-RU"/>
        </w:rPr>
      </w:pPr>
      <w:r w:rsidRPr="00BE086B">
        <w:rPr>
          <w:sz w:val="28"/>
          <w:szCs w:val="28"/>
          <w:lang w:val="en-US"/>
        </w:rPr>
        <w:t xml:space="preserve">Nosivets D., Montell E., Opryshko V. </w:t>
      </w:r>
      <w:r w:rsidRPr="00BE086B">
        <w:rPr>
          <w:rFonts w:eastAsia="Calibri"/>
          <w:sz w:val="28"/>
          <w:szCs w:val="28"/>
          <w:lang w:val="en-US"/>
        </w:rPr>
        <w:t>Histological changes following the administration of two different chondroitin sulfate products in experimental osteoarthritis models in rats</w:t>
      </w:r>
      <w:r w:rsidRPr="00BE086B">
        <w:rPr>
          <w:bCs/>
          <w:sz w:val="28"/>
          <w:szCs w:val="28"/>
          <w:lang w:val="en-US" w:eastAsia="ru-RU"/>
        </w:rPr>
        <w:t xml:space="preserve">. </w:t>
      </w:r>
      <w:r w:rsidRPr="00BE086B">
        <w:rPr>
          <w:iCs/>
          <w:sz w:val="28"/>
          <w:szCs w:val="28"/>
          <w:lang w:val="en-US" w:eastAsia="ru-RU"/>
        </w:rPr>
        <w:t xml:space="preserve">European Journal of Clinical and Experimental Medicine. 2021. </w:t>
      </w:r>
      <w:r w:rsidRPr="00BE086B">
        <w:rPr>
          <w:sz w:val="28"/>
          <w:szCs w:val="28"/>
          <w:lang w:val="en-US" w:eastAsia="ru-RU"/>
        </w:rPr>
        <w:t xml:space="preserve">Vol. 19 (1). </w:t>
      </w:r>
      <w:r w:rsidRPr="00BE086B">
        <w:rPr>
          <w:sz w:val="28"/>
          <w:szCs w:val="28"/>
          <w:lang w:eastAsia="ru-RU"/>
        </w:rPr>
        <w:t>Р</w:t>
      </w:r>
      <w:r w:rsidRPr="00BE086B">
        <w:rPr>
          <w:sz w:val="28"/>
          <w:szCs w:val="28"/>
          <w:lang w:val="en-US" w:eastAsia="ru-RU"/>
        </w:rPr>
        <w:t xml:space="preserve">. 23-32. </w:t>
      </w:r>
      <w:r w:rsidRPr="00BE086B">
        <w:rPr>
          <w:rFonts w:eastAsia="PragmaticaC"/>
          <w:sz w:val="28"/>
          <w:szCs w:val="28"/>
          <w:lang w:val="en-US"/>
        </w:rPr>
        <w:t>(</w:t>
      </w:r>
      <w:r w:rsidRPr="00BE086B">
        <w:rPr>
          <w:rFonts w:eastAsia="Georgia"/>
          <w:i/>
          <w:sz w:val="28"/>
          <w:szCs w:val="28"/>
        </w:rPr>
        <w:t>Особистий</w:t>
      </w:r>
      <w:r w:rsidRPr="00BE086B">
        <w:rPr>
          <w:rFonts w:eastAsia="Georgia"/>
          <w:i/>
          <w:sz w:val="28"/>
          <w:szCs w:val="28"/>
          <w:lang w:val="en-US"/>
        </w:rPr>
        <w:t xml:space="preserve"> </w:t>
      </w:r>
      <w:r w:rsidRPr="00BE086B">
        <w:rPr>
          <w:rFonts w:eastAsia="Georgia"/>
          <w:i/>
          <w:sz w:val="28"/>
          <w:szCs w:val="28"/>
        </w:rPr>
        <w:t>внесок</w:t>
      </w:r>
      <w:r w:rsidRPr="00BE086B">
        <w:rPr>
          <w:rFonts w:eastAsia="Georgia"/>
          <w:i/>
          <w:sz w:val="28"/>
          <w:szCs w:val="28"/>
          <w:lang w:val="en-US"/>
        </w:rPr>
        <w:t xml:space="preserve"> </w:t>
      </w:r>
      <w:r w:rsidRPr="00BE086B">
        <w:rPr>
          <w:rFonts w:eastAsia="Georgia"/>
          <w:i/>
          <w:sz w:val="28"/>
          <w:szCs w:val="28"/>
        </w:rPr>
        <w:t>дисертанта</w:t>
      </w:r>
      <w:r w:rsidRPr="00BE086B">
        <w:rPr>
          <w:rFonts w:eastAsia="Georgia"/>
          <w:i/>
          <w:sz w:val="28"/>
          <w:szCs w:val="28"/>
          <w:lang w:val="en-US"/>
        </w:rPr>
        <w:t xml:space="preserve">: </w:t>
      </w:r>
      <w:r w:rsidRPr="00BE086B">
        <w:rPr>
          <w:i/>
          <w:sz w:val="28"/>
          <w:szCs w:val="28"/>
        </w:rPr>
        <w:t>вибір</w:t>
      </w:r>
      <w:r w:rsidRPr="00BE086B">
        <w:rPr>
          <w:i/>
          <w:sz w:val="28"/>
          <w:szCs w:val="28"/>
          <w:lang w:val="en-US"/>
        </w:rPr>
        <w:t xml:space="preserve"> </w:t>
      </w:r>
      <w:r w:rsidRPr="00BE086B">
        <w:rPr>
          <w:i/>
          <w:sz w:val="28"/>
          <w:szCs w:val="28"/>
        </w:rPr>
        <w:t>концепції</w:t>
      </w:r>
      <w:r w:rsidRPr="00BE086B">
        <w:rPr>
          <w:i/>
          <w:sz w:val="28"/>
          <w:szCs w:val="28"/>
          <w:lang w:val="en-US"/>
        </w:rPr>
        <w:t xml:space="preserve"> </w:t>
      </w:r>
      <w:r w:rsidRPr="00BE086B">
        <w:rPr>
          <w:i/>
          <w:sz w:val="28"/>
          <w:szCs w:val="28"/>
        </w:rPr>
        <w:t>та</w:t>
      </w:r>
      <w:r w:rsidRPr="00BE086B">
        <w:rPr>
          <w:i/>
          <w:sz w:val="28"/>
          <w:szCs w:val="28"/>
          <w:lang w:val="en-US"/>
        </w:rPr>
        <w:t xml:space="preserve"> </w:t>
      </w:r>
      <w:r w:rsidRPr="00BE086B">
        <w:rPr>
          <w:i/>
          <w:sz w:val="28"/>
          <w:szCs w:val="28"/>
        </w:rPr>
        <w:t>задач</w:t>
      </w:r>
      <w:r w:rsidRPr="00BE086B">
        <w:rPr>
          <w:i/>
          <w:sz w:val="28"/>
          <w:szCs w:val="28"/>
          <w:lang w:val="en-US"/>
        </w:rPr>
        <w:t xml:space="preserve"> </w:t>
      </w:r>
      <w:r w:rsidRPr="00BE086B">
        <w:rPr>
          <w:i/>
          <w:sz w:val="28"/>
          <w:szCs w:val="28"/>
        </w:rPr>
        <w:t>роботи</w:t>
      </w:r>
      <w:r w:rsidRPr="00BE086B">
        <w:rPr>
          <w:i/>
          <w:sz w:val="28"/>
          <w:szCs w:val="28"/>
          <w:lang w:val="en-US"/>
        </w:rPr>
        <w:t xml:space="preserve">, </w:t>
      </w:r>
      <w:r w:rsidRPr="00BE086B">
        <w:rPr>
          <w:i/>
          <w:sz w:val="28"/>
          <w:szCs w:val="28"/>
          <w:lang w:eastAsia="ru-RU"/>
        </w:rPr>
        <w:t>збір</w:t>
      </w:r>
      <w:r w:rsidRPr="00BE086B">
        <w:rPr>
          <w:i/>
          <w:sz w:val="28"/>
          <w:szCs w:val="28"/>
          <w:lang w:val="en-US" w:eastAsia="ru-RU"/>
        </w:rPr>
        <w:t xml:space="preserve"> </w:t>
      </w:r>
      <w:r w:rsidRPr="00BE086B">
        <w:rPr>
          <w:i/>
          <w:sz w:val="28"/>
          <w:szCs w:val="28"/>
          <w:lang w:eastAsia="ru-RU"/>
        </w:rPr>
        <w:t>даних</w:t>
      </w:r>
      <w:r w:rsidRPr="00BE086B">
        <w:rPr>
          <w:i/>
          <w:sz w:val="28"/>
          <w:szCs w:val="28"/>
          <w:lang w:val="en-US"/>
        </w:rPr>
        <w:t xml:space="preserve">, </w:t>
      </w:r>
      <w:r w:rsidRPr="00BE086B">
        <w:rPr>
          <w:i/>
          <w:sz w:val="28"/>
          <w:szCs w:val="28"/>
        </w:rPr>
        <w:t>проведення</w:t>
      </w:r>
      <w:r w:rsidRPr="00BE086B">
        <w:rPr>
          <w:i/>
          <w:sz w:val="28"/>
          <w:szCs w:val="28"/>
          <w:lang w:val="en-US"/>
        </w:rPr>
        <w:t xml:space="preserve"> </w:t>
      </w:r>
      <w:r w:rsidRPr="00BE086B">
        <w:rPr>
          <w:i/>
          <w:sz w:val="28"/>
          <w:szCs w:val="28"/>
        </w:rPr>
        <w:t>експерименту</w:t>
      </w:r>
      <w:r w:rsidRPr="00BE086B">
        <w:rPr>
          <w:i/>
          <w:sz w:val="28"/>
          <w:szCs w:val="28"/>
          <w:lang w:val="en-US"/>
        </w:rPr>
        <w:t xml:space="preserve">, </w:t>
      </w:r>
      <w:r w:rsidRPr="00BE086B">
        <w:rPr>
          <w:i/>
          <w:sz w:val="28"/>
          <w:szCs w:val="28"/>
        </w:rPr>
        <w:t>отримання</w:t>
      </w:r>
      <w:r w:rsidRPr="00BE086B">
        <w:rPr>
          <w:i/>
          <w:sz w:val="28"/>
          <w:szCs w:val="28"/>
          <w:lang w:val="en-US"/>
        </w:rPr>
        <w:t xml:space="preserve">, </w:t>
      </w:r>
      <w:r w:rsidRPr="00BE086B">
        <w:rPr>
          <w:i/>
          <w:sz w:val="28"/>
          <w:szCs w:val="28"/>
        </w:rPr>
        <w:t>аналіз</w:t>
      </w:r>
      <w:r w:rsidRPr="00BE086B">
        <w:rPr>
          <w:i/>
          <w:sz w:val="28"/>
          <w:szCs w:val="28"/>
          <w:lang w:val="en-US"/>
        </w:rPr>
        <w:t xml:space="preserve"> </w:t>
      </w:r>
      <w:r w:rsidRPr="00BE086B">
        <w:rPr>
          <w:i/>
          <w:sz w:val="28"/>
          <w:szCs w:val="28"/>
        </w:rPr>
        <w:t>та</w:t>
      </w:r>
      <w:r w:rsidRPr="00BE086B">
        <w:rPr>
          <w:i/>
          <w:sz w:val="28"/>
          <w:szCs w:val="28"/>
          <w:lang w:val="en-US"/>
        </w:rPr>
        <w:t xml:space="preserve"> </w:t>
      </w:r>
      <w:r w:rsidRPr="00BE086B">
        <w:rPr>
          <w:i/>
          <w:sz w:val="28"/>
          <w:szCs w:val="28"/>
        </w:rPr>
        <w:t>інтерпретація</w:t>
      </w:r>
      <w:r w:rsidRPr="00BE086B">
        <w:rPr>
          <w:i/>
          <w:sz w:val="28"/>
          <w:szCs w:val="28"/>
          <w:lang w:val="en-US"/>
        </w:rPr>
        <w:t xml:space="preserve"> </w:t>
      </w:r>
      <w:r w:rsidRPr="00BE086B">
        <w:rPr>
          <w:i/>
          <w:sz w:val="28"/>
          <w:szCs w:val="28"/>
        </w:rPr>
        <w:t>даних</w:t>
      </w:r>
      <w:r w:rsidRPr="00BE086B">
        <w:rPr>
          <w:i/>
          <w:sz w:val="28"/>
          <w:szCs w:val="28"/>
          <w:lang w:val="en-US"/>
        </w:rPr>
        <w:t xml:space="preserve">, </w:t>
      </w:r>
      <w:r w:rsidRPr="00BE086B">
        <w:rPr>
          <w:i/>
          <w:sz w:val="28"/>
          <w:szCs w:val="28"/>
        </w:rPr>
        <w:t>статистичний</w:t>
      </w:r>
      <w:r w:rsidRPr="00BE086B">
        <w:rPr>
          <w:i/>
          <w:sz w:val="28"/>
          <w:szCs w:val="28"/>
          <w:lang w:val="en-US"/>
        </w:rPr>
        <w:t xml:space="preserve"> </w:t>
      </w:r>
      <w:r w:rsidRPr="00BE086B">
        <w:rPr>
          <w:i/>
          <w:sz w:val="28"/>
          <w:szCs w:val="28"/>
        </w:rPr>
        <w:t>аналіз</w:t>
      </w:r>
      <w:r w:rsidRPr="00BE086B">
        <w:rPr>
          <w:i/>
          <w:sz w:val="28"/>
          <w:szCs w:val="28"/>
          <w:lang w:val="en-US"/>
        </w:rPr>
        <w:t xml:space="preserve">, </w:t>
      </w:r>
      <w:r w:rsidRPr="00BE086B">
        <w:rPr>
          <w:i/>
          <w:sz w:val="28"/>
          <w:szCs w:val="28"/>
          <w:lang w:eastAsia="ru-RU"/>
        </w:rPr>
        <w:t>написання</w:t>
      </w:r>
      <w:r w:rsidRPr="00BE086B">
        <w:rPr>
          <w:i/>
          <w:sz w:val="28"/>
          <w:szCs w:val="28"/>
          <w:lang w:val="en-US" w:eastAsia="ru-RU"/>
        </w:rPr>
        <w:t xml:space="preserve"> </w:t>
      </w:r>
      <w:r w:rsidRPr="00BE086B">
        <w:rPr>
          <w:i/>
          <w:sz w:val="28"/>
          <w:szCs w:val="28"/>
        </w:rPr>
        <w:t>та</w:t>
      </w:r>
      <w:r w:rsidRPr="00BE086B">
        <w:rPr>
          <w:i/>
          <w:sz w:val="28"/>
          <w:szCs w:val="28"/>
          <w:lang w:val="en-US"/>
        </w:rPr>
        <w:t xml:space="preserve"> </w:t>
      </w:r>
      <w:r w:rsidRPr="00BE086B">
        <w:rPr>
          <w:i/>
          <w:sz w:val="28"/>
          <w:szCs w:val="28"/>
          <w:lang w:eastAsia="ru-RU"/>
        </w:rPr>
        <w:t>редагування</w:t>
      </w:r>
      <w:r w:rsidRPr="00BE086B">
        <w:rPr>
          <w:i/>
          <w:sz w:val="28"/>
          <w:szCs w:val="28"/>
          <w:lang w:val="en-US" w:eastAsia="ru-RU"/>
        </w:rPr>
        <w:t xml:space="preserve"> </w:t>
      </w:r>
      <w:r w:rsidRPr="00BE086B">
        <w:rPr>
          <w:i/>
          <w:sz w:val="28"/>
          <w:szCs w:val="28"/>
          <w:lang w:eastAsia="ru-RU"/>
        </w:rPr>
        <w:t>статті</w:t>
      </w:r>
      <w:r w:rsidRPr="00BE086B">
        <w:rPr>
          <w:i/>
          <w:sz w:val="28"/>
          <w:szCs w:val="28"/>
          <w:lang w:val="en-US"/>
        </w:rPr>
        <w:t xml:space="preserve">, </w:t>
      </w:r>
      <w:r w:rsidRPr="00BE086B">
        <w:rPr>
          <w:rFonts w:eastAsia="PragmaticaC"/>
          <w:i/>
          <w:sz w:val="28"/>
          <w:szCs w:val="28"/>
        </w:rPr>
        <w:t>аналіз</w:t>
      </w:r>
      <w:r w:rsidRPr="00BE086B">
        <w:rPr>
          <w:rFonts w:eastAsia="PragmaticaC"/>
          <w:i/>
          <w:sz w:val="28"/>
          <w:szCs w:val="28"/>
          <w:lang w:val="en-US"/>
        </w:rPr>
        <w:t xml:space="preserve"> </w:t>
      </w:r>
      <w:r w:rsidRPr="00BE086B">
        <w:rPr>
          <w:rFonts w:eastAsia="PragmaticaC"/>
          <w:i/>
          <w:sz w:val="28"/>
          <w:szCs w:val="28"/>
        </w:rPr>
        <w:t>літературних</w:t>
      </w:r>
      <w:r w:rsidRPr="00BE086B">
        <w:rPr>
          <w:rFonts w:eastAsia="PragmaticaC"/>
          <w:i/>
          <w:sz w:val="28"/>
          <w:szCs w:val="28"/>
          <w:lang w:val="en-US"/>
        </w:rPr>
        <w:t xml:space="preserve"> </w:t>
      </w:r>
      <w:r w:rsidRPr="00BE086B">
        <w:rPr>
          <w:rFonts w:eastAsia="PragmaticaC"/>
          <w:i/>
          <w:sz w:val="28"/>
          <w:szCs w:val="28"/>
        </w:rPr>
        <w:t>джерел</w:t>
      </w:r>
      <w:r w:rsidRPr="00BE086B">
        <w:rPr>
          <w:rFonts w:eastAsia="PragmaticaC"/>
          <w:sz w:val="28"/>
          <w:szCs w:val="28"/>
          <w:lang w:val="en-US"/>
        </w:rPr>
        <w:t>).</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Рациональная фармакотерапия болевого синдрома</w:t>
      </w:r>
      <w:r w:rsidRPr="00BE086B">
        <w:rPr>
          <w:sz w:val="28"/>
          <w:szCs w:val="28"/>
          <w:shd w:val="clear" w:color="auto" w:fill="FFFFFF"/>
        </w:rPr>
        <w:t xml:space="preserve"> различного генеза комбинированными нестероидными противовоспалительными средствами. Монография / </w:t>
      </w:r>
      <w:r w:rsidRPr="00BE086B">
        <w:rPr>
          <w:sz w:val="28"/>
          <w:szCs w:val="28"/>
        </w:rPr>
        <w:t xml:space="preserve">В.И. Мамчур, Д.С. Носивец, С.В. Налетов, В.Г. Гурьянов, В.И. Паламарчук, А.Ж. Оголь. - </w:t>
      </w:r>
      <w:r w:rsidRPr="00BE086B">
        <w:rPr>
          <w:sz w:val="28"/>
          <w:szCs w:val="28"/>
          <w:shd w:val="clear" w:color="auto" w:fill="FFFFFF"/>
        </w:rPr>
        <w:t>Киев: ЧАО “Випол”, 2017. - 48 с. (</w:t>
      </w:r>
      <w:r w:rsidRPr="00BE086B">
        <w:rPr>
          <w:rFonts w:eastAsia="Georgia"/>
          <w:i/>
          <w:sz w:val="28"/>
          <w:szCs w:val="28"/>
        </w:rPr>
        <w:t xml:space="preserve">Особистий внесок дисертанта: </w:t>
      </w:r>
      <w:r w:rsidRPr="00BE086B">
        <w:rPr>
          <w:i/>
          <w:sz w:val="28"/>
          <w:szCs w:val="28"/>
          <w:lang w:eastAsia="ru-RU"/>
        </w:rPr>
        <w:t>концепція та дизайн дослідження</w:t>
      </w:r>
      <w:r w:rsidRPr="00BE086B">
        <w:rPr>
          <w:i/>
          <w:sz w:val="28"/>
          <w:szCs w:val="28"/>
        </w:rPr>
        <w:t>,</w:t>
      </w:r>
      <w:r w:rsidRPr="00BE086B">
        <w:rPr>
          <w:i/>
          <w:sz w:val="28"/>
          <w:szCs w:val="28"/>
          <w:lang w:eastAsia="ru-RU"/>
        </w:rPr>
        <w:t xml:space="preserve"> збір даних</w:t>
      </w:r>
      <w:r w:rsidRPr="00BE086B">
        <w:rPr>
          <w:i/>
          <w:sz w:val="28"/>
          <w:szCs w:val="28"/>
        </w:rPr>
        <w:t>,</w:t>
      </w:r>
      <w:r w:rsidR="009B7CB4" w:rsidRPr="00BE086B">
        <w:rPr>
          <w:i/>
          <w:sz w:val="28"/>
          <w:szCs w:val="28"/>
          <w:lang w:val="uk-UA"/>
        </w:rPr>
        <w:t xml:space="preserve"> </w:t>
      </w:r>
      <w:r w:rsidRPr="00BE086B">
        <w:rPr>
          <w:i/>
          <w:sz w:val="28"/>
          <w:szCs w:val="28"/>
        </w:rPr>
        <w:t xml:space="preserve">проведення експерименту, статистична обробка отриманих </w:t>
      </w:r>
      <w:r w:rsidRPr="00BE086B">
        <w:rPr>
          <w:i/>
          <w:sz w:val="28"/>
          <w:szCs w:val="28"/>
        </w:rPr>
        <w:lastRenderedPageBreak/>
        <w:t xml:space="preserve">результатів,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рукопису</w:t>
      </w:r>
      <w:r w:rsidRPr="00BE086B">
        <w:rPr>
          <w:sz w:val="28"/>
          <w:szCs w:val="28"/>
          <w:shd w:val="clear" w:color="auto" w:fill="FFFFFF"/>
        </w:rPr>
        <w:t>).</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bCs/>
          <w:sz w:val="28"/>
          <w:szCs w:val="28"/>
          <w:shd w:val="clear" w:color="auto" w:fill="FFFFFF"/>
        </w:rPr>
        <w:t xml:space="preserve">Патент України на корисну модель UA 137435 U, </w:t>
      </w:r>
      <w:r w:rsidRPr="00BE086B">
        <w:rPr>
          <w:rFonts w:eastAsia="Arial"/>
          <w:bCs/>
          <w:sz w:val="28"/>
          <w:szCs w:val="28"/>
        </w:rPr>
        <w:t xml:space="preserve">МПК (2019.01), </w:t>
      </w:r>
      <w:r w:rsidRPr="00BE086B">
        <w:rPr>
          <w:rFonts w:eastAsia="Arial"/>
          <w:sz w:val="28"/>
          <w:szCs w:val="28"/>
        </w:rPr>
        <w:t>A61K 31/00, A61P 5/00, A61P 19/00, A61P 29/00.</w:t>
      </w:r>
      <w:r w:rsidRPr="00BE086B">
        <w:rPr>
          <w:bCs/>
          <w:sz w:val="28"/>
          <w:szCs w:val="28"/>
          <w:shd w:val="clear" w:color="auto" w:fill="FFFFFF"/>
        </w:rPr>
        <w:t xml:space="preserve"> Спосіб лікування остеоартрозу </w:t>
      </w:r>
      <w:r w:rsidRPr="00BE086B">
        <w:rPr>
          <w:sz w:val="28"/>
          <w:szCs w:val="28"/>
          <w:shd w:val="clear" w:color="auto" w:fill="FFFFFF"/>
        </w:rPr>
        <w:t xml:space="preserve">при супутньому гіпотиреозі / Д.С. Носівець, В.І. Опришко, В.Й. Мамчур - </w:t>
      </w:r>
      <w:r w:rsidRPr="00BE086B">
        <w:rPr>
          <w:rFonts w:eastAsia="Arial"/>
          <w:sz w:val="28"/>
          <w:szCs w:val="28"/>
          <w:shd w:val="clear" w:color="auto" w:fill="FFFFFF"/>
        </w:rPr>
        <w:t xml:space="preserve">u201902425; </w:t>
      </w:r>
      <w:r w:rsidRPr="00BE086B">
        <w:rPr>
          <w:sz w:val="28"/>
          <w:szCs w:val="28"/>
          <w:shd w:val="clear" w:color="auto" w:fill="FFFFFF"/>
        </w:rPr>
        <w:t>заявл. 12.03.2019; опубл. 25.10.2019. - Бюл. № 20/2019.</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Носівець Д.С., Мамчур В.Й., Опришко В.І. Ефективне застосування комбінованих нестероїдних протизапальних засобів при лікуванні остеоартрозу та супутньому гіпотиреозі. Інформаційний лист про нововведення в системі охорони здоров’я. - 2019, № 65. - 4 с.</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Носівець Д.С., Мамчур В.Й., Опришко В.І. Особливості використання хондроітину сульфату при лікуванні остеоартрозу на тлі гіпотиреозу. Інформаційний лист про нововведення в системі охорони здоров’я. - 2019, № 66. - 4 с.</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Носівець Д.С., Мамчур В.Й., Опришко В.І. Раціональне застосування нестероїдних протизапальних засобів та хондропротекторів при лікуванні остеоартрозу на фоні гіпотиреозу. Інформаційний лист про нововведення в системі охорони здоров’я. - 2019, № 67. - 4 с.</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bCs/>
          <w:sz w:val="28"/>
          <w:szCs w:val="28"/>
        </w:rPr>
        <w:t xml:space="preserve">Раціональне лікування остеоартрозу суглобів при супутньому гіпотиреозі / Носівець Д.С., Мамчур В.Й., Опришко В.І., Жилюк В.І. - </w:t>
      </w:r>
      <w:r w:rsidRPr="00BE086B">
        <w:rPr>
          <w:sz w:val="28"/>
          <w:szCs w:val="28"/>
        </w:rPr>
        <w:t>Перелік наукової (науково-технічної) продукції, призначеної для впровадження досягнень медичної науки у сферу охорони здоров’я. Випуск 6 - К., 2020. Реєстр № 276/6/19. С. 240-241. - 363 с.</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bCs/>
          <w:sz w:val="28"/>
          <w:szCs w:val="28"/>
        </w:rPr>
        <w:t xml:space="preserve">Носивец Д.С. </w:t>
      </w:r>
      <w:r w:rsidRPr="00BE086B">
        <w:rPr>
          <w:rFonts w:eastAsia="PragmaticaBook-Reg"/>
          <w:sz w:val="28"/>
          <w:szCs w:val="28"/>
        </w:rPr>
        <w:t>Применение хондропротекторов при патологии хрящевой ткани.</w:t>
      </w:r>
      <w:r w:rsidRPr="00BE086B">
        <w:rPr>
          <w:sz w:val="28"/>
          <w:szCs w:val="28"/>
        </w:rPr>
        <w:t xml:space="preserve"> Материалы XIII Северо-Западной научно-практической конференции по ревматологии. СПб., 2013. С. 80-82.</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 xml:space="preserve">Носивец Д.С., Мамчур В.И., Старовойтова Н.А. Особенности фармакотерапии дегенеративно-дистрофических заболеваний опорно-двигательного аппарата при коморбидных состояниях. </w:t>
      </w:r>
      <w:r w:rsidRPr="00BE086B">
        <w:rPr>
          <w:rFonts w:eastAsia="PetersburgC-Italic"/>
          <w:sz w:val="28"/>
          <w:szCs w:val="28"/>
        </w:rPr>
        <w:t xml:space="preserve">Материалы XVІ </w:t>
      </w:r>
      <w:r w:rsidRPr="00BE086B">
        <w:rPr>
          <w:rFonts w:eastAsia="PetersburgC-Italic"/>
          <w:sz w:val="28"/>
          <w:szCs w:val="28"/>
        </w:rPr>
        <w:lastRenderedPageBreak/>
        <w:t xml:space="preserve">Международной конференции </w:t>
      </w:r>
      <w:r w:rsidRPr="00BE086B">
        <w:rPr>
          <w:sz w:val="28"/>
          <w:szCs w:val="28"/>
        </w:rPr>
        <w:t>«</w:t>
      </w:r>
      <w:r w:rsidRPr="00BE086B">
        <w:rPr>
          <w:rFonts w:eastAsia="PetersburgC-Italic"/>
          <w:sz w:val="28"/>
          <w:szCs w:val="28"/>
        </w:rPr>
        <w:t>Современные стратегия и тактика в неврологии</w:t>
      </w:r>
      <w:r w:rsidRPr="00BE086B">
        <w:rPr>
          <w:rFonts w:eastAsia="PetersburgC-Italic"/>
          <w:bCs/>
          <w:sz w:val="28"/>
          <w:szCs w:val="28"/>
        </w:rPr>
        <w:t>» (</w:t>
      </w:r>
      <w:r w:rsidRPr="00BE086B">
        <w:rPr>
          <w:bCs/>
          <w:iCs/>
          <w:sz w:val="28"/>
          <w:szCs w:val="28"/>
          <w:lang w:eastAsia="ru-RU"/>
        </w:rPr>
        <w:t>23-25 апреля 2014 г</w:t>
      </w:r>
      <w:r w:rsidRPr="00BE086B">
        <w:rPr>
          <w:rFonts w:eastAsia="PetersburgC-Italic"/>
          <w:sz w:val="28"/>
          <w:szCs w:val="28"/>
        </w:rPr>
        <w:t xml:space="preserve">.). </w:t>
      </w:r>
      <w:r w:rsidRPr="00BE086B">
        <w:rPr>
          <w:sz w:val="28"/>
          <w:szCs w:val="28"/>
        </w:rPr>
        <w:t>Трускавец, 2014. С. 173-176.</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Arial"/>
          <w:bCs/>
          <w:sz w:val="28"/>
          <w:szCs w:val="28"/>
        </w:rPr>
        <w:t xml:space="preserve">Носівець Д.С. Патологія кісткової та хрящової тканин на фоні тиреоїдної дисфункції. </w:t>
      </w:r>
      <w:r w:rsidRPr="00BE086B">
        <w:rPr>
          <w:sz w:val="28"/>
          <w:szCs w:val="28"/>
        </w:rPr>
        <w:t>Матеріали ХІX Міжнародного медичного конгресу студентів та молодих вчених (27-29 квітня 2015 р.). Тернопіль: Укрмедкнига, 2015. С. 298.</w:t>
      </w:r>
    </w:p>
    <w:p w:rsidR="00C15C24" w:rsidRPr="00BE086B" w:rsidRDefault="00C15C24" w:rsidP="00C15C24">
      <w:pPr>
        <w:pStyle w:val="Default"/>
        <w:numPr>
          <w:ilvl w:val="0"/>
          <w:numId w:val="3"/>
        </w:numPr>
        <w:spacing w:line="360" w:lineRule="auto"/>
        <w:ind w:left="0" w:firstLine="709"/>
        <w:jc w:val="both"/>
        <w:rPr>
          <w:rFonts w:ascii="Times New Roman" w:hAnsi="Times New Roman" w:cs="Times New Roman"/>
          <w:color w:val="auto"/>
          <w:sz w:val="28"/>
          <w:szCs w:val="28"/>
          <w:lang w:val="uk-UA"/>
        </w:rPr>
      </w:pPr>
      <w:r w:rsidRPr="00BE086B">
        <w:rPr>
          <w:rFonts w:ascii="Times New Roman" w:hAnsi="Times New Roman" w:cs="Times New Roman"/>
          <w:bCs/>
          <w:color w:val="auto"/>
          <w:sz w:val="28"/>
          <w:szCs w:val="28"/>
          <w:lang w:val="uk-UA"/>
        </w:rPr>
        <w:t xml:space="preserve">Носивец Д.С. </w:t>
      </w:r>
      <w:r w:rsidRPr="00BE086B">
        <w:rPr>
          <w:rFonts w:ascii="Times New Roman" w:hAnsi="Times New Roman" w:cs="Times New Roman"/>
          <w:color w:val="auto"/>
          <w:sz w:val="28"/>
          <w:szCs w:val="28"/>
          <w:lang w:val="uk-UA"/>
        </w:rPr>
        <w:t xml:space="preserve">Возможные механизмы анальгезии при фармакотерапии хондропротекторами. </w:t>
      </w:r>
      <w:r w:rsidRPr="00BE086B">
        <w:rPr>
          <w:rStyle w:val="af"/>
          <w:rFonts w:ascii="Times New Roman" w:eastAsia="Tahoma" w:hAnsi="Times New Roman" w:cs="Times New Roman"/>
          <w:b w:val="0"/>
          <w:color w:val="auto"/>
          <w:sz w:val="28"/>
          <w:szCs w:val="28"/>
          <w:lang w:val="uk-UA"/>
        </w:rPr>
        <w:t xml:space="preserve">Матеріали </w:t>
      </w:r>
      <w:r w:rsidRPr="00BE086B">
        <w:rPr>
          <w:rStyle w:val="A20"/>
          <w:rFonts w:ascii="Times New Roman" w:hAnsi="Times New Roman" w:cs="Times New Roman"/>
          <w:b w:val="0"/>
          <w:color w:val="auto"/>
          <w:sz w:val="28"/>
          <w:szCs w:val="28"/>
          <w:lang w:val="uk-UA"/>
        </w:rPr>
        <w:t xml:space="preserve">науково-практичної конференції </w:t>
      </w:r>
      <w:r w:rsidRPr="00BE086B">
        <w:rPr>
          <w:rFonts w:ascii="Times New Roman" w:eastAsia="TimesNewRoman" w:hAnsi="Times New Roman" w:cs="Times New Roman"/>
          <w:color w:val="auto"/>
          <w:sz w:val="28"/>
          <w:szCs w:val="28"/>
          <w:lang w:val="uk-UA"/>
        </w:rPr>
        <w:t>з міжнародною</w:t>
      </w:r>
      <w:r w:rsidRPr="00BE086B">
        <w:rPr>
          <w:rFonts w:ascii="Times New Roman" w:hAnsi="Times New Roman" w:cs="Times New Roman"/>
          <w:color w:val="auto"/>
          <w:sz w:val="28"/>
          <w:szCs w:val="28"/>
          <w:lang w:val="uk-UA"/>
        </w:rPr>
        <w:t xml:space="preserve"> </w:t>
      </w:r>
      <w:r w:rsidRPr="00BE086B">
        <w:rPr>
          <w:rFonts w:ascii="Times New Roman" w:eastAsia="TimesNewRoman" w:hAnsi="Times New Roman" w:cs="Times New Roman"/>
          <w:color w:val="auto"/>
          <w:sz w:val="28"/>
          <w:szCs w:val="28"/>
          <w:lang w:val="uk-UA"/>
        </w:rPr>
        <w:t xml:space="preserve">участю </w:t>
      </w:r>
      <w:r w:rsidRPr="00BE086B">
        <w:rPr>
          <w:rStyle w:val="A20"/>
          <w:rFonts w:ascii="Times New Roman" w:hAnsi="Times New Roman" w:cs="Times New Roman"/>
          <w:b w:val="0"/>
          <w:color w:val="auto"/>
          <w:sz w:val="28"/>
          <w:szCs w:val="28"/>
          <w:lang w:val="uk-UA"/>
        </w:rPr>
        <w:t>«Філатовські читання - 2016» (</w:t>
      </w:r>
      <w:r w:rsidRPr="00BE086B">
        <w:rPr>
          <w:rFonts w:ascii="Times New Roman" w:hAnsi="Times New Roman" w:cs="Times New Roman"/>
          <w:color w:val="auto"/>
          <w:sz w:val="28"/>
          <w:szCs w:val="28"/>
          <w:lang w:val="uk-UA"/>
        </w:rPr>
        <w:t>19-20 травня 2016 р.</w:t>
      </w:r>
      <w:r w:rsidRPr="00BE086B">
        <w:rPr>
          <w:rStyle w:val="A20"/>
          <w:rFonts w:ascii="Times New Roman" w:hAnsi="Times New Roman" w:cs="Times New Roman"/>
          <w:b w:val="0"/>
          <w:color w:val="auto"/>
          <w:sz w:val="28"/>
          <w:szCs w:val="28"/>
          <w:lang w:val="uk-UA"/>
        </w:rPr>
        <w:t>). Одеса, 2016. С. 222.</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bCs/>
          <w:sz w:val="28"/>
          <w:szCs w:val="28"/>
        </w:rPr>
        <w:t xml:space="preserve">Носивец Д.С. </w:t>
      </w:r>
      <w:r w:rsidRPr="00BE086B">
        <w:rPr>
          <w:sz w:val="28"/>
          <w:szCs w:val="28"/>
        </w:rPr>
        <w:t xml:space="preserve">Изменение болевого порога у крыс при экспериментальном остеоартрозе после введения хондроитина сульфата. </w:t>
      </w:r>
      <w:r w:rsidRPr="00BE086B">
        <w:rPr>
          <w:rStyle w:val="af"/>
          <w:rFonts w:eastAsia="Tahoma"/>
          <w:b w:val="0"/>
          <w:sz w:val="28"/>
          <w:szCs w:val="28"/>
        </w:rPr>
        <w:t>Матеріали</w:t>
      </w:r>
      <w:r w:rsidRPr="00BE086B">
        <w:rPr>
          <w:rFonts w:eastAsia="Calibri"/>
          <w:sz w:val="28"/>
          <w:szCs w:val="28"/>
        </w:rPr>
        <w:t xml:space="preserve"> V Національного з’їзду фармакологів України (18-20 жовтня 2017 р.). Запоріжжя, 2017. С. 101.</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bCs/>
          <w:sz w:val="28"/>
          <w:szCs w:val="28"/>
        </w:rPr>
        <w:t xml:space="preserve">Носивец Д.С. </w:t>
      </w:r>
      <w:r w:rsidRPr="00BE086B">
        <w:rPr>
          <w:rFonts w:eastAsia="Calibri"/>
          <w:sz w:val="28"/>
          <w:szCs w:val="28"/>
        </w:rPr>
        <w:t xml:space="preserve">Механизмы анальгезии при фармакотерапии хондропротекторами. </w:t>
      </w:r>
      <w:r w:rsidRPr="00BE086B">
        <w:rPr>
          <w:rFonts w:eastAsia="Calibri-Bold"/>
          <w:sz w:val="28"/>
          <w:szCs w:val="28"/>
        </w:rPr>
        <w:t xml:space="preserve">I Международный конгресс </w:t>
      </w:r>
      <w:r w:rsidRPr="00BE086B">
        <w:rPr>
          <w:rFonts w:eastAsia="Calibri"/>
          <w:sz w:val="28"/>
          <w:szCs w:val="28"/>
        </w:rPr>
        <w:t>ассоциации ревмоортопедов (28-29 сентября 2017 г.): тезисы докладов конгресса / редколлегия: М. А. Макаров [и др.]; Ассоциация ревмоортопедов. Воронеж: Издательско-полиграфический центр «Научная книга», 2017. С. 37-38.</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bCs/>
          <w:sz w:val="28"/>
          <w:szCs w:val="28"/>
        </w:rPr>
        <w:t xml:space="preserve">Носивец Д.С. Морфометрическая оценка состояния суставов крыс при экспериментальном остеоартрозе на фоне введения хондроитина сульфата. </w:t>
      </w:r>
      <w:r w:rsidRPr="00BE086B">
        <w:rPr>
          <w:rFonts w:eastAsia="TimesNewRomanPS-BoldMT"/>
          <w:sz w:val="28"/>
          <w:szCs w:val="28"/>
        </w:rPr>
        <w:t xml:space="preserve">Сучасні аспекти клінічної фармакології на тлі досягнень доказової медицини / </w:t>
      </w:r>
      <w:r w:rsidRPr="00BE086B">
        <w:rPr>
          <w:rStyle w:val="af"/>
          <w:rFonts w:eastAsia="Tahoma"/>
          <w:b w:val="0"/>
          <w:sz w:val="28"/>
          <w:szCs w:val="28"/>
        </w:rPr>
        <w:t>Матеріали</w:t>
      </w:r>
      <w:r w:rsidRPr="00BE086B">
        <w:rPr>
          <w:rFonts w:eastAsia="TimesNewRomanPSMT"/>
          <w:sz w:val="28"/>
          <w:szCs w:val="28"/>
        </w:rPr>
        <w:t xml:space="preserve"> ІХ Всеукраїнської науково-практичної конференції з міжнародною участю, 16-17 листопада </w:t>
      </w:r>
      <w:r w:rsidRPr="00BE086B">
        <w:rPr>
          <w:rFonts w:eastAsia="TimesNewRomanPSMT"/>
          <w:bCs/>
          <w:sz w:val="28"/>
          <w:szCs w:val="28"/>
        </w:rPr>
        <w:t>2017 року. – Вінниця, Нілан-ЛТД, 2017. С. 76-83.</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Fonts w:eastAsia="Arial"/>
          <w:sz w:val="28"/>
          <w:szCs w:val="28"/>
        </w:rPr>
        <w:t xml:space="preserve">Носівець Д.С. </w:t>
      </w:r>
      <w:r w:rsidRPr="00BE086B">
        <w:rPr>
          <w:rFonts w:eastAsia="TimesNewRomanPSMT"/>
          <w:sz w:val="28"/>
          <w:szCs w:val="28"/>
        </w:rPr>
        <w:t xml:space="preserve">Фармакологічні аспекти використання нестероїдних протизапальних засобів при остеоартрозі за умов гіпотиреозу. </w:t>
      </w:r>
      <w:r w:rsidRPr="00BE086B">
        <w:rPr>
          <w:rStyle w:val="af"/>
          <w:b w:val="0"/>
          <w:sz w:val="28"/>
          <w:szCs w:val="28"/>
          <w:lang w:val="en-US"/>
        </w:rPr>
        <w:t xml:space="preserve">International scientific and practical conference «Prospects for the development of medicine in EU countries and Ukraine» Wloclawek, Republic of Poland, December 21–22, 2018. </w:t>
      </w:r>
      <w:r w:rsidRPr="00BE086B">
        <w:rPr>
          <w:rStyle w:val="af"/>
          <w:b w:val="0"/>
          <w:sz w:val="28"/>
          <w:szCs w:val="28"/>
        </w:rPr>
        <w:t>Wloclawek: Izdevnieciba «Baltija Publishing», 2018. Р. 44-46.</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lastRenderedPageBreak/>
        <w:t>Носивец Д.С. Биохимические маркеры при патологии хрящевой и костной ткани. Современные аспекты травматологии, ортопедии и реконструктивной хирургии: Материалы научно-практической конференции с международным участием, посвященной 90-летию со дня рождения профессора Н.П. Демичева (г. Астрахань, 22-23 марта 2019 г.) / под ред. д-ра мед. наук С.В. Дианова и д-ра мед. наук А.Н. Тарасова. – Астрахань: Изд-во Астраханского государственного медицинского университета, 2019. С. 90-92.</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 xml:space="preserve">Носівець Д.С. Корекція проявів остеоартрозу при супутньому гіпотиреозі. </w:t>
      </w:r>
      <w:r w:rsidRPr="00BE086B">
        <w:rPr>
          <w:rFonts w:eastAsia="TimesNewRoman"/>
          <w:sz w:val="28"/>
          <w:szCs w:val="28"/>
        </w:rPr>
        <w:t>Фізіологічні та біохімічні механізми розвитку і корекції патологічних станів</w:t>
      </w:r>
      <w:r w:rsidRPr="00BE086B">
        <w:rPr>
          <w:sz w:val="28"/>
          <w:szCs w:val="28"/>
        </w:rPr>
        <w:t xml:space="preserve">: </w:t>
      </w:r>
      <w:r w:rsidRPr="00BE086B">
        <w:rPr>
          <w:rFonts w:eastAsia="TimesNewRoman"/>
          <w:sz w:val="28"/>
          <w:szCs w:val="28"/>
        </w:rPr>
        <w:t>матеріали міжвузівської</w:t>
      </w:r>
      <w:r w:rsidRPr="00BE086B">
        <w:rPr>
          <w:sz w:val="28"/>
          <w:szCs w:val="28"/>
        </w:rPr>
        <w:t xml:space="preserve"> </w:t>
      </w:r>
      <w:r w:rsidRPr="00BE086B">
        <w:rPr>
          <w:rFonts w:eastAsia="TimesNewRoman"/>
          <w:sz w:val="28"/>
          <w:szCs w:val="28"/>
        </w:rPr>
        <w:t>науково</w:t>
      </w:r>
      <w:r w:rsidRPr="00BE086B">
        <w:rPr>
          <w:sz w:val="28"/>
          <w:szCs w:val="28"/>
        </w:rPr>
        <w:t>-</w:t>
      </w:r>
      <w:r w:rsidRPr="00BE086B">
        <w:rPr>
          <w:rFonts w:eastAsia="TimesNewRoman"/>
          <w:sz w:val="28"/>
          <w:szCs w:val="28"/>
        </w:rPr>
        <w:t>практичної</w:t>
      </w:r>
      <w:r w:rsidRPr="00BE086B">
        <w:rPr>
          <w:sz w:val="28"/>
          <w:szCs w:val="28"/>
        </w:rPr>
        <w:t xml:space="preserve"> </w:t>
      </w:r>
      <w:r w:rsidRPr="00BE086B">
        <w:rPr>
          <w:rFonts w:eastAsia="TimesNewRoman"/>
          <w:sz w:val="28"/>
          <w:szCs w:val="28"/>
        </w:rPr>
        <w:t>конференції</w:t>
      </w:r>
      <w:r w:rsidRPr="00BE086B">
        <w:rPr>
          <w:sz w:val="28"/>
          <w:szCs w:val="28"/>
        </w:rPr>
        <w:t xml:space="preserve"> </w:t>
      </w:r>
      <w:r w:rsidRPr="00BE086B">
        <w:rPr>
          <w:rFonts w:eastAsia="TimesNewRoman"/>
          <w:sz w:val="28"/>
          <w:szCs w:val="28"/>
        </w:rPr>
        <w:t>молодих учених та студентів з міжнародною</w:t>
      </w:r>
      <w:r w:rsidRPr="00BE086B">
        <w:rPr>
          <w:sz w:val="28"/>
          <w:szCs w:val="28"/>
        </w:rPr>
        <w:t xml:space="preserve"> </w:t>
      </w:r>
      <w:r w:rsidRPr="00BE086B">
        <w:rPr>
          <w:rFonts w:eastAsia="TimesNewRoman"/>
          <w:sz w:val="28"/>
          <w:szCs w:val="28"/>
        </w:rPr>
        <w:t xml:space="preserve">участю </w:t>
      </w:r>
      <w:r w:rsidRPr="00BE086B">
        <w:rPr>
          <w:sz w:val="28"/>
          <w:szCs w:val="28"/>
        </w:rPr>
        <w:t xml:space="preserve">(5-6 </w:t>
      </w:r>
      <w:r w:rsidRPr="00BE086B">
        <w:rPr>
          <w:rFonts w:eastAsia="TimesNewRoman"/>
          <w:sz w:val="28"/>
          <w:szCs w:val="28"/>
        </w:rPr>
        <w:t>квітня</w:t>
      </w:r>
      <w:r w:rsidRPr="00BE086B">
        <w:rPr>
          <w:sz w:val="28"/>
          <w:szCs w:val="28"/>
        </w:rPr>
        <w:t xml:space="preserve"> 2019 </w:t>
      </w:r>
      <w:r w:rsidRPr="00BE086B">
        <w:rPr>
          <w:rFonts w:eastAsia="TimesNewRoman"/>
          <w:sz w:val="28"/>
          <w:szCs w:val="28"/>
        </w:rPr>
        <w:t>р</w:t>
      </w:r>
      <w:r w:rsidRPr="00BE086B">
        <w:rPr>
          <w:sz w:val="28"/>
          <w:szCs w:val="28"/>
        </w:rPr>
        <w:t xml:space="preserve">.) / </w:t>
      </w:r>
      <w:r w:rsidRPr="00BE086B">
        <w:rPr>
          <w:rFonts w:eastAsia="TimesNewRoman"/>
          <w:sz w:val="28"/>
          <w:szCs w:val="28"/>
        </w:rPr>
        <w:t>редколегія</w:t>
      </w:r>
      <w:r w:rsidRPr="00BE086B">
        <w:rPr>
          <w:sz w:val="28"/>
          <w:szCs w:val="28"/>
        </w:rPr>
        <w:t xml:space="preserve">: </w:t>
      </w:r>
      <w:r w:rsidRPr="00BE086B">
        <w:rPr>
          <w:rFonts w:eastAsia="TimesNewRoman"/>
          <w:sz w:val="28"/>
          <w:szCs w:val="28"/>
        </w:rPr>
        <w:t>А</w:t>
      </w:r>
      <w:r w:rsidRPr="00BE086B">
        <w:rPr>
          <w:sz w:val="28"/>
          <w:szCs w:val="28"/>
        </w:rPr>
        <w:t xml:space="preserve">. </w:t>
      </w:r>
      <w:r w:rsidRPr="00BE086B">
        <w:rPr>
          <w:rFonts w:eastAsia="TimesNewRoman"/>
          <w:sz w:val="28"/>
          <w:szCs w:val="28"/>
        </w:rPr>
        <w:t>Л</w:t>
      </w:r>
      <w:r w:rsidRPr="00BE086B">
        <w:rPr>
          <w:sz w:val="28"/>
          <w:szCs w:val="28"/>
        </w:rPr>
        <w:t xml:space="preserve">. </w:t>
      </w:r>
      <w:r w:rsidRPr="00BE086B">
        <w:rPr>
          <w:rFonts w:eastAsia="TimesNewRoman"/>
          <w:sz w:val="28"/>
          <w:szCs w:val="28"/>
        </w:rPr>
        <w:t>Загайко</w:t>
      </w:r>
      <w:r w:rsidRPr="00BE086B">
        <w:rPr>
          <w:sz w:val="28"/>
          <w:szCs w:val="28"/>
        </w:rPr>
        <w:t xml:space="preserve">, </w:t>
      </w:r>
      <w:r w:rsidRPr="00BE086B">
        <w:rPr>
          <w:rFonts w:eastAsia="TimesNewRoman"/>
          <w:sz w:val="28"/>
          <w:szCs w:val="28"/>
        </w:rPr>
        <w:t>Д</w:t>
      </w:r>
      <w:r w:rsidRPr="00BE086B">
        <w:rPr>
          <w:sz w:val="28"/>
          <w:szCs w:val="28"/>
        </w:rPr>
        <w:t xml:space="preserve">. </w:t>
      </w:r>
      <w:r w:rsidRPr="00BE086B">
        <w:rPr>
          <w:rFonts w:eastAsia="TimesNewRoman"/>
          <w:sz w:val="28"/>
          <w:szCs w:val="28"/>
        </w:rPr>
        <w:t>І</w:t>
      </w:r>
      <w:r w:rsidRPr="00BE086B">
        <w:rPr>
          <w:sz w:val="28"/>
          <w:szCs w:val="28"/>
        </w:rPr>
        <w:t xml:space="preserve">. </w:t>
      </w:r>
      <w:r w:rsidRPr="00BE086B">
        <w:rPr>
          <w:rFonts w:eastAsia="TimesNewRoman"/>
          <w:sz w:val="28"/>
          <w:szCs w:val="28"/>
        </w:rPr>
        <w:t>Маракушин</w:t>
      </w:r>
      <w:r w:rsidRPr="00BE086B">
        <w:rPr>
          <w:sz w:val="28"/>
          <w:szCs w:val="28"/>
        </w:rPr>
        <w:t xml:space="preserve">, </w:t>
      </w:r>
      <w:r w:rsidRPr="00BE086B">
        <w:rPr>
          <w:rFonts w:eastAsia="TimesNewRoman"/>
          <w:sz w:val="28"/>
          <w:szCs w:val="28"/>
        </w:rPr>
        <w:t>В</w:t>
      </w:r>
      <w:r w:rsidRPr="00BE086B">
        <w:rPr>
          <w:sz w:val="28"/>
          <w:szCs w:val="28"/>
        </w:rPr>
        <w:t xml:space="preserve">. </w:t>
      </w:r>
      <w:r w:rsidRPr="00BE086B">
        <w:rPr>
          <w:rFonts w:eastAsia="TimesNewRoman"/>
          <w:sz w:val="28"/>
          <w:szCs w:val="28"/>
        </w:rPr>
        <w:t>М</w:t>
      </w:r>
      <w:r w:rsidRPr="00BE086B">
        <w:rPr>
          <w:sz w:val="28"/>
          <w:szCs w:val="28"/>
        </w:rPr>
        <w:t xml:space="preserve">. </w:t>
      </w:r>
      <w:r w:rsidRPr="00BE086B">
        <w:rPr>
          <w:rFonts w:eastAsia="TimesNewRoman"/>
          <w:sz w:val="28"/>
          <w:szCs w:val="28"/>
        </w:rPr>
        <w:t>Кравченко [та ін</w:t>
      </w:r>
      <w:r w:rsidRPr="00BE086B">
        <w:rPr>
          <w:sz w:val="28"/>
          <w:szCs w:val="28"/>
        </w:rPr>
        <w:t xml:space="preserve">.]. </w:t>
      </w:r>
      <w:r w:rsidRPr="00BE086B">
        <w:rPr>
          <w:rFonts w:eastAsia="TimesNewRoman"/>
          <w:sz w:val="28"/>
          <w:szCs w:val="28"/>
        </w:rPr>
        <w:t>Харків</w:t>
      </w:r>
      <w:r w:rsidRPr="00BE086B">
        <w:rPr>
          <w:sz w:val="28"/>
          <w:szCs w:val="28"/>
        </w:rPr>
        <w:t xml:space="preserve">: </w:t>
      </w:r>
      <w:r w:rsidRPr="00BE086B">
        <w:rPr>
          <w:rFonts w:eastAsia="TimesNewRoman"/>
          <w:sz w:val="28"/>
          <w:szCs w:val="28"/>
        </w:rPr>
        <w:t>НФаУ</w:t>
      </w:r>
      <w:r w:rsidRPr="00BE086B">
        <w:rPr>
          <w:sz w:val="28"/>
          <w:szCs w:val="28"/>
        </w:rPr>
        <w:t>, 2019. С. 37.</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 xml:space="preserve">Носівець Д.С. Використання НПЗЗ та хондропротекторів для лікування остеоартрозу на фоні гормональної дисфункції щитоподібної залози. </w:t>
      </w:r>
      <w:r w:rsidRPr="00BE086B">
        <w:rPr>
          <w:rStyle w:val="af"/>
          <w:rFonts w:eastAsia="Tahoma"/>
          <w:b w:val="0"/>
          <w:sz w:val="28"/>
          <w:szCs w:val="28"/>
        </w:rPr>
        <w:t>Матеріали</w:t>
      </w:r>
      <w:r w:rsidRPr="00BE086B">
        <w:rPr>
          <w:rStyle w:val="A20"/>
          <w:rFonts w:ascii="Times New Roman" w:hAnsi="Times New Roman" w:cs="Times New Roman"/>
          <w:b w:val="0"/>
          <w:color w:val="auto"/>
          <w:sz w:val="28"/>
          <w:szCs w:val="28"/>
        </w:rPr>
        <w:t xml:space="preserve"> науково-практичної конференції з міжнародною участю «Сучасні аспекти діагностики та лікування захворювань внутрішніх органів» (11 квітня 2019 р.). Івано-Франківськ, 2019. С. 68-69.</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Носивец Д.С. Рациональное использование НПВС и хондропротекторов для лечения остеоартроза при сопутствующем гипотиреозе. Актуальные проблемы современной медицины и фармации 2019: Сборник тезисов докладов LXXIII Международной научно-практической конференции студентов и молодых учёных / под редакцией А.В. Сикорского, В.Я. Хрыщановича. Минск: БГМУ, 2019. С. 1495.</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 xml:space="preserve">Носивец Д.С. Выбор НПВС для симптоматической терапии проявлений остеоартроза при сопутствующем гипотиреозе. </w:t>
      </w:r>
      <w:r w:rsidRPr="00BE086B">
        <w:rPr>
          <w:rFonts w:eastAsia="Calibri"/>
          <w:sz w:val="28"/>
          <w:szCs w:val="28"/>
        </w:rPr>
        <w:t xml:space="preserve">Материалы всероссийской научно-образовательной конференции «Научные достижения и современные технологии в российской травматологии и ортопедии», посвященной памяти профессора А.Н. Горячева. </w:t>
      </w:r>
      <w:r w:rsidRPr="00BE086B">
        <w:rPr>
          <w:sz w:val="28"/>
          <w:szCs w:val="28"/>
        </w:rPr>
        <w:t>Омск: Издательство «Омскбланкиздат», 2019. С. 48-50.</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lang w:val="en-US"/>
        </w:rPr>
        <w:lastRenderedPageBreak/>
        <w:t xml:space="preserve">Nosivets D.S. Application of nonsteroidal anti-inflammatory drugs and hondroprotectors in treatment of osteoarthritis in complex hypothyroidism. International scientific conference «Medicine under the modern conditions of integration development of European countries» (May 10-11, 2019). </w:t>
      </w:r>
      <w:r w:rsidRPr="00BE086B">
        <w:rPr>
          <w:rStyle w:val="A20"/>
          <w:rFonts w:ascii="Times New Roman" w:hAnsi="Times New Roman" w:cs="Times New Roman"/>
          <w:b w:val="0"/>
          <w:color w:val="auto"/>
          <w:sz w:val="28"/>
          <w:szCs w:val="28"/>
        </w:rPr>
        <w:t>Lublin: Izdevnieciba «Baltija Publishing», 2019. С. 146-149.</w:t>
      </w:r>
    </w:p>
    <w:p w:rsidR="00C15C24" w:rsidRPr="00BE086B" w:rsidRDefault="00C15C24" w:rsidP="00C15C24">
      <w:pPr>
        <w:numPr>
          <w:ilvl w:val="0"/>
          <w:numId w:val="3"/>
        </w:numPr>
        <w:autoSpaceDN w:val="0"/>
        <w:spacing w:line="360" w:lineRule="auto"/>
        <w:ind w:left="0" w:firstLine="709"/>
        <w:jc w:val="both"/>
        <w:rPr>
          <w:rStyle w:val="A20"/>
          <w:rFonts w:ascii="Times New Roman" w:hAnsi="Times New Roman" w:cs="Times New Roman"/>
          <w:b w:val="0"/>
          <w:bCs w:val="0"/>
          <w:color w:val="auto"/>
          <w:sz w:val="28"/>
          <w:szCs w:val="28"/>
        </w:rPr>
      </w:pPr>
      <w:r w:rsidRPr="00BE086B">
        <w:rPr>
          <w:sz w:val="28"/>
          <w:szCs w:val="28"/>
        </w:rPr>
        <w:t xml:space="preserve">Носивец Д.С. Структурные изменения костной и хрящевой ткани при экспериментальном гипотиреозе. </w:t>
      </w:r>
      <w:r w:rsidRPr="00BE086B">
        <w:rPr>
          <w:rStyle w:val="A20"/>
          <w:rFonts w:ascii="Times New Roman" w:hAnsi="Times New Roman" w:cs="Times New Roman"/>
          <w:b w:val="0"/>
          <w:color w:val="auto"/>
          <w:sz w:val="28"/>
          <w:szCs w:val="28"/>
        </w:rPr>
        <w:t>III Международный конгресс ассоциации ревмоортопедов: тезисы докладов конгресса / редколлегия: М. А. Макаров [и др.]; Ассоциация ревмоортопедов (</w:t>
      </w:r>
      <w:r w:rsidRPr="00BE086B">
        <w:rPr>
          <w:sz w:val="28"/>
          <w:szCs w:val="28"/>
          <w:lang w:eastAsia="ru-RU"/>
        </w:rPr>
        <w:t xml:space="preserve">Москва, 20-21 сентября 2019 г.). </w:t>
      </w:r>
      <w:r w:rsidRPr="00BE086B">
        <w:rPr>
          <w:rStyle w:val="A20"/>
          <w:rFonts w:ascii="Times New Roman" w:hAnsi="Times New Roman" w:cs="Times New Roman"/>
          <w:b w:val="0"/>
          <w:color w:val="auto"/>
          <w:sz w:val="28"/>
          <w:szCs w:val="28"/>
        </w:rPr>
        <w:t>Воронеж: Издательско-полиграфический центр «Научная книга», 2019. С. 83-85.</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sz w:val="28"/>
          <w:szCs w:val="28"/>
        </w:rPr>
        <w:t>Носивец Д.С. Клинические и экспериментальные аспекты остеоартроза при сопутствующем гипотиреозе. Материалы международной научно-практической конференции «Илизаровские чтения» «Осложнения в ортопедии и травматологии. Клинические и экспериментальные аспекты» (</w:t>
      </w:r>
      <w:r w:rsidRPr="00BE086B">
        <w:rPr>
          <w:bCs/>
          <w:sz w:val="28"/>
          <w:szCs w:val="28"/>
        </w:rPr>
        <w:t>14-15 июня 2019 г.)</w:t>
      </w:r>
      <w:r w:rsidRPr="00BE086B">
        <w:rPr>
          <w:sz w:val="28"/>
          <w:szCs w:val="28"/>
        </w:rPr>
        <w:t>. Курган, 2019. С. 120-122.</w:t>
      </w:r>
    </w:p>
    <w:p w:rsidR="00C15C24" w:rsidRPr="00BE086B" w:rsidRDefault="00C15C24" w:rsidP="00C15C24">
      <w:pPr>
        <w:numPr>
          <w:ilvl w:val="0"/>
          <w:numId w:val="3"/>
        </w:numPr>
        <w:suppressAutoHyphens w:val="0"/>
        <w:autoSpaceDN w:val="0"/>
        <w:adjustRightInd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Носівець Д.С. П</w:t>
      </w:r>
      <w:r w:rsidRPr="00BE086B">
        <w:rPr>
          <w:rStyle w:val="longtext1"/>
          <w:sz w:val="28"/>
          <w:szCs w:val="28"/>
        </w:rPr>
        <w:t xml:space="preserve">рофілактика остеоартрозу при функціональній недостатності щитоподібної залози. </w:t>
      </w:r>
      <w:r w:rsidRPr="00BE086B">
        <w:rPr>
          <w:rStyle w:val="af"/>
          <w:rFonts w:eastAsia="Tahoma"/>
          <w:b w:val="0"/>
          <w:sz w:val="28"/>
          <w:szCs w:val="28"/>
        </w:rPr>
        <w:t>Матеріали</w:t>
      </w:r>
      <w:r w:rsidRPr="00BE086B">
        <w:rPr>
          <w:sz w:val="28"/>
          <w:szCs w:val="28"/>
        </w:rPr>
        <w:t xml:space="preserve"> науково-практичної конференції з міжнародною участю </w:t>
      </w:r>
      <w:r w:rsidRPr="00BE086B">
        <w:rPr>
          <w:rStyle w:val="A20"/>
          <w:rFonts w:ascii="Times New Roman" w:hAnsi="Times New Roman" w:cs="Times New Roman"/>
          <w:b w:val="0"/>
          <w:color w:val="auto"/>
          <w:sz w:val="28"/>
          <w:szCs w:val="28"/>
        </w:rPr>
        <w:t>«Новітні тенденції в діагностиці та лікуванні внутрішніх хвороб» (</w:t>
      </w:r>
      <w:r w:rsidRPr="00BE086B">
        <w:rPr>
          <w:sz w:val="28"/>
          <w:szCs w:val="28"/>
        </w:rPr>
        <w:t>15-</w:t>
      </w:r>
      <w:r w:rsidRPr="00BE086B">
        <w:rPr>
          <w:sz w:val="28"/>
          <w:szCs w:val="28"/>
          <w:lang w:eastAsia="ru-RU"/>
        </w:rPr>
        <w:t xml:space="preserve">16 жовтня 2019 р.) </w:t>
      </w:r>
      <w:r w:rsidRPr="00BE086B">
        <w:rPr>
          <w:sz w:val="28"/>
          <w:szCs w:val="28"/>
        </w:rPr>
        <w:t>/ за ред. О.М. Біловола [та ін.]. Харків, 2019. С. 152-153.</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 xml:space="preserve">Носівець Д.С. Аналіз взаємодії лікарських засобів при фармакотерапії остеоартрозу внаслідок гіпотиреозу. Сучасна клінічна фармакологія в фармакотерапії та профілактиці захворювань з позицій доказової медицини / </w:t>
      </w:r>
      <w:r w:rsidRPr="00BE086B">
        <w:rPr>
          <w:rStyle w:val="af"/>
          <w:rFonts w:eastAsia="Tahoma"/>
          <w:b w:val="0"/>
          <w:sz w:val="28"/>
          <w:szCs w:val="28"/>
        </w:rPr>
        <w:t>Матеріали</w:t>
      </w:r>
      <w:r w:rsidRPr="00BE086B">
        <w:rPr>
          <w:rStyle w:val="A20"/>
          <w:rFonts w:ascii="Times New Roman" w:hAnsi="Times New Roman" w:cs="Times New Roman"/>
          <w:b w:val="0"/>
          <w:color w:val="auto"/>
          <w:sz w:val="28"/>
          <w:szCs w:val="28"/>
        </w:rPr>
        <w:t xml:space="preserve"> Х Всеукраїнської науково-практичної конференції </w:t>
      </w:r>
      <w:r w:rsidRPr="00BE086B">
        <w:rPr>
          <w:sz w:val="28"/>
          <w:szCs w:val="28"/>
          <w:lang w:eastAsia="ru-RU"/>
        </w:rPr>
        <w:t xml:space="preserve">за участю міжнародних спеціалістів з клінічної фармакології (7-8 листопада 2019 р.). </w:t>
      </w:r>
      <w:r w:rsidRPr="00BE086B">
        <w:rPr>
          <w:rStyle w:val="A20"/>
          <w:rFonts w:ascii="Times New Roman" w:hAnsi="Times New Roman" w:cs="Times New Roman"/>
          <w:b w:val="0"/>
          <w:color w:val="auto"/>
          <w:sz w:val="28"/>
          <w:szCs w:val="28"/>
        </w:rPr>
        <w:t>Вінниця, Нілан-ЛТД, 2019. 272 с. С. 153-154.</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 xml:space="preserve">Носівець Д.С. </w:t>
      </w:r>
      <w:r w:rsidRPr="00BE086B">
        <w:rPr>
          <w:rStyle w:val="A20"/>
          <w:rFonts w:ascii="Times New Roman" w:hAnsi="Times New Roman" w:cs="Times New Roman"/>
          <w:b w:val="0"/>
          <w:color w:val="auto"/>
          <w:sz w:val="28"/>
          <w:szCs w:val="28"/>
          <w:lang w:eastAsia="uk-UA"/>
        </w:rPr>
        <w:t xml:space="preserve">Сучасні аспекти дослідження стану хрящової та кісткової тканини при остеоартрозі внаслідок гіпотиреозу. Розвиток природничих наук як основа новітніх досягнень у медицині: </w:t>
      </w:r>
      <w:r w:rsidRPr="00BE086B">
        <w:rPr>
          <w:rStyle w:val="af"/>
          <w:rFonts w:eastAsia="Tahoma"/>
          <w:b w:val="0"/>
          <w:sz w:val="28"/>
          <w:szCs w:val="28"/>
        </w:rPr>
        <w:t>матеріали</w:t>
      </w:r>
      <w:r w:rsidRPr="00BE086B">
        <w:rPr>
          <w:rStyle w:val="A20"/>
          <w:rFonts w:ascii="Times New Roman" w:hAnsi="Times New Roman" w:cs="Times New Roman"/>
          <w:b w:val="0"/>
          <w:color w:val="auto"/>
          <w:sz w:val="28"/>
          <w:szCs w:val="28"/>
          <w:lang w:eastAsia="uk-UA"/>
        </w:rPr>
        <w:t xml:space="preserve"> </w:t>
      </w:r>
      <w:r w:rsidRPr="00BE086B">
        <w:rPr>
          <w:rStyle w:val="A20"/>
          <w:rFonts w:ascii="Times New Roman" w:hAnsi="Times New Roman" w:cs="Times New Roman"/>
          <w:b w:val="0"/>
          <w:color w:val="auto"/>
          <w:sz w:val="28"/>
          <w:szCs w:val="28"/>
          <w:lang w:eastAsia="uk-UA"/>
        </w:rPr>
        <w:lastRenderedPageBreak/>
        <w:t xml:space="preserve">науково-практичної інтернет-конференції (27 листопада 2019 р.) / за ред. В.І. Федіва – Чернівці: БДМУ, 2019. – 390 с. - </w:t>
      </w:r>
      <w:r w:rsidRPr="00BE086B">
        <w:rPr>
          <w:rStyle w:val="af"/>
          <w:b w:val="0"/>
          <w:sz w:val="28"/>
          <w:szCs w:val="28"/>
          <w:lang w:eastAsia="uk-UA"/>
        </w:rPr>
        <w:t>С. 85-86.</w:t>
      </w:r>
    </w:p>
    <w:p w:rsidR="00C15C24" w:rsidRPr="00BE086B" w:rsidRDefault="00C15C24" w:rsidP="00C15C24">
      <w:pPr>
        <w:numPr>
          <w:ilvl w:val="0"/>
          <w:numId w:val="3"/>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Носівець Д.С. Біохімічні зміни маркерів запалення у сироватці крові щурів при призначені НПЗЗ та парацетамолу на тлі остеоартрозу та гіпотиреозу. «Ліки – людині. Сучасні проблеми фармакотерапії і призначення лікарських засобів»: матеріали ІV Міжнародної науково-практичної конференції (12-13 березня 2020 року) / у 2-х т. – Харків: НФаУ, 2020. – Т. 2. – 696 с. – (Серія «Наука»). - С. 410-411.</w:t>
      </w:r>
    </w:p>
    <w:p w:rsidR="00C15C24" w:rsidRPr="00BE086B" w:rsidRDefault="00C15C24" w:rsidP="00C15C24">
      <w:pPr>
        <w:numPr>
          <w:ilvl w:val="0"/>
          <w:numId w:val="3"/>
        </w:numPr>
        <w:autoSpaceDN w:val="0"/>
        <w:spacing w:line="360" w:lineRule="auto"/>
        <w:ind w:left="0" w:firstLine="709"/>
        <w:jc w:val="both"/>
        <w:rPr>
          <w:rStyle w:val="a9"/>
          <w:color w:val="auto"/>
          <w:sz w:val="28"/>
          <w:szCs w:val="28"/>
          <w:u w:val="none"/>
        </w:rPr>
      </w:pPr>
      <w:r w:rsidRPr="00BE086B">
        <w:rPr>
          <w:rStyle w:val="A20"/>
          <w:rFonts w:ascii="Times New Roman" w:hAnsi="Times New Roman" w:cs="Times New Roman"/>
          <w:b w:val="0"/>
          <w:color w:val="auto"/>
          <w:kern w:val="2"/>
          <w:sz w:val="28"/>
          <w:szCs w:val="28"/>
          <w:lang w:bidi="hi-IN"/>
        </w:rPr>
        <w:t xml:space="preserve">Носівець Д.С. </w:t>
      </w:r>
      <w:r w:rsidRPr="00BE086B">
        <w:rPr>
          <w:rStyle w:val="a9"/>
          <w:bCs/>
          <w:color w:val="auto"/>
          <w:kern w:val="2"/>
          <w:sz w:val="28"/>
          <w:szCs w:val="28"/>
          <w:u w:val="none"/>
          <w:lang w:bidi="hi-IN"/>
        </w:rPr>
        <w:t xml:space="preserve">Іноваційні заходи лікування проявів остеоартрозу внаслідок функціональної недостатності щитоподібної залози. Сучасний стан та перспективи розвитку природничих дисциплін в медичній освіті: </w:t>
      </w:r>
      <w:r w:rsidRPr="00BE086B">
        <w:rPr>
          <w:rStyle w:val="af"/>
          <w:rFonts w:eastAsia="Tahoma"/>
          <w:b w:val="0"/>
          <w:sz w:val="28"/>
          <w:szCs w:val="28"/>
        </w:rPr>
        <w:t>Матеріали</w:t>
      </w:r>
      <w:r w:rsidRPr="00BE086B">
        <w:rPr>
          <w:rStyle w:val="a9"/>
          <w:bCs/>
          <w:color w:val="auto"/>
          <w:kern w:val="2"/>
          <w:sz w:val="28"/>
          <w:szCs w:val="28"/>
          <w:u w:val="none"/>
          <w:lang w:bidi="hi-IN"/>
        </w:rPr>
        <w:t xml:space="preserve"> Всеукраїнської науково-практичної інтернет-конференції, м. Кропивницький, 20 березня 2020 р. / за ред. Л. П. Суховірської – Кропивницький, 2020 р. – 196 с. - С. 114-117.</w:t>
      </w:r>
    </w:p>
    <w:p w:rsidR="00FB2078" w:rsidRPr="00BE086B" w:rsidRDefault="00C15C24" w:rsidP="00DF4D2C">
      <w:pPr>
        <w:numPr>
          <w:ilvl w:val="0"/>
          <w:numId w:val="3"/>
        </w:numPr>
        <w:autoSpaceDN w:val="0"/>
        <w:spacing w:line="360" w:lineRule="auto"/>
        <w:ind w:left="0" w:firstLine="709"/>
        <w:jc w:val="both"/>
        <w:rPr>
          <w:rStyle w:val="A20"/>
          <w:rFonts w:ascii="Times New Roman" w:eastAsia="Times New Roman" w:hAnsi="Times New Roman" w:cs="Times New Roman"/>
          <w:b w:val="0"/>
          <w:bCs w:val="0"/>
          <w:color w:val="auto"/>
          <w:sz w:val="28"/>
          <w:szCs w:val="28"/>
          <w:lang w:val="uk-UA"/>
        </w:rPr>
      </w:pPr>
      <w:r w:rsidRPr="00BE086B">
        <w:rPr>
          <w:bCs/>
          <w:sz w:val="28"/>
          <w:szCs w:val="28"/>
        </w:rPr>
        <w:t>Носівець Д.С. Використання комбінованого засобу: диклофенак натрію, хондроїтин сульфат та L-тироксин при остеоартрозі на фоні гіпотиреозу.</w:t>
      </w:r>
      <w:r w:rsidRPr="00BE086B">
        <w:rPr>
          <w:bCs/>
          <w:sz w:val="28"/>
          <w:szCs w:val="28"/>
          <w:lang w:val="uk-UA"/>
        </w:rPr>
        <w:t xml:space="preserve"> </w:t>
      </w:r>
      <w:r w:rsidRPr="00BE086B">
        <w:rPr>
          <w:rStyle w:val="A20"/>
          <w:rFonts w:ascii="Times New Roman" w:hAnsi="Times New Roman" w:cs="Times New Roman"/>
          <w:b w:val="0"/>
          <w:color w:val="auto"/>
          <w:sz w:val="28"/>
          <w:szCs w:val="28"/>
          <w:lang w:val="uk-UA"/>
        </w:rPr>
        <w:t xml:space="preserve">«Ліки – людині. Сучасні проблеми фармакотерапії та призначення лікарських засобів»: матеріали </w:t>
      </w:r>
      <w:r w:rsidRPr="00BE086B">
        <w:rPr>
          <w:rStyle w:val="A20"/>
          <w:rFonts w:ascii="Times New Roman" w:hAnsi="Times New Roman" w:cs="Times New Roman"/>
          <w:b w:val="0"/>
          <w:color w:val="auto"/>
          <w:sz w:val="28"/>
          <w:szCs w:val="28"/>
        </w:rPr>
        <w:t>V</w:t>
      </w:r>
      <w:r w:rsidRPr="00BE086B">
        <w:rPr>
          <w:rStyle w:val="A20"/>
          <w:rFonts w:ascii="Times New Roman" w:hAnsi="Times New Roman" w:cs="Times New Roman"/>
          <w:b w:val="0"/>
          <w:color w:val="auto"/>
          <w:sz w:val="28"/>
          <w:szCs w:val="28"/>
          <w:lang w:val="uk-UA"/>
        </w:rPr>
        <w:t xml:space="preserve"> Міжнародної науково-практичної конференції (11-12 березня 2021 року) – Харків: НФаУ, 2021. – 918 с. – С. 616-618.</w:t>
      </w:r>
    </w:p>
    <w:p w:rsidR="00380CA6" w:rsidRPr="00BE086B" w:rsidRDefault="00C15C24" w:rsidP="00DF4D2C">
      <w:pPr>
        <w:numPr>
          <w:ilvl w:val="0"/>
          <w:numId w:val="3"/>
        </w:numPr>
        <w:autoSpaceDN w:val="0"/>
        <w:spacing w:line="360" w:lineRule="auto"/>
        <w:ind w:left="0" w:firstLine="709"/>
        <w:jc w:val="both"/>
        <w:rPr>
          <w:sz w:val="28"/>
          <w:szCs w:val="28"/>
          <w:lang w:val="uk-UA"/>
        </w:rPr>
      </w:pPr>
      <w:r w:rsidRPr="00BE086B">
        <w:rPr>
          <w:bCs/>
          <w:sz w:val="28"/>
          <w:szCs w:val="28"/>
          <w:lang w:val="uk-UA"/>
        </w:rPr>
        <w:t xml:space="preserve">Носівець Д.С. </w:t>
      </w:r>
      <w:r w:rsidRPr="00BE086B">
        <w:rPr>
          <w:sz w:val="28"/>
          <w:szCs w:val="28"/>
          <w:lang w:val="uk-UA"/>
        </w:rPr>
        <w:t xml:space="preserve">Іноваційні заходи лікування остеоартриту на фоні гіпофункції щитоподібної залози. </w:t>
      </w:r>
      <w:r w:rsidRPr="00BE086B">
        <w:rPr>
          <w:rStyle w:val="a9"/>
          <w:bCs/>
          <w:color w:val="auto"/>
          <w:kern w:val="2"/>
          <w:sz w:val="28"/>
          <w:szCs w:val="28"/>
          <w:u w:val="none"/>
          <w:lang w:bidi="hi-IN"/>
        </w:rPr>
        <w:t xml:space="preserve">Сучасний стан та перспективи розвитку природничих дисциплін в медичній освіті: </w:t>
      </w:r>
      <w:r w:rsidRPr="00BE086B">
        <w:rPr>
          <w:rStyle w:val="af"/>
          <w:rFonts w:eastAsia="Tahoma"/>
          <w:b w:val="0"/>
          <w:sz w:val="28"/>
          <w:szCs w:val="28"/>
        </w:rPr>
        <w:t>Матеріали</w:t>
      </w:r>
      <w:r w:rsidRPr="00BE086B">
        <w:rPr>
          <w:rStyle w:val="a9"/>
          <w:bCs/>
          <w:color w:val="auto"/>
          <w:kern w:val="2"/>
          <w:sz w:val="28"/>
          <w:szCs w:val="28"/>
          <w:u w:val="none"/>
          <w:lang w:bidi="hi-IN"/>
        </w:rPr>
        <w:t xml:space="preserve"> ІІ Всеукраїнської науково-практичної інтернет-конференції, м. Кропивницький, 19 березня 2021 р. / за ред. Л. П. Суховірської – Кропивницький, 2021 р. – 296 с. - С. 327-239.</w:t>
      </w:r>
    </w:p>
    <w:p w:rsidR="00E61609" w:rsidRDefault="00E61609" w:rsidP="0067331B">
      <w:pPr>
        <w:pStyle w:val="af0"/>
        <w:ind w:left="-720" w:right="-363"/>
        <w:jc w:val="both"/>
        <w:rPr>
          <w:sz w:val="28"/>
          <w:szCs w:val="28"/>
          <w:lang w:val="uk-UA"/>
        </w:rPr>
      </w:pPr>
    </w:p>
    <w:p w:rsidR="00AF27FE" w:rsidRDefault="00AF27FE" w:rsidP="0067331B">
      <w:pPr>
        <w:pStyle w:val="af0"/>
        <w:ind w:left="-720" w:right="-363"/>
        <w:jc w:val="both"/>
        <w:rPr>
          <w:sz w:val="28"/>
          <w:szCs w:val="28"/>
          <w:lang w:val="uk-UA"/>
        </w:rPr>
      </w:pPr>
    </w:p>
    <w:p w:rsidR="00AF27FE" w:rsidRDefault="00AF27FE" w:rsidP="0067331B">
      <w:pPr>
        <w:pStyle w:val="af0"/>
        <w:ind w:left="-720" w:right="-363"/>
        <w:jc w:val="both"/>
        <w:rPr>
          <w:sz w:val="28"/>
          <w:szCs w:val="28"/>
          <w:lang w:val="uk-UA"/>
        </w:rPr>
      </w:pPr>
    </w:p>
    <w:p w:rsidR="00AF27FE" w:rsidRDefault="00AF27FE" w:rsidP="0067331B">
      <w:pPr>
        <w:pStyle w:val="af0"/>
        <w:ind w:left="-720" w:right="-363"/>
        <w:jc w:val="both"/>
        <w:rPr>
          <w:sz w:val="28"/>
          <w:szCs w:val="28"/>
          <w:lang w:val="uk-UA"/>
        </w:rPr>
      </w:pPr>
    </w:p>
    <w:p w:rsidR="00AF27FE" w:rsidRPr="00BE086B" w:rsidRDefault="00AF27FE" w:rsidP="0067331B">
      <w:pPr>
        <w:pStyle w:val="af0"/>
        <w:ind w:left="-720" w:right="-363"/>
        <w:jc w:val="both"/>
        <w:rPr>
          <w:sz w:val="28"/>
          <w:szCs w:val="28"/>
          <w:lang w:val="uk-UA"/>
        </w:rPr>
      </w:pPr>
    </w:p>
    <w:p w:rsidR="00380CA6" w:rsidRPr="00BE086B" w:rsidRDefault="00380CA6">
      <w:pPr>
        <w:pStyle w:val="11"/>
        <w:spacing w:line="360" w:lineRule="auto"/>
      </w:pPr>
      <w:r w:rsidRPr="00BE086B">
        <w:lastRenderedPageBreak/>
        <w:t>ЗМІСТ</w:t>
      </w:r>
    </w:p>
    <w:tbl>
      <w:tblPr>
        <w:tblW w:w="10530" w:type="dxa"/>
        <w:tblInd w:w="-779" w:type="dxa"/>
        <w:tblLayout w:type="fixed"/>
        <w:tblCellMar>
          <w:left w:w="93" w:type="dxa"/>
        </w:tblCellMar>
        <w:tblLook w:val="0000" w:firstRow="0" w:lastRow="0" w:firstColumn="0" w:lastColumn="0" w:noHBand="0" w:noVBand="0"/>
      </w:tblPr>
      <w:tblGrid>
        <w:gridCol w:w="1425"/>
        <w:gridCol w:w="611"/>
        <w:gridCol w:w="254"/>
        <w:gridCol w:w="887"/>
        <w:gridCol w:w="6487"/>
        <w:gridCol w:w="866"/>
      </w:tblGrid>
      <w:tr w:rsidR="009B2812" w:rsidRPr="00BE086B" w:rsidTr="001F77EC">
        <w:tc>
          <w:tcPr>
            <w:tcW w:w="9664" w:type="dxa"/>
            <w:gridSpan w:val="5"/>
            <w:shd w:val="clear" w:color="auto" w:fill="auto"/>
          </w:tcPr>
          <w:p w:rsidR="009B2812" w:rsidRPr="00BE086B" w:rsidRDefault="002429D1" w:rsidP="00F50E9A">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bCs/>
                <w:sz w:val="28"/>
                <w:szCs w:val="28"/>
              </w:rPr>
              <w:t>Перелік умовних позначень, скорочень і термінів</w:t>
            </w:r>
          </w:p>
        </w:tc>
        <w:tc>
          <w:tcPr>
            <w:tcW w:w="866" w:type="dxa"/>
            <w:shd w:val="clear" w:color="auto" w:fill="auto"/>
          </w:tcPr>
          <w:p w:rsidR="009B2812" w:rsidRPr="00BE086B" w:rsidRDefault="005D0450">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30</w:t>
            </w:r>
          </w:p>
        </w:tc>
      </w:tr>
      <w:tr w:rsidR="009B2812" w:rsidRPr="00BE086B" w:rsidTr="001F77EC">
        <w:tc>
          <w:tcPr>
            <w:tcW w:w="9664" w:type="dxa"/>
            <w:gridSpan w:val="5"/>
            <w:shd w:val="clear" w:color="auto" w:fill="auto"/>
          </w:tcPr>
          <w:p w:rsidR="009B2812" w:rsidRPr="00BE086B" w:rsidRDefault="009B2812" w:rsidP="00F50E9A">
            <w:pPr>
              <w:pStyle w:val="15"/>
              <w:spacing w:line="360" w:lineRule="auto"/>
              <w:jc w:val="both"/>
              <w:rPr>
                <w:rFonts w:ascii="Times New Roman" w:hAnsi="Times New Roman" w:cs="Times New Roman"/>
                <w:bCs/>
                <w:sz w:val="28"/>
                <w:szCs w:val="28"/>
                <w:lang w:val="uk-UA"/>
              </w:rPr>
            </w:pPr>
            <w:r w:rsidRPr="00BE086B">
              <w:rPr>
                <w:rFonts w:ascii="Times New Roman" w:hAnsi="Times New Roman" w:cs="Times New Roman"/>
                <w:bCs/>
                <w:sz w:val="28"/>
                <w:szCs w:val="28"/>
                <w:lang w:val="uk-UA"/>
              </w:rPr>
              <w:t>Вступ</w:t>
            </w:r>
          </w:p>
        </w:tc>
        <w:tc>
          <w:tcPr>
            <w:tcW w:w="866" w:type="dxa"/>
            <w:shd w:val="clear" w:color="auto" w:fill="auto"/>
          </w:tcPr>
          <w:p w:rsidR="009B2812" w:rsidRPr="00BE086B" w:rsidRDefault="005D0450">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32</w:t>
            </w:r>
          </w:p>
        </w:tc>
      </w:tr>
      <w:tr w:rsidR="009B2812" w:rsidRPr="00BE086B" w:rsidTr="001F77EC">
        <w:tc>
          <w:tcPr>
            <w:tcW w:w="1425" w:type="dxa"/>
            <w:shd w:val="clear" w:color="auto" w:fill="auto"/>
          </w:tcPr>
          <w:p w:rsidR="009B2812" w:rsidRPr="00BE086B" w:rsidRDefault="009B2812">
            <w:pPr>
              <w:spacing w:line="360" w:lineRule="auto"/>
              <w:jc w:val="both"/>
              <w:rPr>
                <w:lang w:val="uk-UA"/>
              </w:rPr>
            </w:pPr>
            <w:r w:rsidRPr="00BE086B">
              <w:rPr>
                <w:b/>
                <w:bCs/>
                <w:sz w:val="28"/>
                <w:szCs w:val="28"/>
                <w:lang w:val="uk-UA"/>
              </w:rPr>
              <w:t>Розділ 1</w:t>
            </w:r>
          </w:p>
        </w:tc>
        <w:tc>
          <w:tcPr>
            <w:tcW w:w="8239" w:type="dxa"/>
            <w:gridSpan w:val="4"/>
            <w:shd w:val="clear" w:color="auto" w:fill="auto"/>
          </w:tcPr>
          <w:p w:rsidR="00374FC9" w:rsidRPr="00BE086B" w:rsidRDefault="00374FC9" w:rsidP="00374FC9">
            <w:pPr>
              <w:spacing w:line="360" w:lineRule="auto"/>
              <w:jc w:val="both"/>
              <w:rPr>
                <w:sz w:val="28"/>
                <w:szCs w:val="28"/>
                <w:lang w:val="uk-UA"/>
              </w:rPr>
            </w:pPr>
            <w:r w:rsidRPr="00BE086B">
              <w:rPr>
                <w:bCs/>
                <w:sz w:val="28"/>
                <w:szCs w:val="28"/>
                <w:lang w:val="uk-UA"/>
              </w:rPr>
              <w:t>Остеоартроз: особливості перебігу на тлі гіпотиреозу та стратегічні напрямки впливу на біль та хондропротекцію</w:t>
            </w:r>
          </w:p>
          <w:p w:rsidR="009B2812" w:rsidRPr="00BE086B" w:rsidRDefault="00374FC9" w:rsidP="00374FC9">
            <w:pPr>
              <w:spacing w:line="360" w:lineRule="auto"/>
              <w:jc w:val="both"/>
              <w:rPr>
                <w:lang w:val="uk-UA"/>
              </w:rPr>
            </w:pPr>
            <w:r w:rsidRPr="00BE086B">
              <w:rPr>
                <w:bCs/>
                <w:sz w:val="28"/>
                <w:szCs w:val="28"/>
                <w:lang w:val="uk-UA"/>
              </w:rPr>
              <w:t>(</w:t>
            </w:r>
            <w:r w:rsidRPr="00BE086B">
              <w:rPr>
                <w:bCs/>
                <w:iCs/>
                <w:sz w:val="28"/>
                <w:szCs w:val="28"/>
                <w:lang w:val="uk-UA"/>
              </w:rPr>
              <w:t>огляд літератури</w:t>
            </w:r>
            <w:r w:rsidRPr="00BE086B">
              <w:rPr>
                <w:bCs/>
                <w:sz w:val="28"/>
                <w:szCs w:val="28"/>
                <w:lang w:val="uk-UA"/>
              </w:rPr>
              <w:t>)</w:t>
            </w:r>
          </w:p>
        </w:tc>
        <w:tc>
          <w:tcPr>
            <w:tcW w:w="866" w:type="dxa"/>
            <w:shd w:val="clear" w:color="auto" w:fill="auto"/>
          </w:tcPr>
          <w:p w:rsidR="00DC7DA1" w:rsidRPr="00BE086B" w:rsidRDefault="00DC7DA1">
            <w:pPr>
              <w:pStyle w:val="15"/>
              <w:spacing w:line="360" w:lineRule="auto"/>
              <w:jc w:val="both"/>
              <w:rPr>
                <w:rFonts w:ascii="Times New Roman" w:hAnsi="Times New Roman" w:cs="Times New Roman"/>
                <w:sz w:val="28"/>
                <w:szCs w:val="28"/>
                <w:lang w:val="uk-UA"/>
              </w:rPr>
            </w:pPr>
          </w:p>
          <w:p w:rsidR="00DC7DA1" w:rsidRPr="00BE086B" w:rsidRDefault="00DC7DA1">
            <w:pPr>
              <w:pStyle w:val="15"/>
              <w:spacing w:line="360" w:lineRule="auto"/>
              <w:jc w:val="both"/>
              <w:rPr>
                <w:rFonts w:ascii="Times New Roman" w:hAnsi="Times New Roman" w:cs="Times New Roman"/>
                <w:sz w:val="28"/>
                <w:szCs w:val="28"/>
                <w:lang w:val="uk-UA"/>
              </w:rPr>
            </w:pPr>
          </w:p>
          <w:p w:rsidR="009B2812" w:rsidRPr="00BE086B" w:rsidRDefault="005D0450">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43</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1.1</w:t>
            </w:r>
          </w:p>
        </w:tc>
        <w:tc>
          <w:tcPr>
            <w:tcW w:w="7628" w:type="dxa"/>
            <w:gridSpan w:val="3"/>
            <w:shd w:val="clear" w:color="auto" w:fill="auto"/>
          </w:tcPr>
          <w:p w:rsidR="009B2812" w:rsidRPr="00BE086B" w:rsidRDefault="00374FC9">
            <w:pPr>
              <w:spacing w:line="360" w:lineRule="auto"/>
              <w:jc w:val="both"/>
              <w:rPr>
                <w:lang w:val="uk-UA"/>
              </w:rPr>
            </w:pPr>
            <w:r w:rsidRPr="00BE086B">
              <w:rPr>
                <w:bCs/>
                <w:sz w:val="28"/>
                <w:szCs w:val="28"/>
                <w:lang w:val="uk-UA"/>
              </w:rPr>
              <w:t>Сучасний погляд на остеоартроз та фармакологію знеболення і хондропротекції при захворюваннях суглобів</w:t>
            </w:r>
          </w:p>
        </w:tc>
        <w:tc>
          <w:tcPr>
            <w:tcW w:w="866" w:type="dxa"/>
            <w:shd w:val="clear" w:color="auto" w:fill="auto"/>
          </w:tcPr>
          <w:p w:rsidR="00DC7DA1" w:rsidRPr="00BE086B" w:rsidRDefault="00DC7DA1">
            <w:pPr>
              <w:pStyle w:val="15"/>
              <w:spacing w:line="360" w:lineRule="auto"/>
              <w:jc w:val="both"/>
              <w:rPr>
                <w:rFonts w:ascii="Times New Roman" w:hAnsi="Times New Roman" w:cs="Times New Roman"/>
                <w:sz w:val="28"/>
                <w:szCs w:val="28"/>
                <w:lang w:val="uk-UA"/>
              </w:rPr>
            </w:pPr>
          </w:p>
          <w:p w:rsidR="009B2812" w:rsidRPr="00BE086B" w:rsidRDefault="001B10CA">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44</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1.2</w:t>
            </w:r>
          </w:p>
        </w:tc>
        <w:tc>
          <w:tcPr>
            <w:tcW w:w="7628" w:type="dxa"/>
            <w:gridSpan w:val="3"/>
            <w:shd w:val="clear" w:color="auto" w:fill="auto"/>
          </w:tcPr>
          <w:p w:rsidR="009B2812" w:rsidRPr="00BE086B" w:rsidRDefault="00374FC9" w:rsidP="00F50E9A">
            <w:pPr>
              <w:spacing w:line="360" w:lineRule="auto"/>
              <w:jc w:val="both"/>
              <w:rPr>
                <w:lang w:val="uk-UA"/>
              </w:rPr>
            </w:pPr>
            <w:r w:rsidRPr="00BE086B">
              <w:rPr>
                <w:rFonts w:eastAsia="NewtonC"/>
                <w:sz w:val="28"/>
                <w:szCs w:val="28"/>
                <w:lang w:val="uk-UA" w:eastAsia="ru-RU"/>
              </w:rPr>
              <w:t>Сучасний погляд про вплив НПЗЗ на суглобовий хрящ</w:t>
            </w:r>
          </w:p>
        </w:tc>
        <w:tc>
          <w:tcPr>
            <w:tcW w:w="866" w:type="dxa"/>
            <w:shd w:val="clear" w:color="auto" w:fill="auto"/>
          </w:tcPr>
          <w:p w:rsidR="009B2812" w:rsidRPr="00BE086B" w:rsidRDefault="001B10CA" w:rsidP="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7</w:t>
            </w:r>
            <w:r w:rsidR="00406A61" w:rsidRPr="00BE086B">
              <w:rPr>
                <w:rFonts w:ascii="Times New Roman" w:hAnsi="Times New Roman" w:cs="Times New Roman"/>
                <w:sz w:val="28"/>
                <w:szCs w:val="28"/>
                <w:lang w:val="uk-UA"/>
              </w:rPr>
              <w:t>2</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1.3</w:t>
            </w:r>
          </w:p>
        </w:tc>
        <w:tc>
          <w:tcPr>
            <w:tcW w:w="7628" w:type="dxa"/>
            <w:gridSpan w:val="3"/>
            <w:shd w:val="clear" w:color="auto" w:fill="auto"/>
          </w:tcPr>
          <w:p w:rsidR="009B2812" w:rsidRPr="00BE086B" w:rsidRDefault="00374FC9" w:rsidP="00F50E9A">
            <w:pPr>
              <w:spacing w:line="360" w:lineRule="auto"/>
              <w:jc w:val="both"/>
              <w:rPr>
                <w:lang w:val="uk-UA"/>
              </w:rPr>
            </w:pPr>
            <w:r w:rsidRPr="00BE086B">
              <w:rPr>
                <w:bCs/>
                <w:kern w:val="28"/>
                <w:sz w:val="28"/>
                <w:szCs w:val="28"/>
                <w:lang w:val="uk-UA"/>
              </w:rPr>
              <w:t>Сучасний погляд на гіпотиреоз та вплив гормонів на процеси метаболізму</w:t>
            </w:r>
          </w:p>
        </w:tc>
        <w:tc>
          <w:tcPr>
            <w:tcW w:w="866" w:type="dxa"/>
            <w:shd w:val="clear" w:color="auto" w:fill="auto"/>
          </w:tcPr>
          <w:p w:rsidR="00DC7DA1" w:rsidRPr="00BE086B" w:rsidRDefault="00DC7DA1" w:rsidP="00406A61">
            <w:pPr>
              <w:pStyle w:val="15"/>
              <w:spacing w:line="360" w:lineRule="auto"/>
              <w:jc w:val="both"/>
              <w:rPr>
                <w:rFonts w:ascii="Times New Roman" w:hAnsi="Times New Roman" w:cs="Times New Roman"/>
                <w:sz w:val="28"/>
                <w:szCs w:val="28"/>
                <w:lang w:val="uk-UA"/>
              </w:rPr>
            </w:pPr>
          </w:p>
          <w:p w:rsidR="009B2812" w:rsidRPr="00BE086B" w:rsidRDefault="001B10CA" w:rsidP="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7</w:t>
            </w:r>
            <w:r w:rsidR="00406A61" w:rsidRPr="00BE086B">
              <w:rPr>
                <w:rFonts w:ascii="Times New Roman" w:hAnsi="Times New Roman" w:cs="Times New Roman"/>
                <w:sz w:val="28"/>
                <w:szCs w:val="28"/>
                <w:lang w:val="uk-UA"/>
              </w:rPr>
              <w:t>5</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1.4</w:t>
            </w:r>
          </w:p>
        </w:tc>
        <w:tc>
          <w:tcPr>
            <w:tcW w:w="7628" w:type="dxa"/>
            <w:gridSpan w:val="3"/>
            <w:shd w:val="clear" w:color="auto" w:fill="auto"/>
          </w:tcPr>
          <w:p w:rsidR="009B2812" w:rsidRPr="00BE086B" w:rsidRDefault="00374FC9" w:rsidP="00374FC9">
            <w:pPr>
              <w:spacing w:line="360" w:lineRule="auto"/>
              <w:jc w:val="both"/>
              <w:rPr>
                <w:lang w:val="uk-UA"/>
              </w:rPr>
            </w:pPr>
            <w:r w:rsidRPr="00BE086B">
              <w:rPr>
                <w:bCs/>
                <w:sz w:val="28"/>
                <w:szCs w:val="28"/>
                <w:lang w:val="uk-UA"/>
              </w:rPr>
              <w:t>Сучасна стратегія фармакотерапії гіпотиреозу та питання взаємодії лікарських засобів при наявності коморбідної патології з гіпотиреозом</w:t>
            </w:r>
          </w:p>
        </w:tc>
        <w:tc>
          <w:tcPr>
            <w:tcW w:w="866" w:type="dxa"/>
            <w:shd w:val="clear" w:color="auto" w:fill="auto"/>
          </w:tcPr>
          <w:p w:rsidR="00DC7DA1" w:rsidRPr="00BE086B" w:rsidRDefault="00DC7DA1" w:rsidP="00406A61">
            <w:pPr>
              <w:pStyle w:val="15"/>
              <w:spacing w:line="360" w:lineRule="auto"/>
              <w:jc w:val="both"/>
              <w:rPr>
                <w:rFonts w:ascii="Times New Roman" w:hAnsi="Times New Roman" w:cs="Times New Roman"/>
                <w:sz w:val="28"/>
                <w:szCs w:val="28"/>
                <w:lang w:val="uk-UA"/>
              </w:rPr>
            </w:pPr>
          </w:p>
          <w:p w:rsidR="00DC7DA1" w:rsidRPr="00BE086B" w:rsidRDefault="00DC7DA1" w:rsidP="00406A61">
            <w:pPr>
              <w:pStyle w:val="15"/>
              <w:spacing w:line="360" w:lineRule="auto"/>
              <w:jc w:val="both"/>
              <w:rPr>
                <w:rFonts w:ascii="Times New Roman" w:hAnsi="Times New Roman" w:cs="Times New Roman"/>
                <w:sz w:val="28"/>
                <w:szCs w:val="28"/>
                <w:lang w:val="uk-UA"/>
              </w:rPr>
            </w:pPr>
          </w:p>
          <w:p w:rsidR="009B2812" w:rsidRPr="00BE086B" w:rsidRDefault="001B10CA" w:rsidP="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7</w:t>
            </w:r>
            <w:r w:rsidR="00406A61" w:rsidRPr="00BE086B">
              <w:rPr>
                <w:rFonts w:ascii="Times New Roman" w:hAnsi="Times New Roman" w:cs="Times New Roman"/>
                <w:sz w:val="28"/>
                <w:szCs w:val="28"/>
                <w:lang w:val="uk-UA"/>
              </w:rPr>
              <w:t>6</w:t>
            </w:r>
          </w:p>
        </w:tc>
      </w:tr>
      <w:tr w:rsidR="009B2812" w:rsidRPr="00BE086B" w:rsidTr="001F77EC">
        <w:tc>
          <w:tcPr>
            <w:tcW w:w="1425" w:type="dxa"/>
            <w:shd w:val="clear" w:color="auto" w:fill="auto"/>
          </w:tcPr>
          <w:p w:rsidR="009B2812" w:rsidRPr="00BE086B" w:rsidRDefault="009B2812">
            <w:pPr>
              <w:spacing w:line="360" w:lineRule="auto"/>
              <w:jc w:val="both"/>
              <w:rPr>
                <w:lang w:val="uk-UA"/>
              </w:rPr>
            </w:pPr>
            <w:r w:rsidRPr="00BE086B">
              <w:rPr>
                <w:b/>
                <w:bCs/>
                <w:sz w:val="28"/>
                <w:szCs w:val="28"/>
                <w:lang w:val="uk-UA"/>
              </w:rPr>
              <w:t>Розділ 2</w:t>
            </w:r>
          </w:p>
        </w:tc>
        <w:tc>
          <w:tcPr>
            <w:tcW w:w="8239" w:type="dxa"/>
            <w:gridSpan w:val="4"/>
            <w:shd w:val="clear" w:color="auto" w:fill="auto"/>
          </w:tcPr>
          <w:p w:rsidR="009B2812" w:rsidRPr="00BE086B" w:rsidRDefault="009B2812" w:rsidP="00F50E9A">
            <w:pPr>
              <w:spacing w:line="360" w:lineRule="auto"/>
              <w:jc w:val="both"/>
              <w:rPr>
                <w:lang w:val="uk-UA"/>
              </w:rPr>
            </w:pPr>
            <w:r w:rsidRPr="00BE086B">
              <w:rPr>
                <w:sz w:val="28"/>
                <w:szCs w:val="28"/>
                <w:lang w:val="uk-UA"/>
              </w:rPr>
              <w:t>Матеріали та методи дослідження</w:t>
            </w:r>
          </w:p>
        </w:tc>
        <w:tc>
          <w:tcPr>
            <w:tcW w:w="866" w:type="dxa"/>
            <w:shd w:val="clear" w:color="auto" w:fill="auto"/>
          </w:tcPr>
          <w:p w:rsidR="009B2812" w:rsidRPr="00BE086B" w:rsidRDefault="001B10CA" w:rsidP="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w:t>
            </w:r>
            <w:r w:rsidR="00406A61" w:rsidRPr="00BE086B">
              <w:rPr>
                <w:rFonts w:ascii="Times New Roman" w:hAnsi="Times New Roman" w:cs="Times New Roman"/>
                <w:sz w:val="28"/>
                <w:szCs w:val="28"/>
                <w:lang w:val="uk-UA"/>
              </w:rPr>
              <w:t>2</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2.1</w:t>
            </w:r>
          </w:p>
        </w:tc>
        <w:tc>
          <w:tcPr>
            <w:tcW w:w="7628" w:type="dxa"/>
            <w:gridSpan w:val="3"/>
            <w:shd w:val="clear" w:color="auto" w:fill="auto"/>
          </w:tcPr>
          <w:p w:rsidR="009B2812" w:rsidRPr="00BE086B" w:rsidRDefault="00B0449F" w:rsidP="00F50E9A">
            <w:pPr>
              <w:spacing w:line="360" w:lineRule="auto"/>
              <w:jc w:val="both"/>
              <w:rPr>
                <w:lang w:val="uk-UA"/>
              </w:rPr>
            </w:pPr>
            <w:r w:rsidRPr="00BE086B">
              <w:rPr>
                <w:sz w:val="28"/>
                <w:szCs w:val="28"/>
                <w:lang w:val="uk-UA"/>
              </w:rPr>
              <w:t>Характеристика лабораторних тварин, використаних в експериментальних дослідженнях</w:t>
            </w:r>
          </w:p>
        </w:tc>
        <w:tc>
          <w:tcPr>
            <w:tcW w:w="866" w:type="dxa"/>
            <w:shd w:val="clear" w:color="auto" w:fill="auto"/>
          </w:tcPr>
          <w:p w:rsidR="00DC7DA1" w:rsidRPr="00BE086B" w:rsidRDefault="00DC7DA1" w:rsidP="00406A61">
            <w:pPr>
              <w:pStyle w:val="15"/>
              <w:spacing w:line="360" w:lineRule="auto"/>
              <w:jc w:val="both"/>
              <w:rPr>
                <w:rFonts w:ascii="Times New Roman" w:hAnsi="Times New Roman" w:cs="Times New Roman"/>
                <w:sz w:val="28"/>
                <w:szCs w:val="28"/>
                <w:lang w:val="uk-UA"/>
              </w:rPr>
            </w:pPr>
          </w:p>
          <w:p w:rsidR="009B2812" w:rsidRPr="00BE086B" w:rsidRDefault="004F7A66" w:rsidP="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w:t>
            </w:r>
            <w:r w:rsidR="00406A61" w:rsidRPr="00BE086B">
              <w:rPr>
                <w:rFonts w:ascii="Times New Roman" w:hAnsi="Times New Roman" w:cs="Times New Roman"/>
                <w:sz w:val="28"/>
                <w:szCs w:val="28"/>
                <w:lang w:val="uk-UA"/>
              </w:rPr>
              <w:t>2</w:t>
            </w:r>
          </w:p>
        </w:tc>
      </w:tr>
      <w:tr w:rsidR="00B0449F" w:rsidRPr="00BE086B" w:rsidTr="00EE4E2A">
        <w:tc>
          <w:tcPr>
            <w:tcW w:w="1425" w:type="dxa"/>
            <w:shd w:val="clear" w:color="auto" w:fill="auto"/>
          </w:tcPr>
          <w:p w:rsidR="00B0449F" w:rsidRPr="00BE086B" w:rsidRDefault="00B0449F">
            <w:pPr>
              <w:snapToGrid w:val="0"/>
              <w:spacing w:line="360" w:lineRule="auto"/>
              <w:jc w:val="center"/>
              <w:rPr>
                <w:sz w:val="28"/>
                <w:szCs w:val="28"/>
                <w:lang w:val="uk-UA"/>
              </w:rPr>
            </w:pPr>
          </w:p>
        </w:tc>
        <w:tc>
          <w:tcPr>
            <w:tcW w:w="611" w:type="dxa"/>
            <w:shd w:val="clear" w:color="auto" w:fill="auto"/>
          </w:tcPr>
          <w:p w:rsidR="00B0449F" w:rsidRPr="00BE086B" w:rsidRDefault="00B0449F">
            <w:pPr>
              <w:snapToGrid w:val="0"/>
              <w:spacing w:line="360" w:lineRule="auto"/>
              <w:jc w:val="center"/>
              <w:rPr>
                <w:sz w:val="28"/>
                <w:szCs w:val="28"/>
                <w:lang w:val="uk-UA"/>
              </w:rPr>
            </w:pPr>
            <w:r w:rsidRPr="00BE086B">
              <w:rPr>
                <w:sz w:val="28"/>
                <w:szCs w:val="28"/>
                <w:lang w:val="uk-UA"/>
              </w:rPr>
              <w:t>2.2</w:t>
            </w:r>
          </w:p>
        </w:tc>
        <w:tc>
          <w:tcPr>
            <w:tcW w:w="7628" w:type="dxa"/>
            <w:gridSpan w:val="3"/>
            <w:shd w:val="clear" w:color="auto" w:fill="auto"/>
          </w:tcPr>
          <w:p w:rsidR="00B0449F" w:rsidRPr="00BE086B" w:rsidRDefault="00B0449F" w:rsidP="00F50E9A">
            <w:pPr>
              <w:spacing w:line="360" w:lineRule="auto"/>
              <w:jc w:val="both"/>
              <w:rPr>
                <w:lang w:val="uk-UA"/>
              </w:rPr>
            </w:pPr>
            <w:r w:rsidRPr="00BE086B">
              <w:rPr>
                <w:sz w:val="28"/>
                <w:szCs w:val="28"/>
                <w:lang w:val="uk-UA"/>
              </w:rPr>
              <w:t>Характеристика лікарських засобів, які використані в дослідженні</w:t>
            </w:r>
          </w:p>
        </w:tc>
        <w:tc>
          <w:tcPr>
            <w:tcW w:w="866" w:type="dxa"/>
            <w:shd w:val="clear" w:color="auto" w:fill="auto"/>
          </w:tcPr>
          <w:p w:rsidR="00DC7DA1" w:rsidRPr="00BE086B" w:rsidRDefault="00DC7DA1" w:rsidP="00406A61">
            <w:pPr>
              <w:pStyle w:val="15"/>
              <w:spacing w:line="360" w:lineRule="auto"/>
              <w:jc w:val="both"/>
              <w:rPr>
                <w:rFonts w:ascii="Times New Roman" w:hAnsi="Times New Roman" w:cs="Times New Roman"/>
                <w:sz w:val="28"/>
                <w:szCs w:val="28"/>
                <w:lang w:val="uk-UA"/>
              </w:rPr>
            </w:pPr>
          </w:p>
          <w:p w:rsidR="00B0449F" w:rsidRPr="00BE086B" w:rsidRDefault="004F7A66" w:rsidP="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w:t>
            </w:r>
            <w:r w:rsidR="00406A61" w:rsidRPr="00BE086B">
              <w:rPr>
                <w:rFonts w:ascii="Times New Roman" w:hAnsi="Times New Roman" w:cs="Times New Roman"/>
                <w:sz w:val="28"/>
                <w:szCs w:val="28"/>
                <w:lang w:val="uk-UA"/>
              </w:rPr>
              <w:t>3</w:t>
            </w:r>
          </w:p>
        </w:tc>
      </w:tr>
      <w:tr w:rsidR="00B0449F" w:rsidRPr="00BE086B" w:rsidTr="00EE4E2A">
        <w:tc>
          <w:tcPr>
            <w:tcW w:w="1425" w:type="dxa"/>
            <w:shd w:val="clear" w:color="auto" w:fill="auto"/>
          </w:tcPr>
          <w:p w:rsidR="00B0449F" w:rsidRPr="00BE086B" w:rsidRDefault="00B0449F">
            <w:pPr>
              <w:snapToGrid w:val="0"/>
              <w:spacing w:line="360" w:lineRule="auto"/>
              <w:jc w:val="center"/>
              <w:rPr>
                <w:sz w:val="28"/>
                <w:szCs w:val="28"/>
                <w:lang w:val="uk-UA"/>
              </w:rPr>
            </w:pPr>
          </w:p>
        </w:tc>
        <w:tc>
          <w:tcPr>
            <w:tcW w:w="611" w:type="dxa"/>
            <w:shd w:val="clear" w:color="auto" w:fill="auto"/>
          </w:tcPr>
          <w:p w:rsidR="00B0449F" w:rsidRPr="00BE086B" w:rsidRDefault="00B0449F">
            <w:pPr>
              <w:snapToGrid w:val="0"/>
              <w:spacing w:line="360" w:lineRule="auto"/>
              <w:jc w:val="center"/>
              <w:rPr>
                <w:sz w:val="28"/>
                <w:szCs w:val="28"/>
                <w:lang w:val="uk-UA"/>
              </w:rPr>
            </w:pPr>
            <w:r w:rsidRPr="00BE086B">
              <w:rPr>
                <w:sz w:val="28"/>
                <w:szCs w:val="28"/>
                <w:lang w:val="uk-UA"/>
              </w:rPr>
              <w:t>2.3</w:t>
            </w:r>
          </w:p>
        </w:tc>
        <w:tc>
          <w:tcPr>
            <w:tcW w:w="7628" w:type="dxa"/>
            <w:gridSpan w:val="3"/>
            <w:shd w:val="clear" w:color="auto" w:fill="auto"/>
          </w:tcPr>
          <w:p w:rsidR="00B0449F" w:rsidRPr="00BE086B" w:rsidRDefault="00B0449F">
            <w:pPr>
              <w:pStyle w:val="af0"/>
              <w:jc w:val="both"/>
              <w:rPr>
                <w:lang w:val="uk-UA"/>
              </w:rPr>
            </w:pPr>
            <w:r w:rsidRPr="00BE086B">
              <w:rPr>
                <w:sz w:val="28"/>
                <w:szCs w:val="28"/>
              </w:rPr>
              <w:t>Дизайн дослідження</w:t>
            </w:r>
          </w:p>
        </w:tc>
        <w:tc>
          <w:tcPr>
            <w:tcW w:w="866" w:type="dxa"/>
            <w:shd w:val="clear" w:color="auto" w:fill="auto"/>
          </w:tcPr>
          <w:p w:rsidR="00B0449F" w:rsidRPr="00BE086B" w:rsidRDefault="004F7A66" w:rsidP="000B0B8C">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w:t>
            </w:r>
            <w:r w:rsidR="000B0B8C" w:rsidRPr="00BE086B">
              <w:rPr>
                <w:rFonts w:ascii="Times New Roman" w:hAnsi="Times New Roman" w:cs="Times New Roman"/>
                <w:sz w:val="28"/>
                <w:szCs w:val="28"/>
                <w:lang w:val="uk-UA"/>
              </w:rPr>
              <w:t>5</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rsidP="00B0449F">
            <w:pPr>
              <w:spacing w:line="360" w:lineRule="auto"/>
              <w:jc w:val="center"/>
              <w:rPr>
                <w:lang w:val="uk-UA"/>
              </w:rPr>
            </w:pPr>
            <w:r w:rsidRPr="00BE086B">
              <w:rPr>
                <w:sz w:val="28"/>
                <w:szCs w:val="28"/>
                <w:lang w:val="uk-UA"/>
              </w:rPr>
              <w:t>2.</w:t>
            </w:r>
            <w:r w:rsidR="00B0449F" w:rsidRPr="00BE086B">
              <w:rPr>
                <w:sz w:val="28"/>
                <w:szCs w:val="28"/>
                <w:lang w:val="uk-UA"/>
              </w:rPr>
              <w:t>4</w:t>
            </w:r>
          </w:p>
        </w:tc>
        <w:tc>
          <w:tcPr>
            <w:tcW w:w="7628" w:type="dxa"/>
            <w:gridSpan w:val="3"/>
            <w:shd w:val="clear" w:color="auto" w:fill="auto"/>
          </w:tcPr>
          <w:p w:rsidR="009B2812" w:rsidRPr="00BE086B" w:rsidRDefault="009B2812" w:rsidP="00F50E9A">
            <w:pPr>
              <w:spacing w:line="360" w:lineRule="auto"/>
              <w:jc w:val="both"/>
              <w:rPr>
                <w:lang w:val="uk-UA"/>
              </w:rPr>
            </w:pPr>
            <w:r w:rsidRPr="00BE086B">
              <w:rPr>
                <w:sz w:val="28"/>
                <w:szCs w:val="28"/>
                <w:lang w:val="uk-UA"/>
              </w:rPr>
              <w:t>Методи дослідження</w:t>
            </w:r>
          </w:p>
        </w:tc>
        <w:tc>
          <w:tcPr>
            <w:tcW w:w="866" w:type="dxa"/>
            <w:shd w:val="clear" w:color="auto" w:fill="auto"/>
          </w:tcPr>
          <w:p w:rsidR="009B2812" w:rsidRPr="00BE086B" w:rsidRDefault="004F7A66" w:rsidP="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w:t>
            </w:r>
            <w:r w:rsidR="00406A61" w:rsidRPr="00BE086B">
              <w:rPr>
                <w:rFonts w:ascii="Times New Roman" w:hAnsi="Times New Roman" w:cs="Times New Roman"/>
                <w:sz w:val="28"/>
                <w:szCs w:val="28"/>
                <w:lang w:val="uk-UA"/>
              </w:rPr>
              <w:t>6</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B0449F">
            <w:pPr>
              <w:spacing w:line="360" w:lineRule="auto"/>
              <w:jc w:val="both"/>
              <w:rPr>
                <w:lang w:val="uk-UA"/>
              </w:rPr>
            </w:pPr>
            <w:r w:rsidRPr="00BE086B">
              <w:rPr>
                <w:sz w:val="28"/>
                <w:szCs w:val="28"/>
                <w:lang w:val="uk-UA"/>
              </w:rPr>
              <w:t>2.</w:t>
            </w:r>
            <w:r w:rsidR="00B0449F" w:rsidRPr="00BE086B">
              <w:rPr>
                <w:sz w:val="28"/>
                <w:szCs w:val="28"/>
                <w:lang w:val="uk-UA"/>
              </w:rPr>
              <w:t>4</w:t>
            </w:r>
            <w:r w:rsidRPr="00BE086B">
              <w:rPr>
                <w:sz w:val="28"/>
                <w:szCs w:val="28"/>
                <w:lang w:val="uk-UA"/>
              </w:rPr>
              <w:t>.1</w:t>
            </w:r>
            <w:r w:rsidR="00B0449F" w:rsidRPr="00BE086B">
              <w:rPr>
                <w:sz w:val="28"/>
                <w:szCs w:val="28"/>
                <w:lang w:val="uk-UA"/>
              </w:rPr>
              <w:t>.</w:t>
            </w:r>
          </w:p>
        </w:tc>
        <w:tc>
          <w:tcPr>
            <w:tcW w:w="6487" w:type="dxa"/>
            <w:shd w:val="clear" w:color="auto" w:fill="auto"/>
          </w:tcPr>
          <w:p w:rsidR="009B2812" w:rsidRPr="00BE086B" w:rsidRDefault="00B0449F" w:rsidP="00F50E9A">
            <w:pPr>
              <w:spacing w:line="360" w:lineRule="auto"/>
              <w:rPr>
                <w:bCs/>
                <w:sz w:val="28"/>
                <w:szCs w:val="28"/>
                <w:lang w:val="uk-UA"/>
              </w:rPr>
            </w:pPr>
            <w:r w:rsidRPr="00BE086B">
              <w:rPr>
                <w:bCs/>
                <w:sz w:val="28"/>
                <w:szCs w:val="28"/>
              </w:rPr>
              <w:t>Модель експериментального остеоартрозу у щурів</w:t>
            </w:r>
          </w:p>
        </w:tc>
        <w:tc>
          <w:tcPr>
            <w:tcW w:w="866" w:type="dxa"/>
            <w:shd w:val="clear" w:color="auto" w:fill="auto"/>
          </w:tcPr>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86</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B0449F">
            <w:pPr>
              <w:spacing w:line="360" w:lineRule="auto"/>
              <w:jc w:val="both"/>
              <w:rPr>
                <w:lang w:val="uk-UA"/>
              </w:rPr>
            </w:pPr>
            <w:r w:rsidRPr="00BE086B">
              <w:rPr>
                <w:bCs/>
                <w:sz w:val="28"/>
                <w:szCs w:val="28"/>
                <w:lang w:val="uk-UA"/>
              </w:rPr>
              <w:t>2.</w:t>
            </w:r>
            <w:r w:rsidR="00B0449F" w:rsidRPr="00BE086B">
              <w:rPr>
                <w:bCs/>
                <w:sz w:val="28"/>
                <w:szCs w:val="28"/>
                <w:lang w:val="uk-UA"/>
              </w:rPr>
              <w:t>4</w:t>
            </w:r>
            <w:r w:rsidRPr="00BE086B">
              <w:rPr>
                <w:bCs/>
                <w:sz w:val="28"/>
                <w:szCs w:val="28"/>
                <w:lang w:val="uk-UA"/>
              </w:rPr>
              <w:t>.</w:t>
            </w:r>
            <w:r w:rsidR="00B0449F" w:rsidRPr="00BE086B">
              <w:rPr>
                <w:bCs/>
                <w:sz w:val="28"/>
                <w:szCs w:val="28"/>
                <w:lang w:val="uk-UA"/>
              </w:rPr>
              <w:t>2</w:t>
            </w:r>
            <w:r w:rsidRPr="00BE086B">
              <w:rPr>
                <w:bCs/>
                <w:sz w:val="28"/>
                <w:szCs w:val="28"/>
                <w:lang w:val="uk-UA"/>
              </w:rPr>
              <w:t>.</w:t>
            </w:r>
          </w:p>
        </w:tc>
        <w:tc>
          <w:tcPr>
            <w:tcW w:w="6487" w:type="dxa"/>
            <w:shd w:val="clear" w:color="auto" w:fill="auto"/>
          </w:tcPr>
          <w:p w:rsidR="009B2812" w:rsidRPr="00BE086B" w:rsidRDefault="00B0449F" w:rsidP="00F50E9A">
            <w:pPr>
              <w:spacing w:line="360" w:lineRule="auto"/>
              <w:rPr>
                <w:bCs/>
                <w:sz w:val="28"/>
                <w:szCs w:val="28"/>
                <w:lang w:val="uk-UA"/>
              </w:rPr>
            </w:pPr>
            <w:r w:rsidRPr="00BE086B">
              <w:rPr>
                <w:bCs/>
                <w:sz w:val="28"/>
              </w:rPr>
              <w:t>Модель експериментального гіпотиреозу у щурів</w:t>
            </w:r>
          </w:p>
        </w:tc>
        <w:tc>
          <w:tcPr>
            <w:tcW w:w="866" w:type="dxa"/>
            <w:shd w:val="clear" w:color="auto" w:fill="auto"/>
          </w:tcPr>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86</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B0449F">
            <w:pPr>
              <w:spacing w:line="360" w:lineRule="auto"/>
              <w:jc w:val="both"/>
              <w:rPr>
                <w:lang w:val="uk-UA"/>
              </w:rPr>
            </w:pPr>
            <w:r w:rsidRPr="00BE086B">
              <w:rPr>
                <w:bCs/>
                <w:sz w:val="28"/>
                <w:szCs w:val="28"/>
                <w:lang w:val="uk-UA"/>
              </w:rPr>
              <w:t>2.</w:t>
            </w:r>
            <w:r w:rsidR="00B0449F" w:rsidRPr="00BE086B">
              <w:rPr>
                <w:bCs/>
                <w:sz w:val="28"/>
                <w:szCs w:val="28"/>
                <w:lang w:val="uk-UA"/>
              </w:rPr>
              <w:t>4</w:t>
            </w:r>
            <w:r w:rsidRPr="00BE086B">
              <w:rPr>
                <w:bCs/>
                <w:sz w:val="28"/>
                <w:szCs w:val="28"/>
                <w:lang w:val="uk-UA"/>
              </w:rPr>
              <w:t>.</w:t>
            </w:r>
            <w:r w:rsidR="00B0449F" w:rsidRPr="00BE086B">
              <w:rPr>
                <w:bCs/>
                <w:sz w:val="28"/>
                <w:szCs w:val="28"/>
                <w:lang w:val="uk-UA"/>
              </w:rPr>
              <w:t>3.</w:t>
            </w:r>
          </w:p>
        </w:tc>
        <w:tc>
          <w:tcPr>
            <w:tcW w:w="6487" w:type="dxa"/>
            <w:shd w:val="clear" w:color="auto" w:fill="auto"/>
          </w:tcPr>
          <w:p w:rsidR="009B2812" w:rsidRPr="00BE086B" w:rsidRDefault="00B0449F" w:rsidP="00B0449F">
            <w:pPr>
              <w:spacing w:line="360" w:lineRule="auto"/>
              <w:jc w:val="both"/>
              <w:rPr>
                <w:bCs/>
                <w:sz w:val="28"/>
                <w:szCs w:val="28"/>
                <w:lang w:val="uk-UA"/>
              </w:rPr>
            </w:pPr>
            <w:r w:rsidRPr="00BE086B">
              <w:rPr>
                <w:sz w:val="28"/>
                <w:szCs w:val="28"/>
              </w:rPr>
              <w:t xml:space="preserve">Оцінка психо-емоційного статусу щурів </w:t>
            </w:r>
          </w:p>
        </w:tc>
        <w:tc>
          <w:tcPr>
            <w:tcW w:w="866" w:type="dxa"/>
            <w:shd w:val="clear" w:color="auto" w:fill="auto"/>
          </w:tcPr>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87</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712D6E">
            <w:pPr>
              <w:spacing w:line="360" w:lineRule="auto"/>
              <w:jc w:val="both"/>
              <w:rPr>
                <w:lang w:val="uk-UA"/>
              </w:rPr>
            </w:pPr>
            <w:r w:rsidRPr="00BE086B">
              <w:rPr>
                <w:sz w:val="28"/>
                <w:szCs w:val="28"/>
                <w:lang w:val="uk-UA"/>
              </w:rPr>
              <w:t>2.</w:t>
            </w:r>
            <w:r w:rsidR="00712D6E" w:rsidRPr="00BE086B">
              <w:rPr>
                <w:sz w:val="28"/>
                <w:szCs w:val="28"/>
                <w:lang w:val="uk-UA"/>
              </w:rPr>
              <w:t>4</w:t>
            </w:r>
            <w:r w:rsidRPr="00BE086B">
              <w:rPr>
                <w:sz w:val="28"/>
                <w:szCs w:val="28"/>
                <w:lang w:val="uk-UA"/>
              </w:rPr>
              <w:t>.</w:t>
            </w:r>
            <w:r w:rsidR="00712D6E" w:rsidRPr="00BE086B">
              <w:rPr>
                <w:sz w:val="28"/>
                <w:szCs w:val="28"/>
                <w:lang w:val="uk-UA"/>
              </w:rPr>
              <w:t>4.</w:t>
            </w:r>
          </w:p>
        </w:tc>
        <w:tc>
          <w:tcPr>
            <w:tcW w:w="6487" w:type="dxa"/>
            <w:shd w:val="clear" w:color="auto" w:fill="auto"/>
          </w:tcPr>
          <w:p w:rsidR="009B2812" w:rsidRPr="00BE086B" w:rsidRDefault="00712D6E" w:rsidP="00712D6E">
            <w:pPr>
              <w:spacing w:line="360" w:lineRule="auto"/>
              <w:jc w:val="both"/>
              <w:rPr>
                <w:sz w:val="28"/>
                <w:szCs w:val="28"/>
                <w:lang w:val="uk-UA"/>
              </w:rPr>
            </w:pPr>
            <w:r w:rsidRPr="00BE086B">
              <w:rPr>
                <w:bCs/>
                <w:sz w:val="28"/>
                <w:szCs w:val="28"/>
              </w:rPr>
              <w:t xml:space="preserve">Вивчення антиноцицептивної активності у тесті </w:t>
            </w:r>
            <w:r w:rsidRPr="00BE086B">
              <w:rPr>
                <w:sz w:val="28"/>
                <w:szCs w:val="28"/>
              </w:rPr>
              <w:t xml:space="preserve">електричного подразнення кореня хвоста </w:t>
            </w:r>
            <w:r w:rsidRPr="00BE086B">
              <w:rPr>
                <w:sz w:val="28"/>
                <w:szCs w:val="28"/>
                <w:lang w:val="uk-UA"/>
              </w:rPr>
              <w:t xml:space="preserve">у </w:t>
            </w:r>
            <w:r w:rsidRPr="00BE086B">
              <w:rPr>
                <w:sz w:val="28"/>
                <w:szCs w:val="28"/>
              </w:rPr>
              <w:t>щур</w:t>
            </w:r>
            <w:r w:rsidRPr="00BE086B">
              <w:rPr>
                <w:sz w:val="28"/>
                <w:szCs w:val="28"/>
                <w:lang w:val="uk-UA"/>
              </w:rPr>
              <w:t>ів</w:t>
            </w:r>
          </w:p>
        </w:tc>
        <w:tc>
          <w:tcPr>
            <w:tcW w:w="866" w:type="dxa"/>
            <w:shd w:val="clear" w:color="auto" w:fill="auto"/>
          </w:tcPr>
          <w:p w:rsidR="00DC7DA1" w:rsidRPr="00BE086B" w:rsidRDefault="00DC7DA1">
            <w:pPr>
              <w:pStyle w:val="15"/>
              <w:spacing w:line="360" w:lineRule="auto"/>
              <w:jc w:val="both"/>
              <w:rPr>
                <w:rFonts w:ascii="Times New Roman" w:hAnsi="Times New Roman" w:cs="Times New Roman"/>
                <w:sz w:val="28"/>
                <w:szCs w:val="28"/>
                <w:lang w:val="uk-UA"/>
              </w:rPr>
            </w:pPr>
          </w:p>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88</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712D6E">
            <w:pPr>
              <w:spacing w:line="360" w:lineRule="auto"/>
              <w:jc w:val="both"/>
              <w:rPr>
                <w:lang w:val="uk-UA"/>
              </w:rPr>
            </w:pPr>
            <w:r w:rsidRPr="00BE086B">
              <w:rPr>
                <w:sz w:val="28"/>
                <w:szCs w:val="28"/>
                <w:lang w:val="uk-UA"/>
              </w:rPr>
              <w:t>2.</w:t>
            </w:r>
            <w:r w:rsidR="00712D6E" w:rsidRPr="00BE086B">
              <w:rPr>
                <w:sz w:val="28"/>
                <w:szCs w:val="28"/>
                <w:lang w:val="uk-UA"/>
              </w:rPr>
              <w:t>4</w:t>
            </w:r>
            <w:r w:rsidRPr="00BE086B">
              <w:rPr>
                <w:sz w:val="28"/>
                <w:szCs w:val="28"/>
                <w:lang w:val="uk-UA"/>
              </w:rPr>
              <w:t>.</w:t>
            </w:r>
            <w:r w:rsidR="00712D6E" w:rsidRPr="00BE086B">
              <w:rPr>
                <w:sz w:val="28"/>
                <w:szCs w:val="28"/>
                <w:lang w:val="uk-UA"/>
              </w:rPr>
              <w:t>5.</w:t>
            </w:r>
          </w:p>
        </w:tc>
        <w:tc>
          <w:tcPr>
            <w:tcW w:w="6487" w:type="dxa"/>
            <w:shd w:val="clear" w:color="auto" w:fill="auto"/>
          </w:tcPr>
          <w:p w:rsidR="009B2812" w:rsidRPr="00BE086B" w:rsidRDefault="00712D6E" w:rsidP="00712D6E">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bCs/>
                <w:sz w:val="28"/>
                <w:szCs w:val="28"/>
              </w:rPr>
              <w:t>Вивчення антиноцицептивної активності у тесті термічного подразнення кореня хвоста (теплової імерсії хвоста) у щурів</w:t>
            </w:r>
          </w:p>
        </w:tc>
        <w:tc>
          <w:tcPr>
            <w:tcW w:w="866" w:type="dxa"/>
            <w:shd w:val="clear" w:color="auto" w:fill="auto"/>
          </w:tcPr>
          <w:p w:rsidR="00DC7DA1" w:rsidRPr="00BE086B" w:rsidRDefault="00DC7DA1">
            <w:pPr>
              <w:pStyle w:val="15"/>
              <w:spacing w:line="360" w:lineRule="auto"/>
              <w:jc w:val="both"/>
              <w:rPr>
                <w:rFonts w:ascii="Times New Roman" w:hAnsi="Times New Roman" w:cs="Times New Roman"/>
                <w:sz w:val="28"/>
                <w:szCs w:val="28"/>
                <w:lang w:val="uk-UA"/>
              </w:rPr>
            </w:pPr>
          </w:p>
          <w:p w:rsidR="00DC7DA1" w:rsidRPr="00BE086B" w:rsidRDefault="00DC7DA1">
            <w:pPr>
              <w:pStyle w:val="15"/>
              <w:spacing w:line="360" w:lineRule="auto"/>
              <w:jc w:val="both"/>
              <w:rPr>
                <w:rFonts w:ascii="Times New Roman" w:hAnsi="Times New Roman" w:cs="Times New Roman"/>
                <w:sz w:val="28"/>
                <w:szCs w:val="28"/>
                <w:lang w:val="uk-UA"/>
              </w:rPr>
            </w:pPr>
          </w:p>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89</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712D6E">
            <w:pPr>
              <w:pStyle w:val="15"/>
              <w:spacing w:line="360" w:lineRule="auto"/>
              <w:jc w:val="both"/>
              <w:rPr>
                <w:rFonts w:ascii="Times New Roman" w:hAnsi="Times New Roman" w:cs="Times New Roman"/>
                <w:lang w:val="uk-UA"/>
              </w:rPr>
            </w:pPr>
            <w:r w:rsidRPr="00BE086B">
              <w:rPr>
                <w:rFonts w:ascii="Times New Roman" w:hAnsi="Times New Roman" w:cs="Times New Roman"/>
                <w:bCs/>
                <w:sz w:val="28"/>
                <w:szCs w:val="28"/>
                <w:lang w:val="uk-UA"/>
              </w:rPr>
              <w:t>2.</w:t>
            </w:r>
            <w:r w:rsidR="00712D6E" w:rsidRPr="00BE086B">
              <w:rPr>
                <w:rFonts w:ascii="Times New Roman" w:hAnsi="Times New Roman" w:cs="Times New Roman"/>
                <w:bCs/>
                <w:sz w:val="28"/>
                <w:szCs w:val="28"/>
                <w:lang w:val="uk-UA"/>
              </w:rPr>
              <w:t>4</w:t>
            </w:r>
            <w:r w:rsidRPr="00BE086B">
              <w:rPr>
                <w:rFonts w:ascii="Times New Roman" w:hAnsi="Times New Roman" w:cs="Times New Roman"/>
                <w:bCs/>
                <w:sz w:val="28"/>
                <w:szCs w:val="28"/>
                <w:lang w:val="uk-UA"/>
              </w:rPr>
              <w:t>.</w:t>
            </w:r>
            <w:r w:rsidR="00712D6E" w:rsidRPr="00BE086B">
              <w:rPr>
                <w:rFonts w:ascii="Times New Roman" w:hAnsi="Times New Roman" w:cs="Times New Roman"/>
                <w:bCs/>
                <w:sz w:val="28"/>
                <w:szCs w:val="28"/>
                <w:lang w:val="uk-UA"/>
              </w:rPr>
              <w:t>6</w:t>
            </w:r>
            <w:r w:rsidRPr="00BE086B">
              <w:rPr>
                <w:rFonts w:ascii="Times New Roman" w:hAnsi="Times New Roman" w:cs="Times New Roman"/>
                <w:bCs/>
                <w:sz w:val="28"/>
                <w:szCs w:val="28"/>
                <w:lang w:val="uk-UA"/>
              </w:rPr>
              <w:t>.</w:t>
            </w:r>
          </w:p>
        </w:tc>
        <w:tc>
          <w:tcPr>
            <w:tcW w:w="6487" w:type="dxa"/>
            <w:shd w:val="clear" w:color="auto" w:fill="auto"/>
          </w:tcPr>
          <w:p w:rsidR="009B2812" w:rsidRPr="00BE086B" w:rsidRDefault="00712D6E" w:rsidP="00610401">
            <w:pPr>
              <w:pStyle w:val="af2"/>
              <w:autoSpaceDE w:val="0"/>
              <w:spacing w:before="0" w:after="0" w:line="360" w:lineRule="auto"/>
              <w:jc w:val="both"/>
              <w:rPr>
                <w:rFonts w:cs="Times New Roman"/>
                <w:bCs/>
                <w:i w:val="0"/>
                <w:sz w:val="28"/>
                <w:szCs w:val="28"/>
              </w:rPr>
            </w:pPr>
            <w:r w:rsidRPr="00BE086B">
              <w:rPr>
                <w:rFonts w:cs="Times New Roman"/>
                <w:bCs/>
                <w:i w:val="0"/>
                <w:sz w:val="28"/>
                <w:szCs w:val="28"/>
              </w:rPr>
              <w:t>Вивчення антиноци</w:t>
            </w:r>
            <w:r w:rsidR="00610401" w:rsidRPr="00BE086B">
              <w:rPr>
                <w:rFonts w:cs="Times New Roman"/>
                <w:bCs/>
                <w:i w:val="0"/>
                <w:sz w:val="28"/>
                <w:szCs w:val="28"/>
              </w:rPr>
              <w:t xml:space="preserve">цептивної активності на моделі </w:t>
            </w:r>
            <w:r w:rsidR="00610401" w:rsidRPr="00BE086B">
              <w:rPr>
                <w:rFonts w:cs="Times New Roman"/>
                <w:bCs/>
                <w:i w:val="0"/>
                <w:sz w:val="28"/>
                <w:szCs w:val="28"/>
                <w:lang w:val="uk-UA"/>
              </w:rPr>
              <w:t>«</w:t>
            </w:r>
            <w:r w:rsidRPr="00BE086B">
              <w:rPr>
                <w:rFonts w:cs="Times New Roman"/>
                <w:bCs/>
                <w:i w:val="0"/>
                <w:sz w:val="28"/>
                <w:szCs w:val="28"/>
              </w:rPr>
              <w:t>оцтовокислих корчів</w:t>
            </w:r>
            <w:r w:rsidR="00610401" w:rsidRPr="00BE086B">
              <w:rPr>
                <w:rFonts w:cs="Times New Roman"/>
                <w:bCs/>
                <w:i w:val="0"/>
                <w:sz w:val="28"/>
                <w:szCs w:val="28"/>
                <w:lang w:val="uk-UA"/>
              </w:rPr>
              <w:t>»</w:t>
            </w:r>
            <w:r w:rsidRPr="00BE086B">
              <w:rPr>
                <w:rFonts w:cs="Times New Roman"/>
                <w:bCs/>
                <w:i w:val="0"/>
                <w:sz w:val="28"/>
                <w:szCs w:val="28"/>
              </w:rPr>
              <w:t xml:space="preserve"> у щурів</w:t>
            </w:r>
          </w:p>
        </w:tc>
        <w:tc>
          <w:tcPr>
            <w:tcW w:w="866" w:type="dxa"/>
            <w:shd w:val="clear" w:color="auto" w:fill="auto"/>
          </w:tcPr>
          <w:p w:rsidR="00DC7DA1" w:rsidRPr="00BE086B" w:rsidRDefault="00DC7DA1">
            <w:pPr>
              <w:pStyle w:val="15"/>
              <w:spacing w:line="360" w:lineRule="auto"/>
              <w:jc w:val="both"/>
              <w:rPr>
                <w:rFonts w:ascii="Times New Roman" w:hAnsi="Times New Roman" w:cs="Times New Roman"/>
                <w:sz w:val="28"/>
                <w:szCs w:val="28"/>
                <w:lang w:val="uk-UA"/>
              </w:rPr>
            </w:pPr>
          </w:p>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90</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A86F6A">
            <w:pPr>
              <w:pStyle w:val="15"/>
              <w:spacing w:line="360" w:lineRule="auto"/>
              <w:jc w:val="both"/>
              <w:rPr>
                <w:rFonts w:ascii="Times New Roman" w:hAnsi="Times New Roman" w:cs="Times New Roman"/>
                <w:bCs/>
                <w:sz w:val="28"/>
                <w:szCs w:val="28"/>
                <w:lang w:val="uk-UA"/>
              </w:rPr>
            </w:pPr>
            <w:r w:rsidRPr="00BE086B">
              <w:rPr>
                <w:rFonts w:ascii="Times New Roman" w:hAnsi="Times New Roman" w:cs="Times New Roman"/>
                <w:bCs/>
                <w:sz w:val="28"/>
                <w:szCs w:val="28"/>
                <w:lang w:val="uk-UA"/>
              </w:rPr>
              <w:t>2.</w:t>
            </w:r>
            <w:r w:rsidR="00A86F6A" w:rsidRPr="00BE086B">
              <w:rPr>
                <w:rFonts w:ascii="Times New Roman" w:hAnsi="Times New Roman" w:cs="Times New Roman"/>
                <w:bCs/>
                <w:sz w:val="28"/>
                <w:szCs w:val="28"/>
                <w:lang w:val="uk-UA"/>
              </w:rPr>
              <w:t>4</w:t>
            </w:r>
            <w:r w:rsidRPr="00BE086B">
              <w:rPr>
                <w:rFonts w:ascii="Times New Roman" w:hAnsi="Times New Roman" w:cs="Times New Roman"/>
                <w:bCs/>
                <w:sz w:val="28"/>
                <w:szCs w:val="28"/>
                <w:lang w:val="uk-UA"/>
              </w:rPr>
              <w:t>.</w:t>
            </w:r>
            <w:r w:rsidR="00A86F6A" w:rsidRPr="00BE086B">
              <w:rPr>
                <w:rFonts w:ascii="Times New Roman" w:hAnsi="Times New Roman" w:cs="Times New Roman"/>
                <w:bCs/>
                <w:sz w:val="28"/>
                <w:szCs w:val="28"/>
                <w:lang w:val="uk-UA"/>
              </w:rPr>
              <w:t>7.</w:t>
            </w:r>
          </w:p>
        </w:tc>
        <w:tc>
          <w:tcPr>
            <w:tcW w:w="6487" w:type="dxa"/>
            <w:shd w:val="clear" w:color="auto" w:fill="auto"/>
          </w:tcPr>
          <w:p w:rsidR="009B2812" w:rsidRPr="00BE086B" w:rsidRDefault="00446C1A" w:rsidP="00F50E9A">
            <w:pPr>
              <w:pStyle w:val="af2"/>
              <w:spacing w:before="0" w:after="0" w:line="360" w:lineRule="auto"/>
              <w:jc w:val="both"/>
              <w:rPr>
                <w:rFonts w:cs="Times New Roman"/>
                <w:bCs/>
                <w:i w:val="0"/>
                <w:sz w:val="28"/>
                <w:szCs w:val="28"/>
                <w:lang w:val="uk-UA"/>
              </w:rPr>
            </w:pPr>
            <w:r w:rsidRPr="00BE086B">
              <w:rPr>
                <w:rFonts w:cs="Times New Roman"/>
                <w:i w:val="0"/>
                <w:sz w:val="28"/>
                <w:szCs w:val="28"/>
                <w:lang w:val="uk-UA"/>
              </w:rPr>
              <w:t>Морфометрична оцінка розмірів колінних суглобів щурів</w:t>
            </w:r>
          </w:p>
        </w:tc>
        <w:tc>
          <w:tcPr>
            <w:tcW w:w="866" w:type="dxa"/>
            <w:shd w:val="clear" w:color="auto" w:fill="auto"/>
          </w:tcPr>
          <w:p w:rsidR="00DC7DA1" w:rsidRPr="00BE086B" w:rsidRDefault="00DC7DA1">
            <w:pPr>
              <w:pStyle w:val="15"/>
              <w:snapToGrid w:val="0"/>
              <w:spacing w:line="360" w:lineRule="auto"/>
              <w:jc w:val="both"/>
              <w:rPr>
                <w:rFonts w:ascii="Times New Roman" w:hAnsi="Times New Roman" w:cs="Times New Roman"/>
                <w:bCs/>
                <w:sz w:val="28"/>
                <w:szCs w:val="28"/>
                <w:lang w:val="uk-UA"/>
              </w:rPr>
            </w:pPr>
          </w:p>
          <w:p w:rsidR="009B2812" w:rsidRPr="00BE086B" w:rsidRDefault="00406A61">
            <w:pPr>
              <w:pStyle w:val="15"/>
              <w:snapToGrid w:val="0"/>
              <w:spacing w:line="360" w:lineRule="auto"/>
              <w:jc w:val="both"/>
              <w:rPr>
                <w:rFonts w:ascii="Times New Roman" w:hAnsi="Times New Roman" w:cs="Times New Roman"/>
                <w:bCs/>
                <w:sz w:val="28"/>
                <w:szCs w:val="28"/>
                <w:lang w:val="uk-UA"/>
              </w:rPr>
            </w:pPr>
            <w:r w:rsidRPr="00BE086B">
              <w:rPr>
                <w:rFonts w:ascii="Times New Roman" w:hAnsi="Times New Roman" w:cs="Times New Roman"/>
                <w:bCs/>
                <w:sz w:val="28"/>
                <w:szCs w:val="28"/>
                <w:lang w:val="uk-UA"/>
              </w:rPr>
              <w:t>91</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A86F6A">
            <w:pPr>
              <w:pStyle w:val="15"/>
              <w:spacing w:line="360" w:lineRule="auto"/>
              <w:jc w:val="both"/>
              <w:rPr>
                <w:rFonts w:ascii="Times New Roman" w:hAnsi="Times New Roman" w:cs="Times New Roman"/>
                <w:bCs/>
                <w:sz w:val="28"/>
                <w:szCs w:val="28"/>
                <w:lang w:val="uk-UA"/>
              </w:rPr>
            </w:pPr>
            <w:r w:rsidRPr="00BE086B">
              <w:rPr>
                <w:rFonts w:ascii="Times New Roman" w:hAnsi="Times New Roman" w:cs="Times New Roman"/>
                <w:bCs/>
                <w:sz w:val="28"/>
                <w:szCs w:val="28"/>
                <w:lang w:val="uk-UA"/>
              </w:rPr>
              <w:t>2.</w:t>
            </w:r>
            <w:r w:rsidR="00A86F6A" w:rsidRPr="00BE086B">
              <w:rPr>
                <w:rFonts w:ascii="Times New Roman" w:hAnsi="Times New Roman" w:cs="Times New Roman"/>
                <w:bCs/>
                <w:sz w:val="28"/>
                <w:szCs w:val="28"/>
                <w:lang w:val="uk-UA"/>
              </w:rPr>
              <w:t>4</w:t>
            </w:r>
            <w:r w:rsidRPr="00BE086B">
              <w:rPr>
                <w:rFonts w:ascii="Times New Roman" w:hAnsi="Times New Roman" w:cs="Times New Roman"/>
                <w:bCs/>
                <w:sz w:val="28"/>
                <w:szCs w:val="28"/>
                <w:lang w:val="uk-UA"/>
              </w:rPr>
              <w:t>.</w:t>
            </w:r>
            <w:r w:rsidR="00A86F6A" w:rsidRPr="00BE086B">
              <w:rPr>
                <w:rFonts w:ascii="Times New Roman" w:hAnsi="Times New Roman" w:cs="Times New Roman"/>
                <w:bCs/>
                <w:sz w:val="28"/>
                <w:szCs w:val="28"/>
                <w:lang w:val="uk-UA"/>
              </w:rPr>
              <w:t>8.</w:t>
            </w:r>
          </w:p>
        </w:tc>
        <w:tc>
          <w:tcPr>
            <w:tcW w:w="6487" w:type="dxa"/>
            <w:shd w:val="clear" w:color="auto" w:fill="auto"/>
          </w:tcPr>
          <w:p w:rsidR="009B2812" w:rsidRPr="00BE086B" w:rsidRDefault="00446C1A" w:rsidP="00F50E9A">
            <w:pPr>
              <w:pStyle w:val="af2"/>
              <w:autoSpaceDE w:val="0"/>
              <w:spacing w:before="0" w:after="0" w:line="360" w:lineRule="auto"/>
              <w:jc w:val="both"/>
              <w:rPr>
                <w:rFonts w:cs="Times New Roman"/>
                <w:bCs/>
                <w:i w:val="0"/>
                <w:sz w:val="28"/>
                <w:szCs w:val="28"/>
                <w:lang w:val="uk-UA"/>
              </w:rPr>
            </w:pPr>
            <w:r w:rsidRPr="00BE086B">
              <w:rPr>
                <w:rFonts w:cs="Times New Roman"/>
                <w:i w:val="0"/>
                <w:sz w:val="28"/>
                <w:szCs w:val="28"/>
              </w:rPr>
              <w:t>Біохімічні дослідження</w:t>
            </w:r>
            <w:r w:rsidRPr="00BE086B">
              <w:rPr>
                <w:rFonts w:cs="Times New Roman"/>
                <w:i w:val="0"/>
                <w:sz w:val="28"/>
                <w:szCs w:val="28"/>
                <w:lang w:val="uk-UA"/>
              </w:rPr>
              <w:t xml:space="preserve"> </w:t>
            </w:r>
            <w:r w:rsidRPr="00BE086B">
              <w:rPr>
                <w:rFonts w:cs="Times New Roman"/>
                <w:bCs/>
                <w:i w:val="0"/>
                <w:sz w:val="28"/>
                <w:szCs w:val="28"/>
              </w:rPr>
              <w:t>у щурів</w:t>
            </w:r>
          </w:p>
        </w:tc>
        <w:tc>
          <w:tcPr>
            <w:tcW w:w="866" w:type="dxa"/>
            <w:shd w:val="clear" w:color="auto" w:fill="auto"/>
          </w:tcPr>
          <w:p w:rsidR="009B2812" w:rsidRPr="00BE086B" w:rsidRDefault="00406A61">
            <w:pPr>
              <w:pStyle w:val="15"/>
              <w:snapToGrid w:val="0"/>
              <w:spacing w:line="360" w:lineRule="auto"/>
              <w:jc w:val="both"/>
              <w:rPr>
                <w:rFonts w:ascii="Times New Roman" w:hAnsi="Times New Roman" w:cs="Times New Roman"/>
                <w:bCs/>
                <w:sz w:val="28"/>
                <w:szCs w:val="28"/>
                <w:lang w:val="uk-UA"/>
              </w:rPr>
            </w:pPr>
            <w:r w:rsidRPr="00BE086B">
              <w:rPr>
                <w:rFonts w:ascii="Times New Roman" w:hAnsi="Times New Roman" w:cs="Times New Roman"/>
                <w:bCs/>
                <w:sz w:val="28"/>
                <w:szCs w:val="28"/>
                <w:lang w:val="uk-UA"/>
              </w:rPr>
              <w:t>91</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A86F6A">
            <w:pPr>
              <w:spacing w:line="360" w:lineRule="auto"/>
              <w:jc w:val="both"/>
              <w:rPr>
                <w:lang w:val="uk-UA"/>
              </w:rPr>
            </w:pPr>
            <w:r w:rsidRPr="00BE086B">
              <w:rPr>
                <w:sz w:val="28"/>
                <w:szCs w:val="28"/>
                <w:lang w:val="uk-UA"/>
              </w:rPr>
              <w:t>2.4</w:t>
            </w:r>
            <w:r w:rsidR="00A86F6A" w:rsidRPr="00BE086B">
              <w:rPr>
                <w:sz w:val="28"/>
                <w:szCs w:val="28"/>
                <w:lang w:val="uk-UA"/>
              </w:rPr>
              <w:t>.9.</w:t>
            </w:r>
          </w:p>
        </w:tc>
        <w:tc>
          <w:tcPr>
            <w:tcW w:w="6487" w:type="dxa"/>
            <w:shd w:val="clear" w:color="auto" w:fill="auto"/>
          </w:tcPr>
          <w:p w:rsidR="009B2812" w:rsidRPr="00BE086B" w:rsidRDefault="00446C1A" w:rsidP="00446C1A">
            <w:pPr>
              <w:pStyle w:val="31"/>
              <w:spacing w:line="360" w:lineRule="auto"/>
              <w:jc w:val="both"/>
            </w:pPr>
            <w:r w:rsidRPr="00BE086B">
              <w:rPr>
                <w:rStyle w:val="translation-chunk"/>
                <w:bCs/>
                <w:szCs w:val="28"/>
              </w:rPr>
              <w:t xml:space="preserve">Біофармацевтичний аналіз взаємодії </w:t>
            </w:r>
            <w:r w:rsidRPr="00BE086B">
              <w:rPr>
                <w:szCs w:val="28"/>
                <w:lang w:eastAsia="ru-RU"/>
              </w:rPr>
              <w:t>комбінації лікарських засобів</w:t>
            </w:r>
          </w:p>
        </w:tc>
        <w:tc>
          <w:tcPr>
            <w:tcW w:w="866" w:type="dxa"/>
            <w:shd w:val="clear" w:color="auto" w:fill="auto"/>
          </w:tcPr>
          <w:p w:rsidR="00DC7DA1" w:rsidRPr="00BE086B" w:rsidRDefault="00DC7DA1">
            <w:pPr>
              <w:pStyle w:val="15"/>
              <w:spacing w:line="360" w:lineRule="auto"/>
              <w:jc w:val="both"/>
              <w:rPr>
                <w:rFonts w:ascii="Times New Roman" w:hAnsi="Times New Roman" w:cs="Times New Roman"/>
                <w:sz w:val="28"/>
                <w:szCs w:val="28"/>
                <w:lang w:val="uk-UA"/>
              </w:rPr>
            </w:pPr>
          </w:p>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95</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A86F6A">
            <w:pPr>
              <w:pStyle w:val="31"/>
              <w:spacing w:line="360" w:lineRule="auto"/>
              <w:jc w:val="both"/>
            </w:pPr>
            <w:r w:rsidRPr="00BE086B">
              <w:rPr>
                <w:szCs w:val="28"/>
              </w:rPr>
              <w:t>2.</w:t>
            </w:r>
            <w:r w:rsidR="00A86F6A" w:rsidRPr="00BE086B">
              <w:rPr>
                <w:szCs w:val="28"/>
              </w:rPr>
              <w:t>4.10</w:t>
            </w:r>
          </w:p>
        </w:tc>
        <w:tc>
          <w:tcPr>
            <w:tcW w:w="6487" w:type="dxa"/>
            <w:shd w:val="clear" w:color="auto" w:fill="auto"/>
          </w:tcPr>
          <w:p w:rsidR="009B2812" w:rsidRPr="00BE086B" w:rsidRDefault="00446C1A" w:rsidP="00F50E9A">
            <w:pPr>
              <w:pStyle w:val="31"/>
              <w:spacing w:line="360" w:lineRule="auto"/>
              <w:jc w:val="both"/>
              <w:rPr>
                <w:szCs w:val="28"/>
              </w:rPr>
            </w:pPr>
            <w:r w:rsidRPr="00BE086B">
              <w:rPr>
                <w:bCs/>
                <w:szCs w:val="28"/>
              </w:rPr>
              <w:t xml:space="preserve">Дослідження </w:t>
            </w:r>
            <w:r w:rsidRPr="00BE086B">
              <w:t>морфофункціонального стану кісткової та хрящової тканин щурів</w:t>
            </w:r>
          </w:p>
        </w:tc>
        <w:tc>
          <w:tcPr>
            <w:tcW w:w="866" w:type="dxa"/>
            <w:shd w:val="clear" w:color="auto" w:fill="auto"/>
          </w:tcPr>
          <w:p w:rsidR="00DC7DA1" w:rsidRPr="00BE086B" w:rsidRDefault="00DC7DA1">
            <w:pPr>
              <w:pStyle w:val="15"/>
              <w:spacing w:line="360" w:lineRule="auto"/>
              <w:jc w:val="both"/>
              <w:rPr>
                <w:rFonts w:ascii="Times New Roman" w:hAnsi="Times New Roman" w:cs="Times New Roman"/>
                <w:sz w:val="28"/>
                <w:szCs w:val="28"/>
                <w:lang w:val="uk-UA"/>
              </w:rPr>
            </w:pPr>
          </w:p>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96</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napToGrid w:val="0"/>
              <w:spacing w:line="360" w:lineRule="auto"/>
              <w:jc w:val="center"/>
              <w:rPr>
                <w:sz w:val="28"/>
                <w:szCs w:val="28"/>
                <w:lang w:val="uk-UA"/>
              </w:rPr>
            </w:pPr>
          </w:p>
        </w:tc>
        <w:tc>
          <w:tcPr>
            <w:tcW w:w="1141" w:type="dxa"/>
            <w:gridSpan w:val="2"/>
            <w:shd w:val="clear" w:color="auto" w:fill="auto"/>
          </w:tcPr>
          <w:p w:rsidR="009B2812" w:rsidRPr="00BE086B" w:rsidRDefault="009B2812" w:rsidP="002631B3">
            <w:pPr>
              <w:pStyle w:val="31"/>
              <w:spacing w:line="360" w:lineRule="auto"/>
              <w:jc w:val="both"/>
            </w:pPr>
            <w:r w:rsidRPr="00BE086B">
              <w:rPr>
                <w:szCs w:val="28"/>
              </w:rPr>
              <w:t>2.</w:t>
            </w:r>
            <w:r w:rsidR="002631B3" w:rsidRPr="00BE086B">
              <w:rPr>
                <w:szCs w:val="28"/>
              </w:rPr>
              <w:t>5</w:t>
            </w:r>
          </w:p>
        </w:tc>
        <w:tc>
          <w:tcPr>
            <w:tcW w:w="6487" w:type="dxa"/>
            <w:shd w:val="clear" w:color="auto" w:fill="auto"/>
          </w:tcPr>
          <w:p w:rsidR="009B2812" w:rsidRPr="00BE086B" w:rsidRDefault="002631B3" w:rsidP="00F50E9A">
            <w:pPr>
              <w:pStyle w:val="31"/>
              <w:spacing w:line="360" w:lineRule="auto"/>
              <w:jc w:val="both"/>
            </w:pPr>
            <w:r w:rsidRPr="00BE086B">
              <w:rPr>
                <w:szCs w:val="28"/>
              </w:rPr>
              <w:t>Статистична обробка результатів</w:t>
            </w:r>
          </w:p>
        </w:tc>
        <w:tc>
          <w:tcPr>
            <w:tcW w:w="866" w:type="dxa"/>
            <w:shd w:val="clear" w:color="auto" w:fill="auto"/>
          </w:tcPr>
          <w:p w:rsidR="009B2812" w:rsidRPr="00BE086B" w:rsidRDefault="00406A6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96</w:t>
            </w:r>
          </w:p>
        </w:tc>
      </w:tr>
      <w:tr w:rsidR="009B2812" w:rsidRPr="00BE086B" w:rsidTr="001F77EC">
        <w:tc>
          <w:tcPr>
            <w:tcW w:w="1425" w:type="dxa"/>
            <w:shd w:val="clear" w:color="auto" w:fill="auto"/>
          </w:tcPr>
          <w:p w:rsidR="009B2812" w:rsidRPr="00BE086B" w:rsidRDefault="009B2812">
            <w:pPr>
              <w:spacing w:line="360" w:lineRule="auto"/>
              <w:jc w:val="both"/>
              <w:rPr>
                <w:lang w:val="uk-UA"/>
              </w:rPr>
            </w:pPr>
            <w:r w:rsidRPr="00BE086B">
              <w:rPr>
                <w:b/>
                <w:bCs/>
                <w:caps/>
                <w:sz w:val="28"/>
                <w:szCs w:val="28"/>
                <w:lang w:val="uk-UA"/>
              </w:rPr>
              <w:t>Р</w:t>
            </w:r>
            <w:r w:rsidRPr="00BE086B">
              <w:rPr>
                <w:b/>
                <w:bCs/>
                <w:sz w:val="28"/>
                <w:szCs w:val="28"/>
                <w:lang w:val="uk-UA"/>
              </w:rPr>
              <w:t>озділ</w:t>
            </w:r>
            <w:r w:rsidRPr="00BE086B">
              <w:rPr>
                <w:b/>
                <w:bCs/>
                <w:caps/>
                <w:sz w:val="28"/>
                <w:szCs w:val="28"/>
                <w:lang w:val="uk-UA"/>
              </w:rPr>
              <w:t xml:space="preserve"> 3</w:t>
            </w:r>
          </w:p>
        </w:tc>
        <w:tc>
          <w:tcPr>
            <w:tcW w:w="8239" w:type="dxa"/>
            <w:gridSpan w:val="4"/>
            <w:shd w:val="clear" w:color="auto" w:fill="auto"/>
          </w:tcPr>
          <w:p w:rsidR="009B2812" w:rsidRPr="00BE086B" w:rsidRDefault="0085248B" w:rsidP="00445A6A">
            <w:pPr>
              <w:spacing w:line="360" w:lineRule="auto"/>
              <w:jc w:val="both"/>
              <w:rPr>
                <w:bCs/>
                <w:sz w:val="28"/>
                <w:szCs w:val="28"/>
              </w:rPr>
            </w:pPr>
            <w:r w:rsidRPr="00BE086B">
              <w:rPr>
                <w:sz w:val="28"/>
                <w:szCs w:val="28"/>
                <w:lang w:val="uk-UA"/>
              </w:rPr>
              <w:t>А</w:t>
            </w:r>
            <w:r w:rsidRPr="00BE086B">
              <w:rPr>
                <w:sz w:val="28"/>
                <w:szCs w:val="28"/>
              </w:rPr>
              <w:t>налгетична активність НПЗЗ та парацетамолу при експериментальному остеоартрозі та гіпотиреозі</w:t>
            </w:r>
          </w:p>
        </w:tc>
        <w:tc>
          <w:tcPr>
            <w:tcW w:w="866" w:type="dxa"/>
            <w:shd w:val="clear" w:color="auto" w:fill="auto"/>
          </w:tcPr>
          <w:p w:rsidR="00DC7DA1" w:rsidRPr="00BE086B" w:rsidRDefault="00DC7DA1">
            <w:pPr>
              <w:pStyle w:val="15"/>
              <w:spacing w:line="360" w:lineRule="auto"/>
              <w:jc w:val="both"/>
              <w:rPr>
                <w:rFonts w:ascii="Times New Roman" w:hAnsi="Times New Roman" w:cs="Times New Roman"/>
                <w:sz w:val="28"/>
                <w:szCs w:val="28"/>
                <w:lang w:val="uk-UA"/>
              </w:rPr>
            </w:pPr>
          </w:p>
          <w:p w:rsidR="009B2812" w:rsidRPr="00BE086B" w:rsidRDefault="00EC05FD">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98</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3.1</w:t>
            </w:r>
          </w:p>
        </w:tc>
        <w:tc>
          <w:tcPr>
            <w:tcW w:w="7628" w:type="dxa"/>
            <w:gridSpan w:val="3"/>
            <w:shd w:val="clear" w:color="auto" w:fill="auto"/>
          </w:tcPr>
          <w:p w:rsidR="009B2812" w:rsidRPr="00BE086B" w:rsidRDefault="009B2812" w:rsidP="00980617">
            <w:pPr>
              <w:spacing w:line="360" w:lineRule="auto"/>
              <w:jc w:val="both"/>
              <w:rPr>
                <w:lang w:val="uk-UA"/>
              </w:rPr>
            </w:pPr>
            <w:r w:rsidRPr="00BE086B">
              <w:rPr>
                <w:sz w:val="28"/>
                <w:szCs w:val="28"/>
                <w:lang w:val="uk-UA"/>
              </w:rPr>
              <w:t xml:space="preserve">Вплив НПЗЗ та </w:t>
            </w:r>
            <w:r w:rsidRPr="00BE086B">
              <w:rPr>
                <w:bCs/>
                <w:sz w:val="28"/>
                <w:szCs w:val="28"/>
                <w:lang w:val="uk-UA"/>
              </w:rPr>
              <w:t xml:space="preserve">парацетамолу </w:t>
            </w:r>
            <w:r w:rsidRPr="00BE086B">
              <w:rPr>
                <w:sz w:val="28"/>
                <w:szCs w:val="28"/>
                <w:lang w:val="uk-UA"/>
              </w:rPr>
              <w:t>на б</w:t>
            </w:r>
            <w:r w:rsidR="00980617" w:rsidRPr="00BE086B">
              <w:rPr>
                <w:sz w:val="28"/>
                <w:szCs w:val="28"/>
                <w:lang w:val="uk-UA"/>
              </w:rPr>
              <w:t>ольовий поріг</w:t>
            </w:r>
            <w:r w:rsidRPr="00BE086B">
              <w:rPr>
                <w:sz w:val="28"/>
                <w:szCs w:val="28"/>
                <w:lang w:val="uk-UA"/>
              </w:rPr>
              <w:t xml:space="preserve"> за умов експериментального остеоартрозу</w:t>
            </w:r>
          </w:p>
        </w:tc>
        <w:tc>
          <w:tcPr>
            <w:tcW w:w="866" w:type="dxa"/>
            <w:shd w:val="clear" w:color="auto" w:fill="auto"/>
          </w:tcPr>
          <w:p w:rsidR="00726870" w:rsidRPr="00BE086B" w:rsidRDefault="00726870">
            <w:pPr>
              <w:pStyle w:val="15"/>
              <w:spacing w:line="360" w:lineRule="auto"/>
              <w:jc w:val="both"/>
              <w:rPr>
                <w:rFonts w:ascii="Times New Roman" w:hAnsi="Times New Roman" w:cs="Times New Roman"/>
                <w:sz w:val="28"/>
                <w:szCs w:val="28"/>
                <w:lang w:val="uk-UA"/>
              </w:rPr>
            </w:pPr>
          </w:p>
          <w:p w:rsidR="009B2812" w:rsidRPr="00BE086B" w:rsidRDefault="00726870">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99</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3.2</w:t>
            </w:r>
          </w:p>
        </w:tc>
        <w:tc>
          <w:tcPr>
            <w:tcW w:w="7628" w:type="dxa"/>
            <w:gridSpan w:val="3"/>
            <w:shd w:val="clear" w:color="auto" w:fill="auto"/>
          </w:tcPr>
          <w:p w:rsidR="009B2812" w:rsidRPr="00BE086B" w:rsidRDefault="009B2812">
            <w:pPr>
              <w:spacing w:line="360" w:lineRule="auto"/>
              <w:jc w:val="both"/>
              <w:rPr>
                <w:lang w:val="uk-UA"/>
              </w:rPr>
            </w:pPr>
            <w:r w:rsidRPr="00BE086B">
              <w:rPr>
                <w:sz w:val="28"/>
                <w:szCs w:val="28"/>
                <w:lang w:val="uk-UA"/>
              </w:rPr>
              <w:t xml:space="preserve">Вплив НПЗЗ та </w:t>
            </w:r>
            <w:r w:rsidRPr="00BE086B">
              <w:rPr>
                <w:bCs/>
                <w:sz w:val="28"/>
                <w:szCs w:val="28"/>
                <w:lang w:val="uk-UA"/>
              </w:rPr>
              <w:t xml:space="preserve">парацетамолу </w:t>
            </w:r>
            <w:r w:rsidRPr="00BE086B">
              <w:rPr>
                <w:sz w:val="28"/>
                <w:szCs w:val="28"/>
                <w:lang w:val="uk-UA"/>
              </w:rPr>
              <w:t xml:space="preserve">на </w:t>
            </w:r>
            <w:r w:rsidR="00980617" w:rsidRPr="00BE086B">
              <w:rPr>
                <w:sz w:val="28"/>
                <w:szCs w:val="28"/>
                <w:lang w:val="uk-UA"/>
              </w:rPr>
              <w:t>больовий поріг</w:t>
            </w:r>
            <w:r w:rsidRPr="00BE086B">
              <w:rPr>
                <w:sz w:val="28"/>
                <w:szCs w:val="28"/>
                <w:lang w:val="uk-UA"/>
              </w:rPr>
              <w:t xml:space="preserve"> за умов експериментального </w:t>
            </w:r>
            <w:r w:rsidRPr="00BE086B">
              <w:rPr>
                <w:bCs/>
                <w:sz w:val="28"/>
                <w:szCs w:val="28"/>
              </w:rPr>
              <w:t>остеоартрозу та гіпотиреозу</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726870" w:rsidRPr="00BE086B" w:rsidRDefault="00421F9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103</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3.3</w:t>
            </w:r>
          </w:p>
        </w:tc>
        <w:tc>
          <w:tcPr>
            <w:tcW w:w="7628" w:type="dxa"/>
            <w:gridSpan w:val="3"/>
            <w:shd w:val="clear" w:color="auto" w:fill="auto"/>
          </w:tcPr>
          <w:p w:rsidR="009B2812" w:rsidRPr="00BE086B" w:rsidRDefault="009B2812">
            <w:pPr>
              <w:spacing w:line="360" w:lineRule="auto"/>
              <w:jc w:val="both"/>
              <w:rPr>
                <w:bCs/>
                <w:sz w:val="28"/>
                <w:szCs w:val="28"/>
                <w:lang w:val="uk-UA"/>
              </w:rPr>
            </w:pPr>
            <w:r w:rsidRPr="00BE086B">
              <w:rPr>
                <w:rStyle w:val="Default20Paragraph20Font"/>
                <w:bCs/>
                <w:sz w:val="28"/>
                <w:szCs w:val="28"/>
              </w:rPr>
              <w:t xml:space="preserve">Вплив НПЗЗ та парацетамолу на </w:t>
            </w:r>
            <w:r w:rsidR="00980617" w:rsidRPr="00BE086B">
              <w:rPr>
                <w:sz w:val="28"/>
                <w:szCs w:val="28"/>
                <w:lang w:val="uk-UA"/>
              </w:rPr>
              <w:t>больовий поріг</w:t>
            </w:r>
            <w:r w:rsidRPr="00BE086B">
              <w:rPr>
                <w:rStyle w:val="Default20Paragraph20Font"/>
                <w:bCs/>
                <w:sz w:val="28"/>
                <w:szCs w:val="28"/>
              </w:rPr>
              <w:t xml:space="preserve"> за умов експериментального остеоартрозу та гіпотиреозу при призначенні L-тироксину</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421F9B" w:rsidRPr="00BE086B" w:rsidRDefault="00421F9B">
            <w:pPr>
              <w:pStyle w:val="15"/>
              <w:spacing w:line="360" w:lineRule="auto"/>
              <w:jc w:val="both"/>
              <w:rPr>
                <w:rFonts w:ascii="Times New Roman" w:hAnsi="Times New Roman" w:cs="Times New Roman"/>
                <w:sz w:val="28"/>
                <w:szCs w:val="28"/>
                <w:lang w:val="uk-UA"/>
              </w:rPr>
            </w:pPr>
          </w:p>
          <w:p w:rsidR="00421F9B" w:rsidRPr="00BE086B" w:rsidRDefault="00421F9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108</w:t>
            </w:r>
          </w:p>
        </w:tc>
      </w:tr>
      <w:tr w:rsidR="009B2812" w:rsidRPr="00BE086B" w:rsidTr="001F77EC">
        <w:tc>
          <w:tcPr>
            <w:tcW w:w="1425" w:type="dxa"/>
            <w:shd w:val="clear" w:color="auto" w:fill="auto"/>
          </w:tcPr>
          <w:p w:rsidR="009B2812" w:rsidRPr="00BE086B" w:rsidRDefault="009B2812">
            <w:pPr>
              <w:spacing w:line="360" w:lineRule="auto"/>
              <w:jc w:val="both"/>
              <w:rPr>
                <w:lang w:val="uk-UA"/>
              </w:rPr>
            </w:pPr>
            <w:r w:rsidRPr="00BE086B">
              <w:rPr>
                <w:b/>
                <w:bCs/>
                <w:sz w:val="28"/>
                <w:szCs w:val="28"/>
                <w:lang w:val="uk-UA"/>
              </w:rPr>
              <w:t>Розділ 4</w:t>
            </w:r>
          </w:p>
        </w:tc>
        <w:tc>
          <w:tcPr>
            <w:tcW w:w="8239" w:type="dxa"/>
            <w:gridSpan w:val="4"/>
            <w:shd w:val="clear" w:color="auto" w:fill="auto"/>
          </w:tcPr>
          <w:p w:rsidR="009B2812" w:rsidRPr="00BE086B" w:rsidRDefault="00676664" w:rsidP="00F50E9A">
            <w:pPr>
              <w:pStyle w:val="af3"/>
              <w:spacing w:before="0" w:after="0" w:line="360" w:lineRule="auto"/>
              <w:jc w:val="both"/>
              <w:rPr>
                <w:lang w:val="uk-UA"/>
              </w:rPr>
            </w:pPr>
            <w:r w:rsidRPr="00BE086B">
              <w:rPr>
                <w:bCs/>
                <w:sz w:val="28"/>
                <w:szCs w:val="28"/>
                <w:lang w:val="uk-UA"/>
              </w:rPr>
              <w:t xml:space="preserve">Дослідження впливу НПЗЗ, парацетамолу та </w:t>
            </w:r>
            <w:r w:rsidRPr="00BE086B">
              <w:rPr>
                <w:sz w:val="28"/>
                <w:szCs w:val="28"/>
                <w:lang w:val="uk-UA"/>
              </w:rPr>
              <w:t>L-тироксину</w:t>
            </w:r>
            <w:r w:rsidRPr="00BE086B">
              <w:rPr>
                <w:bCs/>
                <w:sz w:val="28"/>
                <w:szCs w:val="28"/>
                <w:lang w:val="uk-UA"/>
              </w:rPr>
              <w:t xml:space="preserve"> на руховий, дослідницький та емоційний статус щурів у тесті «відкрите поле» за умов експериментального остеоартрозу та гіпотиреозу</w:t>
            </w:r>
          </w:p>
        </w:tc>
        <w:tc>
          <w:tcPr>
            <w:tcW w:w="866" w:type="dxa"/>
            <w:shd w:val="clear" w:color="auto" w:fill="auto"/>
          </w:tcPr>
          <w:p w:rsidR="00421F9B" w:rsidRPr="00BE086B" w:rsidRDefault="00421F9B">
            <w:pPr>
              <w:pStyle w:val="15"/>
              <w:spacing w:line="360" w:lineRule="auto"/>
              <w:jc w:val="both"/>
              <w:rPr>
                <w:rFonts w:ascii="Times New Roman" w:hAnsi="Times New Roman" w:cs="Times New Roman"/>
                <w:sz w:val="28"/>
                <w:szCs w:val="28"/>
                <w:lang w:val="uk-UA"/>
              </w:rPr>
            </w:pPr>
          </w:p>
          <w:p w:rsidR="00421F9B" w:rsidRPr="00BE086B" w:rsidRDefault="00421F9B">
            <w:pPr>
              <w:pStyle w:val="15"/>
              <w:spacing w:line="360" w:lineRule="auto"/>
              <w:jc w:val="both"/>
              <w:rPr>
                <w:rFonts w:ascii="Times New Roman" w:hAnsi="Times New Roman" w:cs="Times New Roman"/>
                <w:sz w:val="28"/>
                <w:szCs w:val="28"/>
                <w:lang w:val="uk-UA"/>
              </w:rPr>
            </w:pPr>
          </w:p>
          <w:p w:rsidR="00421F9B" w:rsidRPr="00BE086B" w:rsidRDefault="00421F9B">
            <w:pPr>
              <w:pStyle w:val="15"/>
              <w:spacing w:line="360" w:lineRule="auto"/>
              <w:jc w:val="both"/>
              <w:rPr>
                <w:rFonts w:ascii="Times New Roman" w:hAnsi="Times New Roman" w:cs="Times New Roman"/>
                <w:sz w:val="28"/>
                <w:szCs w:val="28"/>
                <w:lang w:val="uk-UA"/>
              </w:rPr>
            </w:pPr>
          </w:p>
          <w:p w:rsidR="009B2812" w:rsidRPr="00BE086B" w:rsidRDefault="00421F9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114</w:t>
            </w:r>
          </w:p>
        </w:tc>
      </w:tr>
      <w:tr w:rsidR="009B2812" w:rsidRPr="00BE086B" w:rsidTr="001F77EC">
        <w:tc>
          <w:tcPr>
            <w:tcW w:w="1425" w:type="dxa"/>
            <w:shd w:val="clear" w:color="auto" w:fill="auto"/>
          </w:tcPr>
          <w:p w:rsidR="009B2812" w:rsidRPr="00BE086B" w:rsidRDefault="009B2812">
            <w:pPr>
              <w:spacing w:line="360" w:lineRule="auto"/>
              <w:jc w:val="both"/>
              <w:rPr>
                <w:lang w:val="uk-UA"/>
              </w:rPr>
            </w:pPr>
            <w:r w:rsidRPr="00BE086B">
              <w:rPr>
                <w:b/>
                <w:bCs/>
                <w:sz w:val="28"/>
                <w:szCs w:val="28"/>
                <w:lang w:val="uk-UA"/>
              </w:rPr>
              <w:t>Розділ 5</w:t>
            </w:r>
          </w:p>
        </w:tc>
        <w:tc>
          <w:tcPr>
            <w:tcW w:w="8239" w:type="dxa"/>
            <w:gridSpan w:val="4"/>
            <w:shd w:val="clear" w:color="auto" w:fill="auto"/>
          </w:tcPr>
          <w:p w:rsidR="009B2812" w:rsidRPr="00BE086B" w:rsidRDefault="00EC2D23" w:rsidP="00F50E9A">
            <w:pPr>
              <w:spacing w:line="360" w:lineRule="auto"/>
              <w:jc w:val="both"/>
              <w:rPr>
                <w:sz w:val="28"/>
                <w:szCs w:val="28"/>
                <w:lang w:val="uk-UA"/>
              </w:rPr>
            </w:pPr>
            <w:r w:rsidRPr="00BE086B">
              <w:rPr>
                <w:bCs/>
                <w:sz w:val="28"/>
                <w:szCs w:val="28"/>
                <w:lang w:val="uk-UA"/>
              </w:rPr>
              <w:t>Дослідження рівня цитокінів при призначенні НПЗЗ, парацетамолу та L-тироксину за умов експериментального остеоартрозу та гіпотиреозу</w:t>
            </w:r>
          </w:p>
        </w:tc>
        <w:tc>
          <w:tcPr>
            <w:tcW w:w="866" w:type="dxa"/>
            <w:shd w:val="clear" w:color="auto" w:fill="auto"/>
          </w:tcPr>
          <w:p w:rsidR="00B700DF" w:rsidRPr="00BE086B" w:rsidRDefault="00B700DF">
            <w:pPr>
              <w:pStyle w:val="15"/>
              <w:spacing w:line="360" w:lineRule="auto"/>
              <w:jc w:val="both"/>
              <w:rPr>
                <w:rFonts w:ascii="Times New Roman" w:hAnsi="Times New Roman" w:cs="Times New Roman"/>
                <w:sz w:val="28"/>
                <w:szCs w:val="28"/>
                <w:lang w:val="uk-UA"/>
              </w:rPr>
            </w:pPr>
          </w:p>
          <w:p w:rsidR="00B700DF" w:rsidRPr="00BE086B" w:rsidRDefault="00B700DF">
            <w:pPr>
              <w:pStyle w:val="15"/>
              <w:spacing w:line="360" w:lineRule="auto"/>
              <w:jc w:val="both"/>
              <w:rPr>
                <w:rFonts w:ascii="Times New Roman" w:hAnsi="Times New Roman" w:cs="Times New Roman"/>
                <w:sz w:val="28"/>
                <w:szCs w:val="28"/>
                <w:lang w:val="uk-UA"/>
              </w:rPr>
            </w:pPr>
          </w:p>
          <w:p w:rsidR="009B2812" w:rsidRPr="00BE086B" w:rsidRDefault="00B700DF">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131</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5.1</w:t>
            </w:r>
          </w:p>
        </w:tc>
        <w:tc>
          <w:tcPr>
            <w:tcW w:w="7628" w:type="dxa"/>
            <w:gridSpan w:val="3"/>
            <w:shd w:val="clear" w:color="auto" w:fill="auto"/>
          </w:tcPr>
          <w:p w:rsidR="00AF3A77" w:rsidRPr="00BE086B" w:rsidRDefault="00AF3A77" w:rsidP="00AF3A77">
            <w:pPr>
              <w:pStyle w:val="WW-"/>
              <w:spacing w:after="0" w:line="360" w:lineRule="auto"/>
              <w:jc w:val="both"/>
              <w:rPr>
                <w:rFonts w:ascii="Times New Roman" w:hAnsi="Times New Roman" w:cs="Times New Roman"/>
                <w:color w:val="auto"/>
                <w:lang w:val="uk-UA"/>
              </w:rPr>
            </w:pPr>
            <w:r w:rsidRPr="00BE086B">
              <w:rPr>
                <w:rFonts w:ascii="Times New Roman" w:hAnsi="Times New Roman" w:cs="Times New Roman"/>
                <w:bCs/>
                <w:color w:val="auto"/>
                <w:sz w:val="28"/>
                <w:szCs w:val="28"/>
                <w:lang w:val="uk-UA"/>
              </w:rPr>
              <w:t xml:space="preserve">Зміни рівня інтерлейкінів 1, 6 та 8 під впливом </w:t>
            </w:r>
            <w:r w:rsidRPr="00BE086B">
              <w:rPr>
                <w:rFonts w:ascii="Times New Roman" w:hAnsi="Times New Roman" w:cs="Times New Roman"/>
                <w:color w:val="auto"/>
                <w:sz w:val="28"/>
                <w:szCs w:val="28"/>
                <w:lang w:val="uk-UA"/>
              </w:rPr>
              <w:t>НПЗЗ, парацетамолу та L-тироксину</w:t>
            </w:r>
            <w:r w:rsidRPr="00BE086B">
              <w:rPr>
                <w:rFonts w:ascii="Times New Roman" w:hAnsi="Times New Roman" w:cs="Times New Roman"/>
                <w:bCs/>
                <w:color w:val="auto"/>
                <w:sz w:val="28"/>
                <w:szCs w:val="28"/>
                <w:lang w:val="uk-UA"/>
              </w:rPr>
              <w:t xml:space="preserve"> за умов експериментального остеоартрозу та гіпотиреозу</w:t>
            </w:r>
          </w:p>
          <w:p w:rsidR="009B2812" w:rsidRPr="00BE086B" w:rsidRDefault="009B2812" w:rsidP="00F50E9A">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auto"/>
                <w:lang w:val="uk-UA"/>
              </w:rPr>
            </w:pP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AF3A77" w:rsidRPr="00BE086B" w:rsidRDefault="00AF3A77">
            <w:pPr>
              <w:pStyle w:val="15"/>
              <w:spacing w:line="360" w:lineRule="auto"/>
              <w:jc w:val="both"/>
              <w:rPr>
                <w:rFonts w:ascii="Times New Roman" w:hAnsi="Times New Roman" w:cs="Times New Roman"/>
                <w:sz w:val="28"/>
                <w:szCs w:val="28"/>
                <w:lang w:val="uk-UA"/>
              </w:rPr>
            </w:pPr>
          </w:p>
          <w:p w:rsidR="00AF3A77" w:rsidRPr="00BE086B" w:rsidRDefault="00AF3A77">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132</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5.2</w:t>
            </w:r>
          </w:p>
        </w:tc>
        <w:tc>
          <w:tcPr>
            <w:tcW w:w="7628" w:type="dxa"/>
            <w:gridSpan w:val="3"/>
            <w:shd w:val="clear" w:color="auto" w:fill="auto"/>
          </w:tcPr>
          <w:p w:rsidR="009B2812" w:rsidRPr="00BE086B" w:rsidRDefault="00D73892" w:rsidP="00F50E9A">
            <w:pPr>
              <w:pStyle w:val="WW-"/>
              <w:spacing w:after="0" w:line="360" w:lineRule="auto"/>
              <w:jc w:val="both"/>
              <w:rPr>
                <w:rFonts w:ascii="Times New Roman" w:hAnsi="Times New Roman" w:cs="Times New Roman"/>
                <w:color w:val="auto"/>
                <w:lang w:val="uk-UA"/>
              </w:rPr>
            </w:pPr>
            <w:r w:rsidRPr="00BE086B">
              <w:rPr>
                <w:rFonts w:ascii="Times New Roman" w:hAnsi="Times New Roman" w:cs="Times New Roman"/>
                <w:bCs/>
                <w:color w:val="auto"/>
                <w:sz w:val="28"/>
                <w:szCs w:val="28"/>
                <w:lang w:val="uk-UA"/>
              </w:rPr>
              <w:t xml:space="preserve">Зміни рівня матриксних металопротеїназ 3, 9 та 13 на фоні введення </w:t>
            </w:r>
            <w:r w:rsidRPr="00BE086B">
              <w:rPr>
                <w:rFonts w:ascii="Times New Roman" w:hAnsi="Times New Roman" w:cs="Times New Roman"/>
                <w:color w:val="auto"/>
                <w:sz w:val="28"/>
                <w:szCs w:val="28"/>
                <w:lang w:val="uk-UA"/>
              </w:rPr>
              <w:t>НПЗЗ, парацетамолу та L-тироксину</w:t>
            </w:r>
            <w:r w:rsidRPr="00BE086B">
              <w:rPr>
                <w:rFonts w:ascii="Times New Roman" w:hAnsi="Times New Roman" w:cs="Times New Roman"/>
                <w:bCs/>
                <w:color w:val="auto"/>
                <w:sz w:val="28"/>
                <w:szCs w:val="28"/>
                <w:lang w:val="uk-UA"/>
              </w:rPr>
              <w:t xml:space="preserve"> при </w:t>
            </w:r>
            <w:r w:rsidRPr="00BE086B">
              <w:rPr>
                <w:rFonts w:ascii="Times New Roman" w:hAnsi="Times New Roman" w:cs="Times New Roman"/>
                <w:color w:val="auto"/>
                <w:sz w:val="28"/>
                <w:szCs w:val="28"/>
                <w:lang w:val="uk-UA"/>
              </w:rPr>
              <w:t>експериментальному остеоартрозі та гіпотиреозі</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D73892" w:rsidRPr="00BE086B" w:rsidRDefault="00D73892">
            <w:pPr>
              <w:pStyle w:val="15"/>
              <w:snapToGrid w:val="0"/>
              <w:spacing w:line="360" w:lineRule="auto"/>
              <w:jc w:val="both"/>
              <w:rPr>
                <w:rFonts w:ascii="Times New Roman" w:hAnsi="Times New Roman" w:cs="Times New Roman"/>
                <w:sz w:val="28"/>
                <w:szCs w:val="28"/>
                <w:lang w:val="uk-UA"/>
              </w:rPr>
            </w:pPr>
          </w:p>
          <w:p w:rsidR="00D73892" w:rsidRPr="00BE086B" w:rsidRDefault="00D73892">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141</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5.3</w:t>
            </w:r>
          </w:p>
        </w:tc>
        <w:tc>
          <w:tcPr>
            <w:tcW w:w="7628" w:type="dxa"/>
            <w:gridSpan w:val="3"/>
            <w:shd w:val="clear" w:color="auto" w:fill="auto"/>
          </w:tcPr>
          <w:p w:rsidR="009B2812" w:rsidRPr="00BE086B" w:rsidRDefault="009B2812" w:rsidP="00F50E9A">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Зміни рівня маркеру СТХ I </w:t>
            </w:r>
            <w:r w:rsidR="00603AC6" w:rsidRPr="00BE086B">
              <w:rPr>
                <w:rFonts w:ascii="Times New Roman" w:hAnsi="Times New Roman" w:cs="Times New Roman"/>
                <w:bCs/>
                <w:color w:val="auto"/>
                <w:sz w:val="28"/>
                <w:szCs w:val="28"/>
                <w:lang w:val="uk-UA"/>
              </w:rPr>
              <w:t xml:space="preserve">при </w:t>
            </w:r>
            <w:r w:rsidR="00603AC6" w:rsidRPr="00BE086B">
              <w:rPr>
                <w:rFonts w:ascii="Times New Roman" w:hAnsi="Times New Roman" w:cs="Times New Roman"/>
                <w:color w:val="auto"/>
                <w:sz w:val="28"/>
                <w:szCs w:val="28"/>
                <w:lang w:val="uk-UA"/>
              </w:rPr>
              <w:t>експериментальному остеоартрозі та гіпотиреозі</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603AC6" w:rsidRPr="00BE086B" w:rsidRDefault="00603AC6">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150</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5.4</w:t>
            </w:r>
          </w:p>
        </w:tc>
        <w:tc>
          <w:tcPr>
            <w:tcW w:w="7628" w:type="dxa"/>
            <w:gridSpan w:val="3"/>
            <w:shd w:val="clear" w:color="auto" w:fill="auto"/>
          </w:tcPr>
          <w:p w:rsidR="009B2812" w:rsidRPr="00BE086B" w:rsidRDefault="009B2812">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Зміни рівня маркеру СТХ II </w:t>
            </w:r>
            <w:r w:rsidR="00603AC6" w:rsidRPr="00BE086B">
              <w:rPr>
                <w:rFonts w:ascii="Times New Roman" w:hAnsi="Times New Roman" w:cs="Times New Roman"/>
                <w:bCs/>
                <w:color w:val="auto"/>
                <w:sz w:val="28"/>
                <w:szCs w:val="28"/>
                <w:lang w:val="uk-UA"/>
              </w:rPr>
              <w:t xml:space="preserve">при </w:t>
            </w:r>
            <w:r w:rsidR="00603AC6" w:rsidRPr="00BE086B">
              <w:rPr>
                <w:rFonts w:ascii="Times New Roman" w:hAnsi="Times New Roman" w:cs="Times New Roman"/>
                <w:color w:val="auto"/>
                <w:sz w:val="28"/>
                <w:szCs w:val="28"/>
                <w:lang w:val="uk-UA"/>
              </w:rPr>
              <w:t>експериментальному остеоартрозі та гіпотиреозі</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10471D" w:rsidRPr="00BE086B" w:rsidRDefault="0010471D">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155</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5.5</w:t>
            </w:r>
          </w:p>
        </w:tc>
        <w:tc>
          <w:tcPr>
            <w:tcW w:w="7628" w:type="dxa"/>
            <w:gridSpan w:val="3"/>
            <w:shd w:val="clear" w:color="auto" w:fill="auto"/>
          </w:tcPr>
          <w:p w:rsidR="009B2812" w:rsidRPr="00BE086B" w:rsidRDefault="009B2812" w:rsidP="00F50E9A">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Фармакологічна активність НПЗЗ та парацетамолу за рівнем фактору некрозу пухлин у сироватці крові щурів </w:t>
            </w:r>
            <w:r w:rsidR="00603AC6" w:rsidRPr="00BE086B">
              <w:rPr>
                <w:rFonts w:ascii="Times New Roman" w:hAnsi="Times New Roman" w:cs="Times New Roman"/>
                <w:bCs/>
                <w:color w:val="auto"/>
                <w:sz w:val="28"/>
                <w:szCs w:val="28"/>
                <w:lang w:val="uk-UA"/>
              </w:rPr>
              <w:t xml:space="preserve">при </w:t>
            </w:r>
            <w:r w:rsidR="00603AC6" w:rsidRPr="00BE086B">
              <w:rPr>
                <w:rFonts w:ascii="Times New Roman" w:hAnsi="Times New Roman" w:cs="Times New Roman"/>
                <w:color w:val="auto"/>
                <w:sz w:val="28"/>
                <w:szCs w:val="28"/>
                <w:lang w:val="uk-UA"/>
              </w:rPr>
              <w:t>експериментальному остеоартрозі та гіпотиреозі</w:t>
            </w:r>
          </w:p>
        </w:tc>
        <w:tc>
          <w:tcPr>
            <w:tcW w:w="866" w:type="dxa"/>
            <w:shd w:val="clear" w:color="auto" w:fill="auto"/>
          </w:tcPr>
          <w:p w:rsidR="006557B6" w:rsidRPr="00BE086B" w:rsidRDefault="006557B6">
            <w:pPr>
              <w:pStyle w:val="15"/>
              <w:spacing w:line="360" w:lineRule="auto"/>
              <w:jc w:val="both"/>
              <w:rPr>
                <w:rFonts w:ascii="Times New Roman" w:hAnsi="Times New Roman" w:cs="Times New Roman"/>
                <w:sz w:val="28"/>
                <w:szCs w:val="28"/>
                <w:lang w:val="uk-UA"/>
              </w:rPr>
            </w:pPr>
          </w:p>
          <w:p w:rsidR="006557B6" w:rsidRPr="00BE086B" w:rsidRDefault="006557B6">
            <w:pPr>
              <w:pStyle w:val="15"/>
              <w:spacing w:line="360" w:lineRule="auto"/>
              <w:jc w:val="both"/>
              <w:rPr>
                <w:rFonts w:ascii="Times New Roman" w:hAnsi="Times New Roman" w:cs="Times New Roman"/>
                <w:sz w:val="28"/>
                <w:szCs w:val="28"/>
                <w:lang w:val="uk-UA"/>
              </w:rPr>
            </w:pPr>
          </w:p>
          <w:p w:rsidR="009B2812" w:rsidRPr="00BE086B" w:rsidRDefault="006557B6">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159</w:t>
            </w:r>
          </w:p>
        </w:tc>
      </w:tr>
      <w:tr w:rsidR="009B2812" w:rsidRPr="00BE086B" w:rsidTr="001F77EC">
        <w:tc>
          <w:tcPr>
            <w:tcW w:w="1425" w:type="dxa"/>
            <w:shd w:val="clear" w:color="auto" w:fill="auto"/>
          </w:tcPr>
          <w:p w:rsidR="009B2812" w:rsidRPr="00BE086B" w:rsidRDefault="009B2812">
            <w:pPr>
              <w:snapToGrid w:val="0"/>
              <w:spacing w:line="360" w:lineRule="auto"/>
              <w:jc w:val="center"/>
              <w:rPr>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5.6</w:t>
            </w:r>
          </w:p>
        </w:tc>
        <w:tc>
          <w:tcPr>
            <w:tcW w:w="7628" w:type="dxa"/>
            <w:gridSpan w:val="3"/>
            <w:shd w:val="clear" w:color="auto" w:fill="auto"/>
          </w:tcPr>
          <w:p w:rsidR="009B2812" w:rsidRPr="00BE086B" w:rsidRDefault="009B2812" w:rsidP="00F50E9A">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Фармакологічна активність НПЗЗ та парацетамолу за рівнем С-реактивного протеїну у сироватці крові щурів </w:t>
            </w:r>
            <w:r w:rsidR="00603AC6" w:rsidRPr="00BE086B">
              <w:rPr>
                <w:rFonts w:ascii="Times New Roman" w:hAnsi="Times New Roman" w:cs="Times New Roman"/>
                <w:bCs/>
                <w:color w:val="auto"/>
                <w:sz w:val="28"/>
                <w:szCs w:val="28"/>
                <w:lang w:val="uk-UA"/>
              </w:rPr>
              <w:t xml:space="preserve">при </w:t>
            </w:r>
            <w:r w:rsidR="00603AC6" w:rsidRPr="00BE086B">
              <w:rPr>
                <w:rFonts w:ascii="Times New Roman" w:hAnsi="Times New Roman" w:cs="Times New Roman"/>
                <w:color w:val="auto"/>
                <w:sz w:val="28"/>
                <w:szCs w:val="28"/>
                <w:lang w:val="uk-UA"/>
              </w:rPr>
              <w:t>експериментальному остеоартрозі та гіпотиреозі</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377E2B" w:rsidRPr="00BE086B" w:rsidRDefault="00377E2B">
            <w:pPr>
              <w:pStyle w:val="15"/>
              <w:spacing w:line="360" w:lineRule="auto"/>
              <w:jc w:val="both"/>
              <w:rPr>
                <w:rFonts w:ascii="Times New Roman" w:hAnsi="Times New Roman" w:cs="Times New Roman"/>
                <w:sz w:val="28"/>
                <w:szCs w:val="28"/>
                <w:lang w:val="uk-UA"/>
              </w:rPr>
            </w:pPr>
          </w:p>
          <w:p w:rsidR="00377E2B" w:rsidRPr="00BE086B" w:rsidRDefault="00377E2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164</w:t>
            </w:r>
          </w:p>
        </w:tc>
      </w:tr>
      <w:tr w:rsidR="00B36F47" w:rsidRPr="00BE086B" w:rsidTr="001F77EC">
        <w:tc>
          <w:tcPr>
            <w:tcW w:w="1425" w:type="dxa"/>
            <w:shd w:val="clear" w:color="auto" w:fill="auto"/>
          </w:tcPr>
          <w:p w:rsidR="00B36F47" w:rsidRPr="00BE086B" w:rsidRDefault="00B36F47">
            <w:pPr>
              <w:snapToGrid w:val="0"/>
              <w:spacing w:line="360" w:lineRule="auto"/>
              <w:jc w:val="center"/>
              <w:rPr>
                <w:sz w:val="28"/>
                <w:szCs w:val="28"/>
                <w:lang w:val="uk-UA"/>
              </w:rPr>
            </w:pPr>
          </w:p>
        </w:tc>
        <w:tc>
          <w:tcPr>
            <w:tcW w:w="611" w:type="dxa"/>
            <w:shd w:val="clear" w:color="auto" w:fill="auto"/>
          </w:tcPr>
          <w:p w:rsidR="00B36F47" w:rsidRPr="00BE086B" w:rsidRDefault="00B36F47">
            <w:pPr>
              <w:spacing w:line="360" w:lineRule="auto"/>
              <w:jc w:val="center"/>
              <w:rPr>
                <w:sz w:val="28"/>
                <w:szCs w:val="28"/>
                <w:lang w:val="en-US"/>
              </w:rPr>
            </w:pPr>
            <w:r w:rsidRPr="00BE086B">
              <w:rPr>
                <w:sz w:val="28"/>
                <w:szCs w:val="28"/>
                <w:lang w:val="en-US"/>
              </w:rPr>
              <w:t>5.7</w:t>
            </w:r>
          </w:p>
        </w:tc>
        <w:tc>
          <w:tcPr>
            <w:tcW w:w="7628" w:type="dxa"/>
            <w:gridSpan w:val="3"/>
            <w:shd w:val="clear" w:color="auto" w:fill="auto"/>
          </w:tcPr>
          <w:p w:rsidR="00B36F47" w:rsidRPr="00BE086B" w:rsidRDefault="00B36F47" w:rsidP="00F50E9A">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auto"/>
                <w:sz w:val="28"/>
                <w:szCs w:val="28"/>
                <w:lang w:val="uk-UA"/>
              </w:rPr>
            </w:pPr>
            <w:r w:rsidRPr="00BE086B">
              <w:rPr>
                <w:rFonts w:ascii="Times New Roman" w:hAnsi="Times New Roman" w:cs="Times New Roman"/>
                <w:bCs/>
                <w:color w:val="auto"/>
                <w:sz w:val="28"/>
                <w:szCs w:val="28"/>
                <w:lang w:val="uk-UA"/>
              </w:rPr>
              <w:t xml:space="preserve">Фармакологічна активність НПЗЗ, парацетамолу та </w:t>
            </w:r>
            <w:r w:rsidRPr="00BE086B">
              <w:rPr>
                <w:rFonts w:ascii="Times New Roman" w:hAnsi="Times New Roman" w:cs="Times New Roman"/>
                <w:color w:val="auto"/>
                <w:sz w:val="28"/>
                <w:szCs w:val="28"/>
                <w:lang w:val="uk-UA"/>
              </w:rPr>
              <w:t>L-тироксину</w:t>
            </w:r>
            <w:r w:rsidRPr="00BE086B">
              <w:rPr>
                <w:rFonts w:ascii="Times New Roman" w:hAnsi="Times New Roman" w:cs="Times New Roman"/>
                <w:bCs/>
                <w:color w:val="auto"/>
                <w:sz w:val="28"/>
                <w:szCs w:val="28"/>
                <w:lang w:val="uk-UA"/>
              </w:rPr>
              <w:t xml:space="preserve"> за рівнем кісткової лужної фосфатази у сироватці крові щурів </w:t>
            </w:r>
            <w:r w:rsidR="00603AC6" w:rsidRPr="00BE086B">
              <w:rPr>
                <w:rFonts w:ascii="Times New Roman" w:hAnsi="Times New Roman" w:cs="Times New Roman"/>
                <w:bCs/>
                <w:color w:val="auto"/>
                <w:sz w:val="28"/>
                <w:szCs w:val="28"/>
                <w:lang w:val="uk-UA"/>
              </w:rPr>
              <w:t xml:space="preserve">при </w:t>
            </w:r>
            <w:r w:rsidR="00603AC6" w:rsidRPr="00BE086B">
              <w:rPr>
                <w:rFonts w:ascii="Times New Roman" w:hAnsi="Times New Roman" w:cs="Times New Roman"/>
                <w:color w:val="auto"/>
                <w:sz w:val="28"/>
                <w:szCs w:val="28"/>
                <w:lang w:val="uk-UA"/>
              </w:rPr>
              <w:t>експериментальному остеоартрозі та гіпотиреозі</w:t>
            </w:r>
          </w:p>
        </w:tc>
        <w:tc>
          <w:tcPr>
            <w:tcW w:w="866" w:type="dxa"/>
            <w:shd w:val="clear" w:color="auto" w:fill="auto"/>
          </w:tcPr>
          <w:p w:rsidR="00B36F47" w:rsidRPr="00BE086B" w:rsidRDefault="00B36F47">
            <w:pPr>
              <w:pStyle w:val="15"/>
              <w:spacing w:line="360" w:lineRule="auto"/>
              <w:jc w:val="both"/>
              <w:rPr>
                <w:rFonts w:ascii="Times New Roman" w:hAnsi="Times New Roman" w:cs="Times New Roman"/>
                <w:sz w:val="28"/>
                <w:szCs w:val="28"/>
                <w:lang w:val="uk-UA"/>
              </w:rPr>
            </w:pPr>
          </w:p>
          <w:p w:rsidR="00851FFB" w:rsidRPr="00BE086B" w:rsidRDefault="00851FFB">
            <w:pPr>
              <w:pStyle w:val="15"/>
              <w:spacing w:line="360" w:lineRule="auto"/>
              <w:jc w:val="both"/>
              <w:rPr>
                <w:rFonts w:ascii="Times New Roman" w:hAnsi="Times New Roman" w:cs="Times New Roman"/>
                <w:sz w:val="28"/>
                <w:szCs w:val="28"/>
                <w:lang w:val="uk-UA"/>
              </w:rPr>
            </w:pPr>
          </w:p>
          <w:p w:rsidR="00851FFB" w:rsidRPr="00BE086B" w:rsidRDefault="00851FFB">
            <w:pPr>
              <w:pStyle w:val="15"/>
              <w:spacing w:line="360" w:lineRule="auto"/>
              <w:jc w:val="both"/>
              <w:rPr>
                <w:rFonts w:ascii="Times New Roman" w:hAnsi="Times New Roman" w:cs="Times New Roman"/>
                <w:sz w:val="28"/>
                <w:szCs w:val="28"/>
                <w:lang w:val="uk-UA"/>
              </w:rPr>
            </w:pPr>
          </w:p>
          <w:p w:rsidR="00851FFB" w:rsidRPr="00BE086B" w:rsidRDefault="00851FF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170</w:t>
            </w:r>
          </w:p>
        </w:tc>
      </w:tr>
      <w:tr w:rsidR="009B2812" w:rsidRPr="00BE086B" w:rsidTr="001F77EC">
        <w:tc>
          <w:tcPr>
            <w:tcW w:w="1425" w:type="dxa"/>
            <w:shd w:val="clear" w:color="auto" w:fill="auto"/>
          </w:tcPr>
          <w:p w:rsidR="009B2812" w:rsidRPr="00BE086B" w:rsidRDefault="009B2812">
            <w:pPr>
              <w:spacing w:line="360" w:lineRule="auto"/>
              <w:jc w:val="both"/>
              <w:rPr>
                <w:lang w:val="uk-UA"/>
              </w:rPr>
            </w:pPr>
            <w:r w:rsidRPr="00BE086B">
              <w:rPr>
                <w:b/>
                <w:bCs/>
                <w:caps/>
                <w:sz w:val="28"/>
                <w:szCs w:val="28"/>
                <w:lang w:val="uk-UA"/>
              </w:rPr>
              <w:t>Р</w:t>
            </w:r>
            <w:r w:rsidRPr="00BE086B">
              <w:rPr>
                <w:b/>
                <w:bCs/>
                <w:sz w:val="28"/>
                <w:szCs w:val="28"/>
                <w:lang w:val="uk-UA"/>
              </w:rPr>
              <w:t>озділ</w:t>
            </w:r>
            <w:r w:rsidRPr="00BE086B">
              <w:rPr>
                <w:b/>
                <w:bCs/>
                <w:caps/>
                <w:sz w:val="28"/>
                <w:szCs w:val="28"/>
                <w:lang w:val="uk-UA"/>
              </w:rPr>
              <w:t xml:space="preserve"> 6</w:t>
            </w:r>
          </w:p>
        </w:tc>
        <w:tc>
          <w:tcPr>
            <w:tcW w:w="8239" w:type="dxa"/>
            <w:gridSpan w:val="4"/>
            <w:shd w:val="clear" w:color="auto" w:fill="auto"/>
          </w:tcPr>
          <w:p w:rsidR="009B2812" w:rsidRPr="00BE086B" w:rsidRDefault="0098709A" w:rsidP="00880CB6">
            <w:pPr>
              <w:spacing w:line="360" w:lineRule="auto"/>
              <w:jc w:val="both"/>
              <w:rPr>
                <w:sz w:val="28"/>
                <w:szCs w:val="28"/>
                <w:lang w:val="uk-UA"/>
              </w:rPr>
            </w:pPr>
            <w:r w:rsidRPr="00BE086B">
              <w:rPr>
                <w:sz w:val="28"/>
                <w:szCs w:val="28"/>
                <w:lang w:val="uk-UA"/>
              </w:rPr>
              <w:t>В</w:t>
            </w:r>
            <w:r w:rsidRPr="00BE086B">
              <w:rPr>
                <w:sz w:val="28"/>
                <w:szCs w:val="28"/>
              </w:rPr>
              <w:t xml:space="preserve">плив НПЗЗ та парацетамолу на функціональний стан щитоподібної залози при </w:t>
            </w:r>
            <w:r w:rsidRPr="00BE086B">
              <w:rPr>
                <w:sz w:val="28"/>
                <w:szCs w:val="28"/>
                <w:lang w:val="uk-UA"/>
              </w:rPr>
              <w:t xml:space="preserve">експериментальному </w:t>
            </w:r>
            <w:r w:rsidRPr="00BE086B">
              <w:rPr>
                <w:sz w:val="28"/>
                <w:szCs w:val="28"/>
              </w:rPr>
              <w:t>остеоартрозі на тлі гіпотиреозу</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98709A" w:rsidRPr="00BE086B" w:rsidRDefault="0098709A">
            <w:pPr>
              <w:pStyle w:val="15"/>
              <w:spacing w:line="360" w:lineRule="auto"/>
              <w:jc w:val="both"/>
              <w:rPr>
                <w:rFonts w:ascii="Times New Roman" w:hAnsi="Times New Roman" w:cs="Times New Roman"/>
                <w:sz w:val="28"/>
                <w:szCs w:val="28"/>
                <w:lang w:val="uk-UA"/>
              </w:rPr>
            </w:pPr>
          </w:p>
          <w:p w:rsidR="00D718FB" w:rsidRPr="00BE086B" w:rsidRDefault="00D718F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178</w:t>
            </w:r>
          </w:p>
        </w:tc>
      </w:tr>
      <w:tr w:rsidR="009B2812" w:rsidRPr="00BE086B" w:rsidTr="001F77EC">
        <w:tc>
          <w:tcPr>
            <w:tcW w:w="1425" w:type="dxa"/>
            <w:shd w:val="clear" w:color="auto" w:fill="auto"/>
          </w:tcPr>
          <w:p w:rsidR="009B2812" w:rsidRPr="00BE086B" w:rsidRDefault="009B2812">
            <w:pPr>
              <w:pStyle w:val="24"/>
              <w:spacing w:line="360" w:lineRule="auto"/>
              <w:jc w:val="both"/>
              <w:rPr>
                <w:rFonts w:ascii="Times New Roman" w:hAnsi="Times New Roman" w:cs="Times New Roman"/>
                <w:lang w:val="uk-UA"/>
              </w:rPr>
            </w:pPr>
            <w:r w:rsidRPr="00BE086B">
              <w:rPr>
                <w:rFonts w:ascii="Times New Roman" w:hAnsi="Times New Roman" w:cs="Times New Roman"/>
                <w:b/>
                <w:bCs/>
                <w:caps/>
                <w:sz w:val="28"/>
                <w:szCs w:val="28"/>
                <w:lang w:val="uk-UA"/>
              </w:rPr>
              <w:t>Р</w:t>
            </w:r>
            <w:r w:rsidRPr="00BE086B">
              <w:rPr>
                <w:rFonts w:ascii="Times New Roman" w:hAnsi="Times New Roman" w:cs="Times New Roman"/>
                <w:b/>
                <w:bCs/>
                <w:sz w:val="28"/>
                <w:szCs w:val="28"/>
                <w:lang w:val="uk-UA"/>
              </w:rPr>
              <w:t>озділ</w:t>
            </w:r>
            <w:r w:rsidRPr="00BE086B">
              <w:rPr>
                <w:rFonts w:ascii="Times New Roman" w:hAnsi="Times New Roman" w:cs="Times New Roman"/>
                <w:b/>
                <w:bCs/>
                <w:caps/>
                <w:sz w:val="28"/>
                <w:szCs w:val="28"/>
                <w:lang w:val="uk-UA"/>
              </w:rPr>
              <w:t xml:space="preserve"> 7</w:t>
            </w:r>
          </w:p>
        </w:tc>
        <w:tc>
          <w:tcPr>
            <w:tcW w:w="8239" w:type="dxa"/>
            <w:gridSpan w:val="4"/>
            <w:shd w:val="clear" w:color="auto" w:fill="auto"/>
          </w:tcPr>
          <w:p w:rsidR="009B2812" w:rsidRPr="00BE086B" w:rsidRDefault="004B247F" w:rsidP="00F50E9A">
            <w:pPr>
              <w:spacing w:line="360" w:lineRule="auto"/>
              <w:jc w:val="both"/>
              <w:rPr>
                <w:sz w:val="28"/>
                <w:szCs w:val="28"/>
                <w:lang w:val="uk-UA"/>
              </w:rPr>
            </w:pPr>
            <w:r w:rsidRPr="00BE086B">
              <w:rPr>
                <w:bCs/>
                <w:sz w:val="28"/>
                <w:szCs w:val="28"/>
                <w:lang w:val="uk-UA"/>
              </w:rPr>
              <w:t xml:space="preserve">Фармакологічна ефективність та </w:t>
            </w:r>
            <w:r w:rsidRPr="00BE086B">
              <w:rPr>
                <w:rStyle w:val="translation-chunk"/>
                <w:bCs/>
                <w:sz w:val="28"/>
                <w:szCs w:val="28"/>
                <w:lang w:val="uk-UA"/>
              </w:rPr>
              <w:t>біофармацевтичний аналіз взаємодії</w:t>
            </w:r>
            <w:r w:rsidRPr="00BE086B">
              <w:rPr>
                <w:bCs/>
                <w:sz w:val="28"/>
                <w:szCs w:val="28"/>
                <w:lang w:val="uk-UA"/>
              </w:rPr>
              <w:t xml:space="preserve"> компонентів комбінованого засобу: диклофенак натрію, хондроїтин сульфат та L-тироксин при експериментальному остеоартрозі на тлі гіпотиреозу</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24465D" w:rsidRPr="00BE086B" w:rsidRDefault="0024465D">
            <w:pPr>
              <w:pStyle w:val="15"/>
              <w:spacing w:line="360" w:lineRule="auto"/>
              <w:jc w:val="both"/>
              <w:rPr>
                <w:rFonts w:ascii="Times New Roman" w:hAnsi="Times New Roman" w:cs="Times New Roman"/>
                <w:sz w:val="28"/>
                <w:szCs w:val="28"/>
                <w:lang w:val="uk-UA"/>
              </w:rPr>
            </w:pPr>
          </w:p>
          <w:p w:rsidR="0024465D" w:rsidRPr="00BE086B" w:rsidRDefault="0024465D">
            <w:pPr>
              <w:pStyle w:val="15"/>
              <w:spacing w:line="360" w:lineRule="auto"/>
              <w:jc w:val="both"/>
              <w:rPr>
                <w:rFonts w:ascii="Times New Roman" w:hAnsi="Times New Roman" w:cs="Times New Roman"/>
                <w:sz w:val="28"/>
                <w:szCs w:val="28"/>
                <w:lang w:val="uk-UA"/>
              </w:rPr>
            </w:pPr>
          </w:p>
          <w:p w:rsidR="0024465D" w:rsidRPr="00BE086B" w:rsidRDefault="0024465D">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186</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pPr>
              <w:spacing w:line="360" w:lineRule="auto"/>
              <w:jc w:val="both"/>
              <w:rPr>
                <w:bCs/>
                <w:sz w:val="28"/>
                <w:szCs w:val="28"/>
                <w:lang w:val="uk-UA"/>
              </w:rPr>
            </w:pPr>
            <w:r w:rsidRPr="00BE086B">
              <w:rPr>
                <w:bCs/>
                <w:sz w:val="28"/>
                <w:szCs w:val="28"/>
                <w:lang w:val="uk-UA"/>
              </w:rPr>
              <w:t>7.1</w:t>
            </w:r>
          </w:p>
        </w:tc>
        <w:tc>
          <w:tcPr>
            <w:tcW w:w="7374" w:type="dxa"/>
            <w:gridSpan w:val="2"/>
            <w:shd w:val="clear" w:color="auto" w:fill="auto"/>
          </w:tcPr>
          <w:p w:rsidR="009B2812" w:rsidRPr="00BE086B" w:rsidRDefault="00360BA6" w:rsidP="00360BA6">
            <w:pPr>
              <w:spacing w:line="360" w:lineRule="auto"/>
              <w:jc w:val="both"/>
              <w:rPr>
                <w:bCs/>
                <w:sz w:val="28"/>
                <w:szCs w:val="28"/>
                <w:lang w:val="uk-UA"/>
              </w:rPr>
            </w:pPr>
            <w:r w:rsidRPr="00BE086B">
              <w:rPr>
                <w:bCs/>
                <w:sz w:val="28"/>
                <w:szCs w:val="28"/>
                <w:lang w:val="uk-UA"/>
              </w:rPr>
              <w:t>Вплив хондроїтину сульфату на прояви остеоартрозу на тлі гіпотиреозу</w:t>
            </w:r>
          </w:p>
        </w:tc>
        <w:tc>
          <w:tcPr>
            <w:tcW w:w="866" w:type="dxa"/>
            <w:shd w:val="clear" w:color="auto" w:fill="auto"/>
          </w:tcPr>
          <w:p w:rsidR="00E37D49" w:rsidRPr="00BE086B" w:rsidRDefault="00E37D49">
            <w:pPr>
              <w:pStyle w:val="15"/>
              <w:snapToGrid w:val="0"/>
              <w:spacing w:line="360" w:lineRule="auto"/>
              <w:jc w:val="both"/>
              <w:rPr>
                <w:rFonts w:ascii="Times New Roman" w:hAnsi="Times New Roman" w:cs="Times New Roman"/>
                <w:sz w:val="28"/>
                <w:szCs w:val="28"/>
                <w:lang w:val="uk-UA"/>
              </w:rPr>
            </w:pPr>
          </w:p>
          <w:p w:rsidR="009B2812" w:rsidRPr="00BE086B" w:rsidRDefault="00E37D49">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187</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pPr>
              <w:spacing w:line="360" w:lineRule="auto"/>
              <w:jc w:val="both"/>
              <w:rPr>
                <w:bCs/>
                <w:sz w:val="28"/>
                <w:szCs w:val="28"/>
                <w:lang w:val="uk-UA"/>
              </w:rPr>
            </w:pPr>
            <w:r w:rsidRPr="00BE086B">
              <w:rPr>
                <w:bCs/>
                <w:sz w:val="28"/>
                <w:szCs w:val="28"/>
                <w:lang w:val="uk-UA"/>
              </w:rPr>
              <w:t>7.2</w:t>
            </w:r>
          </w:p>
        </w:tc>
        <w:tc>
          <w:tcPr>
            <w:tcW w:w="7374" w:type="dxa"/>
            <w:gridSpan w:val="2"/>
            <w:shd w:val="clear" w:color="auto" w:fill="auto"/>
          </w:tcPr>
          <w:p w:rsidR="009B2812" w:rsidRPr="00BE086B" w:rsidRDefault="009B2812" w:rsidP="009B5FD4">
            <w:pPr>
              <w:spacing w:line="360" w:lineRule="auto"/>
              <w:jc w:val="both"/>
              <w:rPr>
                <w:bCs/>
                <w:sz w:val="28"/>
                <w:szCs w:val="28"/>
                <w:lang w:val="uk-UA"/>
              </w:rPr>
            </w:pPr>
            <w:r w:rsidRPr="00BE086B">
              <w:rPr>
                <w:sz w:val="28"/>
                <w:szCs w:val="28"/>
                <w:lang w:val="uk-UA"/>
              </w:rPr>
              <w:t>Вплив комбінації L–тироксину, диклофенаку натрію та х</w:t>
            </w:r>
            <w:r w:rsidRPr="00BE086B">
              <w:rPr>
                <w:bCs/>
                <w:sz w:val="28"/>
                <w:szCs w:val="28"/>
                <w:lang w:val="uk-UA"/>
              </w:rPr>
              <w:t xml:space="preserve">ондроїтину сульфату </w:t>
            </w:r>
            <w:r w:rsidRPr="00BE086B">
              <w:rPr>
                <w:sz w:val="28"/>
                <w:szCs w:val="28"/>
                <w:lang w:val="uk-UA"/>
              </w:rPr>
              <w:t xml:space="preserve">на біль за умов експериментальної </w:t>
            </w:r>
          </w:p>
        </w:tc>
        <w:tc>
          <w:tcPr>
            <w:tcW w:w="866" w:type="dxa"/>
            <w:shd w:val="clear" w:color="auto" w:fill="auto"/>
          </w:tcPr>
          <w:p w:rsidR="003C42EA" w:rsidRPr="00BE086B" w:rsidRDefault="003C42EA">
            <w:pPr>
              <w:pStyle w:val="15"/>
              <w:snapToGrid w:val="0"/>
              <w:spacing w:line="360" w:lineRule="auto"/>
              <w:jc w:val="both"/>
              <w:rPr>
                <w:rFonts w:ascii="Times New Roman" w:hAnsi="Times New Roman" w:cs="Times New Roman"/>
                <w:sz w:val="28"/>
                <w:szCs w:val="28"/>
                <w:lang w:val="uk-UA"/>
              </w:rPr>
            </w:pPr>
          </w:p>
          <w:p w:rsidR="009B2812" w:rsidRPr="00BE086B" w:rsidRDefault="009B2812">
            <w:pPr>
              <w:pStyle w:val="15"/>
              <w:snapToGrid w:val="0"/>
              <w:spacing w:line="360" w:lineRule="auto"/>
              <w:jc w:val="both"/>
              <w:rPr>
                <w:rFonts w:ascii="Times New Roman" w:hAnsi="Times New Roman" w:cs="Times New Roman"/>
                <w:sz w:val="28"/>
                <w:szCs w:val="28"/>
                <w:lang w:val="uk-UA"/>
              </w:rPr>
            </w:pPr>
          </w:p>
        </w:tc>
      </w:tr>
      <w:tr w:rsidR="009B5FD4" w:rsidRPr="00BE086B" w:rsidTr="001F77EC">
        <w:tc>
          <w:tcPr>
            <w:tcW w:w="1425" w:type="dxa"/>
            <w:shd w:val="clear" w:color="auto" w:fill="auto"/>
          </w:tcPr>
          <w:p w:rsidR="009B5FD4" w:rsidRPr="00BE086B" w:rsidRDefault="009B5FD4">
            <w:pPr>
              <w:spacing w:line="360" w:lineRule="auto"/>
              <w:jc w:val="both"/>
              <w:rPr>
                <w:b/>
                <w:bCs/>
                <w:sz w:val="28"/>
                <w:szCs w:val="28"/>
                <w:lang w:val="uk-UA"/>
              </w:rPr>
            </w:pPr>
          </w:p>
        </w:tc>
        <w:tc>
          <w:tcPr>
            <w:tcW w:w="865" w:type="dxa"/>
            <w:gridSpan w:val="2"/>
            <w:shd w:val="clear" w:color="auto" w:fill="auto"/>
          </w:tcPr>
          <w:p w:rsidR="009B5FD4" w:rsidRPr="00BE086B" w:rsidRDefault="009B5FD4">
            <w:pPr>
              <w:spacing w:line="360" w:lineRule="auto"/>
              <w:jc w:val="both"/>
              <w:rPr>
                <w:bCs/>
                <w:sz w:val="28"/>
                <w:szCs w:val="28"/>
                <w:lang w:val="uk-UA"/>
              </w:rPr>
            </w:pPr>
          </w:p>
        </w:tc>
        <w:tc>
          <w:tcPr>
            <w:tcW w:w="7374" w:type="dxa"/>
            <w:gridSpan w:val="2"/>
            <w:shd w:val="clear" w:color="auto" w:fill="auto"/>
          </w:tcPr>
          <w:p w:rsidR="009B5FD4" w:rsidRPr="00BE086B" w:rsidRDefault="009B5FD4" w:rsidP="00081938">
            <w:pPr>
              <w:spacing w:line="360" w:lineRule="auto"/>
              <w:jc w:val="both"/>
              <w:rPr>
                <w:rStyle w:val="Default20Paragraph20Font"/>
                <w:bCs/>
                <w:iCs/>
                <w:sz w:val="28"/>
                <w:szCs w:val="28"/>
                <w:lang w:val="uk-UA"/>
              </w:rPr>
            </w:pPr>
            <w:r w:rsidRPr="00BE086B">
              <w:rPr>
                <w:sz w:val="28"/>
                <w:szCs w:val="28"/>
                <w:lang w:val="uk-UA"/>
              </w:rPr>
              <w:t>коморбідної патології</w:t>
            </w:r>
          </w:p>
        </w:tc>
        <w:tc>
          <w:tcPr>
            <w:tcW w:w="866" w:type="dxa"/>
            <w:shd w:val="clear" w:color="auto" w:fill="auto"/>
          </w:tcPr>
          <w:p w:rsidR="009B5FD4" w:rsidRPr="00BE086B" w:rsidRDefault="009B5FD4">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195</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pPr>
              <w:spacing w:line="360" w:lineRule="auto"/>
              <w:jc w:val="both"/>
              <w:rPr>
                <w:bCs/>
                <w:sz w:val="28"/>
                <w:szCs w:val="28"/>
                <w:lang w:val="uk-UA"/>
              </w:rPr>
            </w:pPr>
            <w:r w:rsidRPr="00BE086B">
              <w:rPr>
                <w:bCs/>
                <w:sz w:val="28"/>
                <w:szCs w:val="28"/>
                <w:lang w:val="uk-UA"/>
              </w:rPr>
              <w:t>7.2.1</w:t>
            </w:r>
          </w:p>
        </w:tc>
        <w:tc>
          <w:tcPr>
            <w:tcW w:w="7374" w:type="dxa"/>
            <w:gridSpan w:val="2"/>
            <w:shd w:val="clear" w:color="auto" w:fill="auto"/>
          </w:tcPr>
          <w:p w:rsidR="009B2812" w:rsidRPr="00BE086B" w:rsidRDefault="009B2812" w:rsidP="00081938">
            <w:pPr>
              <w:spacing w:line="360" w:lineRule="auto"/>
              <w:jc w:val="both"/>
              <w:rPr>
                <w:sz w:val="28"/>
                <w:szCs w:val="28"/>
                <w:lang w:val="uk-UA"/>
              </w:rPr>
            </w:pPr>
            <w:r w:rsidRPr="00BE086B">
              <w:rPr>
                <w:rStyle w:val="Default20Paragraph20Font"/>
                <w:bCs/>
                <w:iCs/>
                <w:sz w:val="28"/>
                <w:szCs w:val="28"/>
                <w:lang w:val="uk-UA"/>
              </w:rPr>
              <w:t>Дослідження больової чутливості на моделі електрошкірного подразнення хвоста щура</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9B5FD4" w:rsidRPr="00BE086B" w:rsidRDefault="009B5FD4">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196</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pPr>
              <w:spacing w:line="360" w:lineRule="auto"/>
              <w:jc w:val="both"/>
              <w:rPr>
                <w:bCs/>
                <w:sz w:val="28"/>
                <w:szCs w:val="28"/>
                <w:lang w:val="uk-UA"/>
              </w:rPr>
            </w:pPr>
            <w:r w:rsidRPr="00BE086B">
              <w:rPr>
                <w:bCs/>
                <w:sz w:val="28"/>
                <w:szCs w:val="28"/>
                <w:lang w:val="uk-UA"/>
              </w:rPr>
              <w:t>7.2.2</w:t>
            </w:r>
          </w:p>
        </w:tc>
        <w:tc>
          <w:tcPr>
            <w:tcW w:w="7374" w:type="dxa"/>
            <w:gridSpan w:val="2"/>
            <w:shd w:val="clear" w:color="auto" w:fill="auto"/>
          </w:tcPr>
          <w:p w:rsidR="009B2812" w:rsidRPr="00BE086B" w:rsidRDefault="009B2812" w:rsidP="00F50E9A">
            <w:pPr>
              <w:spacing w:line="360" w:lineRule="auto"/>
              <w:rPr>
                <w:rStyle w:val="Default20Paragraph20Font"/>
                <w:bCs/>
                <w:iCs/>
                <w:sz w:val="28"/>
                <w:szCs w:val="28"/>
                <w:lang w:val="uk-UA"/>
              </w:rPr>
            </w:pPr>
            <w:r w:rsidRPr="00BE086B">
              <w:rPr>
                <w:bCs/>
                <w:sz w:val="28"/>
                <w:szCs w:val="28"/>
                <w:lang w:val="uk-UA" w:eastAsia="ru-RU"/>
              </w:rPr>
              <w:t>Оцінка аналгетичної активності досліджуваних препаратів методом термоподразнення хвоста у щурів</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198</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pPr>
              <w:spacing w:line="360" w:lineRule="auto"/>
              <w:jc w:val="both"/>
              <w:rPr>
                <w:bCs/>
                <w:sz w:val="28"/>
                <w:szCs w:val="28"/>
                <w:lang w:val="uk-UA"/>
              </w:rPr>
            </w:pPr>
            <w:r w:rsidRPr="00BE086B">
              <w:rPr>
                <w:bCs/>
                <w:sz w:val="28"/>
                <w:szCs w:val="28"/>
                <w:lang w:val="uk-UA"/>
              </w:rPr>
              <w:t>7.2.3</w:t>
            </w:r>
          </w:p>
        </w:tc>
        <w:tc>
          <w:tcPr>
            <w:tcW w:w="7374" w:type="dxa"/>
            <w:gridSpan w:val="2"/>
            <w:shd w:val="clear" w:color="auto" w:fill="auto"/>
          </w:tcPr>
          <w:p w:rsidR="009B2812" w:rsidRPr="00BE086B" w:rsidRDefault="009B2812" w:rsidP="0054670A">
            <w:pPr>
              <w:spacing w:line="360" w:lineRule="auto"/>
              <w:rPr>
                <w:bCs/>
                <w:sz w:val="28"/>
                <w:szCs w:val="28"/>
                <w:lang w:val="uk-UA" w:eastAsia="ru-RU"/>
              </w:rPr>
            </w:pPr>
            <w:r w:rsidRPr="00BE086B">
              <w:rPr>
                <w:bCs/>
                <w:sz w:val="28"/>
                <w:szCs w:val="28"/>
                <w:lang w:val="uk-UA" w:eastAsia="ru-RU"/>
              </w:rPr>
              <w:t>Дослідження аналгетичної активності досліджуваної комбінації на моделі «оцтовокислих корчів»</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200</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rsidP="0054670A">
            <w:pPr>
              <w:spacing w:line="360" w:lineRule="auto"/>
              <w:jc w:val="both"/>
              <w:rPr>
                <w:bCs/>
                <w:sz w:val="28"/>
                <w:szCs w:val="28"/>
                <w:lang w:val="uk-UA"/>
              </w:rPr>
            </w:pPr>
            <w:r w:rsidRPr="00BE086B">
              <w:rPr>
                <w:bCs/>
                <w:sz w:val="28"/>
                <w:szCs w:val="28"/>
                <w:lang w:val="uk-UA"/>
              </w:rPr>
              <w:t>7.3</w:t>
            </w:r>
          </w:p>
        </w:tc>
        <w:tc>
          <w:tcPr>
            <w:tcW w:w="7374" w:type="dxa"/>
            <w:gridSpan w:val="2"/>
            <w:shd w:val="clear" w:color="auto" w:fill="auto"/>
          </w:tcPr>
          <w:p w:rsidR="009B2812" w:rsidRPr="00BE086B" w:rsidRDefault="00360BA6" w:rsidP="0054670A">
            <w:pPr>
              <w:spacing w:line="360" w:lineRule="auto"/>
              <w:jc w:val="both"/>
              <w:rPr>
                <w:bCs/>
                <w:sz w:val="28"/>
                <w:szCs w:val="28"/>
                <w:lang w:val="uk-UA" w:eastAsia="ru-RU"/>
              </w:rPr>
            </w:pPr>
            <w:r w:rsidRPr="00BE086B">
              <w:rPr>
                <w:rStyle w:val="translation-chunk"/>
                <w:bCs/>
                <w:sz w:val="28"/>
                <w:szCs w:val="28"/>
                <w:lang w:val="uk-UA"/>
              </w:rPr>
              <w:t>Біофармацевтичний аналіз взаємодії</w:t>
            </w:r>
            <w:r w:rsidRPr="00BE086B">
              <w:rPr>
                <w:bCs/>
                <w:sz w:val="28"/>
                <w:szCs w:val="28"/>
                <w:lang w:val="uk-UA"/>
              </w:rPr>
              <w:t xml:space="preserve"> компонентів комбінованого засобу: диклофенак натрію, хондроїтин сульфат та L-тироксин при експериментальному остеоартрозі на тлі гіпотиреозу</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202</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rsidP="0054670A">
            <w:pPr>
              <w:spacing w:line="360" w:lineRule="auto"/>
              <w:jc w:val="both"/>
              <w:rPr>
                <w:bCs/>
                <w:sz w:val="28"/>
                <w:szCs w:val="28"/>
                <w:lang w:val="uk-UA"/>
              </w:rPr>
            </w:pPr>
            <w:r w:rsidRPr="00BE086B">
              <w:rPr>
                <w:bCs/>
                <w:sz w:val="28"/>
                <w:szCs w:val="28"/>
                <w:lang w:val="uk-UA"/>
              </w:rPr>
              <w:t>7.3.1</w:t>
            </w:r>
          </w:p>
        </w:tc>
        <w:tc>
          <w:tcPr>
            <w:tcW w:w="7374" w:type="dxa"/>
            <w:gridSpan w:val="2"/>
            <w:shd w:val="clear" w:color="auto" w:fill="auto"/>
          </w:tcPr>
          <w:p w:rsidR="009B2812" w:rsidRPr="00BE086B" w:rsidRDefault="00102915" w:rsidP="0054670A">
            <w:pPr>
              <w:spacing w:line="360" w:lineRule="auto"/>
              <w:jc w:val="both"/>
              <w:rPr>
                <w:rStyle w:val="translation-chunk"/>
                <w:bCs/>
                <w:sz w:val="28"/>
                <w:szCs w:val="28"/>
                <w:lang w:val="uk-UA"/>
              </w:rPr>
            </w:pPr>
            <w:r w:rsidRPr="00BE086B">
              <w:rPr>
                <w:sz w:val="28"/>
                <w:szCs w:val="28"/>
                <w:lang w:val="uk-UA"/>
              </w:rPr>
              <w:t>Дослідження фізико-хімічних властивостей хондроїтину сульфату</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203</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rsidP="0054670A">
            <w:pPr>
              <w:spacing w:line="360" w:lineRule="auto"/>
              <w:jc w:val="both"/>
              <w:rPr>
                <w:bCs/>
                <w:sz w:val="28"/>
                <w:szCs w:val="28"/>
                <w:lang w:val="uk-UA"/>
              </w:rPr>
            </w:pPr>
            <w:r w:rsidRPr="00BE086B">
              <w:rPr>
                <w:bCs/>
                <w:sz w:val="28"/>
                <w:szCs w:val="28"/>
                <w:lang w:val="uk-UA"/>
              </w:rPr>
              <w:t>7.3.2</w:t>
            </w:r>
          </w:p>
        </w:tc>
        <w:tc>
          <w:tcPr>
            <w:tcW w:w="7374" w:type="dxa"/>
            <w:gridSpan w:val="2"/>
            <w:shd w:val="clear" w:color="auto" w:fill="auto"/>
          </w:tcPr>
          <w:p w:rsidR="009B2812" w:rsidRPr="00BE086B" w:rsidRDefault="00031B72" w:rsidP="0054670A">
            <w:pPr>
              <w:spacing w:line="360" w:lineRule="auto"/>
              <w:jc w:val="both"/>
              <w:rPr>
                <w:sz w:val="28"/>
                <w:szCs w:val="28"/>
                <w:lang w:val="uk-UA"/>
              </w:rPr>
            </w:pPr>
            <w:r w:rsidRPr="00BE086B">
              <w:rPr>
                <w:sz w:val="28"/>
                <w:szCs w:val="28"/>
                <w:lang w:val="uk-UA"/>
              </w:rPr>
              <w:t>Дослідження</w:t>
            </w:r>
            <w:r w:rsidR="009B2812" w:rsidRPr="00BE086B">
              <w:rPr>
                <w:sz w:val="28"/>
                <w:szCs w:val="28"/>
                <w:lang w:val="uk-UA"/>
              </w:rPr>
              <w:t xml:space="preserve"> фізико-хімічних властивостей L-тироксину</w:t>
            </w:r>
          </w:p>
        </w:tc>
        <w:tc>
          <w:tcPr>
            <w:tcW w:w="866" w:type="dxa"/>
            <w:shd w:val="clear" w:color="auto" w:fill="auto"/>
          </w:tcPr>
          <w:p w:rsidR="009B2812" w:rsidRPr="00BE086B" w:rsidRDefault="00B641B1">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211</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rsidP="0054670A">
            <w:pPr>
              <w:spacing w:line="360" w:lineRule="auto"/>
              <w:jc w:val="both"/>
              <w:rPr>
                <w:bCs/>
                <w:sz w:val="28"/>
                <w:szCs w:val="28"/>
                <w:lang w:val="uk-UA"/>
              </w:rPr>
            </w:pPr>
            <w:r w:rsidRPr="00BE086B">
              <w:rPr>
                <w:bCs/>
                <w:sz w:val="28"/>
                <w:szCs w:val="28"/>
                <w:lang w:val="uk-UA"/>
              </w:rPr>
              <w:t>7.3.3</w:t>
            </w:r>
          </w:p>
        </w:tc>
        <w:tc>
          <w:tcPr>
            <w:tcW w:w="7374" w:type="dxa"/>
            <w:gridSpan w:val="2"/>
            <w:shd w:val="clear" w:color="auto" w:fill="auto"/>
          </w:tcPr>
          <w:p w:rsidR="009B2812" w:rsidRPr="00BE086B" w:rsidRDefault="00031B72" w:rsidP="0054670A">
            <w:pPr>
              <w:spacing w:line="360" w:lineRule="auto"/>
              <w:jc w:val="both"/>
              <w:rPr>
                <w:sz w:val="28"/>
                <w:szCs w:val="28"/>
                <w:lang w:val="uk-UA"/>
              </w:rPr>
            </w:pPr>
            <w:r w:rsidRPr="00BE086B">
              <w:rPr>
                <w:sz w:val="28"/>
                <w:szCs w:val="28"/>
                <w:lang w:val="uk-UA"/>
              </w:rPr>
              <w:t>Дослідження</w:t>
            </w:r>
            <w:r w:rsidR="009B2812" w:rsidRPr="00BE086B">
              <w:rPr>
                <w:sz w:val="28"/>
                <w:szCs w:val="28"/>
                <w:lang w:val="uk-UA"/>
              </w:rPr>
              <w:t xml:space="preserve"> фізико-хімічних властивостей диклофенаку натрія</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216</w:t>
            </w:r>
          </w:p>
        </w:tc>
      </w:tr>
      <w:tr w:rsidR="009B2812" w:rsidRPr="00BE086B" w:rsidTr="001F77EC">
        <w:tc>
          <w:tcPr>
            <w:tcW w:w="1425" w:type="dxa"/>
            <w:shd w:val="clear" w:color="auto" w:fill="auto"/>
          </w:tcPr>
          <w:p w:rsidR="009B2812" w:rsidRPr="00BE086B" w:rsidRDefault="009B2812">
            <w:pPr>
              <w:spacing w:line="360" w:lineRule="auto"/>
              <w:jc w:val="both"/>
              <w:rPr>
                <w:b/>
                <w:bCs/>
                <w:sz w:val="28"/>
                <w:szCs w:val="28"/>
                <w:lang w:val="uk-UA"/>
              </w:rPr>
            </w:pPr>
          </w:p>
        </w:tc>
        <w:tc>
          <w:tcPr>
            <w:tcW w:w="865" w:type="dxa"/>
            <w:gridSpan w:val="2"/>
            <w:shd w:val="clear" w:color="auto" w:fill="auto"/>
          </w:tcPr>
          <w:p w:rsidR="009B2812" w:rsidRPr="00BE086B" w:rsidRDefault="009B2812" w:rsidP="0054670A">
            <w:pPr>
              <w:spacing w:line="360" w:lineRule="auto"/>
              <w:jc w:val="both"/>
              <w:rPr>
                <w:bCs/>
                <w:sz w:val="28"/>
                <w:szCs w:val="28"/>
                <w:lang w:val="uk-UA"/>
              </w:rPr>
            </w:pPr>
            <w:r w:rsidRPr="00BE086B">
              <w:rPr>
                <w:bCs/>
                <w:sz w:val="28"/>
                <w:szCs w:val="28"/>
                <w:lang w:val="uk-UA"/>
              </w:rPr>
              <w:t>7.3.4</w:t>
            </w:r>
          </w:p>
        </w:tc>
        <w:tc>
          <w:tcPr>
            <w:tcW w:w="7374" w:type="dxa"/>
            <w:gridSpan w:val="2"/>
            <w:shd w:val="clear" w:color="auto" w:fill="auto"/>
          </w:tcPr>
          <w:p w:rsidR="009B2812" w:rsidRPr="00BE086B" w:rsidRDefault="00031B72" w:rsidP="00031B72">
            <w:pPr>
              <w:spacing w:line="360" w:lineRule="auto"/>
              <w:jc w:val="both"/>
              <w:rPr>
                <w:sz w:val="28"/>
                <w:szCs w:val="28"/>
                <w:lang w:val="uk-UA"/>
              </w:rPr>
            </w:pPr>
            <w:r w:rsidRPr="00BE086B">
              <w:rPr>
                <w:sz w:val="28"/>
                <w:szCs w:val="28"/>
                <w:lang w:val="uk-UA"/>
              </w:rPr>
              <w:t>Дослідження</w:t>
            </w:r>
            <w:r w:rsidR="009B2812" w:rsidRPr="00BE086B">
              <w:rPr>
                <w:sz w:val="28"/>
                <w:szCs w:val="28"/>
                <w:lang w:val="uk-UA"/>
              </w:rPr>
              <w:t xml:space="preserve"> </w:t>
            </w:r>
            <w:r w:rsidRPr="00BE086B">
              <w:rPr>
                <w:rStyle w:val="translation-chunk"/>
                <w:bCs/>
                <w:sz w:val="28"/>
                <w:szCs w:val="28"/>
                <w:lang w:val="uk-UA"/>
              </w:rPr>
              <w:t>біофармацевтичної</w:t>
            </w:r>
            <w:r w:rsidR="009B2812" w:rsidRPr="00BE086B">
              <w:rPr>
                <w:sz w:val="28"/>
                <w:szCs w:val="28"/>
                <w:lang w:val="uk-UA"/>
              </w:rPr>
              <w:t xml:space="preserve"> взаємоді</w:t>
            </w:r>
            <w:r w:rsidRPr="00BE086B">
              <w:rPr>
                <w:sz w:val="28"/>
                <w:szCs w:val="28"/>
                <w:lang w:val="uk-UA"/>
              </w:rPr>
              <w:t xml:space="preserve">ї </w:t>
            </w:r>
            <w:r w:rsidR="00235EA9" w:rsidRPr="00BE086B">
              <w:rPr>
                <w:bCs/>
                <w:sz w:val="28"/>
                <w:szCs w:val="28"/>
                <w:lang w:val="uk-UA"/>
              </w:rPr>
              <w:t>диклофенаку натрію, хондроїтину сульфату та L-тироксину</w:t>
            </w:r>
            <w:r w:rsidRPr="00BE086B">
              <w:rPr>
                <w:sz w:val="28"/>
                <w:szCs w:val="28"/>
                <w:lang w:val="uk-UA"/>
              </w:rPr>
              <w:t xml:space="preserve"> на біологічному рівні</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p>
          <w:p w:rsidR="00B641B1" w:rsidRPr="00BE086B" w:rsidRDefault="00B641B1">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221</w:t>
            </w:r>
          </w:p>
        </w:tc>
      </w:tr>
      <w:tr w:rsidR="009B2812" w:rsidRPr="00BE086B" w:rsidTr="001F77EC">
        <w:tc>
          <w:tcPr>
            <w:tcW w:w="1425" w:type="dxa"/>
            <w:shd w:val="clear" w:color="auto" w:fill="auto"/>
          </w:tcPr>
          <w:p w:rsidR="009B2812" w:rsidRPr="00BE086B" w:rsidRDefault="009B2812">
            <w:pPr>
              <w:spacing w:line="360" w:lineRule="auto"/>
              <w:jc w:val="both"/>
              <w:rPr>
                <w:lang w:val="uk-UA"/>
              </w:rPr>
            </w:pPr>
            <w:r w:rsidRPr="00BE086B">
              <w:rPr>
                <w:b/>
                <w:bCs/>
                <w:sz w:val="28"/>
                <w:szCs w:val="28"/>
                <w:lang w:val="uk-UA"/>
              </w:rPr>
              <w:t>Розділ 8</w:t>
            </w:r>
          </w:p>
        </w:tc>
        <w:tc>
          <w:tcPr>
            <w:tcW w:w="8239" w:type="dxa"/>
            <w:gridSpan w:val="4"/>
            <w:shd w:val="clear" w:color="auto" w:fill="auto"/>
          </w:tcPr>
          <w:p w:rsidR="009B2812" w:rsidRPr="00BE086B" w:rsidRDefault="00002E2F" w:rsidP="00F50E9A">
            <w:pPr>
              <w:spacing w:line="360" w:lineRule="auto"/>
              <w:jc w:val="both"/>
              <w:rPr>
                <w:bCs/>
                <w:sz w:val="28"/>
                <w:szCs w:val="28"/>
                <w:lang w:val="uk-UA"/>
              </w:rPr>
            </w:pPr>
            <w:r w:rsidRPr="00BE086B">
              <w:rPr>
                <w:sz w:val="28"/>
                <w:szCs w:val="28"/>
                <w:lang w:val="uk-UA"/>
              </w:rPr>
              <w:t>М</w:t>
            </w:r>
            <w:r w:rsidRPr="00BE086B">
              <w:rPr>
                <w:sz w:val="28"/>
                <w:szCs w:val="28"/>
              </w:rPr>
              <w:t xml:space="preserve">орфофункціональний стан кісткової та хрящової тканин </w:t>
            </w:r>
            <w:r w:rsidRPr="00BE086B">
              <w:rPr>
                <w:bCs/>
                <w:sz w:val="28"/>
                <w:szCs w:val="28"/>
                <w:lang w:val="uk-UA"/>
              </w:rPr>
              <w:t xml:space="preserve">колінних суглобів </w:t>
            </w:r>
            <w:r w:rsidRPr="00BE086B">
              <w:rPr>
                <w:sz w:val="28"/>
                <w:szCs w:val="28"/>
              </w:rPr>
              <w:t>щурів</w:t>
            </w:r>
            <w:r w:rsidRPr="00BE086B">
              <w:rPr>
                <w:bCs/>
                <w:sz w:val="28"/>
                <w:szCs w:val="28"/>
              </w:rPr>
              <w:t xml:space="preserve"> за умов експериментального остеоартрозу та гіпотиреозу</w:t>
            </w:r>
          </w:p>
        </w:tc>
        <w:tc>
          <w:tcPr>
            <w:tcW w:w="866" w:type="dxa"/>
            <w:shd w:val="clear" w:color="auto" w:fill="auto"/>
          </w:tcPr>
          <w:p w:rsidR="00B641B1" w:rsidRPr="00BE086B" w:rsidRDefault="00B641B1">
            <w:pPr>
              <w:pStyle w:val="15"/>
              <w:spacing w:line="360" w:lineRule="auto"/>
              <w:jc w:val="both"/>
              <w:rPr>
                <w:rFonts w:ascii="Times New Roman" w:hAnsi="Times New Roman" w:cs="Times New Roman"/>
                <w:sz w:val="28"/>
                <w:szCs w:val="28"/>
                <w:lang w:val="uk-UA"/>
              </w:rPr>
            </w:pPr>
          </w:p>
          <w:p w:rsidR="00B641B1" w:rsidRPr="00BE086B" w:rsidRDefault="00B641B1">
            <w:pPr>
              <w:pStyle w:val="15"/>
              <w:spacing w:line="360" w:lineRule="auto"/>
              <w:jc w:val="both"/>
              <w:rPr>
                <w:rFonts w:ascii="Times New Roman" w:hAnsi="Times New Roman" w:cs="Times New Roman"/>
                <w:sz w:val="28"/>
                <w:szCs w:val="28"/>
                <w:lang w:val="uk-UA"/>
              </w:rPr>
            </w:pPr>
          </w:p>
          <w:p w:rsidR="009B2812" w:rsidRPr="00BE086B" w:rsidRDefault="00B641B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229</w:t>
            </w:r>
          </w:p>
        </w:tc>
      </w:tr>
      <w:tr w:rsidR="009B2812" w:rsidRPr="00BE086B" w:rsidTr="001F77EC">
        <w:tc>
          <w:tcPr>
            <w:tcW w:w="1425" w:type="dxa"/>
            <w:shd w:val="clear" w:color="auto" w:fill="auto"/>
          </w:tcPr>
          <w:p w:rsidR="009B2812" w:rsidRPr="00BE086B" w:rsidRDefault="009B2812">
            <w:pPr>
              <w:snapToGrid w:val="0"/>
              <w:spacing w:line="360" w:lineRule="auto"/>
              <w:jc w:val="center"/>
              <w:rPr>
                <w:bCs/>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8.1</w:t>
            </w:r>
          </w:p>
        </w:tc>
        <w:tc>
          <w:tcPr>
            <w:tcW w:w="7628" w:type="dxa"/>
            <w:gridSpan w:val="3"/>
            <w:shd w:val="clear" w:color="auto" w:fill="auto"/>
          </w:tcPr>
          <w:p w:rsidR="009B2812" w:rsidRPr="00BE086B" w:rsidRDefault="00002E2F" w:rsidP="00002E2F">
            <w:pPr>
              <w:spacing w:line="360" w:lineRule="auto"/>
              <w:jc w:val="both"/>
              <w:rPr>
                <w:bCs/>
                <w:sz w:val="28"/>
                <w:szCs w:val="28"/>
                <w:lang w:val="uk-UA"/>
              </w:rPr>
            </w:pPr>
            <w:r w:rsidRPr="00BE086B">
              <w:rPr>
                <w:bCs/>
                <w:sz w:val="28"/>
                <w:szCs w:val="28"/>
                <w:lang w:val="uk-UA"/>
              </w:rPr>
              <w:t xml:space="preserve">Гістоморфологічна структура колінних суглобів щурів при </w:t>
            </w:r>
            <w:r w:rsidR="009B2812" w:rsidRPr="00BE086B">
              <w:rPr>
                <w:bCs/>
                <w:sz w:val="28"/>
                <w:szCs w:val="28"/>
                <w:lang w:val="uk-UA"/>
              </w:rPr>
              <w:t>експериментально</w:t>
            </w:r>
            <w:r w:rsidRPr="00BE086B">
              <w:rPr>
                <w:bCs/>
                <w:sz w:val="28"/>
                <w:szCs w:val="28"/>
                <w:lang w:val="uk-UA"/>
              </w:rPr>
              <w:t>му</w:t>
            </w:r>
            <w:r w:rsidR="009B2812" w:rsidRPr="00BE086B">
              <w:rPr>
                <w:bCs/>
                <w:sz w:val="28"/>
                <w:szCs w:val="28"/>
                <w:lang w:val="uk-UA"/>
              </w:rPr>
              <w:t xml:space="preserve"> гіпотиреоз</w:t>
            </w:r>
            <w:r w:rsidRPr="00BE086B">
              <w:rPr>
                <w:bCs/>
                <w:sz w:val="28"/>
                <w:szCs w:val="28"/>
                <w:lang w:val="uk-UA"/>
              </w:rPr>
              <w:t>і</w:t>
            </w:r>
          </w:p>
        </w:tc>
        <w:tc>
          <w:tcPr>
            <w:tcW w:w="866" w:type="dxa"/>
            <w:shd w:val="clear" w:color="auto" w:fill="auto"/>
          </w:tcPr>
          <w:p w:rsidR="009B2812" w:rsidRPr="00BE086B" w:rsidRDefault="009B2812">
            <w:pPr>
              <w:pStyle w:val="15"/>
              <w:snapToGrid w:val="0"/>
              <w:spacing w:line="360" w:lineRule="auto"/>
              <w:jc w:val="both"/>
              <w:rPr>
                <w:rFonts w:ascii="Times New Roman" w:hAnsi="Times New Roman" w:cs="Times New Roman"/>
                <w:sz w:val="28"/>
                <w:szCs w:val="28"/>
                <w:lang w:val="uk-UA"/>
              </w:rPr>
            </w:pPr>
          </w:p>
          <w:p w:rsidR="00597683" w:rsidRPr="00BE086B" w:rsidRDefault="00597683">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229</w:t>
            </w:r>
          </w:p>
        </w:tc>
      </w:tr>
      <w:tr w:rsidR="009B2812" w:rsidRPr="00BE086B" w:rsidTr="001F77EC">
        <w:tc>
          <w:tcPr>
            <w:tcW w:w="1425" w:type="dxa"/>
            <w:shd w:val="clear" w:color="auto" w:fill="auto"/>
          </w:tcPr>
          <w:p w:rsidR="009B2812" w:rsidRPr="00BE086B" w:rsidRDefault="009B2812">
            <w:pPr>
              <w:snapToGrid w:val="0"/>
              <w:spacing w:line="360" w:lineRule="auto"/>
              <w:jc w:val="center"/>
              <w:rPr>
                <w:bCs/>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8.2</w:t>
            </w:r>
          </w:p>
        </w:tc>
        <w:tc>
          <w:tcPr>
            <w:tcW w:w="7628" w:type="dxa"/>
            <w:gridSpan w:val="3"/>
            <w:shd w:val="clear" w:color="auto" w:fill="auto"/>
          </w:tcPr>
          <w:p w:rsidR="009B2812" w:rsidRPr="00BE086B" w:rsidRDefault="009B2812" w:rsidP="00F82893">
            <w:pPr>
              <w:spacing w:line="360" w:lineRule="auto"/>
              <w:jc w:val="both"/>
              <w:rPr>
                <w:bCs/>
                <w:sz w:val="28"/>
                <w:szCs w:val="28"/>
                <w:lang w:val="uk-UA"/>
              </w:rPr>
            </w:pPr>
            <w:r w:rsidRPr="00BE086B">
              <w:rPr>
                <w:bCs/>
                <w:sz w:val="28"/>
                <w:szCs w:val="28"/>
                <w:lang w:val="uk-UA"/>
              </w:rPr>
              <w:t xml:space="preserve">Гістоморфологічна структура колінних суглобів щурів при експериментальних моделях </w:t>
            </w:r>
            <w:r w:rsidR="00F82893" w:rsidRPr="00BE086B">
              <w:rPr>
                <w:bCs/>
                <w:sz w:val="28"/>
                <w:szCs w:val="28"/>
                <w:lang w:val="uk-UA"/>
              </w:rPr>
              <w:t>коморбідної патології</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597683" w:rsidRPr="00BE086B" w:rsidRDefault="00AA5E68">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235</w:t>
            </w:r>
          </w:p>
        </w:tc>
      </w:tr>
      <w:tr w:rsidR="009B2812" w:rsidRPr="00BE086B" w:rsidTr="001F77EC">
        <w:tc>
          <w:tcPr>
            <w:tcW w:w="1425" w:type="dxa"/>
            <w:shd w:val="clear" w:color="auto" w:fill="auto"/>
          </w:tcPr>
          <w:p w:rsidR="009B2812" w:rsidRPr="00BE086B" w:rsidRDefault="009B2812">
            <w:pPr>
              <w:snapToGrid w:val="0"/>
              <w:spacing w:line="360" w:lineRule="auto"/>
              <w:jc w:val="center"/>
              <w:rPr>
                <w:bCs/>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8.3</w:t>
            </w:r>
          </w:p>
        </w:tc>
        <w:tc>
          <w:tcPr>
            <w:tcW w:w="7628" w:type="dxa"/>
            <w:gridSpan w:val="3"/>
            <w:shd w:val="clear" w:color="auto" w:fill="auto"/>
          </w:tcPr>
          <w:p w:rsidR="009B2812" w:rsidRPr="00BE086B" w:rsidRDefault="00F82893" w:rsidP="00F82893">
            <w:pPr>
              <w:pStyle w:val="24"/>
              <w:spacing w:line="360" w:lineRule="auto"/>
              <w:jc w:val="both"/>
              <w:rPr>
                <w:rFonts w:ascii="Times New Roman" w:hAnsi="Times New Roman" w:cs="Times New Roman"/>
                <w:bCs/>
                <w:sz w:val="28"/>
                <w:szCs w:val="28"/>
                <w:lang w:val="uk-UA"/>
              </w:rPr>
            </w:pPr>
            <w:r w:rsidRPr="00BE086B">
              <w:rPr>
                <w:rFonts w:ascii="Times New Roman" w:hAnsi="Times New Roman" w:cs="Times New Roman"/>
                <w:bCs/>
                <w:sz w:val="28"/>
                <w:szCs w:val="28"/>
                <w:lang w:val="uk-UA"/>
              </w:rPr>
              <w:t>В</w:t>
            </w:r>
            <w:r w:rsidR="009B2812" w:rsidRPr="00BE086B">
              <w:rPr>
                <w:rFonts w:ascii="Times New Roman" w:hAnsi="Times New Roman" w:cs="Times New Roman"/>
                <w:bCs/>
                <w:sz w:val="28"/>
                <w:szCs w:val="28"/>
                <w:lang w:val="uk-UA"/>
              </w:rPr>
              <w:t xml:space="preserve">плив L-тироксину на стан </w:t>
            </w:r>
            <w:r w:rsidRPr="00BE086B">
              <w:rPr>
                <w:rFonts w:ascii="Times New Roman" w:hAnsi="Times New Roman" w:cs="Times New Roman"/>
                <w:sz w:val="28"/>
                <w:szCs w:val="28"/>
              </w:rPr>
              <w:t xml:space="preserve">кісткової та хрящової тканин </w:t>
            </w:r>
            <w:r w:rsidRPr="00BE086B">
              <w:rPr>
                <w:rFonts w:ascii="Times New Roman" w:hAnsi="Times New Roman" w:cs="Times New Roman"/>
                <w:bCs/>
                <w:sz w:val="28"/>
                <w:szCs w:val="28"/>
                <w:lang w:val="uk-UA"/>
              </w:rPr>
              <w:t>колінних суглобів</w:t>
            </w:r>
            <w:r w:rsidR="009B2812" w:rsidRPr="00BE086B">
              <w:rPr>
                <w:rFonts w:ascii="Times New Roman" w:hAnsi="Times New Roman" w:cs="Times New Roman"/>
                <w:bCs/>
                <w:sz w:val="28"/>
                <w:szCs w:val="28"/>
                <w:lang w:val="uk-UA"/>
              </w:rPr>
              <w:t xml:space="preserve"> за умов експериментального остеоартрозу та гіпотиреозу</w:t>
            </w:r>
          </w:p>
        </w:tc>
        <w:tc>
          <w:tcPr>
            <w:tcW w:w="866" w:type="dxa"/>
            <w:shd w:val="clear" w:color="auto" w:fill="auto"/>
          </w:tcPr>
          <w:p w:rsidR="009B2812" w:rsidRPr="00BE086B" w:rsidRDefault="009B2812">
            <w:pPr>
              <w:pStyle w:val="15"/>
              <w:spacing w:line="360" w:lineRule="auto"/>
              <w:jc w:val="both"/>
              <w:rPr>
                <w:rFonts w:ascii="Times New Roman" w:hAnsi="Times New Roman" w:cs="Times New Roman"/>
                <w:sz w:val="28"/>
                <w:szCs w:val="28"/>
                <w:lang w:val="uk-UA"/>
              </w:rPr>
            </w:pPr>
          </w:p>
          <w:p w:rsidR="00AA5E68" w:rsidRPr="00BE086B" w:rsidRDefault="00AA5E68">
            <w:pPr>
              <w:pStyle w:val="15"/>
              <w:spacing w:line="360" w:lineRule="auto"/>
              <w:jc w:val="both"/>
              <w:rPr>
                <w:rFonts w:ascii="Times New Roman" w:hAnsi="Times New Roman" w:cs="Times New Roman"/>
                <w:sz w:val="28"/>
                <w:szCs w:val="28"/>
                <w:lang w:val="uk-UA"/>
              </w:rPr>
            </w:pPr>
          </w:p>
          <w:p w:rsidR="00AA5E68" w:rsidRPr="00BE086B" w:rsidRDefault="00AA5E68">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240</w:t>
            </w:r>
          </w:p>
        </w:tc>
      </w:tr>
      <w:tr w:rsidR="009B2812" w:rsidRPr="00BE086B" w:rsidTr="001F77EC">
        <w:tc>
          <w:tcPr>
            <w:tcW w:w="1425" w:type="dxa"/>
            <w:shd w:val="clear" w:color="auto" w:fill="auto"/>
          </w:tcPr>
          <w:p w:rsidR="009B2812" w:rsidRPr="00BE086B" w:rsidRDefault="009B2812">
            <w:pPr>
              <w:snapToGrid w:val="0"/>
              <w:spacing w:line="360" w:lineRule="auto"/>
              <w:jc w:val="center"/>
              <w:rPr>
                <w:bCs/>
                <w:sz w:val="28"/>
                <w:szCs w:val="28"/>
                <w:lang w:val="uk-UA"/>
              </w:rPr>
            </w:pPr>
          </w:p>
        </w:tc>
        <w:tc>
          <w:tcPr>
            <w:tcW w:w="611" w:type="dxa"/>
            <w:shd w:val="clear" w:color="auto" w:fill="auto"/>
          </w:tcPr>
          <w:p w:rsidR="009B2812" w:rsidRPr="00BE086B" w:rsidRDefault="009B2812">
            <w:pPr>
              <w:spacing w:line="360" w:lineRule="auto"/>
              <w:jc w:val="center"/>
              <w:rPr>
                <w:lang w:val="uk-UA"/>
              </w:rPr>
            </w:pPr>
            <w:r w:rsidRPr="00BE086B">
              <w:rPr>
                <w:sz w:val="28"/>
                <w:szCs w:val="28"/>
                <w:lang w:val="uk-UA"/>
              </w:rPr>
              <w:t>8.4</w:t>
            </w:r>
          </w:p>
        </w:tc>
        <w:tc>
          <w:tcPr>
            <w:tcW w:w="7628" w:type="dxa"/>
            <w:gridSpan w:val="3"/>
            <w:shd w:val="clear" w:color="auto" w:fill="auto"/>
          </w:tcPr>
          <w:p w:rsidR="009B2812" w:rsidRPr="00BE086B" w:rsidRDefault="00F82893" w:rsidP="00F82893">
            <w:pPr>
              <w:spacing w:line="360" w:lineRule="auto"/>
              <w:jc w:val="both"/>
              <w:rPr>
                <w:lang w:val="uk-UA"/>
              </w:rPr>
            </w:pPr>
            <w:r w:rsidRPr="00BE086B">
              <w:rPr>
                <w:bCs/>
                <w:sz w:val="28"/>
                <w:szCs w:val="28"/>
                <w:lang w:val="uk-UA"/>
              </w:rPr>
              <w:t>Вплив</w:t>
            </w:r>
            <w:r w:rsidR="009B2812" w:rsidRPr="00BE086B">
              <w:rPr>
                <w:bCs/>
                <w:sz w:val="28"/>
                <w:szCs w:val="28"/>
                <w:lang w:val="uk-UA"/>
              </w:rPr>
              <w:t xml:space="preserve"> </w:t>
            </w:r>
            <w:r w:rsidRPr="00BE086B">
              <w:rPr>
                <w:bCs/>
                <w:sz w:val="28"/>
                <w:szCs w:val="28"/>
                <w:lang w:val="uk-UA"/>
              </w:rPr>
              <w:t xml:space="preserve">сумісного </w:t>
            </w:r>
            <w:r w:rsidR="009B2812" w:rsidRPr="00BE086B">
              <w:rPr>
                <w:bCs/>
                <w:sz w:val="28"/>
                <w:szCs w:val="28"/>
                <w:lang w:val="uk-UA"/>
              </w:rPr>
              <w:t>призначен</w:t>
            </w:r>
            <w:r w:rsidRPr="00BE086B">
              <w:rPr>
                <w:bCs/>
                <w:sz w:val="28"/>
                <w:szCs w:val="28"/>
                <w:lang w:val="uk-UA"/>
              </w:rPr>
              <w:t>ня</w:t>
            </w:r>
            <w:r w:rsidR="009B2812" w:rsidRPr="00BE086B">
              <w:rPr>
                <w:bCs/>
                <w:sz w:val="28"/>
                <w:szCs w:val="28"/>
                <w:lang w:val="uk-UA"/>
              </w:rPr>
              <w:t xml:space="preserve"> диклофенаку натрію</w:t>
            </w:r>
            <w:r w:rsidRPr="00BE086B">
              <w:rPr>
                <w:bCs/>
                <w:sz w:val="28"/>
                <w:szCs w:val="28"/>
                <w:lang w:val="uk-UA"/>
              </w:rPr>
              <w:t>,</w:t>
            </w:r>
            <w:r w:rsidR="009B2812" w:rsidRPr="00BE086B">
              <w:rPr>
                <w:bCs/>
                <w:sz w:val="28"/>
                <w:szCs w:val="28"/>
                <w:lang w:val="uk-UA"/>
              </w:rPr>
              <w:t xml:space="preserve"> хондроїтину сульфату </w:t>
            </w:r>
            <w:r w:rsidRPr="00BE086B">
              <w:rPr>
                <w:bCs/>
                <w:sz w:val="28"/>
                <w:szCs w:val="28"/>
                <w:lang w:val="uk-UA"/>
              </w:rPr>
              <w:t>та</w:t>
            </w:r>
            <w:r w:rsidR="009B2812" w:rsidRPr="00BE086B">
              <w:rPr>
                <w:bCs/>
                <w:sz w:val="28"/>
                <w:szCs w:val="28"/>
                <w:lang w:val="uk-UA"/>
              </w:rPr>
              <w:t xml:space="preserve"> </w:t>
            </w:r>
            <w:r w:rsidR="009B2812" w:rsidRPr="00BE086B">
              <w:rPr>
                <w:bCs/>
                <w:sz w:val="28"/>
                <w:szCs w:val="28"/>
              </w:rPr>
              <w:t>L</w:t>
            </w:r>
            <w:r w:rsidR="009B2812" w:rsidRPr="00BE086B">
              <w:rPr>
                <w:bCs/>
                <w:sz w:val="28"/>
                <w:szCs w:val="28"/>
                <w:lang w:val="uk-UA"/>
              </w:rPr>
              <w:t>-тироксин</w:t>
            </w:r>
            <w:r w:rsidRPr="00BE086B">
              <w:rPr>
                <w:bCs/>
                <w:sz w:val="28"/>
                <w:szCs w:val="28"/>
                <w:lang w:val="uk-UA"/>
              </w:rPr>
              <w:t>у</w:t>
            </w:r>
            <w:r w:rsidR="009B2812" w:rsidRPr="00BE086B">
              <w:rPr>
                <w:bCs/>
                <w:sz w:val="28"/>
                <w:szCs w:val="28"/>
                <w:lang w:val="uk-UA"/>
              </w:rPr>
              <w:t xml:space="preserve"> </w:t>
            </w:r>
            <w:r w:rsidRPr="00BE086B">
              <w:rPr>
                <w:bCs/>
                <w:sz w:val="28"/>
                <w:szCs w:val="28"/>
                <w:lang w:val="uk-UA"/>
              </w:rPr>
              <w:t xml:space="preserve">на стан </w:t>
            </w:r>
            <w:r w:rsidRPr="00BE086B">
              <w:rPr>
                <w:sz w:val="28"/>
                <w:szCs w:val="28"/>
                <w:lang w:val="uk-UA"/>
              </w:rPr>
              <w:t xml:space="preserve">кісткової і хрящової тканин </w:t>
            </w:r>
            <w:r w:rsidRPr="00BE086B">
              <w:rPr>
                <w:bCs/>
                <w:sz w:val="28"/>
                <w:szCs w:val="28"/>
                <w:lang w:val="uk-UA"/>
              </w:rPr>
              <w:t>колінних суглобів за умов</w:t>
            </w:r>
            <w:r w:rsidR="009B2812" w:rsidRPr="00BE086B">
              <w:rPr>
                <w:lang w:val="uk-UA"/>
              </w:rPr>
              <w:t xml:space="preserve"> </w:t>
            </w:r>
            <w:r w:rsidRPr="00BE086B">
              <w:rPr>
                <w:bCs/>
                <w:sz w:val="28"/>
                <w:szCs w:val="28"/>
                <w:lang w:val="uk-UA"/>
              </w:rPr>
              <w:t>коморбідної патології</w:t>
            </w:r>
          </w:p>
        </w:tc>
        <w:tc>
          <w:tcPr>
            <w:tcW w:w="866" w:type="dxa"/>
            <w:shd w:val="clear" w:color="auto" w:fill="auto"/>
          </w:tcPr>
          <w:p w:rsidR="00775F21" w:rsidRPr="00BE086B" w:rsidRDefault="00775F21">
            <w:pPr>
              <w:pStyle w:val="15"/>
              <w:snapToGrid w:val="0"/>
              <w:spacing w:line="360" w:lineRule="auto"/>
              <w:jc w:val="both"/>
              <w:rPr>
                <w:rFonts w:ascii="Times New Roman" w:hAnsi="Times New Roman" w:cs="Times New Roman"/>
                <w:sz w:val="28"/>
                <w:szCs w:val="28"/>
                <w:lang w:val="uk-UA"/>
              </w:rPr>
            </w:pPr>
          </w:p>
          <w:p w:rsidR="00775F21" w:rsidRPr="00BE086B" w:rsidRDefault="00775F21">
            <w:pPr>
              <w:pStyle w:val="15"/>
              <w:snapToGrid w:val="0"/>
              <w:spacing w:line="360" w:lineRule="auto"/>
              <w:jc w:val="both"/>
              <w:rPr>
                <w:rFonts w:ascii="Times New Roman" w:hAnsi="Times New Roman" w:cs="Times New Roman"/>
                <w:sz w:val="28"/>
                <w:szCs w:val="28"/>
                <w:lang w:val="uk-UA"/>
              </w:rPr>
            </w:pPr>
          </w:p>
          <w:p w:rsidR="00775F21" w:rsidRPr="00BE086B" w:rsidRDefault="00775F21">
            <w:pPr>
              <w:pStyle w:val="15"/>
              <w:snapToGrid w:val="0"/>
              <w:spacing w:line="360" w:lineRule="auto"/>
              <w:jc w:val="both"/>
              <w:rPr>
                <w:rFonts w:ascii="Times New Roman" w:hAnsi="Times New Roman" w:cs="Times New Roman"/>
                <w:sz w:val="28"/>
                <w:szCs w:val="28"/>
                <w:lang w:val="uk-UA"/>
              </w:rPr>
            </w:pPr>
          </w:p>
          <w:p w:rsidR="009B2812" w:rsidRPr="00BE086B" w:rsidRDefault="00775F21">
            <w:pPr>
              <w:pStyle w:val="15"/>
              <w:snapToGrid w:val="0"/>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247</w:t>
            </w:r>
          </w:p>
        </w:tc>
      </w:tr>
      <w:tr w:rsidR="009B2812" w:rsidRPr="00BE086B" w:rsidTr="001F77EC">
        <w:tc>
          <w:tcPr>
            <w:tcW w:w="1425" w:type="dxa"/>
            <w:shd w:val="clear" w:color="auto" w:fill="auto"/>
          </w:tcPr>
          <w:p w:rsidR="009B2812" w:rsidRPr="00BE086B" w:rsidRDefault="009B2812">
            <w:pPr>
              <w:spacing w:line="360" w:lineRule="auto"/>
              <w:jc w:val="both"/>
              <w:rPr>
                <w:lang w:val="uk-UA"/>
              </w:rPr>
            </w:pPr>
            <w:r w:rsidRPr="00BE086B">
              <w:rPr>
                <w:b/>
                <w:bCs/>
                <w:sz w:val="28"/>
                <w:szCs w:val="28"/>
                <w:lang w:val="uk-UA"/>
              </w:rPr>
              <w:t>Розділ 9</w:t>
            </w:r>
          </w:p>
        </w:tc>
        <w:tc>
          <w:tcPr>
            <w:tcW w:w="8239" w:type="dxa"/>
            <w:gridSpan w:val="4"/>
            <w:shd w:val="clear" w:color="auto" w:fill="auto"/>
          </w:tcPr>
          <w:p w:rsidR="009B2812" w:rsidRPr="00BE086B" w:rsidRDefault="009B2812" w:rsidP="00F50E9A">
            <w:pPr>
              <w:spacing w:line="360" w:lineRule="auto"/>
              <w:jc w:val="both"/>
              <w:rPr>
                <w:lang w:val="uk-UA"/>
              </w:rPr>
            </w:pPr>
            <w:r w:rsidRPr="00BE086B">
              <w:rPr>
                <w:sz w:val="28"/>
                <w:szCs w:val="28"/>
                <w:lang w:val="uk-UA"/>
              </w:rPr>
              <w:t>Узагальнення та аналіз отриманих результатів</w:t>
            </w:r>
          </w:p>
        </w:tc>
        <w:tc>
          <w:tcPr>
            <w:tcW w:w="866" w:type="dxa"/>
            <w:shd w:val="clear" w:color="auto" w:fill="auto"/>
          </w:tcPr>
          <w:p w:rsidR="009B2812" w:rsidRPr="00BE086B" w:rsidRDefault="00775F2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253</w:t>
            </w:r>
          </w:p>
        </w:tc>
      </w:tr>
      <w:tr w:rsidR="009B2812" w:rsidRPr="00BE086B" w:rsidTr="001F77EC">
        <w:tc>
          <w:tcPr>
            <w:tcW w:w="9664" w:type="dxa"/>
            <w:gridSpan w:val="5"/>
            <w:shd w:val="clear" w:color="auto" w:fill="auto"/>
          </w:tcPr>
          <w:p w:rsidR="009B2812" w:rsidRPr="00BE086B" w:rsidRDefault="009B2812" w:rsidP="00F50E9A">
            <w:pPr>
              <w:spacing w:line="360" w:lineRule="auto"/>
              <w:rPr>
                <w:lang w:val="uk-UA"/>
              </w:rPr>
            </w:pPr>
            <w:r w:rsidRPr="00BE086B">
              <w:rPr>
                <w:bCs/>
                <w:sz w:val="28"/>
                <w:szCs w:val="28"/>
                <w:lang w:val="uk-UA"/>
              </w:rPr>
              <w:t>Висновки</w:t>
            </w:r>
          </w:p>
        </w:tc>
        <w:tc>
          <w:tcPr>
            <w:tcW w:w="866" w:type="dxa"/>
            <w:shd w:val="clear" w:color="auto" w:fill="auto"/>
          </w:tcPr>
          <w:p w:rsidR="009B2812" w:rsidRPr="00BE086B" w:rsidRDefault="00775F2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273</w:t>
            </w:r>
          </w:p>
        </w:tc>
      </w:tr>
      <w:tr w:rsidR="009B2812" w:rsidRPr="00BE086B" w:rsidTr="001F77EC">
        <w:tc>
          <w:tcPr>
            <w:tcW w:w="9664" w:type="dxa"/>
            <w:gridSpan w:val="5"/>
            <w:shd w:val="clear" w:color="auto" w:fill="auto"/>
          </w:tcPr>
          <w:p w:rsidR="009B2812" w:rsidRPr="00BE086B" w:rsidRDefault="009B2812" w:rsidP="00F50E9A">
            <w:pPr>
              <w:spacing w:line="360" w:lineRule="auto"/>
              <w:rPr>
                <w:lang w:val="uk-UA"/>
              </w:rPr>
            </w:pPr>
            <w:r w:rsidRPr="00BE086B">
              <w:rPr>
                <w:bCs/>
                <w:sz w:val="28"/>
                <w:szCs w:val="28"/>
                <w:lang w:val="uk-UA"/>
              </w:rPr>
              <w:t>Список використаних джерел</w:t>
            </w:r>
          </w:p>
        </w:tc>
        <w:tc>
          <w:tcPr>
            <w:tcW w:w="866" w:type="dxa"/>
            <w:shd w:val="clear" w:color="auto" w:fill="auto"/>
          </w:tcPr>
          <w:p w:rsidR="009B2812" w:rsidRPr="00BE086B" w:rsidRDefault="002319A5" w:rsidP="004F747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27</w:t>
            </w:r>
            <w:r w:rsidR="004F747B" w:rsidRPr="00BE086B">
              <w:rPr>
                <w:rFonts w:ascii="Times New Roman" w:hAnsi="Times New Roman" w:cs="Times New Roman"/>
                <w:sz w:val="28"/>
                <w:szCs w:val="28"/>
                <w:lang w:val="uk-UA"/>
              </w:rPr>
              <w:t>6</w:t>
            </w:r>
          </w:p>
        </w:tc>
      </w:tr>
      <w:tr w:rsidR="00880CB6" w:rsidRPr="00BE086B" w:rsidTr="001F77EC">
        <w:tc>
          <w:tcPr>
            <w:tcW w:w="9664" w:type="dxa"/>
            <w:gridSpan w:val="5"/>
            <w:shd w:val="clear" w:color="auto" w:fill="auto"/>
          </w:tcPr>
          <w:p w:rsidR="00880CB6" w:rsidRPr="00BE086B" w:rsidRDefault="00880CB6" w:rsidP="00880CB6">
            <w:pPr>
              <w:spacing w:line="360" w:lineRule="auto"/>
              <w:rPr>
                <w:bCs/>
                <w:sz w:val="28"/>
                <w:szCs w:val="28"/>
                <w:lang w:val="uk-UA"/>
              </w:rPr>
            </w:pPr>
            <w:r w:rsidRPr="00BE086B">
              <w:rPr>
                <w:bCs/>
                <w:sz w:val="28"/>
                <w:szCs w:val="28"/>
                <w:lang w:val="uk-UA"/>
              </w:rPr>
              <w:t xml:space="preserve">Додаток 1. </w:t>
            </w:r>
            <w:r w:rsidRPr="00BE086B">
              <w:rPr>
                <w:sz w:val="28"/>
                <w:szCs w:val="28"/>
                <w:lang w:eastAsia="ru-RU"/>
              </w:rPr>
              <w:t>Список праць, опублікованих за темою дисертації</w:t>
            </w:r>
          </w:p>
        </w:tc>
        <w:tc>
          <w:tcPr>
            <w:tcW w:w="866" w:type="dxa"/>
            <w:shd w:val="clear" w:color="auto" w:fill="auto"/>
          </w:tcPr>
          <w:p w:rsidR="00880CB6" w:rsidRPr="00BE086B" w:rsidRDefault="00620F38" w:rsidP="004F747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32</w:t>
            </w:r>
            <w:r w:rsidR="004F747B" w:rsidRPr="00BE086B">
              <w:rPr>
                <w:rFonts w:ascii="Times New Roman" w:hAnsi="Times New Roman" w:cs="Times New Roman"/>
                <w:sz w:val="28"/>
                <w:szCs w:val="28"/>
                <w:lang w:val="uk-UA"/>
              </w:rPr>
              <w:t>6</w:t>
            </w:r>
          </w:p>
        </w:tc>
      </w:tr>
      <w:tr w:rsidR="009B2812" w:rsidRPr="00BE086B" w:rsidTr="001F77EC">
        <w:tc>
          <w:tcPr>
            <w:tcW w:w="9664" w:type="dxa"/>
            <w:gridSpan w:val="5"/>
            <w:shd w:val="clear" w:color="auto" w:fill="auto"/>
          </w:tcPr>
          <w:p w:rsidR="009B2812" w:rsidRPr="00BE086B" w:rsidRDefault="009B2812" w:rsidP="00880CB6">
            <w:pPr>
              <w:spacing w:line="360" w:lineRule="auto"/>
              <w:rPr>
                <w:lang w:val="uk-UA"/>
              </w:rPr>
            </w:pPr>
            <w:r w:rsidRPr="00BE086B">
              <w:rPr>
                <w:bCs/>
                <w:sz w:val="28"/>
                <w:szCs w:val="28"/>
                <w:lang w:val="uk-UA"/>
              </w:rPr>
              <w:t xml:space="preserve">Додаток </w:t>
            </w:r>
            <w:r w:rsidR="00880CB6" w:rsidRPr="00BE086B">
              <w:rPr>
                <w:bCs/>
                <w:sz w:val="28"/>
                <w:szCs w:val="28"/>
                <w:lang w:val="uk-UA"/>
              </w:rPr>
              <w:t>2.</w:t>
            </w:r>
            <w:r w:rsidRPr="00BE086B">
              <w:rPr>
                <w:bCs/>
                <w:sz w:val="28"/>
                <w:szCs w:val="28"/>
                <w:lang w:val="uk-UA"/>
              </w:rPr>
              <w:t xml:space="preserve"> </w:t>
            </w:r>
            <w:r w:rsidR="00880CB6" w:rsidRPr="00BE086B">
              <w:rPr>
                <w:sz w:val="28"/>
                <w:szCs w:val="28"/>
                <w:lang w:val="uk-UA"/>
              </w:rPr>
              <w:t xml:space="preserve">Апробація результатів </w:t>
            </w:r>
            <w:r w:rsidR="00880CB6" w:rsidRPr="00BE086B">
              <w:rPr>
                <w:sz w:val="28"/>
                <w:szCs w:val="28"/>
                <w:lang w:eastAsia="ru-RU"/>
              </w:rPr>
              <w:t>дослідження</w:t>
            </w:r>
          </w:p>
        </w:tc>
        <w:tc>
          <w:tcPr>
            <w:tcW w:w="866" w:type="dxa"/>
            <w:shd w:val="clear" w:color="auto" w:fill="auto"/>
          </w:tcPr>
          <w:p w:rsidR="009B2812" w:rsidRPr="00BE086B" w:rsidRDefault="00620F38" w:rsidP="004F747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33</w:t>
            </w:r>
            <w:r w:rsidR="004F747B" w:rsidRPr="00BE086B">
              <w:rPr>
                <w:rFonts w:ascii="Times New Roman" w:hAnsi="Times New Roman" w:cs="Times New Roman"/>
                <w:sz w:val="28"/>
                <w:szCs w:val="28"/>
                <w:lang w:val="uk-UA"/>
              </w:rPr>
              <w:t>5</w:t>
            </w:r>
          </w:p>
        </w:tc>
      </w:tr>
      <w:tr w:rsidR="009B2812" w:rsidRPr="00BE086B" w:rsidTr="001F77EC">
        <w:tc>
          <w:tcPr>
            <w:tcW w:w="9664" w:type="dxa"/>
            <w:gridSpan w:val="5"/>
            <w:shd w:val="clear" w:color="auto" w:fill="auto"/>
          </w:tcPr>
          <w:p w:rsidR="009B2812" w:rsidRPr="00BE086B" w:rsidRDefault="009B2812" w:rsidP="00880CB6">
            <w:pPr>
              <w:spacing w:line="360" w:lineRule="auto"/>
              <w:jc w:val="both"/>
              <w:rPr>
                <w:bCs/>
                <w:sz w:val="28"/>
                <w:szCs w:val="28"/>
              </w:rPr>
            </w:pPr>
            <w:r w:rsidRPr="00BE086B">
              <w:rPr>
                <w:bCs/>
                <w:sz w:val="28"/>
                <w:szCs w:val="28"/>
                <w:lang w:val="uk-UA"/>
              </w:rPr>
              <w:t xml:space="preserve">Додаток </w:t>
            </w:r>
            <w:r w:rsidR="00880CB6" w:rsidRPr="00BE086B">
              <w:rPr>
                <w:bCs/>
                <w:sz w:val="28"/>
                <w:szCs w:val="28"/>
                <w:lang w:val="uk-UA"/>
              </w:rPr>
              <w:t>3.</w:t>
            </w:r>
            <w:r w:rsidRPr="00BE086B">
              <w:rPr>
                <w:bCs/>
                <w:sz w:val="28"/>
                <w:szCs w:val="28"/>
                <w:lang w:val="uk-UA"/>
              </w:rPr>
              <w:t xml:space="preserve"> </w:t>
            </w:r>
            <w:r w:rsidR="00880CB6" w:rsidRPr="00BE086B">
              <w:rPr>
                <w:bCs/>
                <w:sz w:val="28"/>
                <w:szCs w:val="28"/>
                <w:lang w:val="uk-UA"/>
              </w:rPr>
              <w:t>Акти впровадження</w:t>
            </w:r>
          </w:p>
        </w:tc>
        <w:tc>
          <w:tcPr>
            <w:tcW w:w="866" w:type="dxa"/>
            <w:shd w:val="clear" w:color="auto" w:fill="auto"/>
          </w:tcPr>
          <w:p w:rsidR="009B2812" w:rsidRPr="00BE086B" w:rsidRDefault="00620F38" w:rsidP="004F747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33</w:t>
            </w:r>
            <w:r w:rsidR="004F747B" w:rsidRPr="00BE086B">
              <w:rPr>
                <w:rFonts w:ascii="Times New Roman" w:hAnsi="Times New Roman" w:cs="Times New Roman"/>
                <w:sz w:val="28"/>
                <w:szCs w:val="28"/>
                <w:lang w:val="uk-UA"/>
              </w:rPr>
              <w:t>8</w:t>
            </w:r>
          </w:p>
        </w:tc>
      </w:tr>
      <w:tr w:rsidR="009B2812" w:rsidRPr="00BE086B" w:rsidTr="001F77EC">
        <w:tc>
          <w:tcPr>
            <w:tcW w:w="9664" w:type="dxa"/>
            <w:gridSpan w:val="5"/>
            <w:shd w:val="clear" w:color="auto" w:fill="auto"/>
          </w:tcPr>
          <w:p w:rsidR="009B2812" w:rsidRPr="00BE086B" w:rsidRDefault="009B2812" w:rsidP="00880CB6">
            <w:pPr>
              <w:spacing w:line="360" w:lineRule="auto"/>
              <w:jc w:val="both"/>
              <w:rPr>
                <w:bCs/>
                <w:sz w:val="28"/>
                <w:szCs w:val="28"/>
                <w:lang w:val="uk-UA"/>
              </w:rPr>
            </w:pPr>
            <w:r w:rsidRPr="00BE086B">
              <w:rPr>
                <w:bCs/>
                <w:sz w:val="28"/>
                <w:szCs w:val="28"/>
                <w:lang w:val="uk-UA"/>
              </w:rPr>
              <w:t>Додаток 4</w:t>
            </w:r>
            <w:r w:rsidR="00880CB6" w:rsidRPr="00BE086B">
              <w:rPr>
                <w:bCs/>
                <w:sz w:val="28"/>
                <w:szCs w:val="28"/>
                <w:lang w:val="uk-UA"/>
              </w:rPr>
              <w:t>.</w:t>
            </w:r>
            <w:r w:rsidRPr="00BE086B">
              <w:rPr>
                <w:bCs/>
                <w:sz w:val="28"/>
                <w:szCs w:val="28"/>
                <w:lang w:val="uk-UA"/>
              </w:rPr>
              <w:t xml:space="preserve"> Патент України на корисну модель № </w:t>
            </w:r>
            <w:r w:rsidRPr="00BE086B">
              <w:rPr>
                <w:bCs/>
                <w:sz w:val="28"/>
                <w:szCs w:val="28"/>
                <w:lang w:eastAsia="ru-RU"/>
              </w:rPr>
              <w:t>137435</w:t>
            </w:r>
          </w:p>
        </w:tc>
        <w:tc>
          <w:tcPr>
            <w:tcW w:w="866" w:type="dxa"/>
            <w:shd w:val="clear" w:color="auto" w:fill="auto"/>
          </w:tcPr>
          <w:p w:rsidR="009B2812" w:rsidRPr="00BE086B" w:rsidRDefault="007A2DC7" w:rsidP="004F747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36</w:t>
            </w:r>
            <w:r w:rsidR="004F747B" w:rsidRPr="00BE086B">
              <w:rPr>
                <w:rFonts w:ascii="Times New Roman" w:hAnsi="Times New Roman" w:cs="Times New Roman"/>
                <w:sz w:val="28"/>
                <w:szCs w:val="28"/>
                <w:lang w:val="uk-UA"/>
              </w:rPr>
              <w:t>3</w:t>
            </w:r>
          </w:p>
        </w:tc>
      </w:tr>
      <w:tr w:rsidR="009B2812" w:rsidRPr="00BE086B" w:rsidTr="001F77EC">
        <w:tc>
          <w:tcPr>
            <w:tcW w:w="9664" w:type="dxa"/>
            <w:gridSpan w:val="5"/>
            <w:shd w:val="clear" w:color="auto" w:fill="auto"/>
          </w:tcPr>
          <w:p w:rsidR="009B2812" w:rsidRPr="00BE086B" w:rsidRDefault="009B2812" w:rsidP="00880CB6">
            <w:pPr>
              <w:spacing w:line="360" w:lineRule="auto"/>
              <w:jc w:val="both"/>
              <w:rPr>
                <w:bCs/>
                <w:sz w:val="28"/>
                <w:szCs w:val="28"/>
                <w:lang w:val="uk-UA"/>
              </w:rPr>
            </w:pPr>
            <w:r w:rsidRPr="00BE086B">
              <w:rPr>
                <w:bCs/>
                <w:sz w:val="28"/>
                <w:szCs w:val="28"/>
                <w:lang w:val="uk-UA"/>
              </w:rPr>
              <w:t>Додаток 5</w:t>
            </w:r>
            <w:r w:rsidR="00880CB6" w:rsidRPr="00BE086B">
              <w:rPr>
                <w:bCs/>
                <w:sz w:val="28"/>
                <w:szCs w:val="28"/>
                <w:lang w:val="uk-UA"/>
              </w:rPr>
              <w:t>.</w:t>
            </w:r>
            <w:r w:rsidRPr="00BE086B">
              <w:rPr>
                <w:bCs/>
                <w:sz w:val="28"/>
                <w:szCs w:val="28"/>
                <w:lang w:val="uk-UA"/>
              </w:rPr>
              <w:t xml:space="preserve"> Інформаційні листи</w:t>
            </w:r>
          </w:p>
        </w:tc>
        <w:tc>
          <w:tcPr>
            <w:tcW w:w="866" w:type="dxa"/>
            <w:shd w:val="clear" w:color="auto" w:fill="auto"/>
          </w:tcPr>
          <w:p w:rsidR="009B2812" w:rsidRPr="00BE086B" w:rsidRDefault="007A2DC7" w:rsidP="004F747B">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37</w:t>
            </w:r>
            <w:r w:rsidR="004F747B" w:rsidRPr="00BE086B">
              <w:rPr>
                <w:rFonts w:ascii="Times New Roman" w:hAnsi="Times New Roman" w:cs="Times New Roman"/>
                <w:sz w:val="28"/>
                <w:szCs w:val="28"/>
                <w:lang w:val="uk-UA"/>
              </w:rPr>
              <w:t>2</w:t>
            </w:r>
          </w:p>
        </w:tc>
      </w:tr>
      <w:tr w:rsidR="009B2812" w:rsidRPr="00BE086B" w:rsidTr="001F77EC">
        <w:tc>
          <w:tcPr>
            <w:tcW w:w="9664" w:type="dxa"/>
            <w:gridSpan w:val="5"/>
            <w:shd w:val="clear" w:color="auto" w:fill="auto"/>
          </w:tcPr>
          <w:p w:rsidR="009B2812" w:rsidRPr="00BE086B" w:rsidRDefault="009B2812" w:rsidP="00880CB6">
            <w:pPr>
              <w:spacing w:line="360" w:lineRule="auto"/>
              <w:jc w:val="both"/>
              <w:rPr>
                <w:bCs/>
                <w:sz w:val="28"/>
                <w:szCs w:val="28"/>
                <w:lang w:val="uk-UA"/>
              </w:rPr>
            </w:pPr>
            <w:r w:rsidRPr="00BE086B">
              <w:rPr>
                <w:bCs/>
                <w:sz w:val="28"/>
                <w:szCs w:val="28"/>
                <w:lang w:val="uk-UA"/>
              </w:rPr>
              <w:t>Додаток 6</w:t>
            </w:r>
            <w:r w:rsidR="00880CB6" w:rsidRPr="00BE086B">
              <w:rPr>
                <w:bCs/>
                <w:sz w:val="28"/>
                <w:szCs w:val="28"/>
                <w:lang w:val="uk-UA"/>
              </w:rPr>
              <w:t>.</w:t>
            </w:r>
            <w:r w:rsidRPr="00BE086B">
              <w:rPr>
                <w:bCs/>
                <w:sz w:val="28"/>
                <w:szCs w:val="28"/>
                <w:lang w:val="uk-UA"/>
              </w:rPr>
              <w:t xml:space="preserve"> </w:t>
            </w:r>
            <w:r w:rsidRPr="00BE086B">
              <w:rPr>
                <w:sz w:val="28"/>
                <w:szCs w:val="28"/>
                <w:lang w:val="uk-UA"/>
              </w:rPr>
              <w:t>Н</w:t>
            </w:r>
            <w:r w:rsidRPr="00BE086B">
              <w:rPr>
                <w:sz w:val="28"/>
                <w:szCs w:val="28"/>
              </w:rPr>
              <w:t>ауков</w:t>
            </w:r>
            <w:r w:rsidRPr="00BE086B">
              <w:rPr>
                <w:sz w:val="28"/>
                <w:szCs w:val="28"/>
                <w:lang w:val="uk-UA"/>
              </w:rPr>
              <w:t>а</w:t>
            </w:r>
            <w:r w:rsidRPr="00BE086B">
              <w:rPr>
                <w:sz w:val="28"/>
                <w:szCs w:val="28"/>
              </w:rPr>
              <w:t xml:space="preserve"> (науково-технічн</w:t>
            </w:r>
            <w:r w:rsidRPr="00BE086B">
              <w:rPr>
                <w:sz w:val="28"/>
                <w:szCs w:val="28"/>
                <w:lang w:val="uk-UA"/>
              </w:rPr>
              <w:t>а</w:t>
            </w:r>
            <w:r w:rsidRPr="00BE086B">
              <w:rPr>
                <w:sz w:val="28"/>
                <w:szCs w:val="28"/>
              </w:rPr>
              <w:t>) продукці</w:t>
            </w:r>
            <w:r w:rsidRPr="00BE086B">
              <w:rPr>
                <w:sz w:val="28"/>
                <w:szCs w:val="28"/>
                <w:lang w:val="uk-UA"/>
              </w:rPr>
              <w:t>я</w:t>
            </w:r>
            <w:r w:rsidRPr="00BE086B">
              <w:rPr>
                <w:sz w:val="28"/>
                <w:szCs w:val="28"/>
              </w:rPr>
              <w:t>, призначен</w:t>
            </w:r>
            <w:r w:rsidRPr="00BE086B">
              <w:rPr>
                <w:sz w:val="28"/>
                <w:szCs w:val="28"/>
                <w:lang w:val="uk-UA"/>
              </w:rPr>
              <w:t>а</w:t>
            </w:r>
            <w:r w:rsidRPr="00BE086B">
              <w:rPr>
                <w:sz w:val="28"/>
                <w:szCs w:val="28"/>
              </w:rPr>
              <w:t xml:space="preserve"> для впровадження у сферу охорони здоров’я</w:t>
            </w:r>
            <w:r w:rsidRPr="00BE086B">
              <w:rPr>
                <w:sz w:val="28"/>
                <w:szCs w:val="28"/>
                <w:lang w:val="uk-UA"/>
              </w:rPr>
              <w:t xml:space="preserve"> - </w:t>
            </w:r>
            <w:r w:rsidRPr="00BE086B">
              <w:rPr>
                <w:sz w:val="28"/>
                <w:szCs w:val="28"/>
                <w:lang w:eastAsia="ru-RU"/>
              </w:rPr>
              <w:t>Реєстр. № 276 /6/19</w:t>
            </w:r>
          </w:p>
        </w:tc>
        <w:tc>
          <w:tcPr>
            <w:tcW w:w="866" w:type="dxa"/>
            <w:shd w:val="clear" w:color="auto" w:fill="auto"/>
          </w:tcPr>
          <w:p w:rsidR="007A2DC7" w:rsidRPr="00BE086B" w:rsidRDefault="007A2DC7">
            <w:pPr>
              <w:pStyle w:val="15"/>
              <w:spacing w:line="360" w:lineRule="auto"/>
              <w:jc w:val="both"/>
              <w:rPr>
                <w:rFonts w:ascii="Times New Roman" w:hAnsi="Times New Roman" w:cs="Times New Roman"/>
                <w:sz w:val="28"/>
                <w:szCs w:val="28"/>
                <w:lang w:val="uk-UA"/>
              </w:rPr>
            </w:pPr>
          </w:p>
          <w:p w:rsidR="009B2812" w:rsidRPr="00BE086B" w:rsidRDefault="007A2DC7" w:rsidP="001B3B1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37</w:t>
            </w:r>
            <w:r w:rsidR="001B3B11" w:rsidRPr="00BE086B">
              <w:rPr>
                <w:rFonts w:ascii="Times New Roman" w:hAnsi="Times New Roman" w:cs="Times New Roman"/>
                <w:sz w:val="28"/>
                <w:szCs w:val="28"/>
                <w:lang w:val="uk-UA"/>
              </w:rPr>
              <w:t>9</w:t>
            </w:r>
          </w:p>
        </w:tc>
      </w:tr>
      <w:tr w:rsidR="009B2812" w:rsidRPr="00BE086B" w:rsidTr="001F77EC">
        <w:tc>
          <w:tcPr>
            <w:tcW w:w="9664" w:type="dxa"/>
            <w:gridSpan w:val="5"/>
            <w:shd w:val="clear" w:color="auto" w:fill="auto"/>
          </w:tcPr>
          <w:p w:rsidR="009B2812" w:rsidRPr="00BE086B" w:rsidRDefault="009B2812" w:rsidP="009F7F01">
            <w:pPr>
              <w:spacing w:line="360" w:lineRule="auto"/>
              <w:jc w:val="both"/>
              <w:rPr>
                <w:bCs/>
                <w:sz w:val="28"/>
                <w:szCs w:val="28"/>
                <w:lang w:val="uk-UA"/>
              </w:rPr>
            </w:pPr>
            <w:r w:rsidRPr="00BE086B">
              <w:rPr>
                <w:bCs/>
                <w:sz w:val="28"/>
                <w:szCs w:val="28"/>
                <w:lang w:val="uk-UA"/>
              </w:rPr>
              <w:t>Додаток 7</w:t>
            </w:r>
            <w:r w:rsidR="00880CB6" w:rsidRPr="00BE086B">
              <w:rPr>
                <w:bCs/>
                <w:sz w:val="28"/>
                <w:szCs w:val="28"/>
                <w:lang w:val="uk-UA"/>
              </w:rPr>
              <w:t>.</w:t>
            </w:r>
            <w:r w:rsidRPr="00BE086B">
              <w:rPr>
                <w:bCs/>
                <w:sz w:val="28"/>
                <w:szCs w:val="28"/>
                <w:lang w:val="uk-UA"/>
              </w:rPr>
              <w:t xml:space="preserve"> </w:t>
            </w:r>
            <w:r w:rsidR="009F7F01" w:rsidRPr="00BE086B">
              <w:rPr>
                <w:bCs/>
                <w:sz w:val="28"/>
                <w:szCs w:val="28"/>
                <w:lang w:val="uk-UA"/>
              </w:rPr>
              <w:t>Листи від ПРАТ «Фітофарм»</w:t>
            </w:r>
          </w:p>
        </w:tc>
        <w:tc>
          <w:tcPr>
            <w:tcW w:w="866" w:type="dxa"/>
            <w:shd w:val="clear" w:color="auto" w:fill="auto"/>
          </w:tcPr>
          <w:p w:rsidR="009B2812" w:rsidRPr="00BE086B" w:rsidRDefault="007A2DC7" w:rsidP="001B3B11">
            <w:pPr>
              <w:pStyle w:val="15"/>
              <w:spacing w:line="360" w:lineRule="auto"/>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38</w:t>
            </w:r>
            <w:r w:rsidR="001B3B11" w:rsidRPr="00BE086B">
              <w:rPr>
                <w:rFonts w:ascii="Times New Roman" w:hAnsi="Times New Roman" w:cs="Times New Roman"/>
                <w:sz w:val="28"/>
                <w:szCs w:val="28"/>
                <w:lang w:val="uk-UA"/>
              </w:rPr>
              <w:t>2</w:t>
            </w:r>
          </w:p>
        </w:tc>
      </w:tr>
    </w:tbl>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380CA6" w:rsidRPr="00BE086B" w:rsidRDefault="00380CA6">
      <w:pPr>
        <w:ind w:firstLine="720"/>
        <w:jc w:val="center"/>
        <w:rPr>
          <w:b/>
          <w:sz w:val="28"/>
          <w:szCs w:val="28"/>
          <w:lang w:val="uk-UA"/>
        </w:rPr>
      </w:pPr>
    </w:p>
    <w:p w:rsidR="001F58FE" w:rsidRPr="00BE086B" w:rsidRDefault="001F58FE">
      <w:pPr>
        <w:ind w:firstLine="720"/>
        <w:jc w:val="center"/>
        <w:rPr>
          <w:b/>
          <w:sz w:val="28"/>
          <w:szCs w:val="28"/>
          <w:lang w:val="uk-UA"/>
        </w:rPr>
      </w:pPr>
    </w:p>
    <w:p w:rsidR="001F58FE" w:rsidRPr="00BE086B" w:rsidRDefault="001F58FE">
      <w:pPr>
        <w:ind w:firstLine="720"/>
        <w:jc w:val="center"/>
        <w:rPr>
          <w:b/>
          <w:sz w:val="28"/>
          <w:szCs w:val="28"/>
          <w:lang w:val="uk-UA"/>
        </w:rPr>
      </w:pPr>
    </w:p>
    <w:p w:rsidR="001F58FE" w:rsidRPr="00BE086B" w:rsidRDefault="001F58FE">
      <w:pPr>
        <w:ind w:firstLine="720"/>
        <w:jc w:val="center"/>
        <w:rPr>
          <w:b/>
          <w:sz w:val="28"/>
          <w:szCs w:val="28"/>
          <w:lang w:val="uk-UA"/>
        </w:rPr>
      </w:pPr>
    </w:p>
    <w:p w:rsidR="00380CA6" w:rsidRPr="00BE086B" w:rsidRDefault="00380CA6">
      <w:pPr>
        <w:ind w:firstLine="720"/>
        <w:jc w:val="center"/>
        <w:rPr>
          <w:b/>
          <w:sz w:val="28"/>
          <w:szCs w:val="28"/>
          <w:lang w:val="uk-UA"/>
        </w:rPr>
      </w:pPr>
    </w:p>
    <w:p w:rsidR="00F50E9A" w:rsidRPr="00BE086B" w:rsidRDefault="00F50E9A">
      <w:pPr>
        <w:ind w:firstLine="720"/>
        <w:jc w:val="center"/>
        <w:rPr>
          <w:b/>
          <w:sz w:val="28"/>
          <w:szCs w:val="28"/>
          <w:lang w:val="uk-UA"/>
        </w:rPr>
      </w:pPr>
    </w:p>
    <w:p w:rsidR="00F50E9A" w:rsidRPr="00BE086B" w:rsidRDefault="00F50E9A">
      <w:pPr>
        <w:ind w:firstLine="720"/>
        <w:jc w:val="center"/>
        <w:rPr>
          <w:b/>
          <w:sz w:val="28"/>
          <w:szCs w:val="28"/>
          <w:lang w:val="uk-UA"/>
        </w:rPr>
      </w:pPr>
    </w:p>
    <w:p w:rsidR="00F50E9A" w:rsidRPr="00BE086B" w:rsidRDefault="00F50E9A">
      <w:pPr>
        <w:ind w:firstLine="720"/>
        <w:jc w:val="center"/>
        <w:rPr>
          <w:b/>
          <w:sz w:val="28"/>
          <w:szCs w:val="28"/>
          <w:lang w:val="uk-UA"/>
        </w:rPr>
      </w:pPr>
    </w:p>
    <w:p w:rsidR="00F50E9A" w:rsidRPr="00BE086B" w:rsidRDefault="00F50E9A">
      <w:pPr>
        <w:ind w:firstLine="720"/>
        <w:jc w:val="center"/>
        <w:rPr>
          <w:b/>
          <w:sz w:val="28"/>
          <w:szCs w:val="28"/>
          <w:lang w:val="uk-UA"/>
        </w:rPr>
      </w:pPr>
    </w:p>
    <w:p w:rsidR="00F50E9A" w:rsidRPr="00BE086B" w:rsidRDefault="00F50E9A">
      <w:pPr>
        <w:ind w:firstLine="720"/>
        <w:jc w:val="center"/>
        <w:rPr>
          <w:b/>
          <w:sz w:val="28"/>
          <w:szCs w:val="28"/>
          <w:lang w:val="uk-UA"/>
        </w:rPr>
      </w:pPr>
    </w:p>
    <w:p w:rsidR="00F50E9A" w:rsidRPr="00BE086B" w:rsidRDefault="00F50E9A">
      <w:pPr>
        <w:ind w:firstLine="720"/>
        <w:jc w:val="center"/>
        <w:rPr>
          <w:b/>
          <w:sz w:val="28"/>
          <w:szCs w:val="28"/>
          <w:lang w:val="uk-UA"/>
        </w:rPr>
      </w:pPr>
    </w:p>
    <w:p w:rsidR="00F50E9A" w:rsidRPr="00BE086B" w:rsidRDefault="00F50E9A">
      <w:pPr>
        <w:ind w:firstLine="720"/>
        <w:jc w:val="center"/>
        <w:rPr>
          <w:b/>
          <w:sz w:val="28"/>
          <w:szCs w:val="28"/>
          <w:lang w:val="uk-UA"/>
        </w:rPr>
      </w:pPr>
    </w:p>
    <w:p w:rsidR="00F50E9A" w:rsidRPr="00BE086B" w:rsidRDefault="00F50E9A">
      <w:pPr>
        <w:ind w:firstLine="720"/>
        <w:jc w:val="center"/>
        <w:rPr>
          <w:b/>
          <w:sz w:val="28"/>
          <w:szCs w:val="28"/>
          <w:lang w:val="uk-UA"/>
        </w:rPr>
      </w:pPr>
    </w:p>
    <w:p w:rsidR="009C2F39" w:rsidRPr="00BE086B" w:rsidRDefault="009C2F39" w:rsidP="0004627B">
      <w:pPr>
        <w:spacing w:line="360" w:lineRule="auto"/>
        <w:jc w:val="center"/>
        <w:rPr>
          <w:b/>
          <w:bCs/>
          <w:caps/>
          <w:sz w:val="28"/>
          <w:szCs w:val="28"/>
        </w:rPr>
      </w:pPr>
      <w:r w:rsidRPr="00BE086B">
        <w:rPr>
          <w:b/>
          <w:bCs/>
          <w:caps/>
          <w:sz w:val="28"/>
          <w:szCs w:val="28"/>
        </w:rPr>
        <w:lastRenderedPageBreak/>
        <w:t>перелік умовних позначень, скорочень і термінів</w:t>
      </w:r>
    </w:p>
    <w:p w:rsidR="009F7F01" w:rsidRPr="00BE086B" w:rsidRDefault="009F7F01" w:rsidP="0004627B">
      <w:pPr>
        <w:spacing w:line="360" w:lineRule="auto"/>
        <w:jc w:val="center"/>
        <w:rPr>
          <w:sz w:val="28"/>
          <w:szCs w:val="28"/>
          <w:lang w:val="uk-UA"/>
        </w:rPr>
      </w:pPr>
    </w:p>
    <w:p w:rsidR="006C3528" w:rsidRPr="00BE086B" w:rsidRDefault="006C3528" w:rsidP="006C3528">
      <w:pPr>
        <w:spacing w:line="360" w:lineRule="auto"/>
        <w:jc w:val="both"/>
        <w:rPr>
          <w:sz w:val="22"/>
          <w:szCs w:val="22"/>
          <w:lang w:val="uk-UA" w:eastAsia="en-US"/>
        </w:rPr>
      </w:pPr>
      <w:r w:rsidRPr="00BE086B">
        <w:rPr>
          <w:sz w:val="28"/>
          <w:szCs w:val="28"/>
          <w:lang w:val="uk-UA"/>
        </w:rPr>
        <w:t>ЛЗ – лікарський засіб</w:t>
      </w:r>
    </w:p>
    <w:p w:rsidR="006C3528" w:rsidRPr="00BE086B" w:rsidRDefault="006C3528" w:rsidP="006C3528">
      <w:pPr>
        <w:spacing w:line="360" w:lineRule="auto"/>
        <w:jc w:val="both"/>
        <w:rPr>
          <w:sz w:val="28"/>
          <w:szCs w:val="28"/>
          <w:lang w:val="uk-UA"/>
        </w:rPr>
      </w:pPr>
      <w:r w:rsidRPr="00BE086B">
        <w:rPr>
          <w:sz w:val="28"/>
          <w:szCs w:val="28"/>
          <w:lang w:val="uk-UA"/>
        </w:rPr>
        <w:t>ЩЗ – щитоподібна залоза</w:t>
      </w:r>
    </w:p>
    <w:p w:rsidR="00110D49" w:rsidRPr="00BE086B" w:rsidRDefault="00110D49" w:rsidP="006C3528">
      <w:pPr>
        <w:spacing w:line="360" w:lineRule="auto"/>
        <w:jc w:val="both"/>
        <w:rPr>
          <w:sz w:val="28"/>
          <w:szCs w:val="28"/>
          <w:lang w:val="uk-UA"/>
        </w:rPr>
      </w:pPr>
      <w:r w:rsidRPr="00BE086B">
        <w:rPr>
          <w:sz w:val="28"/>
          <w:szCs w:val="28"/>
          <w:lang w:val="uk-UA"/>
        </w:rPr>
        <w:t>ССС – серцево-судинна система</w:t>
      </w:r>
    </w:p>
    <w:p w:rsidR="00110D49" w:rsidRPr="00BE086B" w:rsidRDefault="00110D49" w:rsidP="006C3528">
      <w:pPr>
        <w:spacing w:line="360" w:lineRule="auto"/>
        <w:jc w:val="both"/>
        <w:rPr>
          <w:sz w:val="28"/>
          <w:szCs w:val="28"/>
          <w:lang w:val="uk-UA"/>
        </w:rPr>
      </w:pPr>
      <w:r w:rsidRPr="00BE086B">
        <w:rPr>
          <w:sz w:val="28"/>
          <w:szCs w:val="28"/>
          <w:lang w:val="uk-UA"/>
        </w:rPr>
        <w:t>ШКТ – шлунково-кишковий тракт</w:t>
      </w:r>
    </w:p>
    <w:p w:rsidR="00110D49" w:rsidRPr="00BE086B" w:rsidRDefault="00110D49" w:rsidP="006C3528">
      <w:pPr>
        <w:spacing w:line="360" w:lineRule="auto"/>
        <w:jc w:val="both"/>
        <w:rPr>
          <w:lang w:val="uk-UA"/>
        </w:rPr>
      </w:pPr>
      <w:r w:rsidRPr="00BE086B">
        <w:rPr>
          <w:sz w:val="28"/>
          <w:szCs w:val="28"/>
          <w:lang w:val="uk-UA"/>
        </w:rPr>
        <w:t>ЦНС – центральна нервова система</w:t>
      </w:r>
    </w:p>
    <w:p w:rsidR="006C3528" w:rsidRPr="00BE086B" w:rsidRDefault="006C3528" w:rsidP="006C3528">
      <w:pPr>
        <w:spacing w:line="360" w:lineRule="auto"/>
        <w:jc w:val="both"/>
        <w:rPr>
          <w:lang w:val="uk-UA"/>
        </w:rPr>
      </w:pPr>
      <w:r w:rsidRPr="00BE086B">
        <w:rPr>
          <w:sz w:val="28"/>
          <w:szCs w:val="28"/>
          <w:lang w:val="uk-UA"/>
        </w:rPr>
        <w:t>ГІТ – гіпотиреоз</w:t>
      </w:r>
    </w:p>
    <w:p w:rsidR="006C3528" w:rsidRPr="00BE086B" w:rsidRDefault="006C3528" w:rsidP="006C3528">
      <w:pPr>
        <w:spacing w:line="360" w:lineRule="auto"/>
        <w:jc w:val="both"/>
      </w:pPr>
      <w:r w:rsidRPr="00BE086B">
        <w:rPr>
          <w:sz w:val="28"/>
          <w:szCs w:val="28"/>
          <w:lang w:val="uk-UA"/>
        </w:rPr>
        <w:t xml:space="preserve">ОА </w:t>
      </w:r>
      <w:r w:rsidRPr="00BE086B">
        <w:rPr>
          <w:sz w:val="28"/>
          <w:szCs w:val="28"/>
        </w:rPr>
        <w:t>– остеоартроз</w:t>
      </w:r>
    </w:p>
    <w:p w:rsidR="006C3528" w:rsidRPr="00BE086B" w:rsidRDefault="006C3528" w:rsidP="006C3528">
      <w:pPr>
        <w:pStyle w:val="WW-"/>
        <w:spacing w:after="0" w:line="360" w:lineRule="auto"/>
        <w:rPr>
          <w:rFonts w:ascii="Times New Roman" w:hAnsi="Times New Roman" w:cs="Times New Roman"/>
          <w:color w:val="auto"/>
          <w:lang w:val="uk-UA"/>
        </w:rPr>
      </w:pPr>
      <w:r w:rsidRPr="00BE086B">
        <w:rPr>
          <w:rFonts w:ascii="Times New Roman" w:hAnsi="Times New Roman" w:cs="Times New Roman"/>
          <w:color w:val="auto"/>
          <w:sz w:val="28"/>
          <w:szCs w:val="28"/>
          <w:lang w:val="uk-UA"/>
        </w:rPr>
        <w:t>ЕГ – експериментальний гіпотиреоз</w:t>
      </w:r>
    </w:p>
    <w:p w:rsidR="006C3528" w:rsidRPr="00BE086B" w:rsidRDefault="006C3528" w:rsidP="006C3528">
      <w:pPr>
        <w:pStyle w:val="WW-"/>
        <w:spacing w:after="0" w:line="360" w:lineRule="auto"/>
        <w:rPr>
          <w:rFonts w:ascii="Times New Roman" w:hAnsi="Times New Roman" w:cs="Times New Roman"/>
          <w:color w:val="auto"/>
          <w:lang w:val="uk-UA"/>
        </w:rPr>
      </w:pPr>
      <w:r w:rsidRPr="00BE086B">
        <w:rPr>
          <w:rFonts w:ascii="Times New Roman" w:hAnsi="Times New Roman" w:cs="Times New Roman"/>
          <w:color w:val="auto"/>
          <w:sz w:val="28"/>
          <w:szCs w:val="28"/>
          <w:lang w:val="uk-UA"/>
        </w:rPr>
        <w:t>ЕОА – експериментальний остеоартроз</w:t>
      </w:r>
    </w:p>
    <w:p w:rsidR="006C3528" w:rsidRPr="00AF27FE" w:rsidRDefault="006C3528" w:rsidP="006C3528">
      <w:pPr>
        <w:spacing w:line="360" w:lineRule="auto"/>
        <w:jc w:val="both"/>
        <w:rPr>
          <w:sz w:val="28"/>
          <w:szCs w:val="28"/>
          <w:lang w:val="uk-UA"/>
        </w:rPr>
      </w:pPr>
      <w:r w:rsidRPr="00AF27FE">
        <w:rPr>
          <w:sz w:val="28"/>
          <w:szCs w:val="28"/>
          <w:lang w:val="uk-UA"/>
        </w:rPr>
        <w:t>НПЗЗ – нестероїдні протизапальні лікарські засоби</w:t>
      </w:r>
    </w:p>
    <w:p w:rsidR="00110D49" w:rsidRPr="00BE086B" w:rsidRDefault="00110D49" w:rsidP="006C3528">
      <w:pPr>
        <w:spacing w:line="360" w:lineRule="auto"/>
        <w:jc w:val="both"/>
        <w:rPr>
          <w:lang w:val="uk-UA"/>
        </w:rPr>
      </w:pPr>
      <w:r w:rsidRPr="00BE086B">
        <w:rPr>
          <w:sz w:val="28"/>
          <w:szCs w:val="28"/>
          <w:lang w:val="uk-UA"/>
        </w:rPr>
        <w:t xml:space="preserve">ЦОГ </w:t>
      </w:r>
      <w:r w:rsidRPr="00AF27FE">
        <w:rPr>
          <w:sz w:val="28"/>
          <w:szCs w:val="28"/>
          <w:lang w:val="uk-UA"/>
        </w:rPr>
        <w:t>–</w:t>
      </w:r>
      <w:r w:rsidRPr="00BE086B">
        <w:rPr>
          <w:sz w:val="28"/>
          <w:szCs w:val="28"/>
          <w:lang w:val="uk-UA"/>
        </w:rPr>
        <w:t xml:space="preserve"> циклооксигеназа</w:t>
      </w:r>
    </w:p>
    <w:p w:rsidR="006C3528" w:rsidRPr="00BE086B" w:rsidRDefault="006C3528" w:rsidP="006C3528">
      <w:pPr>
        <w:spacing w:line="360" w:lineRule="auto"/>
        <w:jc w:val="both"/>
      </w:pPr>
      <w:r w:rsidRPr="00BE086B">
        <w:rPr>
          <w:sz w:val="28"/>
          <w:szCs w:val="28"/>
          <w:lang w:eastAsia="ar-SA"/>
        </w:rPr>
        <w:t>ХП – хондропротектори</w:t>
      </w:r>
    </w:p>
    <w:p w:rsidR="006C3528" w:rsidRPr="00BE086B" w:rsidRDefault="006C3528" w:rsidP="006C3528">
      <w:pPr>
        <w:spacing w:line="360" w:lineRule="auto"/>
        <w:jc w:val="both"/>
      </w:pPr>
      <w:r w:rsidRPr="00BE086B">
        <w:rPr>
          <w:sz w:val="28"/>
          <w:szCs w:val="28"/>
          <w:lang w:eastAsia="ar-SA"/>
        </w:rPr>
        <w:t>ІЛ</w:t>
      </w:r>
      <w:r w:rsidR="00FE2099" w:rsidRPr="00BE086B">
        <w:rPr>
          <w:sz w:val="28"/>
          <w:szCs w:val="28"/>
          <w:lang w:val="uk-UA" w:eastAsia="ar-SA"/>
        </w:rPr>
        <w:t>/</w:t>
      </w:r>
      <w:r w:rsidR="00FE2099" w:rsidRPr="00BE086B">
        <w:rPr>
          <w:sz w:val="28"/>
          <w:szCs w:val="28"/>
          <w:lang w:val="en-US" w:eastAsia="ar-SA"/>
        </w:rPr>
        <w:t>IL</w:t>
      </w:r>
      <w:r w:rsidRPr="00BE086B">
        <w:rPr>
          <w:sz w:val="28"/>
          <w:szCs w:val="28"/>
          <w:lang w:eastAsia="ar-SA"/>
        </w:rPr>
        <w:t xml:space="preserve"> – інтерлейкін</w:t>
      </w:r>
    </w:p>
    <w:p w:rsidR="006C3528" w:rsidRPr="00BE086B" w:rsidRDefault="006C3528" w:rsidP="006C3528">
      <w:pPr>
        <w:spacing w:line="360" w:lineRule="auto"/>
        <w:jc w:val="both"/>
      </w:pPr>
      <w:r w:rsidRPr="00BE086B">
        <w:rPr>
          <w:sz w:val="28"/>
          <w:szCs w:val="28"/>
          <w:lang w:eastAsia="ar-SA"/>
        </w:rPr>
        <w:t>ФНП – фактор некрозу пухлин</w:t>
      </w:r>
    </w:p>
    <w:p w:rsidR="006C3528" w:rsidRPr="00BE086B" w:rsidRDefault="006C3528" w:rsidP="006C3528">
      <w:pPr>
        <w:spacing w:line="360" w:lineRule="auto"/>
        <w:jc w:val="both"/>
      </w:pPr>
      <w:r w:rsidRPr="00BE086B">
        <w:rPr>
          <w:sz w:val="28"/>
          <w:szCs w:val="28"/>
          <w:lang w:eastAsia="ar-SA"/>
        </w:rPr>
        <w:t>ММП – матриксні металопротеїнази</w:t>
      </w:r>
    </w:p>
    <w:p w:rsidR="006C3528" w:rsidRPr="00BE086B" w:rsidRDefault="006C3528" w:rsidP="006C3528">
      <w:pPr>
        <w:spacing w:line="360" w:lineRule="auto"/>
        <w:jc w:val="both"/>
      </w:pPr>
      <w:r w:rsidRPr="00BE086B">
        <w:rPr>
          <w:sz w:val="28"/>
          <w:szCs w:val="28"/>
          <w:lang w:eastAsia="ar-SA"/>
        </w:rPr>
        <w:t>СРП – С-реактивний протеїн</w:t>
      </w:r>
    </w:p>
    <w:p w:rsidR="006C3528" w:rsidRPr="00BE086B" w:rsidRDefault="006C3528" w:rsidP="006C3528">
      <w:pPr>
        <w:spacing w:line="360" w:lineRule="auto"/>
        <w:jc w:val="both"/>
      </w:pPr>
      <w:r w:rsidRPr="00BE086B">
        <w:rPr>
          <w:sz w:val="28"/>
          <w:szCs w:val="28"/>
          <w:lang w:eastAsia="ar-SA"/>
        </w:rPr>
        <w:t>КЛФ – кісткова лужна фосфатаза</w:t>
      </w:r>
    </w:p>
    <w:p w:rsidR="006C3528" w:rsidRPr="00BE086B" w:rsidRDefault="006C3528" w:rsidP="006C35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BE086B">
        <w:rPr>
          <w:sz w:val="28"/>
          <w:szCs w:val="28"/>
          <w:lang w:eastAsia="ru-RU"/>
        </w:rPr>
        <w:t xml:space="preserve">CTX-I </w:t>
      </w:r>
      <w:r w:rsidRPr="00BE086B">
        <w:rPr>
          <w:sz w:val="28"/>
          <w:szCs w:val="28"/>
          <w:lang w:eastAsia="ar-SA"/>
        </w:rPr>
        <w:t>–</w:t>
      </w:r>
      <w:r w:rsidRPr="00BE086B">
        <w:rPr>
          <w:sz w:val="28"/>
          <w:szCs w:val="28"/>
          <w:lang w:eastAsia="ru-RU"/>
        </w:rPr>
        <w:t xml:space="preserve"> маркер С-телопептиду колагену I типу</w:t>
      </w:r>
    </w:p>
    <w:p w:rsidR="006C3528" w:rsidRPr="00BE086B" w:rsidRDefault="006C3528" w:rsidP="006C35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BE086B">
        <w:rPr>
          <w:sz w:val="28"/>
          <w:szCs w:val="28"/>
          <w:lang w:eastAsia="ru-RU"/>
        </w:rPr>
        <w:t xml:space="preserve">CTX-II </w:t>
      </w:r>
      <w:r w:rsidRPr="00BE086B">
        <w:rPr>
          <w:sz w:val="28"/>
          <w:szCs w:val="28"/>
          <w:lang w:eastAsia="ar-SA"/>
        </w:rPr>
        <w:t>–</w:t>
      </w:r>
      <w:r w:rsidRPr="00BE086B">
        <w:rPr>
          <w:sz w:val="28"/>
          <w:szCs w:val="28"/>
          <w:lang w:eastAsia="ru-RU"/>
        </w:rPr>
        <w:t xml:space="preserve"> маркер С-телопептиду колагену II типу</w:t>
      </w:r>
    </w:p>
    <w:p w:rsidR="006C3528" w:rsidRPr="00BE086B" w:rsidRDefault="006C3528" w:rsidP="006C3528">
      <w:pPr>
        <w:spacing w:line="360" w:lineRule="auto"/>
        <w:jc w:val="both"/>
      </w:pPr>
      <w:r w:rsidRPr="00BE086B">
        <w:rPr>
          <w:sz w:val="28"/>
          <w:szCs w:val="28"/>
          <w:lang w:eastAsia="ar-SA"/>
        </w:rPr>
        <w:t>МОК – монойодоцтова кислота</w:t>
      </w:r>
    </w:p>
    <w:p w:rsidR="006C3528" w:rsidRPr="00BE086B" w:rsidRDefault="006C3528" w:rsidP="006C3528">
      <w:pPr>
        <w:spacing w:line="360" w:lineRule="auto"/>
        <w:jc w:val="both"/>
      </w:pPr>
      <w:r w:rsidRPr="00BE086B">
        <w:rPr>
          <w:sz w:val="28"/>
          <w:szCs w:val="28"/>
          <w:lang w:eastAsia="ar-SA"/>
        </w:rPr>
        <w:t xml:space="preserve">ТТГ – </w:t>
      </w:r>
      <w:r w:rsidRPr="00BE086B">
        <w:rPr>
          <w:sz w:val="28"/>
          <w:szCs w:val="28"/>
          <w:lang w:eastAsia="ru-RU"/>
        </w:rPr>
        <w:t>тиреотропин або гормон, стимулюючий щитоподібну залозу</w:t>
      </w:r>
    </w:p>
    <w:p w:rsidR="006C3528" w:rsidRPr="00BE086B" w:rsidRDefault="006C3528" w:rsidP="006C3528">
      <w:pPr>
        <w:spacing w:line="360" w:lineRule="auto"/>
        <w:jc w:val="both"/>
      </w:pPr>
      <w:r w:rsidRPr="00BE086B">
        <w:rPr>
          <w:sz w:val="28"/>
          <w:szCs w:val="28"/>
          <w:lang w:eastAsia="ar-SA"/>
        </w:rPr>
        <w:t xml:space="preserve">Т3 – </w:t>
      </w:r>
      <w:r w:rsidRPr="00BE086B">
        <w:rPr>
          <w:sz w:val="28"/>
          <w:szCs w:val="28"/>
          <w:lang w:eastAsia="ru-RU"/>
        </w:rPr>
        <w:t>вільний трийодтиронин</w:t>
      </w:r>
    </w:p>
    <w:p w:rsidR="006C3528" w:rsidRPr="00BE086B" w:rsidRDefault="006C3528" w:rsidP="006C3528">
      <w:pPr>
        <w:spacing w:line="360" w:lineRule="auto"/>
        <w:jc w:val="both"/>
      </w:pPr>
      <w:r w:rsidRPr="00BE086B">
        <w:rPr>
          <w:sz w:val="28"/>
          <w:szCs w:val="28"/>
          <w:lang w:eastAsia="ar-SA"/>
        </w:rPr>
        <w:t xml:space="preserve">Т4 – </w:t>
      </w:r>
      <w:r w:rsidRPr="00BE086B">
        <w:rPr>
          <w:sz w:val="28"/>
          <w:szCs w:val="28"/>
          <w:lang w:eastAsia="ru-RU"/>
        </w:rPr>
        <w:t>вільний тироксин</w:t>
      </w:r>
    </w:p>
    <w:p w:rsidR="006C3528" w:rsidRPr="00BE086B" w:rsidRDefault="006C3528" w:rsidP="006C35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BE086B">
        <w:rPr>
          <w:sz w:val="28"/>
          <w:szCs w:val="28"/>
          <w:lang w:eastAsia="ru-RU"/>
        </w:rPr>
        <w:t xml:space="preserve">ІФА </w:t>
      </w:r>
      <w:r w:rsidRPr="00BE086B">
        <w:rPr>
          <w:sz w:val="28"/>
          <w:szCs w:val="28"/>
          <w:lang w:eastAsia="ar-SA"/>
        </w:rPr>
        <w:t>–</w:t>
      </w:r>
      <w:r w:rsidRPr="00BE086B">
        <w:rPr>
          <w:sz w:val="28"/>
          <w:szCs w:val="28"/>
          <w:lang w:eastAsia="ru-RU"/>
        </w:rPr>
        <w:t xml:space="preserve"> імуно-ферментний аналіз</w:t>
      </w:r>
    </w:p>
    <w:p w:rsidR="006C3528" w:rsidRPr="00BE086B" w:rsidRDefault="006C3528" w:rsidP="006C3528">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Times New Roman" w:hAnsi="Times New Roman" w:cs="Times New Roman"/>
          <w:color w:val="auto"/>
          <w:sz w:val="28"/>
          <w:szCs w:val="28"/>
          <w:lang w:val="uk-UA" w:eastAsia="ru-RU"/>
        </w:rPr>
      </w:pPr>
      <w:r w:rsidRPr="00BE086B">
        <w:rPr>
          <w:rFonts w:ascii="Times New Roman" w:hAnsi="Times New Roman" w:cs="Times New Roman"/>
          <w:color w:val="auto"/>
          <w:sz w:val="28"/>
          <w:szCs w:val="28"/>
          <w:lang w:val="uk-UA" w:eastAsia="ru-RU"/>
        </w:rPr>
        <w:t>ІЩ – інтактні щури</w:t>
      </w:r>
    </w:p>
    <w:p w:rsidR="006C3528" w:rsidRPr="00BE086B" w:rsidRDefault="006C3528" w:rsidP="006C3528">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Times New Roman" w:hAnsi="Times New Roman" w:cs="Times New Roman"/>
          <w:color w:val="auto"/>
          <w:lang w:val="uk-UA"/>
        </w:rPr>
      </w:pPr>
      <w:r w:rsidRPr="00BE086B">
        <w:rPr>
          <w:rFonts w:ascii="Times New Roman" w:hAnsi="Times New Roman" w:cs="Times New Roman"/>
          <w:color w:val="auto"/>
          <w:sz w:val="28"/>
          <w:szCs w:val="28"/>
          <w:lang w:val="uk-UA" w:eastAsia="ru-RU"/>
        </w:rPr>
        <w:t>ВС – вихідний стан</w:t>
      </w:r>
    </w:p>
    <w:p w:rsidR="006C3528" w:rsidRPr="00BE086B" w:rsidRDefault="006C3528" w:rsidP="006C3528">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Times New Roman" w:hAnsi="Times New Roman" w:cs="Times New Roman"/>
          <w:color w:val="auto"/>
          <w:sz w:val="28"/>
          <w:szCs w:val="28"/>
          <w:lang w:val="uk-UA" w:eastAsia="ru-RU"/>
        </w:rPr>
      </w:pPr>
      <w:r w:rsidRPr="00BE086B">
        <w:rPr>
          <w:rFonts w:ascii="Times New Roman" w:hAnsi="Times New Roman" w:cs="Times New Roman"/>
          <w:color w:val="auto"/>
          <w:sz w:val="28"/>
          <w:szCs w:val="28"/>
          <w:lang w:val="uk-UA" w:eastAsia="ru-RU"/>
        </w:rPr>
        <w:t>Т – L-тироксин (левотироксин)</w:t>
      </w:r>
    </w:p>
    <w:p w:rsidR="006C3528" w:rsidRPr="00BE086B" w:rsidRDefault="006C3528" w:rsidP="006C3528">
      <w:pPr>
        <w:pStyle w:val="WW-"/>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Times New Roman" w:hAnsi="Times New Roman" w:cs="Times New Roman"/>
          <w:color w:val="auto"/>
          <w:lang w:val="uk-UA"/>
        </w:rPr>
      </w:pPr>
      <w:r w:rsidRPr="00BE086B">
        <w:rPr>
          <w:rFonts w:ascii="Times New Roman" w:hAnsi="Times New Roman" w:cs="Times New Roman"/>
          <w:color w:val="auto"/>
          <w:sz w:val="28"/>
          <w:szCs w:val="28"/>
          <w:lang w:val="uk-UA" w:eastAsia="ru-RU"/>
        </w:rPr>
        <w:t>ХС – хондроїтину сульфат</w:t>
      </w:r>
    </w:p>
    <w:p w:rsidR="006C3528" w:rsidRPr="00BE086B" w:rsidRDefault="006C3528" w:rsidP="006C3528">
      <w:pPr>
        <w:spacing w:line="360" w:lineRule="auto"/>
        <w:jc w:val="both"/>
        <w:rPr>
          <w:lang w:val="uk-UA"/>
        </w:rPr>
      </w:pPr>
      <w:r w:rsidRPr="00BE086B">
        <w:rPr>
          <w:sz w:val="28"/>
          <w:szCs w:val="28"/>
        </w:rPr>
        <w:lastRenderedPageBreak/>
        <w:t xml:space="preserve">Д </w:t>
      </w:r>
      <w:r w:rsidRPr="00BE086B">
        <w:rPr>
          <w:sz w:val="28"/>
          <w:szCs w:val="28"/>
          <w:lang w:eastAsia="ru-RU"/>
        </w:rPr>
        <w:t>–</w:t>
      </w:r>
      <w:r w:rsidRPr="00BE086B">
        <w:rPr>
          <w:sz w:val="28"/>
          <w:szCs w:val="28"/>
        </w:rPr>
        <w:t xml:space="preserve"> диклофенак натрію</w:t>
      </w:r>
    </w:p>
    <w:p w:rsidR="006C3528" w:rsidRPr="00BE086B" w:rsidRDefault="006C3528" w:rsidP="006C3528">
      <w:pPr>
        <w:spacing w:line="360" w:lineRule="auto"/>
        <w:jc w:val="both"/>
      </w:pPr>
      <w:r w:rsidRPr="00BE086B">
        <w:rPr>
          <w:sz w:val="28"/>
          <w:szCs w:val="28"/>
        </w:rPr>
        <w:t xml:space="preserve">І </w:t>
      </w:r>
      <w:r w:rsidRPr="00BE086B">
        <w:rPr>
          <w:sz w:val="28"/>
          <w:szCs w:val="28"/>
          <w:lang w:eastAsia="ru-RU"/>
        </w:rPr>
        <w:t>–</w:t>
      </w:r>
      <w:r w:rsidRPr="00BE086B">
        <w:rPr>
          <w:sz w:val="28"/>
          <w:szCs w:val="28"/>
        </w:rPr>
        <w:t xml:space="preserve"> ібупрофен</w:t>
      </w:r>
    </w:p>
    <w:p w:rsidR="006C3528" w:rsidRPr="00BE086B" w:rsidRDefault="006C3528" w:rsidP="006C3528">
      <w:pPr>
        <w:pStyle w:val="WW-"/>
        <w:spacing w:after="0" w:line="360" w:lineRule="auto"/>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Мел </w:t>
      </w:r>
      <w:r w:rsidRPr="00BE086B">
        <w:rPr>
          <w:rFonts w:ascii="Times New Roman" w:hAnsi="Times New Roman" w:cs="Times New Roman"/>
          <w:color w:val="auto"/>
          <w:sz w:val="28"/>
          <w:szCs w:val="28"/>
          <w:lang w:val="uk-UA" w:eastAsia="ru-RU"/>
        </w:rPr>
        <w:t>–</w:t>
      </w:r>
      <w:r w:rsidRPr="00BE086B">
        <w:rPr>
          <w:rFonts w:ascii="Times New Roman" w:hAnsi="Times New Roman" w:cs="Times New Roman"/>
          <w:color w:val="auto"/>
          <w:sz w:val="28"/>
          <w:szCs w:val="28"/>
          <w:lang w:val="uk-UA"/>
        </w:rPr>
        <w:t xml:space="preserve"> мелоксикам</w:t>
      </w:r>
    </w:p>
    <w:p w:rsidR="006C3528" w:rsidRPr="00BE086B" w:rsidRDefault="006C3528" w:rsidP="006C3528">
      <w:pPr>
        <w:pStyle w:val="WW-"/>
        <w:spacing w:after="0" w:line="360" w:lineRule="auto"/>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П </w:t>
      </w:r>
      <w:r w:rsidRPr="00BE086B">
        <w:rPr>
          <w:rFonts w:ascii="Times New Roman" w:hAnsi="Times New Roman" w:cs="Times New Roman"/>
          <w:color w:val="auto"/>
          <w:sz w:val="28"/>
          <w:szCs w:val="28"/>
          <w:lang w:val="uk-UA" w:eastAsia="ru-RU"/>
        </w:rPr>
        <w:t>–</w:t>
      </w:r>
      <w:r w:rsidRPr="00BE086B">
        <w:rPr>
          <w:rFonts w:ascii="Times New Roman" w:hAnsi="Times New Roman" w:cs="Times New Roman"/>
          <w:color w:val="auto"/>
          <w:sz w:val="28"/>
          <w:szCs w:val="28"/>
          <w:lang w:val="uk-UA"/>
        </w:rPr>
        <w:t xml:space="preserve"> парацетамол</w:t>
      </w:r>
    </w:p>
    <w:p w:rsidR="006C3528" w:rsidRPr="00BE086B" w:rsidRDefault="006C3528" w:rsidP="006C3528">
      <w:pPr>
        <w:spacing w:line="360" w:lineRule="auto"/>
        <w:jc w:val="both"/>
        <w:rPr>
          <w:lang w:val="uk-UA"/>
        </w:rPr>
      </w:pPr>
      <w:r w:rsidRPr="00BE086B">
        <w:rPr>
          <w:sz w:val="28"/>
          <w:szCs w:val="28"/>
        </w:rPr>
        <w:t xml:space="preserve">Н </w:t>
      </w:r>
      <w:r w:rsidRPr="00BE086B">
        <w:rPr>
          <w:sz w:val="28"/>
          <w:szCs w:val="28"/>
          <w:lang w:eastAsia="ru-RU"/>
        </w:rPr>
        <w:t>–</w:t>
      </w:r>
      <w:r w:rsidRPr="00BE086B">
        <w:rPr>
          <w:sz w:val="28"/>
          <w:szCs w:val="28"/>
        </w:rPr>
        <w:t xml:space="preserve"> німесулід</w:t>
      </w:r>
    </w:p>
    <w:p w:rsidR="006C3528" w:rsidRPr="00BE086B" w:rsidRDefault="006C3528" w:rsidP="006C3528">
      <w:pPr>
        <w:spacing w:line="360" w:lineRule="auto"/>
        <w:jc w:val="both"/>
        <w:rPr>
          <w:sz w:val="28"/>
          <w:szCs w:val="28"/>
        </w:rPr>
      </w:pPr>
      <w:r w:rsidRPr="00BE086B">
        <w:rPr>
          <w:sz w:val="28"/>
          <w:szCs w:val="28"/>
        </w:rPr>
        <w:t xml:space="preserve">Ц </w:t>
      </w:r>
      <w:r w:rsidRPr="00BE086B">
        <w:rPr>
          <w:sz w:val="28"/>
          <w:szCs w:val="28"/>
          <w:lang w:eastAsia="ru-RU"/>
        </w:rPr>
        <w:t>–</w:t>
      </w:r>
      <w:r w:rsidRPr="00BE086B">
        <w:rPr>
          <w:sz w:val="28"/>
          <w:szCs w:val="28"/>
        </w:rPr>
        <w:t xml:space="preserve"> целекоксиб</w:t>
      </w:r>
    </w:p>
    <w:p w:rsidR="00584A27" w:rsidRPr="00BE086B" w:rsidRDefault="00584A27" w:rsidP="006C3528">
      <w:pPr>
        <w:spacing w:line="360" w:lineRule="auto"/>
        <w:jc w:val="both"/>
        <w:rPr>
          <w:sz w:val="28"/>
          <w:szCs w:val="28"/>
          <w:lang w:val="uk-UA"/>
        </w:rPr>
      </w:pPr>
      <w:r w:rsidRPr="00BE086B">
        <w:rPr>
          <w:sz w:val="28"/>
          <w:szCs w:val="28"/>
          <w:lang w:val="uk-UA"/>
        </w:rPr>
        <w:t>ДЗ «МОЗ України» - Державний заклад «Дніпропетровська медична академія Мініст</w:t>
      </w:r>
      <w:r w:rsidR="00FA5729" w:rsidRPr="00BE086B">
        <w:rPr>
          <w:sz w:val="28"/>
          <w:szCs w:val="28"/>
          <w:lang w:val="uk-UA"/>
        </w:rPr>
        <w:t>е</w:t>
      </w:r>
      <w:r w:rsidRPr="00BE086B">
        <w:rPr>
          <w:sz w:val="28"/>
          <w:szCs w:val="28"/>
          <w:lang w:val="uk-UA"/>
        </w:rPr>
        <w:t>рства охорони здоров</w:t>
      </w:r>
      <w:r w:rsidRPr="00BE086B">
        <w:rPr>
          <w:sz w:val="28"/>
          <w:szCs w:val="28"/>
        </w:rPr>
        <w:t>’</w:t>
      </w:r>
      <w:r w:rsidRPr="00BE086B">
        <w:rPr>
          <w:sz w:val="28"/>
          <w:szCs w:val="28"/>
          <w:lang w:val="uk-UA"/>
        </w:rPr>
        <w:t>я України»</w:t>
      </w:r>
    </w:p>
    <w:p w:rsidR="00584A27" w:rsidRPr="00BE086B" w:rsidRDefault="00584A27" w:rsidP="006C3528">
      <w:pPr>
        <w:spacing w:line="360" w:lineRule="auto"/>
        <w:jc w:val="both"/>
        <w:rPr>
          <w:sz w:val="28"/>
          <w:szCs w:val="28"/>
        </w:rPr>
      </w:pPr>
    </w:p>
    <w:p w:rsidR="00584A27" w:rsidRPr="00BE086B" w:rsidRDefault="00584A27" w:rsidP="006C3528">
      <w:pPr>
        <w:spacing w:line="360" w:lineRule="auto"/>
        <w:jc w:val="both"/>
        <w:rPr>
          <w:sz w:val="28"/>
          <w:szCs w:val="28"/>
        </w:rPr>
      </w:pPr>
    </w:p>
    <w:p w:rsidR="00584A27" w:rsidRPr="00BE086B" w:rsidRDefault="00584A27" w:rsidP="006C3528">
      <w:pPr>
        <w:spacing w:line="360" w:lineRule="auto"/>
        <w:jc w:val="both"/>
        <w:rPr>
          <w:sz w:val="28"/>
          <w:szCs w:val="28"/>
        </w:rPr>
      </w:pPr>
    </w:p>
    <w:p w:rsidR="00584A27" w:rsidRPr="00BE086B" w:rsidRDefault="00584A27" w:rsidP="006C3528">
      <w:pPr>
        <w:spacing w:line="360" w:lineRule="auto"/>
        <w:jc w:val="both"/>
        <w:rPr>
          <w:sz w:val="28"/>
          <w:szCs w:val="28"/>
        </w:rPr>
      </w:pPr>
    </w:p>
    <w:p w:rsidR="00584A27" w:rsidRPr="00BE086B" w:rsidRDefault="00584A27" w:rsidP="006C3528">
      <w:pPr>
        <w:spacing w:line="360" w:lineRule="auto"/>
        <w:jc w:val="both"/>
        <w:rPr>
          <w:sz w:val="28"/>
          <w:szCs w:val="28"/>
        </w:rPr>
      </w:pPr>
    </w:p>
    <w:p w:rsidR="00584A27" w:rsidRPr="00BE086B" w:rsidRDefault="00584A27" w:rsidP="006C3528">
      <w:pPr>
        <w:spacing w:line="360" w:lineRule="auto"/>
        <w:jc w:val="both"/>
        <w:rPr>
          <w:sz w:val="28"/>
          <w:szCs w:val="28"/>
        </w:rPr>
      </w:pPr>
    </w:p>
    <w:p w:rsidR="00584A27" w:rsidRPr="00BE086B" w:rsidRDefault="00584A27" w:rsidP="006C3528">
      <w:pPr>
        <w:spacing w:line="360" w:lineRule="auto"/>
        <w:jc w:val="both"/>
        <w:rPr>
          <w:sz w:val="28"/>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FA5729" w:rsidRPr="00BE086B" w:rsidRDefault="00FA5729">
      <w:pPr>
        <w:jc w:val="center"/>
        <w:rPr>
          <w:b/>
          <w:caps/>
          <w:sz w:val="28"/>
          <w:szCs w:val="28"/>
          <w:lang w:val="uk-UA"/>
        </w:rPr>
      </w:pPr>
    </w:p>
    <w:p w:rsidR="00380CA6" w:rsidRPr="00BE086B" w:rsidRDefault="00380CA6">
      <w:pPr>
        <w:jc w:val="center"/>
        <w:rPr>
          <w:lang w:val="uk-UA"/>
        </w:rPr>
      </w:pPr>
      <w:r w:rsidRPr="00BE086B">
        <w:rPr>
          <w:b/>
          <w:caps/>
          <w:sz w:val="28"/>
          <w:szCs w:val="28"/>
          <w:lang w:val="uk-UA"/>
        </w:rPr>
        <w:lastRenderedPageBreak/>
        <w:t>ВСТУП</w:t>
      </w:r>
    </w:p>
    <w:p w:rsidR="00380CA6" w:rsidRPr="00BE086B" w:rsidRDefault="00380CA6" w:rsidP="009F7F01">
      <w:pPr>
        <w:spacing w:line="360" w:lineRule="auto"/>
        <w:jc w:val="center"/>
        <w:rPr>
          <w:b/>
          <w:caps/>
          <w:sz w:val="28"/>
          <w:szCs w:val="28"/>
          <w:lang w:val="uk-UA"/>
        </w:rPr>
      </w:pPr>
    </w:p>
    <w:p w:rsidR="00A45692" w:rsidRPr="00BE086B" w:rsidRDefault="00FA5729" w:rsidP="00A45692">
      <w:pPr>
        <w:spacing w:line="360" w:lineRule="auto"/>
        <w:ind w:firstLine="567"/>
        <w:jc w:val="both"/>
        <w:rPr>
          <w:sz w:val="28"/>
          <w:szCs w:val="28"/>
          <w:lang w:eastAsia="en-US"/>
        </w:rPr>
      </w:pPr>
      <w:r w:rsidRPr="00BE086B">
        <w:rPr>
          <w:b/>
          <w:sz w:val="28"/>
          <w:szCs w:val="28"/>
        </w:rPr>
        <w:t>Актуальність дослідження</w:t>
      </w:r>
      <w:r w:rsidR="00380CA6" w:rsidRPr="00BE086B">
        <w:rPr>
          <w:b/>
          <w:sz w:val="28"/>
          <w:szCs w:val="28"/>
          <w:lang w:val="uk-UA"/>
        </w:rPr>
        <w:t>.</w:t>
      </w:r>
      <w:r w:rsidR="00380CA6" w:rsidRPr="00BE086B">
        <w:rPr>
          <w:sz w:val="28"/>
          <w:szCs w:val="28"/>
          <w:lang w:val="uk-UA"/>
        </w:rPr>
        <w:t xml:space="preserve"> </w:t>
      </w:r>
      <w:r w:rsidR="00A45692" w:rsidRPr="00BE086B">
        <w:rPr>
          <w:sz w:val="28"/>
          <w:szCs w:val="28"/>
        </w:rPr>
        <w:t xml:space="preserve">Біль є одним з основних проявів численних захворювань та причиною страждань людини, що спонукає до застосування аналгетичних засобів. Больові відчуття реєструються як у пацієнтів з одним захворюванням, так і в осіб з коморбідною патологією. Біль є фактором, що обтяжує перебіг коморбідної і, особливо, хронічної патології, що зумовлює необхідність тривалого та безперервного застосування аналгетиків і тим самим підвищує ризики ускладнень та побічних реакцій фармакотерапії (S. B. McMahon </w:t>
      </w:r>
      <w:r w:rsidR="00A45692" w:rsidRPr="00BE086B">
        <w:rPr>
          <w:rFonts w:eastAsia="Calibri"/>
          <w:sz w:val="28"/>
          <w:szCs w:val="28"/>
        </w:rPr>
        <w:t xml:space="preserve">et al., 2021; </w:t>
      </w:r>
      <w:r w:rsidR="00A45692" w:rsidRPr="00BE086B">
        <w:rPr>
          <w:sz w:val="28"/>
          <w:szCs w:val="28"/>
        </w:rPr>
        <w:t xml:space="preserve">K-H. Kim </w:t>
      </w:r>
      <w:r w:rsidR="00A45692" w:rsidRPr="00BE086B">
        <w:rPr>
          <w:rFonts w:eastAsia="Calibri"/>
          <w:sz w:val="28"/>
          <w:szCs w:val="28"/>
        </w:rPr>
        <w:t xml:space="preserve">et al., 2020; </w:t>
      </w:r>
      <w:r w:rsidR="00A45692" w:rsidRPr="00BE086B">
        <w:rPr>
          <w:rFonts w:eastAsia="Arial Unicode MS"/>
          <w:sz w:val="28"/>
          <w:szCs w:val="28"/>
        </w:rPr>
        <w:t xml:space="preserve">A. Qaseem </w:t>
      </w:r>
      <w:r w:rsidR="00A45692" w:rsidRPr="00BE086B">
        <w:rPr>
          <w:rFonts w:eastAsia="Calibri"/>
          <w:sz w:val="28"/>
          <w:szCs w:val="28"/>
        </w:rPr>
        <w:t xml:space="preserve">et al., 2020; </w:t>
      </w:r>
      <w:r w:rsidR="00A45692" w:rsidRPr="00BE086B">
        <w:rPr>
          <w:bCs/>
          <w:iCs/>
          <w:sz w:val="28"/>
          <w:szCs w:val="28"/>
          <w:lang w:eastAsia="ru-RU"/>
        </w:rPr>
        <w:t xml:space="preserve">V. V. Povoroznyuk </w:t>
      </w:r>
      <w:r w:rsidR="00A45692" w:rsidRPr="00BE086B">
        <w:rPr>
          <w:rFonts w:eastAsia="Calibri"/>
          <w:sz w:val="28"/>
          <w:szCs w:val="28"/>
        </w:rPr>
        <w:t>et al., 2020;</w:t>
      </w:r>
      <w:r w:rsidR="00A45692" w:rsidRPr="00BE086B">
        <w:rPr>
          <w:bCs/>
          <w:iCs/>
          <w:sz w:val="28"/>
          <w:szCs w:val="28"/>
          <w:lang w:eastAsia="ru-RU"/>
        </w:rPr>
        <w:t xml:space="preserve"> </w:t>
      </w:r>
      <w:r w:rsidR="00A45692" w:rsidRPr="00BE086B">
        <w:rPr>
          <w:sz w:val="28"/>
          <w:szCs w:val="28"/>
          <w:lang w:eastAsia="ru-RU"/>
        </w:rPr>
        <w:t xml:space="preserve">Н. І. Волощук, </w:t>
      </w:r>
      <w:r w:rsidR="00A45692" w:rsidRPr="00BE086B">
        <w:rPr>
          <w:sz w:val="28"/>
          <w:szCs w:val="28"/>
          <w:shd w:val="clear" w:color="auto" w:fill="FFFFFF"/>
          <w:lang w:bidi="ru-RU"/>
        </w:rPr>
        <w:t xml:space="preserve">2008, 2009; </w:t>
      </w:r>
      <w:r w:rsidR="00A45692" w:rsidRPr="00BE086B">
        <w:rPr>
          <w:sz w:val="28"/>
          <w:szCs w:val="28"/>
          <w:lang w:eastAsia="ru-RU"/>
        </w:rPr>
        <w:t xml:space="preserve">Н. І. Волощук </w:t>
      </w:r>
      <w:r w:rsidR="00A45692" w:rsidRPr="00BE086B">
        <w:rPr>
          <w:sz w:val="28"/>
          <w:szCs w:val="28"/>
          <w:shd w:val="clear" w:color="auto" w:fill="FFFFFF"/>
          <w:lang w:bidi="ru-RU"/>
        </w:rPr>
        <w:t>з співавт., 2007, 2013</w:t>
      </w:r>
      <w:r w:rsidR="00A45692" w:rsidRPr="00BE086B">
        <w:rPr>
          <w:sz w:val="28"/>
          <w:szCs w:val="28"/>
        </w:rPr>
        <w:t>).</w:t>
      </w:r>
    </w:p>
    <w:p w:rsidR="00A45692" w:rsidRPr="00BE086B" w:rsidRDefault="00A45692" w:rsidP="00A45692">
      <w:pPr>
        <w:spacing w:line="360" w:lineRule="auto"/>
        <w:ind w:firstLine="567"/>
        <w:jc w:val="both"/>
        <w:rPr>
          <w:sz w:val="28"/>
          <w:szCs w:val="28"/>
        </w:rPr>
      </w:pPr>
      <w:r w:rsidRPr="00BE086B">
        <w:rPr>
          <w:sz w:val="28"/>
          <w:szCs w:val="28"/>
        </w:rPr>
        <w:t>Фармакотерапія остеоартрозу (ОА) та гіпотиреозу (ГІТ) є однією з актуальних проблем сучасної медицини у всьому світі не лише через те, що ці патологічні стани є вельми поширеними, характеризуються тяжким перебігом та наслідками, що призводять до інвалідизації населення (</w:t>
      </w:r>
      <w:r w:rsidRPr="00BE086B">
        <w:rPr>
          <w:rFonts w:eastAsia="Arial Unicode MS"/>
          <w:sz w:val="28"/>
          <w:szCs w:val="28"/>
          <w:shd w:val="clear" w:color="auto" w:fill="FFFFFF"/>
        </w:rPr>
        <w:t xml:space="preserve">N. Patil </w:t>
      </w:r>
      <w:r w:rsidRPr="00BE086B">
        <w:rPr>
          <w:rFonts w:eastAsia="Calibri"/>
          <w:sz w:val="28"/>
          <w:szCs w:val="28"/>
        </w:rPr>
        <w:t xml:space="preserve">et al., 2021; </w:t>
      </w:r>
      <w:r w:rsidRPr="00BE086B">
        <w:rPr>
          <w:rStyle w:val="authors-list-item"/>
          <w:sz w:val="28"/>
          <w:szCs w:val="28"/>
        </w:rPr>
        <w:t>B. Abramoff</w:t>
      </w:r>
      <w:r w:rsidRPr="00BE086B">
        <w:rPr>
          <w:rStyle w:val="comma"/>
          <w:sz w:val="28"/>
          <w:szCs w:val="28"/>
          <w:shd w:val="clear" w:color="auto" w:fill="FFFFFF"/>
        </w:rPr>
        <w:t xml:space="preserve">, </w:t>
      </w:r>
      <w:r w:rsidRPr="00BE086B">
        <w:rPr>
          <w:rStyle w:val="authors-list-item"/>
          <w:sz w:val="28"/>
          <w:szCs w:val="28"/>
        </w:rPr>
        <w:t xml:space="preserve">F. E. Caldera, 2020; </w:t>
      </w:r>
      <w:r w:rsidRPr="00BE086B">
        <w:rPr>
          <w:rFonts w:eastAsia="Arial Unicode MS"/>
          <w:sz w:val="28"/>
          <w:szCs w:val="28"/>
          <w:shd w:val="clear" w:color="auto" w:fill="FFFFFF"/>
        </w:rPr>
        <w:t xml:space="preserve">M. T. McDermott, 2020; </w:t>
      </w:r>
      <w:r w:rsidRPr="00BE086B">
        <w:rPr>
          <w:bCs/>
          <w:iCs/>
          <w:sz w:val="28"/>
          <w:szCs w:val="28"/>
          <w:lang w:eastAsia="ru-RU"/>
        </w:rPr>
        <w:t>І. Г. Палій, І. В. Ткачук, 2019</w:t>
      </w:r>
      <w:r w:rsidRPr="00BE086B">
        <w:rPr>
          <w:sz w:val="28"/>
          <w:szCs w:val="28"/>
        </w:rPr>
        <w:t>), а ще і через недостатність знань щодо можливості та доцільності застосування ліків різних фармакотерапевтичних груп на тлі ОА, коморбідного з ГІТ. У цьому аспекті особливого значення набуває проблема знеболення, що окреслює актуальність дослідження ефективності та безпечності окремих аналгетиків за комбінованого застосування з препаратами, що використовуються для лікування ГІТ.</w:t>
      </w:r>
    </w:p>
    <w:p w:rsidR="00A45692" w:rsidRPr="00BE086B" w:rsidRDefault="00A45692" w:rsidP="00A45692">
      <w:pPr>
        <w:spacing w:line="360" w:lineRule="auto"/>
        <w:ind w:firstLine="567"/>
        <w:jc w:val="both"/>
        <w:rPr>
          <w:b/>
          <w:sz w:val="28"/>
          <w:szCs w:val="28"/>
        </w:rPr>
      </w:pPr>
      <w:r w:rsidRPr="00BE086B">
        <w:rPr>
          <w:sz w:val="28"/>
          <w:szCs w:val="28"/>
        </w:rPr>
        <w:t>Окремі нозологічні форми ГІТ та ОА відрізняються за своєю етіологією. З недостатньою функціональною активністю щитоподібної залози (ЩЗ) пов'язаний розвиток ГІТ, а ОА – це дегенеративно-дистрофічний та запальний процес, що характеризується первинним ушкодженням гіалінового хряща суглоба (</w:t>
      </w:r>
      <w:r w:rsidRPr="00BE086B">
        <w:rPr>
          <w:rFonts w:eastAsia="Arial Unicode MS"/>
          <w:sz w:val="28"/>
          <w:szCs w:val="28"/>
          <w:shd w:val="clear" w:color="auto" w:fill="FFFFFF"/>
        </w:rPr>
        <w:t>A. M. Borzì</w:t>
      </w:r>
      <w:r w:rsidRPr="00BE086B">
        <w:rPr>
          <w:sz w:val="28"/>
          <w:szCs w:val="28"/>
        </w:rPr>
        <w:t xml:space="preserve"> </w:t>
      </w:r>
      <w:r w:rsidRPr="00BE086B">
        <w:rPr>
          <w:rFonts w:eastAsia="Calibri"/>
          <w:sz w:val="28"/>
          <w:szCs w:val="28"/>
        </w:rPr>
        <w:t xml:space="preserve">et al., 2020; </w:t>
      </w:r>
      <w:r w:rsidRPr="00BE086B">
        <w:rPr>
          <w:rFonts w:eastAsia="Arial Unicode MS"/>
          <w:sz w:val="28"/>
          <w:szCs w:val="28"/>
          <w:shd w:val="clear" w:color="auto" w:fill="FFFFFF"/>
        </w:rPr>
        <w:t>T. Hügle</w:t>
      </w:r>
      <w:r w:rsidRPr="00BE086B">
        <w:rPr>
          <w:sz w:val="28"/>
          <w:szCs w:val="28"/>
        </w:rPr>
        <w:t xml:space="preserve">, 2020; </w:t>
      </w:r>
      <w:r w:rsidRPr="00BE086B">
        <w:rPr>
          <w:rStyle w:val="authors-list-item"/>
          <w:sz w:val="28"/>
          <w:szCs w:val="28"/>
        </w:rPr>
        <w:t>S. Grässel</w:t>
      </w:r>
      <w:r w:rsidRPr="00BE086B">
        <w:rPr>
          <w:rStyle w:val="comma"/>
          <w:sz w:val="28"/>
          <w:szCs w:val="28"/>
          <w:shd w:val="clear" w:color="auto" w:fill="FFFFFF"/>
        </w:rPr>
        <w:t xml:space="preserve">, </w:t>
      </w:r>
      <w:r w:rsidRPr="00BE086B">
        <w:rPr>
          <w:rStyle w:val="authors-list-item"/>
          <w:sz w:val="28"/>
          <w:szCs w:val="28"/>
        </w:rPr>
        <w:t>D. Muschter</w:t>
      </w:r>
      <w:r w:rsidRPr="00BE086B">
        <w:rPr>
          <w:rStyle w:val="authors-list-item"/>
          <w:rFonts w:eastAsia="Arial Unicode MS"/>
          <w:sz w:val="28"/>
          <w:szCs w:val="28"/>
          <w:shd w:val="clear" w:color="auto" w:fill="FFFFFF"/>
        </w:rPr>
        <w:t xml:space="preserve">, 2020; </w:t>
      </w:r>
      <w:r w:rsidRPr="00BE086B">
        <w:rPr>
          <w:rFonts w:eastAsia="BlinkMacSystemFont"/>
          <w:sz w:val="28"/>
          <w:szCs w:val="28"/>
        </w:rPr>
        <w:t xml:space="preserve">L. Voloshyna </w:t>
      </w:r>
      <w:r w:rsidRPr="00BE086B">
        <w:rPr>
          <w:rFonts w:eastAsia="Calibri"/>
          <w:sz w:val="28"/>
          <w:szCs w:val="28"/>
        </w:rPr>
        <w:t>et al., 2017</w:t>
      </w:r>
      <w:r w:rsidRPr="00BE086B">
        <w:rPr>
          <w:sz w:val="28"/>
          <w:szCs w:val="28"/>
        </w:rPr>
        <w:t xml:space="preserve">). Проте </w:t>
      </w:r>
      <w:r w:rsidRPr="00BE086B">
        <w:rPr>
          <w:sz w:val="28"/>
          <w:szCs w:val="28"/>
          <w:shd w:val="clear" w:color="auto" w:fill="FFFFFF"/>
        </w:rPr>
        <w:t xml:space="preserve">певну роль у розвитку ОА відіграють й ендокринні фактори </w:t>
      </w:r>
      <w:r w:rsidRPr="00BE086B">
        <w:rPr>
          <w:sz w:val="28"/>
          <w:szCs w:val="28"/>
        </w:rPr>
        <w:t xml:space="preserve">(D. J. Hunter </w:t>
      </w:r>
      <w:r w:rsidRPr="00BE086B">
        <w:rPr>
          <w:rFonts w:eastAsia="Calibri"/>
          <w:sz w:val="28"/>
          <w:szCs w:val="28"/>
        </w:rPr>
        <w:t xml:space="preserve">et al., 2020; </w:t>
      </w:r>
      <w:r w:rsidRPr="00BE086B">
        <w:rPr>
          <w:bCs/>
          <w:sz w:val="28"/>
          <w:szCs w:val="28"/>
        </w:rPr>
        <w:t>Л. О. Волошина, 2018</w:t>
      </w:r>
      <w:r w:rsidRPr="00BE086B">
        <w:rPr>
          <w:sz w:val="28"/>
          <w:szCs w:val="28"/>
        </w:rPr>
        <w:t>)</w:t>
      </w:r>
      <w:r w:rsidRPr="00BE086B">
        <w:rPr>
          <w:sz w:val="28"/>
          <w:szCs w:val="28"/>
          <w:shd w:val="clear" w:color="auto" w:fill="FFFFFF"/>
        </w:rPr>
        <w:t>.</w:t>
      </w:r>
    </w:p>
    <w:p w:rsidR="00A45692" w:rsidRPr="00BE086B" w:rsidRDefault="00A45692" w:rsidP="00A45692">
      <w:pPr>
        <w:pStyle w:val="Default"/>
        <w:spacing w:line="360" w:lineRule="auto"/>
        <w:ind w:firstLine="567"/>
        <w:jc w:val="both"/>
        <w:rPr>
          <w:rFonts w:ascii="Times New Roman" w:hAnsi="Times New Roman" w:cs="Times New Roman"/>
          <w:b/>
          <w:color w:val="auto"/>
          <w:sz w:val="28"/>
          <w:szCs w:val="28"/>
          <w:lang w:val="uk-UA"/>
        </w:rPr>
      </w:pPr>
      <w:r w:rsidRPr="00BE086B">
        <w:rPr>
          <w:rFonts w:ascii="Times New Roman" w:hAnsi="Times New Roman" w:cs="Times New Roman"/>
          <w:color w:val="auto"/>
          <w:sz w:val="28"/>
          <w:szCs w:val="28"/>
          <w:lang w:val="uk-UA"/>
        </w:rPr>
        <w:lastRenderedPageBreak/>
        <w:t>Як окремі нозологічні захворювання ГІТ та ОА досить широко досліджені і розроблені протоколи надання медичної допомоги на різних рівнях. Продовжуються дослідження патофізіологічних механізмів цих захворювань, зокрема, з метою удосконалення методів та шляхів фармакологічної корекції патогенетичного та симптоматичного спрямування. До таких досліджень долучаються фахівці різних спеціальностей (ендокринологи, ортопеди, ревматологи тощо) (</w:t>
      </w:r>
      <w:r w:rsidRPr="00BE086B">
        <w:rPr>
          <w:rFonts w:ascii="Times New Roman" w:hAnsi="Times New Roman" w:cs="Times New Roman"/>
          <w:color w:val="auto"/>
          <w:sz w:val="28"/>
          <w:szCs w:val="28"/>
          <w:shd w:val="clear" w:color="auto" w:fill="FFFFFF"/>
          <w:lang w:val="en-US"/>
        </w:rPr>
        <w:t>L</w:t>
      </w:r>
      <w:r w:rsidRPr="00BE086B">
        <w:rPr>
          <w:rFonts w:ascii="Times New Roman" w:hAnsi="Times New Roman" w:cs="Times New Roman"/>
          <w:color w:val="auto"/>
          <w:sz w:val="28"/>
          <w:szCs w:val="28"/>
          <w:shd w:val="clear" w:color="auto" w:fill="FFFFFF"/>
          <w:lang w:val="uk-UA"/>
        </w:rPr>
        <w:t xml:space="preserve">. </w:t>
      </w:r>
      <w:r w:rsidRPr="00BE086B">
        <w:rPr>
          <w:rFonts w:ascii="Times New Roman" w:hAnsi="Times New Roman" w:cs="Times New Roman"/>
          <w:color w:val="auto"/>
          <w:sz w:val="28"/>
          <w:szCs w:val="28"/>
          <w:shd w:val="clear" w:color="auto" w:fill="FFFFFF"/>
          <w:lang w:val="en-US"/>
        </w:rPr>
        <w:t>Sharma</w:t>
      </w:r>
      <w:r w:rsidRPr="00BE086B">
        <w:rPr>
          <w:rFonts w:ascii="Times New Roman" w:hAnsi="Times New Roman" w:cs="Times New Roman"/>
          <w:color w:val="auto"/>
          <w:sz w:val="28"/>
          <w:szCs w:val="28"/>
          <w:shd w:val="clear" w:color="auto" w:fill="FFFFFF"/>
          <w:lang w:val="uk-UA"/>
        </w:rPr>
        <w:t xml:space="preserve">, 2021; </w:t>
      </w:r>
      <w:r w:rsidRPr="00BE086B">
        <w:rPr>
          <w:rFonts w:ascii="Times New Roman" w:hAnsi="Times New Roman" w:cs="Times New Roman"/>
          <w:color w:val="auto"/>
          <w:kern w:val="28"/>
          <w:sz w:val="28"/>
          <w:szCs w:val="28"/>
          <w:lang w:val="uk-UA"/>
        </w:rPr>
        <w:t xml:space="preserve">О. Ленг, С. Разви, 2019; </w:t>
      </w:r>
      <w:r w:rsidRPr="00BE086B">
        <w:rPr>
          <w:rFonts w:ascii="Times New Roman" w:hAnsi="Times New Roman" w:cs="Times New Roman"/>
          <w:bCs/>
          <w:color w:val="auto"/>
          <w:sz w:val="28"/>
          <w:szCs w:val="28"/>
          <w:lang w:val="uk-UA"/>
        </w:rPr>
        <w:t xml:space="preserve">Л. О. Волошина, 2018; </w:t>
      </w:r>
      <w:r w:rsidRPr="00BE086B">
        <w:rPr>
          <w:rFonts w:ascii="Times New Roman" w:hAnsi="Times New Roman" w:cs="Times New Roman"/>
          <w:color w:val="auto"/>
          <w:sz w:val="28"/>
          <w:szCs w:val="28"/>
          <w:shd w:val="clear" w:color="auto" w:fill="FFFFFF"/>
          <w:lang w:val="uk-UA"/>
        </w:rPr>
        <w:t>В. В. Поворознюк</w:t>
      </w:r>
      <w:r w:rsidRPr="00BE086B">
        <w:rPr>
          <w:rFonts w:ascii="Times New Roman" w:hAnsi="Times New Roman" w:cs="Times New Roman"/>
          <w:color w:val="auto"/>
          <w:sz w:val="28"/>
          <w:szCs w:val="28"/>
          <w:shd w:val="clear" w:color="auto" w:fill="FFFFFF"/>
          <w:lang w:val="uk-UA" w:bidi="ru-RU"/>
        </w:rPr>
        <w:t xml:space="preserve"> з співавт., 2014</w:t>
      </w:r>
      <w:r w:rsidRPr="00BE086B">
        <w:rPr>
          <w:rFonts w:ascii="Times New Roman" w:hAnsi="Times New Roman" w:cs="Times New Roman"/>
          <w:color w:val="auto"/>
          <w:sz w:val="28"/>
          <w:szCs w:val="28"/>
          <w:lang w:val="uk-UA"/>
        </w:rPr>
        <w:t>). Водночас, фактично не висвітлені в літературі питання щодо проблеми знеболення за ОА, асоційованого з ГІТ, не розроблені пропозиції щодо раціонального та безпечного використання аналгетиків з препаратами, здатними впливати на функціональний стан ЩЗ.</w:t>
      </w:r>
    </w:p>
    <w:p w:rsidR="00A45692" w:rsidRPr="00BE086B" w:rsidRDefault="00A45692" w:rsidP="00A45692">
      <w:pPr>
        <w:spacing w:line="360" w:lineRule="auto"/>
        <w:ind w:firstLine="567"/>
        <w:jc w:val="both"/>
        <w:rPr>
          <w:sz w:val="28"/>
          <w:szCs w:val="28"/>
          <w:lang w:val="uk-UA"/>
        </w:rPr>
      </w:pPr>
      <w:r w:rsidRPr="00BE086B">
        <w:rPr>
          <w:sz w:val="28"/>
          <w:szCs w:val="28"/>
          <w:lang w:val="uk-UA"/>
        </w:rPr>
        <w:t>Відомий взаємозв'язок патології ЩЗ з розвитком ревматоїдного артриту (</w:t>
      </w:r>
      <w:r w:rsidRPr="00BE086B">
        <w:rPr>
          <w:sz w:val="28"/>
          <w:szCs w:val="28"/>
          <w:shd w:val="clear" w:color="auto" w:fill="FFFFFF"/>
          <w:lang w:val="en-US"/>
        </w:rPr>
        <w:t>G</w:t>
      </w:r>
      <w:r w:rsidRPr="00BE086B">
        <w:rPr>
          <w:sz w:val="28"/>
          <w:szCs w:val="28"/>
          <w:shd w:val="clear" w:color="auto" w:fill="FFFFFF"/>
          <w:lang w:val="uk-UA"/>
        </w:rPr>
        <w:t xml:space="preserve">. </w:t>
      </w:r>
      <w:r w:rsidRPr="00BE086B">
        <w:rPr>
          <w:sz w:val="28"/>
          <w:szCs w:val="28"/>
          <w:shd w:val="clear" w:color="auto" w:fill="FFFFFF"/>
          <w:lang w:val="en-US"/>
        </w:rPr>
        <w:t>Constantino</w:t>
      </w:r>
      <w:r w:rsidRPr="00BE086B">
        <w:rPr>
          <w:sz w:val="28"/>
          <w:szCs w:val="28"/>
          <w:shd w:val="clear" w:color="auto" w:fill="FFFFFF"/>
          <w:lang w:val="uk-UA"/>
        </w:rPr>
        <w:t xml:space="preserve"> </w:t>
      </w:r>
      <w:r w:rsidRPr="00BE086B">
        <w:rPr>
          <w:sz w:val="28"/>
          <w:szCs w:val="28"/>
          <w:shd w:val="clear" w:color="auto" w:fill="FFFFFF"/>
          <w:lang w:val="en-US"/>
        </w:rPr>
        <w:t>de</w:t>
      </w:r>
      <w:r w:rsidRPr="00BE086B">
        <w:rPr>
          <w:sz w:val="28"/>
          <w:szCs w:val="28"/>
          <w:shd w:val="clear" w:color="auto" w:fill="FFFFFF"/>
          <w:lang w:val="uk-UA"/>
        </w:rPr>
        <w:t xml:space="preserve"> </w:t>
      </w:r>
      <w:r w:rsidRPr="00BE086B">
        <w:rPr>
          <w:sz w:val="28"/>
          <w:szCs w:val="28"/>
          <w:shd w:val="clear" w:color="auto" w:fill="FFFFFF"/>
          <w:lang w:val="en-US"/>
        </w:rPr>
        <w:t>Campos</w:t>
      </w:r>
      <w:r w:rsidRPr="00BE086B">
        <w:rPr>
          <w:sz w:val="28"/>
          <w:szCs w:val="28"/>
          <w:shd w:val="clear" w:color="auto" w:fill="FFFFFF"/>
          <w:lang w:val="uk-UA"/>
        </w:rPr>
        <w:t xml:space="preserve"> </w:t>
      </w:r>
      <w:r w:rsidRPr="00BE086B">
        <w:rPr>
          <w:rFonts w:eastAsia="Calibri"/>
          <w:sz w:val="28"/>
          <w:szCs w:val="28"/>
        </w:rPr>
        <w:t>et</w:t>
      </w:r>
      <w:r w:rsidRPr="00BE086B">
        <w:rPr>
          <w:rFonts w:eastAsia="Calibri"/>
          <w:sz w:val="28"/>
          <w:szCs w:val="28"/>
          <w:lang w:val="uk-UA"/>
        </w:rPr>
        <w:t xml:space="preserve"> </w:t>
      </w:r>
      <w:r w:rsidRPr="00BE086B">
        <w:rPr>
          <w:rFonts w:eastAsia="Calibri"/>
          <w:sz w:val="28"/>
          <w:szCs w:val="28"/>
        </w:rPr>
        <w:t>al</w:t>
      </w:r>
      <w:r w:rsidRPr="00BE086B">
        <w:rPr>
          <w:rFonts w:eastAsia="Calibri"/>
          <w:sz w:val="28"/>
          <w:szCs w:val="28"/>
          <w:lang w:val="uk-UA"/>
        </w:rPr>
        <w:t>., 2020</w:t>
      </w:r>
      <w:r w:rsidRPr="00BE086B">
        <w:rPr>
          <w:sz w:val="28"/>
          <w:szCs w:val="28"/>
          <w:lang w:val="uk-UA"/>
        </w:rPr>
        <w:t>)</w:t>
      </w:r>
      <w:r w:rsidRPr="00BE086B">
        <w:rPr>
          <w:rFonts w:eastAsia="Calibri"/>
          <w:sz w:val="28"/>
          <w:szCs w:val="28"/>
          <w:lang w:val="uk-UA"/>
        </w:rPr>
        <w:t xml:space="preserve"> </w:t>
      </w:r>
      <w:r w:rsidRPr="00BE086B">
        <w:rPr>
          <w:sz w:val="28"/>
          <w:szCs w:val="28"/>
          <w:lang w:val="uk-UA"/>
        </w:rPr>
        <w:t>і системного червоного вовчаку (</w:t>
      </w:r>
      <w:r w:rsidRPr="00BE086B">
        <w:rPr>
          <w:sz w:val="28"/>
          <w:szCs w:val="28"/>
          <w:shd w:val="clear" w:color="auto" w:fill="FFFFFF"/>
          <w:lang w:val="en-US"/>
        </w:rPr>
        <w:t>D</w:t>
      </w:r>
      <w:r w:rsidRPr="00BE086B">
        <w:rPr>
          <w:sz w:val="28"/>
          <w:szCs w:val="28"/>
          <w:shd w:val="clear" w:color="auto" w:fill="FFFFFF"/>
          <w:lang w:val="uk-UA"/>
        </w:rPr>
        <w:t xml:space="preserve">. </w:t>
      </w:r>
      <w:r w:rsidRPr="00BE086B">
        <w:rPr>
          <w:sz w:val="28"/>
          <w:szCs w:val="28"/>
          <w:shd w:val="clear" w:color="auto" w:fill="FFFFFF"/>
          <w:lang w:val="en-US"/>
        </w:rPr>
        <w:t>A</w:t>
      </w:r>
      <w:r w:rsidRPr="00BE086B">
        <w:rPr>
          <w:sz w:val="28"/>
          <w:szCs w:val="28"/>
          <w:shd w:val="clear" w:color="auto" w:fill="FFFFFF"/>
          <w:lang w:val="uk-UA"/>
        </w:rPr>
        <w:t xml:space="preserve">. </w:t>
      </w:r>
      <w:r w:rsidRPr="00BE086B">
        <w:rPr>
          <w:sz w:val="28"/>
          <w:szCs w:val="28"/>
          <w:shd w:val="clear" w:color="auto" w:fill="FFFFFF"/>
          <w:lang w:val="en-US"/>
        </w:rPr>
        <w:t>Marshall</w:t>
      </w:r>
      <w:r w:rsidRPr="00BE086B">
        <w:rPr>
          <w:sz w:val="28"/>
          <w:szCs w:val="28"/>
          <w:shd w:val="clear" w:color="auto" w:fill="FFFFFF"/>
          <w:lang w:val="uk-UA"/>
        </w:rPr>
        <w:t xml:space="preserve"> </w:t>
      </w:r>
      <w:r w:rsidRPr="00BE086B">
        <w:rPr>
          <w:rFonts w:eastAsia="Calibri"/>
          <w:sz w:val="28"/>
          <w:szCs w:val="28"/>
        </w:rPr>
        <w:t>et</w:t>
      </w:r>
      <w:r w:rsidRPr="00BE086B">
        <w:rPr>
          <w:rFonts w:eastAsia="Calibri"/>
          <w:sz w:val="28"/>
          <w:szCs w:val="28"/>
          <w:lang w:val="uk-UA"/>
        </w:rPr>
        <w:t xml:space="preserve"> </w:t>
      </w:r>
      <w:r w:rsidRPr="00BE086B">
        <w:rPr>
          <w:rFonts w:eastAsia="Calibri"/>
          <w:sz w:val="28"/>
          <w:szCs w:val="28"/>
        </w:rPr>
        <w:t>al</w:t>
      </w:r>
      <w:r w:rsidRPr="00BE086B">
        <w:rPr>
          <w:rFonts w:eastAsia="Calibri"/>
          <w:sz w:val="28"/>
          <w:szCs w:val="28"/>
          <w:lang w:val="uk-UA"/>
        </w:rPr>
        <w:t xml:space="preserve">., </w:t>
      </w:r>
      <w:r w:rsidRPr="00BE086B">
        <w:rPr>
          <w:sz w:val="28"/>
          <w:szCs w:val="28"/>
          <w:lang w:val="uk-UA"/>
        </w:rPr>
        <w:t>2019), цукрового діабету (</w:t>
      </w:r>
      <w:r w:rsidRPr="00BE086B">
        <w:rPr>
          <w:sz w:val="28"/>
          <w:szCs w:val="28"/>
          <w:shd w:val="clear" w:color="auto" w:fill="FFFFFF"/>
          <w:lang w:val="en-US"/>
        </w:rPr>
        <w:t>A</w:t>
      </w:r>
      <w:r w:rsidRPr="00BE086B">
        <w:rPr>
          <w:sz w:val="28"/>
          <w:szCs w:val="28"/>
          <w:shd w:val="clear" w:color="auto" w:fill="FFFFFF"/>
          <w:lang w:val="uk-UA"/>
        </w:rPr>
        <w:t xml:space="preserve">. </w:t>
      </w:r>
      <w:r w:rsidRPr="00BE086B">
        <w:rPr>
          <w:sz w:val="28"/>
          <w:szCs w:val="28"/>
          <w:shd w:val="clear" w:color="auto" w:fill="FFFFFF"/>
          <w:lang w:val="en-US"/>
        </w:rPr>
        <w:t>Punda</w:t>
      </w:r>
      <w:r w:rsidRPr="00BE086B">
        <w:rPr>
          <w:sz w:val="28"/>
          <w:szCs w:val="28"/>
          <w:shd w:val="clear" w:color="auto" w:fill="FFFFFF"/>
          <w:lang w:val="uk-UA"/>
        </w:rPr>
        <w:t xml:space="preserve"> </w:t>
      </w:r>
      <w:r w:rsidRPr="00BE086B">
        <w:rPr>
          <w:rFonts w:eastAsia="Calibri"/>
          <w:sz w:val="28"/>
          <w:szCs w:val="28"/>
        </w:rPr>
        <w:t>et</w:t>
      </w:r>
      <w:r w:rsidRPr="00BE086B">
        <w:rPr>
          <w:rFonts w:eastAsia="Calibri"/>
          <w:sz w:val="28"/>
          <w:szCs w:val="28"/>
          <w:lang w:val="uk-UA"/>
        </w:rPr>
        <w:t xml:space="preserve"> </w:t>
      </w:r>
      <w:r w:rsidRPr="00BE086B">
        <w:rPr>
          <w:rFonts w:eastAsia="Calibri"/>
          <w:sz w:val="28"/>
          <w:szCs w:val="28"/>
        </w:rPr>
        <w:t>al</w:t>
      </w:r>
      <w:r w:rsidRPr="00BE086B">
        <w:rPr>
          <w:rFonts w:eastAsia="Calibri"/>
          <w:sz w:val="28"/>
          <w:szCs w:val="28"/>
          <w:lang w:val="uk-UA"/>
        </w:rPr>
        <w:t xml:space="preserve">., 2020; </w:t>
      </w:r>
      <w:r w:rsidRPr="00BE086B">
        <w:rPr>
          <w:sz w:val="28"/>
          <w:szCs w:val="28"/>
          <w:shd w:val="clear" w:color="auto" w:fill="FFFFFF"/>
          <w:lang w:val="en-US"/>
        </w:rPr>
        <w:t>G</w:t>
      </w:r>
      <w:r w:rsidRPr="00BE086B">
        <w:rPr>
          <w:sz w:val="28"/>
          <w:szCs w:val="28"/>
          <w:shd w:val="clear" w:color="auto" w:fill="FFFFFF"/>
          <w:lang w:val="uk-UA"/>
        </w:rPr>
        <w:t xml:space="preserve">. </w:t>
      </w:r>
      <w:r w:rsidRPr="00BE086B">
        <w:rPr>
          <w:sz w:val="28"/>
          <w:szCs w:val="28"/>
          <w:shd w:val="clear" w:color="auto" w:fill="FFFFFF"/>
          <w:lang w:val="en-US"/>
        </w:rPr>
        <w:t>Devecerski</w:t>
      </w:r>
      <w:r w:rsidRPr="00BE086B">
        <w:rPr>
          <w:sz w:val="28"/>
          <w:szCs w:val="28"/>
          <w:shd w:val="clear" w:color="auto" w:fill="FFFFFF"/>
          <w:lang w:val="uk-UA"/>
        </w:rPr>
        <w:t xml:space="preserve"> </w:t>
      </w:r>
      <w:r w:rsidRPr="00BE086B">
        <w:rPr>
          <w:rFonts w:eastAsia="Calibri"/>
          <w:sz w:val="28"/>
          <w:szCs w:val="28"/>
        </w:rPr>
        <w:t>et</w:t>
      </w:r>
      <w:r w:rsidRPr="00BE086B">
        <w:rPr>
          <w:rFonts w:eastAsia="Calibri"/>
          <w:sz w:val="28"/>
          <w:szCs w:val="28"/>
          <w:lang w:val="uk-UA"/>
        </w:rPr>
        <w:t xml:space="preserve"> </w:t>
      </w:r>
      <w:r w:rsidRPr="00BE086B">
        <w:rPr>
          <w:rFonts w:eastAsia="Calibri"/>
          <w:sz w:val="28"/>
          <w:szCs w:val="28"/>
        </w:rPr>
        <w:t>al</w:t>
      </w:r>
      <w:r w:rsidRPr="00BE086B">
        <w:rPr>
          <w:rFonts w:eastAsia="Calibri"/>
          <w:sz w:val="28"/>
          <w:szCs w:val="28"/>
          <w:lang w:val="uk-UA"/>
        </w:rPr>
        <w:t>., 2006</w:t>
      </w:r>
      <w:r w:rsidRPr="00BE086B">
        <w:rPr>
          <w:sz w:val="28"/>
          <w:szCs w:val="28"/>
          <w:lang w:val="uk-UA"/>
        </w:rPr>
        <w:t>), серцево-судинної патології (</w:t>
      </w:r>
      <w:r w:rsidRPr="00BE086B">
        <w:rPr>
          <w:sz w:val="28"/>
          <w:szCs w:val="28"/>
          <w:shd w:val="clear" w:color="auto" w:fill="FFFFFF"/>
          <w:lang w:val="en-US"/>
        </w:rPr>
        <w:t>S</w:t>
      </w:r>
      <w:r w:rsidRPr="00BE086B">
        <w:rPr>
          <w:sz w:val="28"/>
          <w:szCs w:val="28"/>
          <w:shd w:val="clear" w:color="auto" w:fill="FFFFFF"/>
          <w:lang w:val="uk-UA"/>
        </w:rPr>
        <w:t xml:space="preserve">. </w:t>
      </w:r>
      <w:r w:rsidRPr="00BE086B">
        <w:rPr>
          <w:sz w:val="28"/>
          <w:szCs w:val="28"/>
          <w:shd w:val="clear" w:color="auto" w:fill="FFFFFF"/>
          <w:lang w:val="en-US"/>
        </w:rPr>
        <w:t>Swain</w:t>
      </w:r>
      <w:r w:rsidRPr="00BE086B">
        <w:rPr>
          <w:sz w:val="28"/>
          <w:szCs w:val="28"/>
          <w:shd w:val="clear" w:color="auto" w:fill="FFFFFF"/>
          <w:lang w:val="uk-UA"/>
        </w:rPr>
        <w:t xml:space="preserve"> </w:t>
      </w:r>
      <w:r w:rsidRPr="00BE086B">
        <w:rPr>
          <w:rFonts w:eastAsia="Calibri"/>
          <w:sz w:val="28"/>
          <w:szCs w:val="28"/>
        </w:rPr>
        <w:t>et</w:t>
      </w:r>
      <w:r w:rsidRPr="00BE086B">
        <w:rPr>
          <w:rFonts w:eastAsia="Calibri"/>
          <w:sz w:val="28"/>
          <w:szCs w:val="28"/>
          <w:lang w:val="uk-UA"/>
        </w:rPr>
        <w:t xml:space="preserve"> </w:t>
      </w:r>
      <w:r w:rsidRPr="00BE086B">
        <w:rPr>
          <w:rFonts w:eastAsia="Calibri"/>
          <w:sz w:val="28"/>
          <w:szCs w:val="28"/>
        </w:rPr>
        <w:t>al</w:t>
      </w:r>
      <w:r w:rsidRPr="00BE086B">
        <w:rPr>
          <w:rFonts w:eastAsia="Calibri"/>
          <w:sz w:val="28"/>
          <w:szCs w:val="28"/>
          <w:lang w:val="uk-UA"/>
        </w:rPr>
        <w:t>., 2020</w:t>
      </w:r>
      <w:r w:rsidRPr="00BE086B">
        <w:rPr>
          <w:sz w:val="28"/>
          <w:szCs w:val="28"/>
          <w:lang w:val="uk-UA"/>
        </w:rPr>
        <w:t>), розладами ШКТ (</w:t>
      </w:r>
      <w:r w:rsidRPr="00BE086B">
        <w:rPr>
          <w:sz w:val="28"/>
          <w:szCs w:val="28"/>
          <w:shd w:val="clear" w:color="auto" w:fill="FFFFFF"/>
          <w:lang w:val="en-US"/>
        </w:rPr>
        <w:t>D</w:t>
      </w:r>
      <w:r w:rsidRPr="00BE086B">
        <w:rPr>
          <w:sz w:val="28"/>
          <w:szCs w:val="28"/>
          <w:shd w:val="clear" w:color="auto" w:fill="FFFFFF"/>
          <w:lang w:val="uk-UA"/>
        </w:rPr>
        <w:t xml:space="preserve">. </w:t>
      </w:r>
      <w:r w:rsidRPr="00BE086B">
        <w:rPr>
          <w:sz w:val="28"/>
          <w:szCs w:val="28"/>
          <w:shd w:val="clear" w:color="auto" w:fill="FFFFFF"/>
          <w:lang w:val="en-US"/>
        </w:rPr>
        <w:t>A</w:t>
      </w:r>
      <w:r w:rsidRPr="00BE086B">
        <w:rPr>
          <w:sz w:val="28"/>
          <w:szCs w:val="28"/>
          <w:shd w:val="clear" w:color="auto" w:fill="FFFFFF"/>
          <w:lang w:val="uk-UA"/>
        </w:rPr>
        <w:t xml:space="preserve">. </w:t>
      </w:r>
      <w:r w:rsidRPr="00BE086B">
        <w:rPr>
          <w:sz w:val="28"/>
          <w:szCs w:val="28"/>
          <w:shd w:val="clear" w:color="auto" w:fill="FFFFFF"/>
          <w:lang w:val="en-US"/>
        </w:rPr>
        <w:t>Marshall</w:t>
      </w:r>
      <w:r w:rsidRPr="00BE086B">
        <w:rPr>
          <w:sz w:val="28"/>
          <w:szCs w:val="28"/>
          <w:shd w:val="clear" w:color="auto" w:fill="FFFFFF"/>
          <w:lang w:val="uk-UA"/>
        </w:rPr>
        <w:t xml:space="preserve"> </w:t>
      </w:r>
      <w:r w:rsidRPr="00BE086B">
        <w:rPr>
          <w:rFonts w:eastAsia="Calibri"/>
          <w:sz w:val="28"/>
          <w:szCs w:val="28"/>
        </w:rPr>
        <w:t>et</w:t>
      </w:r>
      <w:r w:rsidRPr="00BE086B">
        <w:rPr>
          <w:rFonts w:eastAsia="Calibri"/>
          <w:sz w:val="28"/>
          <w:szCs w:val="28"/>
          <w:lang w:val="uk-UA"/>
        </w:rPr>
        <w:t xml:space="preserve"> </w:t>
      </w:r>
      <w:r w:rsidRPr="00BE086B">
        <w:rPr>
          <w:rFonts w:eastAsia="Calibri"/>
          <w:sz w:val="28"/>
          <w:szCs w:val="28"/>
        </w:rPr>
        <w:t>al</w:t>
      </w:r>
      <w:r w:rsidRPr="00BE086B">
        <w:rPr>
          <w:rFonts w:eastAsia="Calibri"/>
          <w:sz w:val="28"/>
          <w:szCs w:val="28"/>
          <w:lang w:val="uk-UA"/>
        </w:rPr>
        <w:t xml:space="preserve">., </w:t>
      </w:r>
      <w:r w:rsidRPr="00BE086B">
        <w:rPr>
          <w:sz w:val="28"/>
          <w:szCs w:val="28"/>
          <w:lang w:val="uk-UA"/>
        </w:rPr>
        <w:t>2019), енергетичного обміну (</w:t>
      </w:r>
      <w:r w:rsidRPr="00BE086B">
        <w:rPr>
          <w:sz w:val="28"/>
          <w:szCs w:val="28"/>
          <w:shd w:val="clear" w:color="auto" w:fill="FFFFFF"/>
          <w:lang w:val="en-US"/>
        </w:rPr>
        <w:t>K</w:t>
      </w:r>
      <w:r w:rsidRPr="00BE086B">
        <w:rPr>
          <w:sz w:val="28"/>
          <w:szCs w:val="28"/>
          <w:shd w:val="clear" w:color="auto" w:fill="FFFFFF"/>
          <w:lang w:val="uk-UA"/>
        </w:rPr>
        <w:t xml:space="preserve">. </w:t>
      </w:r>
      <w:r w:rsidRPr="00BE086B">
        <w:rPr>
          <w:sz w:val="28"/>
          <w:szCs w:val="28"/>
          <w:shd w:val="clear" w:color="auto" w:fill="FFFFFF"/>
          <w:lang w:val="en-US"/>
        </w:rPr>
        <w:t>Pavelka</w:t>
      </w:r>
      <w:r w:rsidRPr="00BE086B">
        <w:rPr>
          <w:sz w:val="28"/>
          <w:szCs w:val="28"/>
          <w:shd w:val="clear" w:color="auto" w:fill="FFFFFF"/>
          <w:lang w:val="uk-UA"/>
        </w:rPr>
        <w:t>, 2017</w:t>
      </w:r>
      <w:r w:rsidRPr="00BE086B">
        <w:rPr>
          <w:sz w:val="28"/>
          <w:szCs w:val="28"/>
          <w:lang w:val="uk-UA"/>
        </w:rPr>
        <w:t>), вегетативної нервової системи (</w:t>
      </w:r>
      <w:r w:rsidRPr="00BE086B">
        <w:rPr>
          <w:sz w:val="28"/>
          <w:szCs w:val="28"/>
          <w:shd w:val="clear" w:color="auto" w:fill="FFFFFF"/>
          <w:lang w:val="en-US"/>
        </w:rPr>
        <w:t>A</w:t>
      </w:r>
      <w:r w:rsidRPr="00BE086B">
        <w:rPr>
          <w:sz w:val="28"/>
          <w:szCs w:val="28"/>
          <w:shd w:val="clear" w:color="auto" w:fill="FFFFFF"/>
          <w:lang w:val="uk-UA"/>
        </w:rPr>
        <w:t xml:space="preserve">. </w:t>
      </w:r>
      <w:r w:rsidRPr="00BE086B">
        <w:rPr>
          <w:sz w:val="28"/>
          <w:szCs w:val="28"/>
          <w:shd w:val="clear" w:color="auto" w:fill="FFFFFF"/>
          <w:lang w:val="en-US"/>
        </w:rPr>
        <w:t>G</w:t>
      </w:r>
      <w:r w:rsidRPr="00BE086B">
        <w:rPr>
          <w:sz w:val="28"/>
          <w:szCs w:val="28"/>
          <w:shd w:val="clear" w:color="auto" w:fill="FFFFFF"/>
          <w:lang w:val="uk-UA"/>
        </w:rPr>
        <w:t>ö</w:t>
      </w:r>
      <w:r w:rsidRPr="00BE086B">
        <w:rPr>
          <w:sz w:val="28"/>
          <w:szCs w:val="28"/>
          <w:shd w:val="clear" w:color="auto" w:fill="FFFFFF"/>
          <w:lang w:val="en-US"/>
        </w:rPr>
        <w:t>bel</w:t>
      </w:r>
      <w:r w:rsidRPr="00BE086B">
        <w:rPr>
          <w:sz w:val="28"/>
          <w:szCs w:val="28"/>
          <w:shd w:val="clear" w:color="auto" w:fill="FFFFFF"/>
          <w:lang w:val="uk-UA"/>
        </w:rPr>
        <w:t xml:space="preserve"> </w:t>
      </w:r>
      <w:r w:rsidRPr="00BE086B">
        <w:rPr>
          <w:rFonts w:eastAsia="Calibri"/>
          <w:sz w:val="28"/>
          <w:szCs w:val="28"/>
        </w:rPr>
        <w:t>et</w:t>
      </w:r>
      <w:r w:rsidRPr="00BE086B">
        <w:rPr>
          <w:rFonts w:eastAsia="Calibri"/>
          <w:sz w:val="28"/>
          <w:szCs w:val="28"/>
          <w:lang w:val="uk-UA"/>
        </w:rPr>
        <w:t xml:space="preserve"> </w:t>
      </w:r>
      <w:r w:rsidRPr="00BE086B">
        <w:rPr>
          <w:rFonts w:eastAsia="Calibri"/>
          <w:sz w:val="28"/>
          <w:szCs w:val="28"/>
        </w:rPr>
        <w:t>al</w:t>
      </w:r>
      <w:r w:rsidRPr="00BE086B">
        <w:rPr>
          <w:rFonts w:eastAsia="Calibri"/>
          <w:sz w:val="28"/>
          <w:szCs w:val="28"/>
          <w:lang w:val="uk-UA"/>
        </w:rPr>
        <w:t>., 2020)</w:t>
      </w:r>
      <w:r w:rsidRPr="00BE086B">
        <w:rPr>
          <w:sz w:val="28"/>
          <w:szCs w:val="28"/>
          <w:lang w:val="uk-UA"/>
        </w:rPr>
        <w:t xml:space="preserve"> і дисбалансу статевих гормонів (</w:t>
      </w:r>
      <w:r w:rsidRPr="00BE086B">
        <w:rPr>
          <w:sz w:val="28"/>
          <w:szCs w:val="28"/>
          <w:shd w:val="clear" w:color="auto" w:fill="FFFFFF"/>
          <w:lang w:val="en-US"/>
        </w:rPr>
        <w:t>P</w:t>
      </w:r>
      <w:r w:rsidRPr="00BE086B">
        <w:rPr>
          <w:sz w:val="28"/>
          <w:szCs w:val="28"/>
          <w:shd w:val="clear" w:color="auto" w:fill="FFFFFF"/>
          <w:lang w:val="uk-UA"/>
        </w:rPr>
        <w:t xml:space="preserve">. </w:t>
      </w:r>
      <w:r w:rsidRPr="00BE086B">
        <w:rPr>
          <w:sz w:val="28"/>
          <w:szCs w:val="28"/>
          <w:shd w:val="clear" w:color="auto" w:fill="FFFFFF"/>
          <w:lang w:val="en-US"/>
        </w:rPr>
        <w:t>F</w:t>
      </w:r>
      <w:r w:rsidRPr="00BE086B">
        <w:rPr>
          <w:sz w:val="28"/>
          <w:szCs w:val="28"/>
          <w:shd w:val="clear" w:color="auto" w:fill="FFFFFF"/>
          <w:lang w:val="uk-UA"/>
        </w:rPr>
        <w:t xml:space="preserve">. </w:t>
      </w:r>
      <w:r w:rsidRPr="00BE086B">
        <w:rPr>
          <w:sz w:val="28"/>
          <w:szCs w:val="28"/>
          <w:shd w:val="clear" w:color="auto" w:fill="FFFFFF"/>
          <w:lang w:val="en-US"/>
        </w:rPr>
        <w:t>Teixeira</w:t>
      </w:r>
      <w:r w:rsidRPr="00BE086B">
        <w:rPr>
          <w:sz w:val="28"/>
          <w:szCs w:val="28"/>
          <w:shd w:val="clear" w:color="auto" w:fill="FFFFFF"/>
          <w:lang w:val="uk-UA"/>
        </w:rPr>
        <w:t xml:space="preserve"> </w:t>
      </w:r>
      <w:r w:rsidRPr="00BE086B">
        <w:rPr>
          <w:rFonts w:eastAsia="Calibri"/>
          <w:sz w:val="28"/>
          <w:szCs w:val="28"/>
        </w:rPr>
        <w:t>et</w:t>
      </w:r>
      <w:r w:rsidRPr="00BE086B">
        <w:rPr>
          <w:rFonts w:eastAsia="Calibri"/>
          <w:sz w:val="28"/>
          <w:szCs w:val="28"/>
          <w:lang w:val="uk-UA"/>
        </w:rPr>
        <w:t xml:space="preserve"> </w:t>
      </w:r>
      <w:r w:rsidRPr="00BE086B">
        <w:rPr>
          <w:rFonts w:eastAsia="Calibri"/>
          <w:sz w:val="28"/>
          <w:szCs w:val="28"/>
        </w:rPr>
        <w:t>al</w:t>
      </w:r>
      <w:r w:rsidRPr="00BE086B">
        <w:rPr>
          <w:rFonts w:eastAsia="Calibri"/>
          <w:sz w:val="28"/>
          <w:szCs w:val="28"/>
          <w:lang w:val="uk-UA"/>
        </w:rPr>
        <w:t xml:space="preserve">., 2020; </w:t>
      </w:r>
      <w:r w:rsidRPr="00BE086B">
        <w:rPr>
          <w:sz w:val="28"/>
          <w:szCs w:val="28"/>
          <w:shd w:val="clear" w:color="auto" w:fill="FFFFFF"/>
          <w:lang w:val="en-US"/>
        </w:rPr>
        <w:t>A</w:t>
      </w:r>
      <w:r w:rsidRPr="00BE086B">
        <w:rPr>
          <w:sz w:val="28"/>
          <w:szCs w:val="28"/>
          <w:shd w:val="clear" w:color="auto" w:fill="FFFFFF"/>
          <w:lang w:val="uk-UA"/>
        </w:rPr>
        <w:t xml:space="preserve">. </w:t>
      </w:r>
      <w:r w:rsidRPr="00BE086B">
        <w:rPr>
          <w:sz w:val="28"/>
          <w:szCs w:val="28"/>
          <w:shd w:val="clear" w:color="auto" w:fill="FFFFFF"/>
          <w:lang w:val="en-US"/>
        </w:rPr>
        <w:t>M</w:t>
      </w:r>
      <w:r w:rsidRPr="00BE086B">
        <w:rPr>
          <w:sz w:val="28"/>
          <w:szCs w:val="28"/>
          <w:shd w:val="clear" w:color="auto" w:fill="FFFFFF"/>
          <w:lang w:val="uk-UA"/>
        </w:rPr>
        <w:t xml:space="preserve">. </w:t>
      </w:r>
      <w:r w:rsidRPr="00BE086B">
        <w:rPr>
          <w:sz w:val="28"/>
          <w:szCs w:val="28"/>
          <w:shd w:val="clear" w:color="auto" w:fill="FFFFFF"/>
          <w:lang w:val="en-US"/>
        </w:rPr>
        <w:t>Taylor</w:t>
      </w:r>
      <w:r w:rsidRPr="00BE086B">
        <w:rPr>
          <w:sz w:val="28"/>
          <w:szCs w:val="28"/>
          <w:shd w:val="clear" w:color="auto" w:fill="FFFFFF"/>
          <w:lang w:val="uk-UA"/>
        </w:rPr>
        <w:t xml:space="preserve">, 2013; </w:t>
      </w:r>
      <w:r w:rsidRPr="00BE086B">
        <w:rPr>
          <w:rStyle w:val="A20"/>
          <w:rFonts w:ascii="Times New Roman" w:hAnsi="Times New Roman" w:cs="Times New Roman"/>
          <w:b w:val="0"/>
          <w:color w:val="auto"/>
          <w:sz w:val="28"/>
          <w:szCs w:val="28"/>
          <w:shd w:val="clear" w:color="auto" w:fill="FFFFFF"/>
          <w:lang w:val="uk-UA" w:eastAsia="ru-RU"/>
        </w:rPr>
        <w:t>Л. В. Теплова</w:t>
      </w:r>
      <w:r w:rsidRPr="00BE086B">
        <w:rPr>
          <w:rStyle w:val="A20"/>
          <w:rFonts w:ascii="Times New Roman" w:hAnsi="Times New Roman" w:cs="Times New Roman"/>
          <w:color w:val="auto"/>
          <w:sz w:val="28"/>
          <w:szCs w:val="28"/>
          <w:shd w:val="clear" w:color="auto" w:fill="FFFFFF"/>
          <w:lang w:val="uk-UA" w:eastAsia="ru-RU"/>
        </w:rPr>
        <w:t xml:space="preserve"> </w:t>
      </w:r>
      <w:r w:rsidRPr="00BE086B">
        <w:rPr>
          <w:sz w:val="28"/>
          <w:szCs w:val="28"/>
          <w:shd w:val="clear" w:color="auto" w:fill="FFFFFF"/>
          <w:lang w:val="uk-UA" w:bidi="ru-RU"/>
        </w:rPr>
        <w:t>з співавт., 2017</w:t>
      </w:r>
      <w:r w:rsidRPr="00BE086B">
        <w:rPr>
          <w:sz w:val="28"/>
          <w:szCs w:val="28"/>
          <w:lang w:val="uk-UA"/>
        </w:rPr>
        <w:t xml:space="preserve">). При ГІТ активуються процеси перекисного окислення ліпідів, підвищується чутливість до стресу, уповільнюються окислювально-відновні реакції, порушується терморегуляція, накопичуються продукти обміну, виникають функціональні порушення ЦНС та ССС, розвивається дистрофія тканин з формуванням слизового набряку (мікседема) і розвитком «гіпотиреозних» артропатій і міопатій (В. С. Вернигородский </w:t>
      </w:r>
      <w:r w:rsidRPr="00BE086B">
        <w:rPr>
          <w:sz w:val="28"/>
          <w:szCs w:val="28"/>
          <w:shd w:val="clear" w:color="auto" w:fill="FFFFFF"/>
          <w:lang w:val="uk-UA" w:bidi="ru-RU"/>
        </w:rPr>
        <w:t xml:space="preserve">з співавт., 2018; </w:t>
      </w:r>
      <w:r w:rsidRPr="00BE086B">
        <w:rPr>
          <w:rStyle w:val="ac"/>
          <w:rFonts w:eastAsia="Arial Unicode MS"/>
          <w:i w:val="0"/>
          <w:sz w:val="28"/>
          <w:szCs w:val="28"/>
          <w:lang w:val="uk-UA"/>
        </w:rPr>
        <w:t>В. В. Поворознюк,</w:t>
      </w:r>
      <w:r w:rsidRPr="00BE086B">
        <w:rPr>
          <w:rStyle w:val="ac"/>
          <w:rFonts w:eastAsia="Arial Unicode MS"/>
          <w:sz w:val="28"/>
          <w:szCs w:val="28"/>
          <w:lang w:val="uk-UA"/>
        </w:rPr>
        <w:t xml:space="preserve"> </w:t>
      </w:r>
      <w:r w:rsidRPr="00BE086B">
        <w:rPr>
          <w:rStyle w:val="ac"/>
          <w:rFonts w:eastAsia="Arial Unicode MS"/>
          <w:i w:val="0"/>
          <w:sz w:val="28"/>
          <w:szCs w:val="28"/>
          <w:lang w:val="uk-UA"/>
        </w:rPr>
        <w:t>2014;</w:t>
      </w:r>
      <w:r w:rsidRPr="00BE086B">
        <w:rPr>
          <w:rStyle w:val="ac"/>
          <w:rFonts w:eastAsia="Arial Unicode MS"/>
          <w:sz w:val="28"/>
          <w:szCs w:val="28"/>
          <w:lang w:val="uk-UA"/>
        </w:rPr>
        <w:t xml:space="preserve"> </w:t>
      </w:r>
      <w:r w:rsidRPr="00BE086B">
        <w:rPr>
          <w:sz w:val="28"/>
          <w:szCs w:val="28"/>
          <w:lang w:val="uk-UA"/>
        </w:rPr>
        <w:t xml:space="preserve">В. І. Ткаченко, 2007). </w:t>
      </w:r>
      <w:r w:rsidRPr="00BE086B">
        <w:rPr>
          <w:sz w:val="28"/>
          <w:szCs w:val="28"/>
        </w:rPr>
        <w:t xml:space="preserve">Тому особливого значення набувають питання фармакологічної корекції за сумісного перебігу ОА з ГІТ, здатних ускладнювати та прискорювати негативні наслідки метаболічного дисбалансу. Відомо про наявність та ступінь метаболічних порушень при ГІТ, що негативно впливають на стан кісткової і хрящової тканини, однак можливості фармакотерапії щодо стимуляції регенерації та нормалізації </w:t>
      </w:r>
      <w:r w:rsidRPr="00BE086B">
        <w:rPr>
          <w:sz w:val="28"/>
          <w:szCs w:val="28"/>
        </w:rPr>
        <w:lastRenderedPageBreak/>
        <w:t>метаболічних порушень вивчені недостатньо (</w:t>
      </w:r>
      <w:r w:rsidRPr="00BE086B">
        <w:rPr>
          <w:rFonts w:eastAsia="Calibri"/>
          <w:sz w:val="28"/>
          <w:szCs w:val="28"/>
        </w:rPr>
        <w:t xml:space="preserve">G. R. Williams, 2013; </w:t>
      </w:r>
      <w:r w:rsidRPr="00BE086B">
        <w:rPr>
          <w:sz w:val="28"/>
          <w:szCs w:val="28"/>
          <w:shd w:val="clear" w:color="auto" w:fill="FFFFFF"/>
          <w:lang w:val="en-US"/>
        </w:rPr>
        <w:t>A</w:t>
      </w:r>
      <w:r w:rsidRPr="00BE086B">
        <w:rPr>
          <w:sz w:val="28"/>
          <w:szCs w:val="28"/>
          <w:shd w:val="clear" w:color="auto" w:fill="FFFFFF"/>
        </w:rPr>
        <w:t xml:space="preserve">. </w:t>
      </w:r>
      <w:r w:rsidRPr="00BE086B">
        <w:rPr>
          <w:sz w:val="28"/>
          <w:szCs w:val="28"/>
          <w:shd w:val="clear" w:color="auto" w:fill="FFFFFF"/>
          <w:lang w:val="en-US"/>
        </w:rPr>
        <w:t>C</w:t>
      </w:r>
      <w:r w:rsidRPr="00BE086B">
        <w:rPr>
          <w:sz w:val="28"/>
          <w:szCs w:val="28"/>
          <w:shd w:val="clear" w:color="auto" w:fill="FFFFFF"/>
        </w:rPr>
        <w:t xml:space="preserve">. </w:t>
      </w:r>
      <w:r w:rsidRPr="00BE086B">
        <w:rPr>
          <w:sz w:val="28"/>
          <w:szCs w:val="28"/>
          <w:shd w:val="clear" w:color="auto" w:fill="FFFFFF"/>
          <w:lang w:val="en-US"/>
        </w:rPr>
        <w:t>Bay</w:t>
      </w:r>
      <w:r w:rsidRPr="00BE086B">
        <w:rPr>
          <w:sz w:val="28"/>
          <w:szCs w:val="28"/>
          <w:shd w:val="clear" w:color="auto" w:fill="FFFFFF"/>
        </w:rPr>
        <w:t>-</w:t>
      </w:r>
      <w:r w:rsidRPr="00BE086B">
        <w:rPr>
          <w:sz w:val="28"/>
          <w:szCs w:val="28"/>
          <w:shd w:val="clear" w:color="auto" w:fill="FFFFFF"/>
          <w:lang w:val="en-US"/>
        </w:rPr>
        <w:t>Jensen</w:t>
      </w:r>
      <w:r w:rsidRPr="00BE086B">
        <w:rPr>
          <w:sz w:val="28"/>
          <w:szCs w:val="28"/>
          <w:shd w:val="clear" w:color="auto" w:fill="FFFFFF"/>
        </w:rPr>
        <w:t xml:space="preserve"> </w:t>
      </w:r>
      <w:r w:rsidRPr="00BE086B">
        <w:rPr>
          <w:rFonts w:eastAsia="Calibri"/>
          <w:sz w:val="28"/>
          <w:szCs w:val="28"/>
        </w:rPr>
        <w:t xml:space="preserve">et al., 2013; </w:t>
      </w:r>
      <w:r w:rsidRPr="00BE086B">
        <w:rPr>
          <w:rFonts w:eastAsia="BlinkMacSystemFont"/>
          <w:sz w:val="28"/>
          <w:szCs w:val="28"/>
        </w:rPr>
        <w:t xml:space="preserve">Г. А. Мельниченко, Т. Б. Моргунова, 2009; Ж. Е. </w:t>
      </w:r>
      <w:r w:rsidRPr="00BE086B">
        <w:rPr>
          <w:rFonts w:eastAsia="Calibri"/>
          <w:sz w:val="28"/>
          <w:szCs w:val="28"/>
        </w:rPr>
        <w:t>Б</w:t>
      </w:r>
      <w:r w:rsidRPr="00BE086B">
        <w:rPr>
          <w:rFonts w:eastAsia="BlinkMacSystemFont"/>
          <w:sz w:val="28"/>
          <w:szCs w:val="28"/>
        </w:rPr>
        <w:t xml:space="preserve">елая </w:t>
      </w:r>
      <w:r w:rsidRPr="00BE086B">
        <w:rPr>
          <w:sz w:val="28"/>
          <w:szCs w:val="28"/>
          <w:shd w:val="clear" w:color="auto" w:fill="FFFFFF"/>
          <w:lang w:bidi="ru-RU"/>
        </w:rPr>
        <w:t>з співавт., 2006</w:t>
      </w:r>
      <w:r w:rsidRPr="00BE086B">
        <w:rPr>
          <w:sz w:val="28"/>
          <w:szCs w:val="28"/>
        </w:rPr>
        <w:t>).</w:t>
      </w:r>
    </w:p>
    <w:p w:rsidR="00A45692" w:rsidRPr="00BE086B" w:rsidRDefault="00A45692" w:rsidP="00A45692">
      <w:pPr>
        <w:spacing w:line="360" w:lineRule="auto"/>
        <w:ind w:firstLine="567"/>
        <w:jc w:val="both"/>
        <w:rPr>
          <w:sz w:val="28"/>
          <w:szCs w:val="28"/>
          <w:lang w:val="uk-UA"/>
        </w:rPr>
      </w:pPr>
      <w:r w:rsidRPr="00BE086B">
        <w:rPr>
          <w:sz w:val="28"/>
          <w:szCs w:val="28"/>
          <w:shd w:val="clear" w:color="auto" w:fill="FFFFFF"/>
          <w:lang w:val="uk-UA"/>
        </w:rPr>
        <w:t xml:space="preserve">Неопіоідні аналгетики, а особливо, нестероїдні протизапальні засоби (НПЗЗ), що найчастіше використовуються для усунення больового синдрому при ОА, можуть прискорити ураження суглобів при ОА шляхом посилення синтезу прозапальних цитокінів або інгібуючи синтез протеогліканів хряща </w:t>
      </w:r>
      <w:r w:rsidRPr="00BE086B">
        <w:rPr>
          <w:sz w:val="28"/>
          <w:szCs w:val="28"/>
          <w:lang w:val="uk-UA"/>
        </w:rPr>
        <w:t>(</w:t>
      </w:r>
      <w:r w:rsidRPr="00BE086B">
        <w:rPr>
          <w:sz w:val="28"/>
          <w:szCs w:val="28"/>
          <w:shd w:val="clear" w:color="auto" w:fill="FFFFFF"/>
          <w:lang w:bidi="ru-RU"/>
        </w:rPr>
        <w:t>M</w:t>
      </w:r>
      <w:r w:rsidRPr="00BE086B">
        <w:rPr>
          <w:sz w:val="28"/>
          <w:szCs w:val="28"/>
          <w:shd w:val="clear" w:color="auto" w:fill="FFFFFF"/>
          <w:lang w:val="uk-UA" w:bidi="ru-RU"/>
        </w:rPr>
        <w:t>.</w:t>
      </w:r>
      <w:r w:rsidRPr="00BE086B">
        <w:rPr>
          <w:sz w:val="28"/>
          <w:szCs w:val="28"/>
          <w:shd w:val="clear" w:color="auto" w:fill="FFFFFF"/>
          <w:lang w:val="uk-UA"/>
        </w:rPr>
        <w:t xml:space="preserve"> </w:t>
      </w:r>
      <w:r w:rsidRPr="00BE086B">
        <w:rPr>
          <w:sz w:val="28"/>
          <w:szCs w:val="28"/>
          <w:shd w:val="clear" w:color="auto" w:fill="FFFFFF"/>
          <w:lang w:bidi="ru-RU"/>
        </w:rPr>
        <w:t>Bianchi</w:t>
      </w:r>
      <w:r w:rsidRPr="00BE086B">
        <w:rPr>
          <w:sz w:val="28"/>
          <w:szCs w:val="28"/>
          <w:shd w:val="clear" w:color="auto" w:fill="FFFFFF"/>
          <w:lang w:val="uk-UA" w:bidi="ru-RU"/>
        </w:rPr>
        <w:t xml:space="preserve"> </w:t>
      </w:r>
      <w:r w:rsidRPr="00BE086B">
        <w:rPr>
          <w:sz w:val="28"/>
          <w:szCs w:val="28"/>
          <w:shd w:val="clear" w:color="auto" w:fill="FFFFFF"/>
          <w:lang w:bidi="ru-RU"/>
        </w:rPr>
        <w:t>et</w:t>
      </w:r>
      <w:r w:rsidRPr="00BE086B">
        <w:rPr>
          <w:sz w:val="28"/>
          <w:szCs w:val="28"/>
          <w:shd w:val="clear" w:color="auto" w:fill="FFFFFF"/>
          <w:lang w:val="uk-UA" w:bidi="ru-RU"/>
        </w:rPr>
        <w:t xml:space="preserve"> </w:t>
      </w:r>
      <w:r w:rsidRPr="00BE086B">
        <w:rPr>
          <w:sz w:val="28"/>
          <w:szCs w:val="28"/>
          <w:shd w:val="clear" w:color="auto" w:fill="FFFFFF"/>
          <w:lang w:bidi="ru-RU"/>
        </w:rPr>
        <w:t>al</w:t>
      </w:r>
      <w:r w:rsidRPr="00BE086B">
        <w:rPr>
          <w:sz w:val="28"/>
          <w:szCs w:val="28"/>
          <w:shd w:val="clear" w:color="auto" w:fill="FFFFFF"/>
          <w:lang w:val="uk-UA" w:bidi="ru-RU"/>
        </w:rPr>
        <w:t xml:space="preserve">., 2007; </w:t>
      </w:r>
      <w:r w:rsidRPr="00BE086B">
        <w:rPr>
          <w:sz w:val="28"/>
          <w:szCs w:val="28"/>
          <w:shd w:val="clear" w:color="auto" w:fill="FFFFFF"/>
          <w:lang w:bidi="ru-RU"/>
        </w:rPr>
        <w:t>Y</w:t>
      </w:r>
      <w:r w:rsidRPr="00BE086B">
        <w:rPr>
          <w:sz w:val="28"/>
          <w:szCs w:val="28"/>
          <w:shd w:val="clear" w:color="auto" w:fill="FFFFFF"/>
          <w:lang w:val="uk-UA" w:bidi="ru-RU"/>
        </w:rPr>
        <w:t xml:space="preserve">. </w:t>
      </w:r>
      <w:r w:rsidRPr="00BE086B">
        <w:rPr>
          <w:sz w:val="28"/>
          <w:szCs w:val="28"/>
          <w:shd w:val="clear" w:color="auto" w:fill="FFFFFF"/>
          <w:lang w:bidi="ru-RU"/>
        </w:rPr>
        <w:t>E</w:t>
      </w:r>
      <w:r w:rsidRPr="00BE086B">
        <w:rPr>
          <w:sz w:val="28"/>
          <w:szCs w:val="28"/>
          <w:shd w:val="clear" w:color="auto" w:fill="FFFFFF"/>
          <w:lang w:val="uk-UA" w:bidi="ru-RU"/>
        </w:rPr>
        <w:t xml:space="preserve">. </w:t>
      </w:r>
      <w:r w:rsidRPr="00BE086B">
        <w:rPr>
          <w:sz w:val="28"/>
          <w:szCs w:val="28"/>
          <w:shd w:val="clear" w:color="auto" w:fill="FFFFFF"/>
          <w:lang w:bidi="ru-RU"/>
        </w:rPr>
        <w:t>Henrotin</w:t>
      </w:r>
      <w:r w:rsidRPr="00BE086B">
        <w:rPr>
          <w:sz w:val="28"/>
          <w:szCs w:val="28"/>
          <w:shd w:val="clear" w:color="auto" w:fill="FFFFFF"/>
          <w:lang w:val="uk-UA" w:bidi="ru-RU"/>
        </w:rPr>
        <w:t xml:space="preserve"> </w:t>
      </w:r>
      <w:r w:rsidRPr="00BE086B">
        <w:rPr>
          <w:sz w:val="28"/>
          <w:szCs w:val="28"/>
          <w:shd w:val="clear" w:color="auto" w:fill="FFFFFF"/>
          <w:lang w:bidi="ru-RU"/>
        </w:rPr>
        <w:t>et</w:t>
      </w:r>
      <w:r w:rsidRPr="00BE086B">
        <w:rPr>
          <w:sz w:val="28"/>
          <w:szCs w:val="28"/>
          <w:shd w:val="clear" w:color="auto" w:fill="FFFFFF"/>
          <w:lang w:val="uk-UA" w:bidi="ru-RU"/>
        </w:rPr>
        <w:t xml:space="preserve"> </w:t>
      </w:r>
      <w:r w:rsidRPr="00BE086B">
        <w:rPr>
          <w:sz w:val="28"/>
          <w:szCs w:val="28"/>
          <w:shd w:val="clear" w:color="auto" w:fill="FFFFFF"/>
          <w:lang w:bidi="ru-RU"/>
        </w:rPr>
        <w:t>al</w:t>
      </w:r>
      <w:r w:rsidRPr="00BE086B">
        <w:rPr>
          <w:sz w:val="28"/>
          <w:szCs w:val="28"/>
          <w:shd w:val="clear" w:color="auto" w:fill="FFFFFF"/>
          <w:lang w:val="uk-UA" w:bidi="ru-RU"/>
        </w:rPr>
        <w:t xml:space="preserve">., 1999; </w:t>
      </w:r>
      <w:r w:rsidRPr="00BE086B">
        <w:rPr>
          <w:sz w:val="28"/>
          <w:szCs w:val="28"/>
          <w:lang w:bidi="ru-RU"/>
        </w:rPr>
        <w:t>K</w:t>
      </w:r>
      <w:r w:rsidRPr="00BE086B">
        <w:rPr>
          <w:sz w:val="28"/>
          <w:szCs w:val="28"/>
          <w:lang w:val="uk-UA" w:bidi="ru-RU"/>
        </w:rPr>
        <w:t xml:space="preserve">. </w:t>
      </w:r>
      <w:r w:rsidRPr="00BE086B">
        <w:rPr>
          <w:sz w:val="28"/>
          <w:szCs w:val="28"/>
          <w:lang w:bidi="ru-RU"/>
        </w:rPr>
        <w:t>D</w:t>
      </w:r>
      <w:r w:rsidRPr="00BE086B">
        <w:rPr>
          <w:sz w:val="28"/>
          <w:szCs w:val="28"/>
          <w:lang w:val="uk-UA" w:bidi="ru-RU"/>
        </w:rPr>
        <w:t>.</w:t>
      </w:r>
      <w:r w:rsidRPr="00BE086B">
        <w:rPr>
          <w:sz w:val="28"/>
          <w:szCs w:val="28"/>
          <w:shd w:val="clear" w:color="auto" w:fill="FFFFFF"/>
          <w:lang w:val="uk-UA" w:bidi="ru-RU"/>
        </w:rPr>
        <w:t xml:space="preserve"> </w:t>
      </w:r>
      <w:r w:rsidRPr="00BE086B">
        <w:rPr>
          <w:sz w:val="28"/>
          <w:szCs w:val="28"/>
          <w:lang w:bidi="ru-RU"/>
        </w:rPr>
        <w:t>Rainsford</w:t>
      </w:r>
      <w:r w:rsidRPr="00BE086B">
        <w:rPr>
          <w:sz w:val="28"/>
          <w:szCs w:val="28"/>
          <w:lang w:val="uk-UA" w:bidi="ru-RU"/>
        </w:rPr>
        <w:t xml:space="preserve"> </w:t>
      </w:r>
      <w:r w:rsidRPr="00BE086B">
        <w:rPr>
          <w:sz w:val="28"/>
          <w:szCs w:val="28"/>
          <w:shd w:val="clear" w:color="auto" w:fill="FFFFFF"/>
          <w:lang w:bidi="ru-RU"/>
        </w:rPr>
        <w:t>et</w:t>
      </w:r>
      <w:r w:rsidRPr="00BE086B">
        <w:rPr>
          <w:sz w:val="28"/>
          <w:szCs w:val="28"/>
          <w:shd w:val="clear" w:color="auto" w:fill="FFFFFF"/>
          <w:lang w:val="uk-UA" w:bidi="ru-RU"/>
        </w:rPr>
        <w:t xml:space="preserve"> </w:t>
      </w:r>
      <w:r w:rsidRPr="00BE086B">
        <w:rPr>
          <w:sz w:val="28"/>
          <w:szCs w:val="28"/>
          <w:shd w:val="clear" w:color="auto" w:fill="FFFFFF"/>
          <w:lang w:bidi="ru-RU"/>
        </w:rPr>
        <w:t>al</w:t>
      </w:r>
      <w:r w:rsidRPr="00BE086B">
        <w:rPr>
          <w:sz w:val="28"/>
          <w:szCs w:val="28"/>
          <w:shd w:val="clear" w:color="auto" w:fill="FFFFFF"/>
          <w:lang w:val="uk-UA" w:bidi="ru-RU"/>
        </w:rPr>
        <w:t>., 1997; І.А. Зупанець з співавт., 2002)</w:t>
      </w:r>
      <w:r w:rsidRPr="00BE086B">
        <w:rPr>
          <w:sz w:val="28"/>
          <w:szCs w:val="28"/>
          <w:shd w:val="clear" w:color="auto" w:fill="FFFFFF"/>
          <w:lang w:val="uk-UA"/>
        </w:rPr>
        <w:t>. Проте питання впливу аналгетичної терапії на стан кісткової та хрящової тканин при ГІТ та їхній вплив на рівень біохімічних маркерів при гіпофункції ЩЗ досліджено недостатньо</w:t>
      </w:r>
      <w:r w:rsidRPr="00BE086B">
        <w:rPr>
          <w:sz w:val="28"/>
          <w:szCs w:val="28"/>
          <w:lang w:val="uk-UA"/>
        </w:rPr>
        <w:t>.</w:t>
      </w:r>
    </w:p>
    <w:p w:rsidR="00A45692" w:rsidRPr="00AF27FE" w:rsidRDefault="00A45692" w:rsidP="00A45692">
      <w:pPr>
        <w:spacing w:line="360" w:lineRule="auto"/>
        <w:ind w:firstLine="567"/>
        <w:jc w:val="both"/>
        <w:rPr>
          <w:sz w:val="28"/>
          <w:szCs w:val="28"/>
          <w:lang w:val="uk-UA"/>
        </w:rPr>
      </w:pPr>
      <w:r w:rsidRPr="00AF27FE">
        <w:rPr>
          <w:sz w:val="28"/>
          <w:szCs w:val="28"/>
          <w:lang w:val="uk-UA"/>
        </w:rPr>
        <w:t xml:space="preserve">Відомо, що аналгетики можуть впливати на гормональну активність ЩЗ через безпосередній вплив на синтез та </w:t>
      </w:r>
      <w:r w:rsidRPr="00AF27FE">
        <w:rPr>
          <w:kern w:val="28"/>
          <w:sz w:val="28"/>
          <w:szCs w:val="28"/>
          <w:lang w:val="uk-UA"/>
        </w:rPr>
        <w:t xml:space="preserve">виділення гормонів або їх метаболізм, кліренс та поглинання тканинами </w:t>
      </w:r>
      <w:r w:rsidRPr="00AF27FE">
        <w:rPr>
          <w:sz w:val="28"/>
          <w:szCs w:val="28"/>
          <w:lang w:val="uk-UA"/>
        </w:rPr>
        <w:t>(</w:t>
      </w:r>
      <w:r w:rsidRPr="00BE086B">
        <w:rPr>
          <w:sz w:val="28"/>
          <w:szCs w:val="28"/>
        </w:rPr>
        <w:t>D</w:t>
      </w:r>
      <w:r w:rsidRPr="00AF27FE">
        <w:rPr>
          <w:sz w:val="28"/>
          <w:szCs w:val="28"/>
          <w:lang w:val="uk-UA"/>
        </w:rPr>
        <w:t xml:space="preserve">. </w:t>
      </w:r>
      <w:r w:rsidRPr="00BE086B">
        <w:rPr>
          <w:sz w:val="28"/>
          <w:szCs w:val="28"/>
        </w:rPr>
        <w:t>L</w:t>
      </w:r>
      <w:r w:rsidRPr="00AF27FE">
        <w:rPr>
          <w:sz w:val="28"/>
          <w:szCs w:val="28"/>
          <w:lang w:val="uk-UA"/>
        </w:rPr>
        <w:t xml:space="preserve">. </w:t>
      </w:r>
      <w:r w:rsidRPr="00BE086B">
        <w:rPr>
          <w:sz w:val="28"/>
          <w:szCs w:val="28"/>
        </w:rPr>
        <w:t>Panciera</w:t>
      </w:r>
      <w:r w:rsidRPr="00AF27FE">
        <w:rPr>
          <w:sz w:val="28"/>
          <w:szCs w:val="28"/>
          <w:lang w:val="uk-UA"/>
        </w:rPr>
        <w:t xml:space="preserve"> </w:t>
      </w:r>
      <w:r w:rsidRPr="00BE086B">
        <w:rPr>
          <w:rFonts w:eastAsia="Calibri"/>
          <w:sz w:val="28"/>
          <w:szCs w:val="28"/>
        </w:rPr>
        <w:t>et</w:t>
      </w:r>
      <w:r w:rsidRPr="00AF27FE">
        <w:rPr>
          <w:rFonts w:eastAsia="Calibri"/>
          <w:sz w:val="28"/>
          <w:szCs w:val="28"/>
          <w:lang w:val="uk-UA"/>
        </w:rPr>
        <w:t xml:space="preserve"> </w:t>
      </w:r>
      <w:r w:rsidRPr="00BE086B">
        <w:rPr>
          <w:rFonts w:eastAsia="Calibri"/>
          <w:sz w:val="28"/>
          <w:szCs w:val="28"/>
        </w:rPr>
        <w:t>al</w:t>
      </w:r>
      <w:r w:rsidRPr="00AF27FE">
        <w:rPr>
          <w:rFonts w:eastAsia="Calibri"/>
          <w:sz w:val="28"/>
          <w:szCs w:val="28"/>
          <w:lang w:val="uk-UA"/>
        </w:rPr>
        <w:t xml:space="preserve">., </w:t>
      </w:r>
      <w:r w:rsidRPr="00AF27FE">
        <w:rPr>
          <w:sz w:val="28"/>
          <w:szCs w:val="28"/>
          <w:lang w:val="uk-UA"/>
        </w:rPr>
        <w:t xml:space="preserve">2006; </w:t>
      </w:r>
      <w:r w:rsidRPr="00BE086B">
        <w:rPr>
          <w:rFonts w:eastAsia="Calibri"/>
          <w:sz w:val="28"/>
          <w:szCs w:val="28"/>
        </w:rPr>
        <w:t>F</w:t>
      </w:r>
      <w:r w:rsidRPr="00AF27FE">
        <w:rPr>
          <w:rFonts w:eastAsia="Calibri"/>
          <w:sz w:val="28"/>
          <w:szCs w:val="28"/>
          <w:lang w:val="uk-UA"/>
        </w:rPr>
        <w:t xml:space="preserve">. </w:t>
      </w:r>
      <w:r w:rsidRPr="00BE086B">
        <w:rPr>
          <w:rFonts w:eastAsia="Calibri"/>
          <w:sz w:val="28"/>
          <w:szCs w:val="28"/>
        </w:rPr>
        <w:t>Sauv</w:t>
      </w:r>
      <w:r w:rsidRPr="00AF27FE">
        <w:rPr>
          <w:rFonts w:eastAsia="Calibri"/>
          <w:sz w:val="28"/>
          <w:szCs w:val="28"/>
          <w:lang w:val="uk-UA"/>
        </w:rPr>
        <w:t xml:space="preserve">é </w:t>
      </w:r>
      <w:r w:rsidRPr="00BE086B">
        <w:rPr>
          <w:rFonts w:eastAsia="Calibri"/>
          <w:sz w:val="28"/>
          <w:szCs w:val="28"/>
        </w:rPr>
        <w:t>et</w:t>
      </w:r>
      <w:r w:rsidRPr="00AF27FE">
        <w:rPr>
          <w:rFonts w:eastAsia="Calibri"/>
          <w:sz w:val="28"/>
          <w:szCs w:val="28"/>
          <w:lang w:val="uk-UA"/>
        </w:rPr>
        <w:t xml:space="preserve"> </w:t>
      </w:r>
      <w:r w:rsidRPr="00BE086B">
        <w:rPr>
          <w:rFonts w:eastAsia="Calibri"/>
          <w:sz w:val="28"/>
          <w:szCs w:val="28"/>
        </w:rPr>
        <w:t>al</w:t>
      </w:r>
      <w:r w:rsidRPr="00AF27FE">
        <w:rPr>
          <w:rFonts w:eastAsia="Calibri"/>
          <w:sz w:val="28"/>
          <w:szCs w:val="28"/>
          <w:lang w:val="uk-UA"/>
        </w:rPr>
        <w:t xml:space="preserve">., 2003; </w:t>
      </w:r>
      <w:r w:rsidRPr="00BE086B">
        <w:rPr>
          <w:sz w:val="28"/>
          <w:szCs w:val="28"/>
          <w:shd w:val="clear" w:color="auto" w:fill="FFFFFF"/>
          <w:lang w:val="en-US"/>
        </w:rPr>
        <w:t>C</w:t>
      </w:r>
      <w:r w:rsidRPr="00AF27FE">
        <w:rPr>
          <w:sz w:val="28"/>
          <w:szCs w:val="28"/>
          <w:shd w:val="clear" w:color="auto" w:fill="FFFFFF"/>
          <w:lang w:val="uk-UA"/>
        </w:rPr>
        <w:t xml:space="preserve">. </w:t>
      </w:r>
      <w:r w:rsidRPr="00BE086B">
        <w:rPr>
          <w:sz w:val="28"/>
          <w:szCs w:val="28"/>
          <w:shd w:val="clear" w:color="auto" w:fill="FFFFFF"/>
          <w:lang w:val="en-US"/>
        </w:rPr>
        <w:t>F</w:t>
      </w:r>
      <w:r w:rsidRPr="00AF27FE">
        <w:rPr>
          <w:sz w:val="28"/>
          <w:szCs w:val="28"/>
          <w:shd w:val="clear" w:color="auto" w:fill="FFFFFF"/>
          <w:lang w:val="uk-UA"/>
        </w:rPr>
        <w:t xml:space="preserve">. </w:t>
      </w:r>
      <w:r w:rsidRPr="00BE086B">
        <w:rPr>
          <w:sz w:val="28"/>
          <w:szCs w:val="28"/>
          <w:shd w:val="clear" w:color="auto" w:fill="FFFFFF"/>
          <w:lang w:val="en-US"/>
        </w:rPr>
        <w:t>Lim</w:t>
      </w:r>
      <w:r w:rsidRPr="00AF27FE">
        <w:rPr>
          <w:sz w:val="28"/>
          <w:szCs w:val="28"/>
          <w:shd w:val="clear" w:color="auto" w:fill="FFFFFF"/>
          <w:lang w:val="uk-UA"/>
        </w:rPr>
        <w:t xml:space="preserve"> </w:t>
      </w:r>
      <w:r w:rsidRPr="00BE086B">
        <w:rPr>
          <w:rFonts w:eastAsia="Calibri"/>
          <w:sz w:val="28"/>
          <w:szCs w:val="28"/>
        </w:rPr>
        <w:t>et</w:t>
      </w:r>
      <w:r w:rsidRPr="00AF27FE">
        <w:rPr>
          <w:rFonts w:eastAsia="Calibri"/>
          <w:sz w:val="28"/>
          <w:szCs w:val="28"/>
          <w:lang w:val="uk-UA"/>
        </w:rPr>
        <w:t xml:space="preserve"> </w:t>
      </w:r>
      <w:r w:rsidRPr="00BE086B">
        <w:rPr>
          <w:rFonts w:eastAsia="Calibri"/>
          <w:sz w:val="28"/>
          <w:szCs w:val="28"/>
        </w:rPr>
        <w:t>al</w:t>
      </w:r>
      <w:r w:rsidRPr="00AF27FE">
        <w:rPr>
          <w:rFonts w:eastAsia="Calibri"/>
          <w:sz w:val="28"/>
          <w:szCs w:val="28"/>
          <w:lang w:val="uk-UA"/>
        </w:rPr>
        <w:t xml:space="preserve">., 1996; </w:t>
      </w:r>
      <w:r w:rsidRPr="00BE086B">
        <w:rPr>
          <w:sz w:val="28"/>
          <w:szCs w:val="28"/>
          <w:shd w:val="clear" w:color="auto" w:fill="FFFFFF"/>
          <w:lang w:val="en-US"/>
        </w:rPr>
        <w:t>S</w:t>
      </w:r>
      <w:r w:rsidRPr="00AF27FE">
        <w:rPr>
          <w:sz w:val="28"/>
          <w:szCs w:val="28"/>
          <w:shd w:val="clear" w:color="auto" w:fill="FFFFFF"/>
          <w:lang w:val="uk-UA"/>
        </w:rPr>
        <w:t xml:space="preserve">. </w:t>
      </w:r>
      <w:r w:rsidRPr="00BE086B">
        <w:rPr>
          <w:sz w:val="28"/>
          <w:szCs w:val="28"/>
          <w:shd w:val="clear" w:color="auto" w:fill="FFFFFF"/>
          <w:lang w:val="en-US"/>
        </w:rPr>
        <w:t>I</w:t>
      </w:r>
      <w:r w:rsidRPr="00AF27FE">
        <w:rPr>
          <w:sz w:val="28"/>
          <w:szCs w:val="28"/>
          <w:shd w:val="clear" w:color="auto" w:fill="FFFFFF"/>
          <w:lang w:val="uk-UA"/>
        </w:rPr>
        <w:t xml:space="preserve">. </w:t>
      </w:r>
      <w:r w:rsidRPr="00BE086B">
        <w:rPr>
          <w:sz w:val="28"/>
          <w:szCs w:val="28"/>
          <w:shd w:val="clear" w:color="auto" w:fill="FFFFFF"/>
          <w:lang w:val="en-US"/>
        </w:rPr>
        <w:t>Handa</w:t>
      </w:r>
      <w:r w:rsidRPr="00AF27FE">
        <w:rPr>
          <w:sz w:val="28"/>
          <w:szCs w:val="28"/>
          <w:shd w:val="clear" w:color="auto" w:fill="FFFFFF"/>
          <w:lang w:val="uk-UA"/>
        </w:rPr>
        <w:t xml:space="preserve">, </w:t>
      </w:r>
      <w:r w:rsidRPr="00BE086B">
        <w:rPr>
          <w:sz w:val="28"/>
          <w:szCs w:val="28"/>
          <w:shd w:val="clear" w:color="auto" w:fill="FFFFFF"/>
          <w:lang w:val="en-US"/>
        </w:rPr>
        <w:t>S</w:t>
      </w:r>
      <w:r w:rsidRPr="00AF27FE">
        <w:rPr>
          <w:sz w:val="28"/>
          <w:szCs w:val="28"/>
          <w:shd w:val="clear" w:color="auto" w:fill="FFFFFF"/>
          <w:lang w:val="uk-UA"/>
        </w:rPr>
        <w:t xml:space="preserve">. </w:t>
      </w:r>
      <w:r w:rsidRPr="00BE086B">
        <w:rPr>
          <w:sz w:val="28"/>
          <w:szCs w:val="28"/>
          <w:shd w:val="clear" w:color="auto" w:fill="FFFFFF"/>
          <w:lang w:val="en-US"/>
        </w:rPr>
        <w:t>Freestone</w:t>
      </w:r>
      <w:r w:rsidRPr="00AF27FE">
        <w:rPr>
          <w:sz w:val="28"/>
          <w:szCs w:val="28"/>
          <w:shd w:val="clear" w:color="auto" w:fill="FFFFFF"/>
          <w:lang w:val="uk-UA"/>
        </w:rPr>
        <w:t>, 1990</w:t>
      </w:r>
      <w:r w:rsidRPr="00AF27FE">
        <w:rPr>
          <w:sz w:val="28"/>
          <w:szCs w:val="28"/>
          <w:lang w:val="uk-UA"/>
        </w:rPr>
        <w:t xml:space="preserve">). Проте, важливим та недослідженим питанням є вивчення процесів взаємодії аналгетичних засобів з препаратом замісної гормональної терапії </w:t>
      </w:r>
      <w:r w:rsidRPr="00BE086B">
        <w:rPr>
          <w:sz w:val="28"/>
          <w:szCs w:val="28"/>
        </w:rPr>
        <w:t>L</w:t>
      </w:r>
      <w:r w:rsidRPr="00AF27FE">
        <w:rPr>
          <w:sz w:val="28"/>
          <w:szCs w:val="28"/>
          <w:lang w:val="uk-UA"/>
        </w:rPr>
        <w:t>-тироксином, їхньої здатності впливати на біль різної інтенсивності.</w:t>
      </w:r>
    </w:p>
    <w:p w:rsidR="00A45692" w:rsidRPr="00AF27FE" w:rsidRDefault="00A45692" w:rsidP="00A45692">
      <w:pPr>
        <w:spacing w:line="360" w:lineRule="auto"/>
        <w:ind w:firstLine="567"/>
        <w:jc w:val="both"/>
        <w:rPr>
          <w:sz w:val="28"/>
          <w:szCs w:val="28"/>
          <w:lang w:val="uk-UA"/>
        </w:rPr>
      </w:pPr>
      <w:r w:rsidRPr="00AF27FE">
        <w:rPr>
          <w:sz w:val="28"/>
          <w:szCs w:val="28"/>
          <w:lang w:val="uk-UA"/>
        </w:rPr>
        <w:t>Вважається, що призначення замісної гормональної терапії ГІТ призводить до відновлення інтенсивності метаболічних процесів, проте дослідження питання впливу гормонотерапії на структуру гіалінового хряща не проводились (</w:t>
      </w:r>
      <w:r w:rsidRPr="00BE086B">
        <w:rPr>
          <w:sz w:val="28"/>
          <w:szCs w:val="28"/>
          <w:shd w:val="clear" w:color="auto" w:fill="FFFFFF"/>
          <w:lang w:val="en-US"/>
        </w:rPr>
        <w:t>E</w:t>
      </w:r>
      <w:r w:rsidRPr="00AF27FE">
        <w:rPr>
          <w:sz w:val="28"/>
          <w:szCs w:val="28"/>
          <w:shd w:val="clear" w:color="auto" w:fill="FFFFFF"/>
          <w:lang w:val="uk-UA"/>
        </w:rPr>
        <w:t xml:space="preserve">. </w:t>
      </w:r>
      <w:r w:rsidRPr="00BE086B">
        <w:rPr>
          <w:sz w:val="28"/>
          <w:szCs w:val="28"/>
          <w:shd w:val="clear" w:color="auto" w:fill="FFFFFF"/>
          <w:lang w:val="en-US"/>
        </w:rPr>
        <w:t>Tsourdi</w:t>
      </w:r>
      <w:r w:rsidRPr="00AF27FE">
        <w:rPr>
          <w:sz w:val="28"/>
          <w:szCs w:val="28"/>
          <w:shd w:val="clear" w:color="auto" w:fill="FFFFFF"/>
          <w:lang w:val="uk-UA"/>
        </w:rPr>
        <w:t xml:space="preserve"> </w:t>
      </w:r>
      <w:r w:rsidRPr="00BE086B">
        <w:rPr>
          <w:rFonts w:eastAsia="Calibri"/>
          <w:sz w:val="28"/>
          <w:szCs w:val="28"/>
        </w:rPr>
        <w:t>et</w:t>
      </w:r>
      <w:r w:rsidRPr="00AF27FE">
        <w:rPr>
          <w:rFonts w:eastAsia="Calibri"/>
          <w:sz w:val="28"/>
          <w:szCs w:val="28"/>
          <w:lang w:val="uk-UA"/>
        </w:rPr>
        <w:t xml:space="preserve"> </w:t>
      </w:r>
      <w:r w:rsidRPr="00BE086B">
        <w:rPr>
          <w:rFonts w:eastAsia="Calibri"/>
          <w:sz w:val="28"/>
          <w:szCs w:val="28"/>
        </w:rPr>
        <w:t>al</w:t>
      </w:r>
      <w:r w:rsidRPr="00AF27FE">
        <w:rPr>
          <w:rFonts w:eastAsia="Calibri"/>
          <w:sz w:val="28"/>
          <w:szCs w:val="28"/>
          <w:lang w:val="uk-UA"/>
        </w:rPr>
        <w:t xml:space="preserve">., </w:t>
      </w:r>
      <w:r w:rsidRPr="00AF27FE">
        <w:rPr>
          <w:sz w:val="28"/>
          <w:szCs w:val="28"/>
          <w:lang w:val="uk-UA"/>
        </w:rPr>
        <w:t>2018</w:t>
      </w:r>
      <w:r w:rsidRPr="00AF27FE">
        <w:rPr>
          <w:sz w:val="28"/>
          <w:szCs w:val="28"/>
          <w:shd w:val="clear" w:color="auto" w:fill="FFFFFF"/>
          <w:lang w:val="uk-UA"/>
        </w:rPr>
        <w:t xml:space="preserve">; </w:t>
      </w:r>
      <w:r w:rsidRPr="00BE086B">
        <w:rPr>
          <w:sz w:val="28"/>
          <w:szCs w:val="28"/>
          <w:shd w:val="clear" w:color="auto" w:fill="FFFFFF"/>
          <w:lang w:val="en-US"/>
        </w:rPr>
        <w:t>G</w:t>
      </w:r>
      <w:r w:rsidRPr="00AF27FE">
        <w:rPr>
          <w:sz w:val="28"/>
          <w:szCs w:val="28"/>
          <w:shd w:val="clear" w:color="auto" w:fill="FFFFFF"/>
          <w:lang w:val="uk-UA"/>
        </w:rPr>
        <w:t xml:space="preserve">. </w:t>
      </w:r>
      <w:r w:rsidRPr="00BE086B">
        <w:rPr>
          <w:sz w:val="28"/>
          <w:szCs w:val="28"/>
          <w:shd w:val="clear" w:color="auto" w:fill="FFFFFF"/>
          <w:lang w:val="en-US"/>
        </w:rPr>
        <w:t>R</w:t>
      </w:r>
      <w:r w:rsidRPr="00AF27FE">
        <w:rPr>
          <w:sz w:val="28"/>
          <w:szCs w:val="28"/>
          <w:shd w:val="clear" w:color="auto" w:fill="FFFFFF"/>
          <w:lang w:val="uk-UA"/>
        </w:rPr>
        <w:t xml:space="preserve">. </w:t>
      </w:r>
      <w:r w:rsidRPr="00BE086B">
        <w:rPr>
          <w:sz w:val="28"/>
          <w:szCs w:val="28"/>
          <w:shd w:val="clear" w:color="auto" w:fill="FFFFFF"/>
          <w:lang w:val="en-US"/>
        </w:rPr>
        <w:t>Williams</w:t>
      </w:r>
      <w:r w:rsidRPr="00AF27FE">
        <w:rPr>
          <w:sz w:val="28"/>
          <w:szCs w:val="28"/>
          <w:shd w:val="clear" w:color="auto" w:fill="FFFFFF"/>
          <w:lang w:val="uk-UA"/>
        </w:rPr>
        <w:t xml:space="preserve">, 2013; </w:t>
      </w:r>
      <w:r w:rsidRPr="00AF27FE">
        <w:rPr>
          <w:bCs/>
          <w:sz w:val="28"/>
          <w:szCs w:val="28"/>
          <w:lang w:val="uk-UA"/>
        </w:rPr>
        <w:t>Л. О. Волошина, 2018</w:t>
      </w:r>
      <w:r w:rsidRPr="00AF27FE">
        <w:rPr>
          <w:sz w:val="28"/>
          <w:szCs w:val="28"/>
          <w:lang w:val="uk-UA"/>
        </w:rPr>
        <w:t>). Також залишаються відкритими питання профілактики дегенеративно-дистрофічних змін у суглобах за ГІТ і вивчення лікарської взаємодії з метою пропозицій щодо ефективного та безпечного комбінованого застосування препаратів різних фармакотерапевтичних груп.</w:t>
      </w:r>
    </w:p>
    <w:p w:rsidR="00A45692" w:rsidRPr="00BE086B" w:rsidRDefault="00A45692" w:rsidP="00A45692">
      <w:pPr>
        <w:spacing w:line="360" w:lineRule="auto"/>
        <w:ind w:firstLine="567"/>
        <w:jc w:val="both"/>
        <w:rPr>
          <w:rStyle w:val="highlight"/>
          <w:sz w:val="28"/>
          <w:szCs w:val="28"/>
        </w:rPr>
      </w:pPr>
      <w:r w:rsidRPr="00AF27FE">
        <w:rPr>
          <w:sz w:val="28"/>
          <w:szCs w:val="28"/>
          <w:lang w:val="uk-UA"/>
        </w:rPr>
        <w:t xml:space="preserve">Вищезазначене вказує на існування актуальної сучасної проблеми медицини, яка пов’язана з пошуком нових підходів до фармакотерапії </w:t>
      </w:r>
      <w:r w:rsidRPr="00AF27FE">
        <w:rPr>
          <w:rStyle w:val="highlight"/>
          <w:sz w:val="28"/>
          <w:szCs w:val="28"/>
          <w:lang w:val="uk-UA"/>
        </w:rPr>
        <w:t xml:space="preserve">больового синдрому та медикаментозного захисту суглобів у хворих на ОА та ГІТ шляхом визначення ефективності використання знеболювальних та </w:t>
      </w:r>
      <w:r w:rsidRPr="00AF27FE">
        <w:rPr>
          <w:rStyle w:val="highlight"/>
          <w:sz w:val="28"/>
          <w:szCs w:val="28"/>
          <w:lang w:val="uk-UA"/>
        </w:rPr>
        <w:lastRenderedPageBreak/>
        <w:t xml:space="preserve">хондропротекторних засобів за умов замісної гормональної терапії гіпотиреозу, що може слугувати теоретичними передумовами оптимізації лікування коморбідного стану. </w:t>
      </w:r>
      <w:r w:rsidRPr="00BE086B">
        <w:rPr>
          <w:rStyle w:val="highlight"/>
          <w:sz w:val="28"/>
          <w:szCs w:val="28"/>
        </w:rPr>
        <w:t>Вирішенню саме цієї проблеми присвячене дане дисертаційне дослідження.</w:t>
      </w:r>
    </w:p>
    <w:p w:rsidR="005A1B2D" w:rsidRPr="00BE086B" w:rsidRDefault="00380CA6" w:rsidP="00A45692">
      <w:pPr>
        <w:spacing w:line="360" w:lineRule="auto"/>
        <w:ind w:firstLine="567"/>
        <w:jc w:val="both"/>
        <w:rPr>
          <w:sz w:val="28"/>
          <w:szCs w:val="28"/>
          <w:lang w:eastAsia="en-US"/>
        </w:rPr>
      </w:pPr>
      <w:r w:rsidRPr="00BE086B">
        <w:rPr>
          <w:rStyle w:val="highlight"/>
          <w:b/>
          <w:sz w:val="28"/>
          <w:szCs w:val="28"/>
          <w:lang w:val="uk-UA"/>
        </w:rPr>
        <w:t>Зв'язок роботи з науковими програмами, планами, темами.</w:t>
      </w:r>
      <w:r w:rsidRPr="00BE086B">
        <w:rPr>
          <w:rStyle w:val="highlight"/>
          <w:sz w:val="28"/>
          <w:szCs w:val="28"/>
          <w:lang w:val="uk-UA"/>
        </w:rPr>
        <w:t xml:space="preserve"> </w:t>
      </w:r>
      <w:r w:rsidR="005A1B2D" w:rsidRPr="00BE086B">
        <w:rPr>
          <w:sz w:val="28"/>
          <w:szCs w:val="28"/>
          <w:lang w:val="uk-UA"/>
        </w:rPr>
        <w:t xml:space="preserve">Дисертаційна робота виконана згідно планової науково-дослідної роботи кафедри фармакології та клінічної фармакології ДЗ “ДМА МОЗ України” та є фрагментами НДР </w:t>
      </w:r>
      <w:r w:rsidR="005A1B2D" w:rsidRPr="00BE086B">
        <w:rPr>
          <w:spacing w:val="6"/>
          <w:kern w:val="2"/>
          <w:sz w:val="28"/>
          <w:szCs w:val="28"/>
          <w:lang w:val="uk-UA" w:bidi="uk-UA"/>
        </w:rPr>
        <w:t>«Експериментально-теоретичне обґрунтування особливостей знеболювальної та нейропротекторної медикаментозної терапії в умовах моделюємої патології» (№ держреєстрації 0104</w:t>
      </w:r>
      <w:r w:rsidR="005A1B2D" w:rsidRPr="00BE086B">
        <w:rPr>
          <w:spacing w:val="6"/>
          <w:kern w:val="2"/>
          <w:sz w:val="28"/>
          <w:szCs w:val="28"/>
          <w:lang w:bidi="uk-UA"/>
        </w:rPr>
        <w:t>U</w:t>
      </w:r>
      <w:r w:rsidR="005A1B2D" w:rsidRPr="00BE086B">
        <w:rPr>
          <w:spacing w:val="6"/>
          <w:kern w:val="2"/>
          <w:sz w:val="28"/>
          <w:szCs w:val="28"/>
          <w:lang w:val="uk-UA" w:bidi="uk-UA"/>
        </w:rPr>
        <w:t xml:space="preserve">006269) </w:t>
      </w:r>
      <w:r w:rsidR="005A1B2D" w:rsidRPr="00BE086B">
        <w:rPr>
          <w:sz w:val="28"/>
          <w:szCs w:val="28"/>
          <w:lang w:val="uk-UA"/>
        </w:rPr>
        <w:t xml:space="preserve">(термін виконання: 2014-2018 рр.) </w:t>
      </w:r>
      <w:r w:rsidR="005A1B2D" w:rsidRPr="00BE086B">
        <w:rPr>
          <w:spacing w:val="6"/>
          <w:kern w:val="2"/>
          <w:sz w:val="28"/>
          <w:szCs w:val="28"/>
          <w:lang w:val="uk-UA" w:bidi="uk-UA"/>
        </w:rPr>
        <w:t xml:space="preserve">та </w:t>
      </w:r>
      <w:r w:rsidR="005A1B2D" w:rsidRPr="00BE086B">
        <w:rPr>
          <w:sz w:val="28"/>
          <w:szCs w:val="28"/>
          <w:lang w:val="uk-UA"/>
        </w:rPr>
        <w:t>«</w:t>
      </w:r>
      <w:r w:rsidR="005A1B2D" w:rsidRPr="00BE086B">
        <w:rPr>
          <w:sz w:val="28"/>
          <w:szCs w:val="28"/>
          <w:lang w:val="uk-UA" w:eastAsia="uk-UA"/>
        </w:rPr>
        <w:t>Фармакологічний аналіз органо- та ендотеліопротекції за умов експериментальних патологічних станів</w:t>
      </w:r>
      <w:r w:rsidR="005A1B2D" w:rsidRPr="00BE086B">
        <w:rPr>
          <w:sz w:val="28"/>
          <w:szCs w:val="28"/>
          <w:lang w:val="uk-UA"/>
        </w:rPr>
        <w:t>» (№ держреєстрації 0118</w:t>
      </w:r>
      <w:r w:rsidR="005A1B2D" w:rsidRPr="00BE086B">
        <w:rPr>
          <w:sz w:val="28"/>
          <w:szCs w:val="28"/>
        </w:rPr>
        <w:t>U</w:t>
      </w:r>
      <w:r w:rsidR="005A1B2D" w:rsidRPr="00BE086B">
        <w:rPr>
          <w:sz w:val="28"/>
          <w:szCs w:val="28"/>
          <w:lang w:val="uk-UA"/>
        </w:rPr>
        <w:t xml:space="preserve">006631) (термін виконання: 2018-2022 рр.). </w:t>
      </w:r>
      <w:r w:rsidR="005A1B2D" w:rsidRPr="00BE086B">
        <w:rPr>
          <w:sz w:val="28"/>
          <w:szCs w:val="28"/>
        </w:rPr>
        <w:t>Дисертант є відповідальним виконавцем зазначених тем.</w:t>
      </w:r>
    </w:p>
    <w:p w:rsidR="005A1B2D" w:rsidRPr="00BE086B" w:rsidRDefault="00380CA6" w:rsidP="005A1B2D">
      <w:pPr>
        <w:pStyle w:val="af0"/>
        <w:ind w:firstLine="567"/>
        <w:jc w:val="both"/>
        <w:rPr>
          <w:sz w:val="28"/>
          <w:szCs w:val="28"/>
          <w:lang w:eastAsia="en-US"/>
        </w:rPr>
      </w:pPr>
      <w:r w:rsidRPr="00BE086B">
        <w:rPr>
          <w:rStyle w:val="highlight"/>
          <w:b/>
          <w:sz w:val="28"/>
          <w:szCs w:val="28"/>
          <w:lang w:val="uk-UA"/>
        </w:rPr>
        <w:t xml:space="preserve">Мета роботи та завдання дослідження. </w:t>
      </w:r>
      <w:r w:rsidR="0085248B" w:rsidRPr="00BE086B">
        <w:rPr>
          <w:sz w:val="28"/>
          <w:szCs w:val="28"/>
        </w:rPr>
        <w:t>Провести фармакологічний аналіз ефективності знеболення та хондропротекції для експериментального обґрунтування оптимізованого застосування аналгетичних та хондропротекторних засобів за умов остеоартрозу на тлі гіпотиреозу</w:t>
      </w:r>
      <w:r w:rsidR="005A1B2D" w:rsidRPr="00BE086B">
        <w:rPr>
          <w:sz w:val="28"/>
          <w:szCs w:val="28"/>
        </w:rPr>
        <w:t>.</w:t>
      </w:r>
    </w:p>
    <w:p w:rsidR="00380CA6" w:rsidRPr="00BE086B" w:rsidRDefault="00380CA6" w:rsidP="005A1B2D">
      <w:pPr>
        <w:spacing w:line="360" w:lineRule="auto"/>
        <w:ind w:firstLine="567"/>
        <w:jc w:val="both"/>
        <w:rPr>
          <w:sz w:val="28"/>
          <w:szCs w:val="28"/>
          <w:lang w:val="uk-UA"/>
        </w:rPr>
      </w:pPr>
      <w:r w:rsidRPr="00BE086B">
        <w:rPr>
          <w:sz w:val="28"/>
          <w:szCs w:val="28"/>
          <w:lang w:val="uk-UA"/>
        </w:rPr>
        <w:t>Відповідно до мети дослідження були визначені наступні задачі дослідження:</w:t>
      </w:r>
    </w:p>
    <w:p w:rsidR="005A1B2D" w:rsidRPr="00BE086B" w:rsidRDefault="005A1B2D" w:rsidP="005A1B2D">
      <w:pPr>
        <w:pStyle w:val="western"/>
        <w:spacing w:before="0" w:after="0" w:line="360" w:lineRule="auto"/>
        <w:ind w:firstLine="709"/>
        <w:jc w:val="both"/>
        <w:rPr>
          <w:rFonts w:ascii="Times New Roman" w:hAnsi="Times New Roman" w:cs="Times New Roman"/>
          <w:color w:val="auto"/>
          <w:sz w:val="28"/>
          <w:szCs w:val="28"/>
          <w:lang w:eastAsia="en-US"/>
        </w:rPr>
      </w:pPr>
      <w:r w:rsidRPr="00BE086B">
        <w:rPr>
          <w:rFonts w:ascii="Times New Roman" w:hAnsi="Times New Roman" w:cs="Times New Roman"/>
          <w:color w:val="auto"/>
          <w:sz w:val="28"/>
          <w:szCs w:val="28"/>
        </w:rPr>
        <w:t>1. Оцінити ступінь больового та запального синдромів за умов моделювання остеоартрозу, гіпотиреозу та за їхнього поєднання у щурів. Вивчити спектр аналгетичної та хондропротекторної активності НПЗЗ, парацетамолу та L-тироксину за умов зазначених патологічних станів.</w:t>
      </w:r>
    </w:p>
    <w:p w:rsidR="005A1B2D" w:rsidRPr="00BE086B" w:rsidRDefault="005A1B2D" w:rsidP="005A1B2D">
      <w:pPr>
        <w:pStyle w:val="western"/>
        <w:spacing w:before="0" w:after="0"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2. Дослідити протизапальну активність НПЗЗ та парацетамолу за рівнем біохімічних показників (інтерлейкіни, металопротеїнази, фактор некрозу пухлин, С-реактивний протеїн, кісткова лужна фосфатаза) за умов експериментального остеоартрозу та гіпотиреозу.</w:t>
      </w:r>
    </w:p>
    <w:p w:rsidR="005A1B2D" w:rsidRPr="00BE086B" w:rsidRDefault="005A1B2D" w:rsidP="005A1B2D">
      <w:pPr>
        <w:pStyle w:val="western"/>
        <w:spacing w:before="0" w:after="0"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3. Встановити вплив НПЗЗ, парацетамолу та L-тироксину на функціональний стан щитоподібної залози за гіпотиреозу.</w:t>
      </w:r>
    </w:p>
    <w:p w:rsidR="005A1B2D" w:rsidRPr="00BE086B" w:rsidRDefault="005A1B2D" w:rsidP="005A1B2D">
      <w:pPr>
        <w:pStyle w:val="western"/>
        <w:spacing w:before="0" w:after="0"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lastRenderedPageBreak/>
        <w:t>4. Вивчити вплив НПЗЗ та парацетамолу на руховий та психо-емоційний статус щурів у тесті «відкрите поле» на тлі больового синдрому, індукованого експериментальними остеоартрозом та гіпотиреозом.</w:t>
      </w:r>
    </w:p>
    <w:p w:rsidR="005A1B2D" w:rsidRPr="00BE086B" w:rsidRDefault="005A1B2D" w:rsidP="005A1B2D">
      <w:pPr>
        <w:pStyle w:val="western"/>
        <w:spacing w:before="0" w:after="0"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 xml:space="preserve">5. </w:t>
      </w:r>
      <w:r w:rsidR="0085248B" w:rsidRPr="00BE086B">
        <w:rPr>
          <w:rFonts w:ascii="Times New Roman" w:hAnsi="Times New Roman" w:cs="Times New Roman"/>
          <w:color w:val="auto"/>
          <w:sz w:val="28"/>
          <w:szCs w:val="28"/>
        </w:rPr>
        <w:t>Обґрунтувати принципи ефективного застосування болетамуючої, протизапальної та хондропротекторної терапії за умов остеоартрозу та гіпотиреозу. За ефективністю протизапальних та хондропротекторних засобів визначити найбільш перспективні для комбінованого застосування на тлі коморбідної патології</w:t>
      </w:r>
      <w:r w:rsidRPr="00BE086B">
        <w:rPr>
          <w:rFonts w:ascii="Times New Roman" w:hAnsi="Times New Roman" w:cs="Times New Roman"/>
          <w:color w:val="auto"/>
          <w:sz w:val="28"/>
          <w:szCs w:val="28"/>
        </w:rPr>
        <w:t>.</w:t>
      </w:r>
    </w:p>
    <w:p w:rsidR="005A1B2D" w:rsidRPr="00BE086B" w:rsidRDefault="005A1B2D" w:rsidP="005A1B2D">
      <w:pPr>
        <w:pStyle w:val="af0"/>
        <w:ind w:firstLine="709"/>
        <w:jc w:val="both"/>
        <w:rPr>
          <w:sz w:val="28"/>
          <w:szCs w:val="28"/>
        </w:rPr>
      </w:pPr>
      <w:r w:rsidRPr="00BE086B">
        <w:rPr>
          <w:sz w:val="28"/>
          <w:szCs w:val="28"/>
        </w:rPr>
        <w:t>6. За аналізом гістоморфологічних показників кісткової та хрящової тканин у щурів з остеоартрозом та гіпотиреозом та за коригуючим впливом засобів терапії визначити найбільш ефективні серед досліджуваних засобів для комбінованого застосування на тлі коморбідного стану.</w:t>
      </w:r>
    </w:p>
    <w:p w:rsidR="005A1B2D" w:rsidRPr="00BE086B" w:rsidRDefault="005A1B2D" w:rsidP="005A1B2D">
      <w:pPr>
        <w:pStyle w:val="af0"/>
        <w:ind w:firstLine="709"/>
        <w:jc w:val="both"/>
        <w:rPr>
          <w:sz w:val="28"/>
          <w:szCs w:val="28"/>
        </w:rPr>
      </w:pPr>
      <w:r w:rsidRPr="00BE086B">
        <w:rPr>
          <w:sz w:val="28"/>
          <w:szCs w:val="28"/>
        </w:rPr>
        <w:t>7. Провести аналіз фізико-хімічної сумісності компонентів у найбільш ефективній композиції препаратів та запропонувати препарати для комбінованої фармакотерапії на тлі експериментальних остеоартрозу і гіпотиреозу.</w:t>
      </w:r>
    </w:p>
    <w:p w:rsidR="005A1B2D" w:rsidRPr="00BE086B" w:rsidRDefault="005A1B2D" w:rsidP="005A1B2D">
      <w:pPr>
        <w:spacing w:line="360" w:lineRule="auto"/>
        <w:ind w:firstLine="709"/>
        <w:jc w:val="both"/>
        <w:rPr>
          <w:sz w:val="28"/>
          <w:szCs w:val="28"/>
          <w:lang w:eastAsia="en-US"/>
        </w:rPr>
      </w:pPr>
      <w:r w:rsidRPr="00BE086B">
        <w:rPr>
          <w:i/>
          <w:iCs/>
          <w:sz w:val="28"/>
          <w:szCs w:val="28"/>
        </w:rPr>
        <w:t xml:space="preserve">Об‘єкт дослідження: </w:t>
      </w:r>
      <w:r w:rsidRPr="00BE086B">
        <w:rPr>
          <w:iCs/>
          <w:sz w:val="28"/>
          <w:szCs w:val="28"/>
        </w:rPr>
        <w:t xml:space="preserve">фармакологічна корекція </w:t>
      </w:r>
      <w:r w:rsidRPr="00BE086B">
        <w:rPr>
          <w:sz w:val="28"/>
          <w:szCs w:val="28"/>
        </w:rPr>
        <w:t>больового, запального синдромів і гормонального статусу за умов остеоартрозу та гіпотиреозу</w:t>
      </w:r>
      <w:r w:rsidRPr="00BE086B">
        <w:rPr>
          <w:iCs/>
          <w:sz w:val="28"/>
          <w:szCs w:val="28"/>
        </w:rPr>
        <w:t>.</w:t>
      </w:r>
    </w:p>
    <w:p w:rsidR="005A1B2D" w:rsidRPr="00BE086B" w:rsidRDefault="005A1B2D" w:rsidP="005A1B2D">
      <w:pPr>
        <w:spacing w:line="360" w:lineRule="auto"/>
        <w:ind w:firstLine="709"/>
        <w:jc w:val="both"/>
        <w:rPr>
          <w:sz w:val="28"/>
          <w:szCs w:val="28"/>
        </w:rPr>
      </w:pPr>
      <w:r w:rsidRPr="00BE086B">
        <w:rPr>
          <w:i/>
          <w:iCs/>
          <w:sz w:val="28"/>
          <w:szCs w:val="28"/>
        </w:rPr>
        <w:t xml:space="preserve">Предмет дослідження: </w:t>
      </w:r>
      <w:r w:rsidRPr="00BE086B">
        <w:rPr>
          <w:sz w:val="28"/>
          <w:szCs w:val="28"/>
        </w:rPr>
        <w:t>фармакологічна активність НПЗЗ, парацетамолу, L-тироксину та хондроїтину сульфату за умов експериментального остеоартрозу та гіпотиреозу</w:t>
      </w:r>
      <w:r w:rsidRPr="00BE086B">
        <w:rPr>
          <w:iCs/>
          <w:sz w:val="28"/>
          <w:szCs w:val="28"/>
        </w:rPr>
        <w:t>.</w:t>
      </w:r>
    </w:p>
    <w:p w:rsidR="005A1B2D" w:rsidRPr="00BE086B" w:rsidRDefault="005A1B2D" w:rsidP="005E7D1A">
      <w:pPr>
        <w:pStyle w:val="af0"/>
        <w:ind w:firstLine="709"/>
        <w:jc w:val="both"/>
        <w:rPr>
          <w:iCs/>
          <w:sz w:val="28"/>
          <w:szCs w:val="28"/>
        </w:rPr>
      </w:pPr>
      <w:r w:rsidRPr="00BE086B">
        <w:rPr>
          <w:i/>
          <w:iCs/>
          <w:sz w:val="28"/>
          <w:szCs w:val="28"/>
        </w:rPr>
        <w:t>Методи дослідження:</w:t>
      </w:r>
      <w:r w:rsidRPr="00BE086B">
        <w:rPr>
          <w:iCs/>
          <w:sz w:val="28"/>
          <w:szCs w:val="28"/>
        </w:rPr>
        <w:t xml:space="preserve"> фармакологічні, електрофізіологічні, біохімічні, фармакокінетичні, гістоморфологічні та </w:t>
      </w:r>
      <w:r w:rsidRPr="00BE086B">
        <w:rPr>
          <w:bCs/>
          <w:sz w:val="28"/>
          <w:szCs w:val="28"/>
        </w:rPr>
        <w:t>математико-</w:t>
      </w:r>
      <w:r w:rsidRPr="00BE086B">
        <w:rPr>
          <w:iCs/>
          <w:sz w:val="28"/>
          <w:szCs w:val="28"/>
        </w:rPr>
        <w:t>статистичні.</w:t>
      </w:r>
    </w:p>
    <w:p w:rsidR="005E7D1A" w:rsidRPr="00BE086B" w:rsidRDefault="00380CA6" w:rsidP="005E7D1A">
      <w:pPr>
        <w:pStyle w:val="af0"/>
        <w:ind w:firstLine="567"/>
        <w:jc w:val="both"/>
        <w:rPr>
          <w:sz w:val="28"/>
          <w:szCs w:val="28"/>
          <w:lang w:eastAsia="en-US"/>
        </w:rPr>
      </w:pPr>
      <w:r w:rsidRPr="00BE086B">
        <w:rPr>
          <w:b/>
          <w:sz w:val="28"/>
          <w:szCs w:val="28"/>
          <w:lang w:val="uk-UA"/>
        </w:rPr>
        <w:t>Наукова новизна одержаних результатів</w:t>
      </w:r>
      <w:r w:rsidRPr="00BE086B">
        <w:rPr>
          <w:sz w:val="28"/>
          <w:szCs w:val="28"/>
          <w:lang w:val="uk-UA"/>
        </w:rPr>
        <w:t xml:space="preserve">. </w:t>
      </w:r>
      <w:r w:rsidR="005E7D1A" w:rsidRPr="00BE086B">
        <w:rPr>
          <w:iCs/>
          <w:sz w:val="28"/>
          <w:szCs w:val="28"/>
        </w:rPr>
        <w:t>В експерименті вперше проведені системні порівняльні дослідження аналгетичної, протизапальної (диклофенак натрію, ібупрофен, мелоксикам, німесулід, целекоксиб, парацетамол) та хондропротекторної (хондроїтину сульфат) терапії за умов призначення засобу замісної гормональної терапії (</w:t>
      </w:r>
      <w:r w:rsidR="005E7D1A" w:rsidRPr="00BE086B">
        <w:rPr>
          <w:sz w:val="28"/>
          <w:szCs w:val="28"/>
        </w:rPr>
        <w:t>L-тироксину)</w:t>
      </w:r>
      <w:r w:rsidR="005E7D1A" w:rsidRPr="00BE086B">
        <w:rPr>
          <w:iCs/>
          <w:sz w:val="28"/>
          <w:szCs w:val="28"/>
        </w:rPr>
        <w:t xml:space="preserve"> на тлі коморбідної патології – ОА</w:t>
      </w:r>
      <w:r w:rsidR="005E7D1A" w:rsidRPr="00BE086B">
        <w:rPr>
          <w:sz w:val="28"/>
          <w:szCs w:val="28"/>
        </w:rPr>
        <w:t xml:space="preserve"> та ГІТ</w:t>
      </w:r>
      <w:r w:rsidR="005E7D1A" w:rsidRPr="00BE086B">
        <w:rPr>
          <w:iCs/>
          <w:sz w:val="28"/>
          <w:szCs w:val="28"/>
        </w:rPr>
        <w:t>.</w:t>
      </w:r>
    </w:p>
    <w:p w:rsidR="005E7D1A" w:rsidRPr="00BE086B" w:rsidRDefault="005E7D1A" w:rsidP="005E7D1A">
      <w:pPr>
        <w:spacing w:line="360" w:lineRule="auto"/>
        <w:ind w:firstLine="567"/>
        <w:jc w:val="both"/>
        <w:rPr>
          <w:sz w:val="28"/>
          <w:szCs w:val="28"/>
        </w:rPr>
      </w:pPr>
      <w:r w:rsidRPr="00BE086B">
        <w:rPr>
          <w:bCs/>
          <w:sz w:val="28"/>
          <w:szCs w:val="28"/>
        </w:rPr>
        <w:lastRenderedPageBreak/>
        <w:t>Вперше досліджені структурні зміни кістково-хрящової тканини на тлі гіпофункції ЩЗ, що свідчать про вплив гормональної недостатності на хрящову тканину та висвітлюють необхідність медикаментозної корекції патологічних порушень.</w:t>
      </w:r>
    </w:p>
    <w:p w:rsidR="005E7D1A" w:rsidRPr="00BE086B" w:rsidRDefault="005E7D1A" w:rsidP="005E7D1A">
      <w:pPr>
        <w:shd w:val="clear" w:color="auto" w:fill="FFFFFF"/>
        <w:spacing w:line="360" w:lineRule="auto"/>
        <w:ind w:firstLine="567"/>
        <w:jc w:val="both"/>
        <w:rPr>
          <w:rFonts w:eastAsia="Calibri"/>
          <w:iCs/>
          <w:sz w:val="28"/>
          <w:szCs w:val="28"/>
        </w:rPr>
      </w:pPr>
      <w:r w:rsidRPr="00BE086B">
        <w:rPr>
          <w:bCs/>
          <w:sz w:val="28"/>
          <w:szCs w:val="28"/>
        </w:rPr>
        <w:t xml:space="preserve">Доповнено дані щодо особливостей </w:t>
      </w:r>
      <w:r w:rsidRPr="00BE086B">
        <w:rPr>
          <w:sz w:val="28"/>
          <w:szCs w:val="28"/>
        </w:rPr>
        <w:t>больової перцепції</w:t>
      </w:r>
      <w:r w:rsidRPr="00BE086B">
        <w:rPr>
          <w:bCs/>
          <w:sz w:val="28"/>
          <w:szCs w:val="28"/>
        </w:rPr>
        <w:t xml:space="preserve"> за експериментальних патологічних станів та під впливом НПЗЗ та парацетамолу. В</w:t>
      </w:r>
      <w:r w:rsidRPr="00BE086B">
        <w:rPr>
          <w:sz w:val="28"/>
          <w:szCs w:val="28"/>
        </w:rPr>
        <w:t>становлено, що</w:t>
      </w:r>
      <w:r w:rsidRPr="00BE086B">
        <w:rPr>
          <w:rFonts w:eastAsia="Calibri"/>
          <w:iCs/>
          <w:sz w:val="28"/>
          <w:szCs w:val="28"/>
        </w:rPr>
        <w:t xml:space="preserve"> експериментальний ОА супроводжується зниженням порогу больової чутливості на 24% </w:t>
      </w:r>
      <w:r w:rsidRPr="00BE086B">
        <w:rPr>
          <w:sz w:val="28"/>
          <w:szCs w:val="28"/>
        </w:rPr>
        <w:t>(р&lt;0,0</w:t>
      </w:r>
      <w:r w:rsidR="00641114" w:rsidRPr="00BE086B">
        <w:rPr>
          <w:sz w:val="28"/>
          <w:szCs w:val="28"/>
        </w:rPr>
        <w:t>5</w:t>
      </w:r>
      <w:r w:rsidRPr="00BE086B">
        <w:rPr>
          <w:sz w:val="28"/>
          <w:szCs w:val="28"/>
        </w:rPr>
        <w:t xml:space="preserve">), тоді як за наявності коморбідної патології </w:t>
      </w:r>
      <w:r w:rsidRPr="00BE086B">
        <w:rPr>
          <w:rFonts w:eastAsia="Calibri"/>
          <w:iCs/>
          <w:sz w:val="28"/>
          <w:szCs w:val="28"/>
        </w:rPr>
        <w:t>зниження порогу больового відчуття є меншим і сягає 17% (р</w:t>
      </w:r>
      <w:r w:rsidRPr="00BE086B">
        <w:rPr>
          <w:sz w:val="28"/>
          <w:szCs w:val="28"/>
        </w:rPr>
        <w:t>&lt;</w:t>
      </w:r>
      <w:r w:rsidRPr="00BE086B">
        <w:rPr>
          <w:rFonts w:eastAsia="Calibri"/>
          <w:iCs/>
          <w:sz w:val="28"/>
          <w:szCs w:val="28"/>
        </w:rPr>
        <w:t xml:space="preserve">0,05). </w:t>
      </w:r>
      <w:r w:rsidRPr="00BE086B">
        <w:rPr>
          <w:rStyle w:val="Default20Paragraph20Font"/>
          <w:rFonts w:eastAsia="Calibri"/>
          <w:iCs/>
          <w:sz w:val="28"/>
          <w:szCs w:val="28"/>
        </w:rPr>
        <w:t>З</w:t>
      </w:r>
      <w:r w:rsidRPr="00BE086B">
        <w:rPr>
          <w:rFonts w:eastAsia="Calibri"/>
          <w:sz w:val="28"/>
          <w:szCs w:val="28"/>
        </w:rPr>
        <w:t xml:space="preserve">а умов експериментального ОА та ГІТ селективні та переважні інгібітори ЦОГ-2 значно втратили свою знеболювальну активність у порівнянні з аналгетиками - невибірковими інгібіторами ЦОГ, особливо диклофенаком натрію. Найбільш слабку аналгетичну дію виявляв парацетамол. </w:t>
      </w:r>
      <w:r w:rsidRPr="00BE086B">
        <w:rPr>
          <w:rFonts w:eastAsia="Calibri"/>
          <w:iCs/>
          <w:sz w:val="28"/>
          <w:szCs w:val="28"/>
        </w:rPr>
        <w:t>З</w:t>
      </w:r>
      <w:r w:rsidRPr="00BE086B">
        <w:rPr>
          <w:iCs/>
          <w:sz w:val="28"/>
          <w:szCs w:val="28"/>
        </w:rPr>
        <w:t xml:space="preserve">амісна гормонотерапія </w:t>
      </w:r>
      <w:r w:rsidRPr="00BE086B">
        <w:rPr>
          <w:sz w:val="28"/>
          <w:szCs w:val="28"/>
        </w:rPr>
        <w:t xml:space="preserve">L-тироксином відновлювала антиноціцептивну активність </w:t>
      </w:r>
      <w:r w:rsidRPr="00BE086B">
        <w:rPr>
          <w:bCs/>
          <w:sz w:val="28"/>
          <w:szCs w:val="28"/>
        </w:rPr>
        <w:t>НПЗЗ та парацетамолу</w:t>
      </w:r>
      <w:r w:rsidRPr="00BE086B">
        <w:rPr>
          <w:rFonts w:eastAsia="Calibri"/>
          <w:iCs/>
          <w:sz w:val="28"/>
          <w:szCs w:val="28"/>
        </w:rPr>
        <w:t>.</w:t>
      </w:r>
    </w:p>
    <w:p w:rsidR="005E7D1A" w:rsidRPr="00BE086B" w:rsidRDefault="005E7D1A" w:rsidP="005E7D1A">
      <w:pPr>
        <w:pStyle w:val="WW-"/>
        <w:spacing w:after="0" w:line="360" w:lineRule="auto"/>
        <w:ind w:firstLine="567"/>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Показано, що сумісне призначення НПЗЗ та парацетамолу з препаратом замісної гормональної терапії L-тироксином сприяє позитивним змінам </w:t>
      </w:r>
      <w:r w:rsidRPr="00BE086B">
        <w:rPr>
          <w:rFonts w:ascii="Times New Roman" w:hAnsi="Times New Roman" w:cs="Times New Roman"/>
          <w:bCs/>
          <w:color w:val="auto"/>
          <w:sz w:val="28"/>
          <w:szCs w:val="28"/>
          <w:lang w:val="uk-UA"/>
        </w:rPr>
        <w:t>рухової та дослідницької активності</w:t>
      </w:r>
      <w:r w:rsidRPr="00BE086B">
        <w:rPr>
          <w:rFonts w:ascii="Times New Roman" w:hAnsi="Times New Roman" w:cs="Times New Roman"/>
          <w:color w:val="auto"/>
          <w:sz w:val="28"/>
          <w:szCs w:val="28"/>
          <w:lang w:val="uk-UA"/>
        </w:rPr>
        <w:t xml:space="preserve"> щурів за умов експериментального ОА та ГІТ та чинить різний вплив на показники спонтанної поведінкової активності</w:t>
      </w:r>
      <w:r w:rsidR="00AB586A" w:rsidRPr="00BE086B">
        <w:rPr>
          <w:rFonts w:ascii="Times New Roman" w:hAnsi="Times New Roman" w:cs="Times New Roman"/>
          <w:color w:val="auto"/>
          <w:sz w:val="28"/>
          <w:szCs w:val="28"/>
          <w:lang w:val="uk-UA"/>
        </w:rPr>
        <w:t xml:space="preserve"> </w:t>
      </w:r>
      <w:r w:rsidR="00AB586A" w:rsidRPr="00BE086B">
        <w:rPr>
          <w:rFonts w:ascii="Times New Roman" w:hAnsi="Times New Roman" w:cs="Times New Roman"/>
          <w:color w:val="auto"/>
          <w:sz w:val="28"/>
          <w:szCs w:val="28"/>
        </w:rPr>
        <w:t>(р&lt;0,05)</w:t>
      </w:r>
      <w:r w:rsidRPr="00BE086B">
        <w:rPr>
          <w:rFonts w:ascii="Times New Roman" w:hAnsi="Times New Roman" w:cs="Times New Roman"/>
          <w:color w:val="auto"/>
          <w:sz w:val="28"/>
          <w:szCs w:val="28"/>
          <w:lang w:val="uk-UA"/>
        </w:rPr>
        <w:t>.</w:t>
      </w:r>
    </w:p>
    <w:p w:rsidR="005E7D1A" w:rsidRPr="00BE086B" w:rsidRDefault="005E7D1A" w:rsidP="005E7D1A">
      <w:pPr>
        <w:spacing w:line="360" w:lineRule="auto"/>
        <w:ind w:firstLine="567"/>
        <w:jc w:val="both"/>
        <w:rPr>
          <w:sz w:val="28"/>
          <w:szCs w:val="28"/>
          <w:lang w:val="uk-UA"/>
        </w:rPr>
      </w:pPr>
      <w:r w:rsidRPr="00BE086B">
        <w:rPr>
          <w:sz w:val="28"/>
          <w:szCs w:val="28"/>
          <w:lang w:val="uk-UA"/>
        </w:rPr>
        <w:t xml:space="preserve">Вперше оцінена протизапальна та хондропротекторна активність НПЗЗ та парацетамолу за рівнем маркерів </w:t>
      </w:r>
      <w:r w:rsidRPr="00BE086B">
        <w:rPr>
          <w:sz w:val="28"/>
          <w:szCs w:val="28"/>
        </w:rPr>
        <w:t>IL</w:t>
      </w:r>
      <w:r w:rsidRPr="00BE086B">
        <w:rPr>
          <w:sz w:val="28"/>
          <w:szCs w:val="28"/>
          <w:lang w:val="uk-UA"/>
        </w:rPr>
        <w:t xml:space="preserve"> 1, </w:t>
      </w:r>
      <w:r w:rsidRPr="00BE086B">
        <w:rPr>
          <w:sz w:val="28"/>
          <w:szCs w:val="28"/>
        </w:rPr>
        <w:t>IL</w:t>
      </w:r>
      <w:r w:rsidRPr="00BE086B">
        <w:rPr>
          <w:sz w:val="28"/>
          <w:szCs w:val="28"/>
          <w:lang w:val="uk-UA"/>
        </w:rPr>
        <w:t xml:space="preserve"> 6, </w:t>
      </w:r>
      <w:r w:rsidRPr="00BE086B">
        <w:rPr>
          <w:sz w:val="28"/>
          <w:szCs w:val="28"/>
        </w:rPr>
        <w:t>IL</w:t>
      </w:r>
      <w:r w:rsidRPr="00BE086B">
        <w:rPr>
          <w:sz w:val="28"/>
          <w:szCs w:val="28"/>
          <w:lang w:val="uk-UA"/>
        </w:rPr>
        <w:t xml:space="preserve"> 8, ММП-3, ММП-9, ММП-13, ФНП, СРП, </w:t>
      </w:r>
      <w:r w:rsidRPr="00BE086B">
        <w:rPr>
          <w:bCs/>
          <w:sz w:val="28"/>
          <w:szCs w:val="28"/>
          <w:lang w:val="uk-UA"/>
        </w:rPr>
        <w:t>КЛФ,</w:t>
      </w:r>
      <w:r w:rsidRPr="00BE086B">
        <w:rPr>
          <w:sz w:val="28"/>
          <w:szCs w:val="28"/>
          <w:lang w:val="uk-UA"/>
        </w:rPr>
        <w:t xml:space="preserve"> СТХ </w:t>
      </w:r>
      <w:r w:rsidRPr="00BE086B">
        <w:rPr>
          <w:sz w:val="28"/>
          <w:szCs w:val="28"/>
        </w:rPr>
        <w:t>I</w:t>
      </w:r>
      <w:r w:rsidRPr="00BE086B">
        <w:rPr>
          <w:sz w:val="28"/>
          <w:szCs w:val="28"/>
          <w:lang w:val="uk-UA"/>
        </w:rPr>
        <w:t xml:space="preserve">, СТХ </w:t>
      </w:r>
      <w:r w:rsidRPr="00BE086B">
        <w:rPr>
          <w:sz w:val="28"/>
          <w:szCs w:val="28"/>
        </w:rPr>
        <w:t>I</w:t>
      </w:r>
      <w:r w:rsidRPr="00BE086B">
        <w:rPr>
          <w:sz w:val="28"/>
          <w:szCs w:val="28"/>
          <w:lang w:val="uk-UA"/>
        </w:rPr>
        <w:t>І та встановлена спроможність досліджуваних препаратів до впливу на запальні та дегенеративно-дистрофічні процеси у хрящовій тканині та тканині суглобу за коморбідного стану.</w:t>
      </w:r>
    </w:p>
    <w:p w:rsidR="005E7D1A" w:rsidRPr="00BE086B" w:rsidRDefault="005E7D1A" w:rsidP="005E7D1A">
      <w:pPr>
        <w:pStyle w:val="WW-1"/>
        <w:spacing w:after="0" w:line="360" w:lineRule="auto"/>
        <w:ind w:firstLine="567"/>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Визначені препарати групи НПЗЗ, що впливають на концентрацію ТТГ, Т3 та Т4 у сироватці крові при ОА та ГІТ. Так, ібупрофен, мелоксикам та німесулід знижували рівень ТТГ у сироватці крові щурів у 1,47; 1,</w:t>
      </w:r>
      <w:r w:rsidR="00933482" w:rsidRPr="00BE086B">
        <w:rPr>
          <w:rFonts w:ascii="Times New Roman" w:hAnsi="Times New Roman" w:cs="Times New Roman"/>
          <w:color w:val="auto"/>
          <w:sz w:val="28"/>
          <w:szCs w:val="28"/>
          <w:lang w:val="uk-UA"/>
        </w:rPr>
        <w:t>29</w:t>
      </w:r>
      <w:r w:rsidRPr="00BE086B">
        <w:rPr>
          <w:rFonts w:ascii="Times New Roman" w:hAnsi="Times New Roman" w:cs="Times New Roman"/>
          <w:color w:val="auto"/>
          <w:sz w:val="28"/>
          <w:szCs w:val="28"/>
          <w:lang w:val="uk-UA"/>
        </w:rPr>
        <w:t xml:space="preserve"> та 1,4</w:t>
      </w:r>
      <w:r w:rsidR="00933482" w:rsidRPr="00BE086B">
        <w:rPr>
          <w:rFonts w:ascii="Times New Roman" w:hAnsi="Times New Roman" w:cs="Times New Roman"/>
          <w:color w:val="auto"/>
          <w:sz w:val="28"/>
          <w:szCs w:val="28"/>
          <w:lang w:val="uk-UA"/>
        </w:rPr>
        <w:t>0</w:t>
      </w:r>
      <w:r w:rsidRPr="00BE086B">
        <w:rPr>
          <w:rFonts w:ascii="Times New Roman" w:hAnsi="Times New Roman" w:cs="Times New Roman"/>
          <w:color w:val="auto"/>
          <w:sz w:val="28"/>
          <w:szCs w:val="28"/>
          <w:lang w:val="uk-UA"/>
        </w:rPr>
        <w:t xml:space="preserve"> рази відповідно (р&lt;0,05) та підвищували рівень Т4 у 1,23; 1,27 та 1,26 разів відповідно (р&lt;0,05).</w:t>
      </w:r>
    </w:p>
    <w:p w:rsidR="005E7D1A" w:rsidRPr="00BE086B" w:rsidRDefault="005E7D1A" w:rsidP="005E7D1A">
      <w:pPr>
        <w:spacing w:line="360" w:lineRule="auto"/>
        <w:ind w:firstLine="567"/>
        <w:jc w:val="both"/>
        <w:rPr>
          <w:sz w:val="28"/>
          <w:szCs w:val="28"/>
          <w:lang w:val="uk-UA"/>
        </w:rPr>
      </w:pPr>
      <w:r w:rsidRPr="00BE086B">
        <w:rPr>
          <w:sz w:val="28"/>
          <w:szCs w:val="28"/>
          <w:lang w:val="uk-UA"/>
        </w:rPr>
        <w:lastRenderedPageBreak/>
        <w:t>Встановлена здатність хондроїтину сульфату відновлювати морфометричні розміри уражених суглобів, показники рухової, дослідницької та вегетативної активності у щурів, проявляти помірну знеболювальну дію та позитивно впливати на біохімічні показники (рівні серомукоїдів, сіалових кислот, глікозаміногліканів, оксипроліну, сивороткового кальцію та маркеру СТХ ІІ) за коморбідного стану – ОА та ГІТ.</w:t>
      </w:r>
    </w:p>
    <w:p w:rsidR="005E7D1A" w:rsidRPr="00BE086B" w:rsidRDefault="005E7D1A" w:rsidP="005E7D1A">
      <w:pPr>
        <w:spacing w:line="360" w:lineRule="auto"/>
        <w:ind w:firstLine="567"/>
        <w:jc w:val="both"/>
        <w:rPr>
          <w:sz w:val="28"/>
          <w:szCs w:val="28"/>
          <w:lang w:eastAsia="ru-RU"/>
        </w:rPr>
      </w:pPr>
      <w:r w:rsidRPr="00BE086B">
        <w:rPr>
          <w:iCs/>
          <w:sz w:val="28"/>
          <w:szCs w:val="28"/>
        </w:rPr>
        <w:t xml:space="preserve">Вперше при ОА, коморбідного з ГІТ обґрунтовано комбіноване застосування </w:t>
      </w:r>
      <w:r w:rsidRPr="00BE086B">
        <w:rPr>
          <w:sz w:val="28"/>
          <w:szCs w:val="28"/>
        </w:rPr>
        <w:t>L-тироксину, диклофенаку натрію та хондроїтину сульфату. Саме за комбінованого застосування цих препаратів виявлені знеболювальні та протизапальні ефекти, а також активна регенерація як хрящової, так і кісткової тканини з формуванням ділянок неоваскулогенезу у пошкодженому суглобі.</w:t>
      </w:r>
      <w:r w:rsidRPr="00BE086B">
        <w:rPr>
          <w:iCs/>
          <w:sz w:val="28"/>
          <w:szCs w:val="28"/>
        </w:rPr>
        <w:t xml:space="preserve"> Доведено, що</w:t>
      </w:r>
      <w:r w:rsidRPr="00BE086B">
        <w:rPr>
          <w:sz w:val="28"/>
          <w:szCs w:val="28"/>
          <w:lang w:eastAsia="ru-RU"/>
        </w:rPr>
        <w:t xml:space="preserve"> аналгетична активність за комбінованого застосування д</w:t>
      </w:r>
      <w:r w:rsidRPr="00BE086B">
        <w:rPr>
          <w:sz w:val="28"/>
          <w:szCs w:val="28"/>
        </w:rPr>
        <w:t>иклофенаку натрію з хондроїтином сульфатом та L-тироксином</w:t>
      </w:r>
      <w:r w:rsidRPr="00BE086B">
        <w:rPr>
          <w:sz w:val="28"/>
          <w:szCs w:val="28"/>
          <w:lang w:eastAsia="ru-RU"/>
        </w:rPr>
        <w:t xml:space="preserve"> при одноразовому внутрішньошлунковому введені</w:t>
      </w:r>
      <w:r w:rsidRPr="00BE086B">
        <w:rPr>
          <w:rStyle w:val="Default20Paragraph20Font"/>
          <w:bCs/>
          <w:iCs/>
          <w:sz w:val="28"/>
          <w:szCs w:val="28"/>
        </w:rPr>
        <w:t xml:space="preserve"> на різних моделях больової перцепції </w:t>
      </w:r>
      <w:r w:rsidRPr="00BE086B">
        <w:rPr>
          <w:sz w:val="28"/>
          <w:szCs w:val="28"/>
          <w:lang w:eastAsia="ru-RU"/>
        </w:rPr>
        <w:t>вища за знеболювальну дію окремих препаратів.</w:t>
      </w:r>
    </w:p>
    <w:p w:rsidR="005E7D1A" w:rsidRPr="00BE086B" w:rsidRDefault="005E7D1A" w:rsidP="005E7D1A">
      <w:pPr>
        <w:spacing w:line="360" w:lineRule="auto"/>
        <w:ind w:firstLine="567"/>
        <w:jc w:val="both"/>
        <w:rPr>
          <w:sz w:val="28"/>
          <w:szCs w:val="28"/>
          <w:lang w:eastAsia="ru-RU"/>
        </w:rPr>
      </w:pPr>
      <w:r w:rsidRPr="00BE086B">
        <w:rPr>
          <w:sz w:val="28"/>
          <w:szCs w:val="28"/>
        </w:rPr>
        <w:t>Встановлена відсутність біофармацевтичної взаємодії між препаратами, що використовувалися для знеболення та зменшення запальних симптомів, на тлі ОА, асоційованого з ГІТ.</w:t>
      </w:r>
    </w:p>
    <w:p w:rsidR="005E7D1A" w:rsidRPr="00BE086B" w:rsidRDefault="005E7D1A" w:rsidP="000E25D9">
      <w:pPr>
        <w:spacing w:line="360" w:lineRule="auto"/>
        <w:ind w:firstLine="567"/>
        <w:jc w:val="both"/>
        <w:rPr>
          <w:b/>
          <w:sz w:val="28"/>
          <w:szCs w:val="28"/>
          <w:lang w:eastAsia="en-US"/>
        </w:rPr>
      </w:pPr>
      <w:r w:rsidRPr="00BE086B">
        <w:rPr>
          <w:iCs/>
          <w:sz w:val="28"/>
          <w:szCs w:val="28"/>
        </w:rPr>
        <w:t xml:space="preserve">Наукову новизну підтверджено </w:t>
      </w:r>
      <w:r w:rsidRPr="00BE086B">
        <w:rPr>
          <w:bCs/>
          <w:iCs/>
          <w:sz w:val="28"/>
          <w:szCs w:val="28"/>
          <w:shd w:val="clear" w:color="auto" w:fill="FFFFFF"/>
          <w:lang w:eastAsia="ru-RU"/>
        </w:rPr>
        <w:t xml:space="preserve">впровадженням досягнень медичної науки у сферу охорони здоров'я </w:t>
      </w:r>
      <w:r w:rsidRPr="00BE086B">
        <w:rPr>
          <w:iCs/>
          <w:sz w:val="28"/>
          <w:szCs w:val="28"/>
          <w:shd w:val="clear" w:color="auto" w:fill="FFFFFF"/>
          <w:lang w:eastAsia="ru-RU"/>
        </w:rPr>
        <w:t>«</w:t>
      </w:r>
      <w:r w:rsidRPr="00BE086B">
        <w:rPr>
          <w:bCs/>
          <w:iCs/>
          <w:sz w:val="28"/>
          <w:szCs w:val="28"/>
          <w:shd w:val="clear" w:color="auto" w:fill="FFFFFF"/>
          <w:lang w:eastAsia="ru-RU"/>
        </w:rPr>
        <w:t>Раціональне лікування остеоартрозу суглобів при супутньому гіпотиреозі</w:t>
      </w:r>
      <w:r w:rsidRPr="00BE086B">
        <w:rPr>
          <w:iCs/>
          <w:sz w:val="28"/>
          <w:szCs w:val="28"/>
          <w:shd w:val="clear" w:color="auto" w:fill="FFFFFF"/>
          <w:lang w:eastAsia="ru-RU"/>
        </w:rPr>
        <w:t xml:space="preserve">» (реєстр № 276/6/19) та </w:t>
      </w:r>
      <w:r w:rsidRPr="00BE086B">
        <w:rPr>
          <w:iCs/>
          <w:sz w:val="28"/>
          <w:szCs w:val="28"/>
        </w:rPr>
        <w:t>патентом України на корисну модель «</w:t>
      </w:r>
      <w:r w:rsidRPr="00BE086B">
        <w:rPr>
          <w:bCs/>
          <w:iCs/>
          <w:sz w:val="28"/>
          <w:szCs w:val="28"/>
          <w:shd w:val="clear" w:color="auto" w:fill="FFFFFF"/>
          <w:lang w:eastAsia="ru-RU"/>
        </w:rPr>
        <w:t xml:space="preserve">Спосіб лікування остеоартрозу </w:t>
      </w:r>
      <w:r w:rsidRPr="00BE086B">
        <w:rPr>
          <w:iCs/>
          <w:sz w:val="28"/>
          <w:szCs w:val="28"/>
          <w:shd w:val="clear" w:color="auto" w:fill="FFFFFF"/>
          <w:lang w:eastAsia="ru-RU"/>
        </w:rPr>
        <w:t>при супутньому гіпотиреозі» №</w:t>
      </w:r>
      <w:r w:rsidRPr="00BE086B">
        <w:rPr>
          <w:bCs/>
          <w:iCs/>
          <w:sz w:val="28"/>
          <w:szCs w:val="28"/>
          <w:shd w:val="clear" w:color="auto" w:fill="FFFFFF"/>
          <w:lang w:eastAsia="ru-RU"/>
        </w:rPr>
        <w:t xml:space="preserve"> 137435.</w:t>
      </w:r>
    </w:p>
    <w:p w:rsidR="000E25D9" w:rsidRPr="00BE086B" w:rsidRDefault="00FA5729" w:rsidP="000E25D9">
      <w:pPr>
        <w:spacing w:line="360" w:lineRule="auto"/>
        <w:ind w:firstLine="567"/>
        <w:jc w:val="both"/>
        <w:rPr>
          <w:sz w:val="28"/>
          <w:szCs w:val="28"/>
          <w:lang w:eastAsia="en-US"/>
        </w:rPr>
      </w:pPr>
      <w:r w:rsidRPr="00BE086B">
        <w:rPr>
          <w:b/>
          <w:sz w:val="28"/>
          <w:szCs w:val="28"/>
        </w:rPr>
        <w:t>Практичне значення одержаних результатів.</w:t>
      </w:r>
      <w:r w:rsidR="00380CA6" w:rsidRPr="00BE086B">
        <w:rPr>
          <w:sz w:val="28"/>
          <w:szCs w:val="28"/>
          <w:lang w:val="uk-UA"/>
        </w:rPr>
        <w:t xml:space="preserve"> </w:t>
      </w:r>
      <w:r w:rsidR="000E25D9" w:rsidRPr="00BE086B">
        <w:rPr>
          <w:sz w:val="28"/>
          <w:szCs w:val="28"/>
        </w:rPr>
        <w:t>Результати роботи є передумовою для обґрунтування раціональних підходів до фармакотерапії болю і запалення та забезпечення адекватної хондропротекції у хворих на ОА при супутньому ГІТ.</w:t>
      </w:r>
    </w:p>
    <w:p w:rsidR="000E25D9" w:rsidRPr="00BE086B" w:rsidRDefault="000E25D9" w:rsidP="000E25D9">
      <w:pPr>
        <w:spacing w:line="360" w:lineRule="auto"/>
        <w:ind w:firstLine="567"/>
        <w:jc w:val="both"/>
        <w:rPr>
          <w:sz w:val="22"/>
          <w:szCs w:val="22"/>
        </w:rPr>
      </w:pPr>
      <w:r w:rsidRPr="00BE086B">
        <w:rPr>
          <w:sz w:val="28"/>
          <w:szCs w:val="28"/>
        </w:rPr>
        <w:t xml:space="preserve">За результатами виконаного дослідження ПраТ «Фітофарм» здійснено впровадження лікарського препарату «Артеджа Ін’єкції» у виробництво, що </w:t>
      </w:r>
      <w:r w:rsidRPr="00BE086B">
        <w:rPr>
          <w:sz w:val="28"/>
          <w:szCs w:val="28"/>
        </w:rPr>
        <w:lastRenderedPageBreak/>
        <w:t xml:space="preserve">забезпечує його обіг на фармацевтичному ринку України </w:t>
      </w:r>
      <w:r w:rsidRPr="00BE086B">
        <w:rPr>
          <w:bCs/>
          <w:sz w:val="28"/>
          <w:szCs w:val="28"/>
          <w:lang w:eastAsia="ru-RU"/>
        </w:rPr>
        <w:t xml:space="preserve">(реєстраційне посвідчення № </w:t>
      </w:r>
      <w:r w:rsidRPr="00BE086B">
        <w:rPr>
          <w:sz w:val="28"/>
          <w:szCs w:val="28"/>
          <w:shd w:val="clear" w:color="auto" w:fill="FFFFFF"/>
        </w:rPr>
        <w:t>UA/15621/01/01)</w:t>
      </w:r>
      <w:r w:rsidRPr="00BE086B">
        <w:rPr>
          <w:sz w:val="28"/>
          <w:szCs w:val="28"/>
        </w:rPr>
        <w:t>.</w:t>
      </w:r>
    </w:p>
    <w:p w:rsidR="000E25D9" w:rsidRPr="00BE086B" w:rsidRDefault="000E25D9" w:rsidP="000E25D9">
      <w:pPr>
        <w:spacing w:line="360" w:lineRule="auto"/>
        <w:ind w:firstLine="567"/>
        <w:jc w:val="both"/>
        <w:rPr>
          <w:sz w:val="28"/>
          <w:szCs w:val="28"/>
        </w:rPr>
      </w:pPr>
      <w:r w:rsidRPr="00BE086B">
        <w:rPr>
          <w:sz w:val="28"/>
          <w:szCs w:val="28"/>
        </w:rPr>
        <w:t xml:space="preserve">На підставі проведеного дослідження визначена раціональна комбінація лікарських засобів для перорального застосування із знеболювальною та хондропротекторною діями, яка включає </w:t>
      </w:r>
      <w:r w:rsidRPr="00BE086B">
        <w:rPr>
          <w:iCs/>
          <w:sz w:val="28"/>
          <w:szCs w:val="28"/>
        </w:rPr>
        <w:t>L-тироксин дозою 50-100 мг,</w:t>
      </w:r>
      <w:r w:rsidRPr="00BE086B">
        <w:rPr>
          <w:sz w:val="28"/>
          <w:szCs w:val="28"/>
        </w:rPr>
        <w:t xml:space="preserve"> </w:t>
      </w:r>
      <w:r w:rsidRPr="00BE086B">
        <w:rPr>
          <w:iCs/>
          <w:sz w:val="28"/>
          <w:szCs w:val="28"/>
        </w:rPr>
        <w:t>диклофенак натрію дозою 150 мг та хондроїтину сульфат дозою 2 мл на добу при коморбідній патології ОА та ГІТ (</w:t>
      </w:r>
      <w:r w:rsidRPr="00BE086B">
        <w:rPr>
          <w:bCs/>
          <w:sz w:val="28"/>
          <w:szCs w:val="28"/>
          <w:shd w:val="clear" w:color="auto" w:fill="FFFFFF"/>
        </w:rPr>
        <w:t xml:space="preserve">патент України на корисну модель </w:t>
      </w:r>
      <w:r w:rsidRPr="00BE086B">
        <w:rPr>
          <w:iCs/>
          <w:sz w:val="28"/>
          <w:szCs w:val="28"/>
          <w:shd w:val="clear" w:color="auto" w:fill="FFFFFF"/>
          <w:lang w:eastAsia="ru-RU"/>
        </w:rPr>
        <w:t>№</w:t>
      </w:r>
      <w:r w:rsidRPr="00BE086B">
        <w:rPr>
          <w:bCs/>
          <w:iCs/>
          <w:sz w:val="28"/>
          <w:szCs w:val="28"/>
          <w:shd w:val="clear" w:color="auto" w:fill="FFFFFF"/>
          <w:lang w:eastAsia="ru-RU"/>
        </w:rPr>
        <w:t xml:space="preserve"> 137435</w:t>
      </w:r>
      <w:r w:rsidRPr="00BE086B">
        <w:rPr>
          <w:rFonts w:eastAsia="Arial"/>
          <w:bCs/>
          <w:sz w:val="28"/>
          <w:szCs w:val="28"/>
        </w:rPr>
        <w:t>).</w:t>
      </w:r>
    </w:p>
    <w:p w:rsidR="000E25D9" w:rsidRPr="00BE086B" w:rsidRDefault="000E25D9" w:rsidP="000E25D9">
      <w:pPr>
        <w:spacing w:line="360" w:lineRule="auto"/>
        <w:ind w:firstLine="567"/>
        <w:jc w:val="both"/>
        <w:rPr>
          <w:bCs/>
          <w:sz w:val="28"/>
          <w:szCs w:val="28"/>
        </w:rPr>
      </w:pPr>
      <w:r w:rsidRPr="00BE086B">
        <w:rPr>
          <w:sz w:val="28"/>
          <w:szCs w:val="28"/>
          <w:shd w:val="clear" w:color="auto" w:fill="FFFFFF"/>
          <w:lang w:eastAsia="ru-RU"/>
        </w:rPr>
        <w:t>Інфо</w:t>
      </w:r>
      <w:r w:rsidRPr="00BE086B">
        <w:rPr>
          <w:iCs/>
          <w:sz w:val="28"/>
          <w:szCs w:val="28"/>
          <w:shd w:val="clear" w:color="auto" w:fill="FFFFFF"/>
          <w:lang w:eastAsia="ru-RU"/>
        </w:rPr>
        <w:t xml:space="preserve">рмаційними листами про нововведення у системі охорони здоров’я </w:t>
      </w:r>
      <w:r w:rsidRPr="00BE086B">
        <w:rPr>
          <w:sz w:val="28"/>
          <w:szCs w:val="28"/>
        </w:rPr>
        <w:t xml:space="preserve">№ 65 від 2019 р. «Ефективне застосування комбінованих нестероїдних протизапальних засобів при лікуванні остеоартрозу та супутньому гіпотиреозі», № 66 від 2019 р. «Особливості використання хондроітину сульфату при лікуванні остеоартрозу на тлі гіпотиреозу» та </w:t>
      </w:r>
      <w:r w:rsidRPr="00BE086B">
        <w:rPr>
          <w:bCs/>
          <w:iCs/>
          <w:sz w:val="28"/>
          <w:szCs w:val="28"/>
          <w:lang w:eastAsia="ru-RU"/>
        </w:rPr>
        <w:t xml:space="preserve">№ 67 від 2019 р. «Раціональне застосування нестероїдних протизапальних засобів та хондропротекторів при лікуванні остеоартрозу на фоні гіпотиреозу» </w:t>
      </w:r>
      <w:r w:rsidRPr="00BE086B">
        <w:rPr>
          <w:sz w:val="28"/>
          <w:szCs w:val="28"/>
        </w:rPr>
        <w:t xml:space="preserve">надаються дані щодо раціонального призначення та особливостей застосування комбінації диклофенаку натрію, хондроїтину сульфату та </w:t>
      </w:r>
      <w:r w:rsidRPr="00BE086B">
        <w:rPr>
          <w:iCs/>
          <w:sz w:val="28"/>
          <w:szCs w:val="28"/>
        </w:rPr>
        <w:t xml:space="preserve">L-тироксину </w:t>
      </w:r>
      <w:r w:rsidRPr="00BE086B">
        <w:rPr>
          <w:sz w:val="28"/>
          <w:szCs w:val="28"/>
        </w:rPr>
        <w:t>за ОА та супутнього ГІТ для підвищення ефективності лікування та профілактики розвитку ускладнень.</w:t>
      </w:r>
    </w:p>
    <w:p w:rsidR="000E25D9" w:rsidRPr="00BE086B" w:rsidRDefault="000E25D9" w:rsidP="000E25D9">
      <w:pPr>
        <w:spacing w:line="360" w:lineRule="auto"/>
        <w:ind w:firstLine="709"/>
        <w:jc w:val="both"/>
        <w:rPr>
          <w:sz w:val="28"/>
          <w:szCs w:val="22"/>
        </w:rPr>
      </w:pPr>
      <w:r w:rsidRPr="00BE086B">
        <w:rPr>
          <w:rStyle w:val="A20"/>
          <w:rFonts w:ascii="Times New Roman" w:hAnsi="Times New Roman" w:cs="Times New Roman"/>
          <w:b w:val="0"/>
          <w:iCs/>
          <w:color w:val="auto"/>
          <w:sz w:val="28"/>
          <w:szCs w:val="28"/>
        </w:rPr>
        <w:t>Результати проведених досліджень впроваджено в науково-педагогічну діяльність кафедр фармакології Запорізького державного медичного університету, Вінницького національного медичного університету ім. М.І.Пирогова, Івано-Франківського національного медичного університету, Одеського національного медичного університету, Національного фармацевтичного університету (м. Харків) та ДЗ «Дніпропетровська медична академія МОЗ України».</w:t>
      </w:r>
    </w:p>
    <w:p w:rsidR="000E25D9" w:rsidRPr="00BE086B" w:rsidRDefault="00380CA6" w:rsidP="000E25D9">
      <w:pPr>
        <w:spacing w:line="360" w:lineRule="auto"/>
        <w:ind w:firstLine="709"/>
        <w:jc w:val="both"/>
        <w:rPr>
          <w:sz w:val="28"/>
          <w:szCs w:val="28"/>
        </w:rPr>
      </w:pPr>
      <w:r w:rsidRPr="00BE086B">
        <w:rPr>
          <w:b/>
          <w:sz w:val="28"/>
          <w:szCs w:val="28"/>
          <w:lang w:val="uk-UA"/>
        </w:rPr>
        <w:t>Особистий внесок здобувача.</w:t>
      </w:r>
      <w:r w:rsidRPr="00BE086B">
        <w:rPr>
          <w:sz w:val="28"/>
          <w:szCs w:val="28"/>
          <w:lang w:val="uk-UA"/>
        </w:rPr>
        <w:t xml:space="preserve"> </w:t>
      </w:r>
      <w:r w:rsidR="000E25D9" w:rsidRPr="00BE086B">
        <w:rPr>
          <w:sz w:val="28"/>
          <w:szCs w:val="28"/>
        </w:rPr>
        <w:t xml:space="preserve">Дисертація є самостійно завершеною науковою працею. За участю наукового консультанта обраний напрямок дослідження, сформульовані мета та задачі, а також об’єм методичних підходів. Автором самостійно проведений інформаційно-патентний пошук, </w:t>
      </w:r>
      <w:r w:rsidR="000E25D9" w:rsidRPr="00BE086B">
        <w:rPr>
          <w:sz w:val="28"/>
          <w:szCs w:val="28"/>
        </w:rPr>
        <w:lastRenderedPageBreak/>
        <w:t xml:space="preserve">проведений аналіз літературних даних, відпрацьовані моделі та методи досліджень, проведені експериментальні дослідження, статистична обробка отриманих даних, систематизація отриманих результатів та їх наукова інтерпретація, сформульовані висновки та практичні рекомендації. Оформлення дисертаційної роботи та автореферату виконані дисертантом самостійно. Робота виконана на кафедрі фармакології та клінічної фармакології ДЗ «ДМА МОЗ України» (завідувач – д. мед. н., професор В. І. Жилюк). Комп’ютерне моделювання біофармацевтичної взаємодії досліджуваних препаратів проведені за консультативної допомоги завідувача відділу фізико-хімічної фармакології </w:t>
      </w:r>
      <w:bookmarkStart w:id="0" w:name="__DdeLink__1329_2041698309"/>
      <w:r w:rsidR="000E25D9" w:rsidRPr="00BE086B">
        <w:rPr>
          <w:sz w:val="28"/>
          <w:szCs w:val="28"/>
        </w:rPr>
        <w:t>Фізико-хімічного інституту ім. О. В. Богатського НАН України</w:t>
      </w:r>
      <w:bookmarkEnd w:id="0"/>
      <w:r w:rsidR="000E25D9" w:rsidRPr="00BE086B">
        <w:rPr>
          <w:sz w:val="28"/>
          <w:szCs w:val="28"/>
        </w:rPr>
        <w:t>, академіка НАМН України, проф. М. Я. Головенко та с. н. с., д. б. н. В. Б. Ларіонова. Дослідження гістоморфологічних змін кісткової та хрящової тканини проведені у ДЗ «ДМА МОЗ України» в лабораторії кафедри патологічної анатомії і судової медицини (завідувач – к. мед. н., доцент О. А. Алєксєєнко) та лабораторії електронної мікроскопії (завідувач – д. мед. н., професор І. В. Твердохліб).</w:t>
      </w:r>
    </w:p>
    <w:p w:rsidR="000E25D9" w:rsidRPr="00BE086B" w:rsidRDefault="00380CA6" w:rsidP="000E25D9">
      <w:pPr>
        <w:pStyle w:val="af0"/>
        <w:ind w:firstLine="567"/>
        <w:jc w:val="both"/>
        <w:rPr>
          <w:b/>
          <w:sz w:val="28"/>
          <w:szCs w:val="28"/>
          <w:lang w:eastAsia="en-US"/>
        </w:rPr>
      </w:pPr>
      <w:r w:rsidRPr="00BE086B">
        <w:rPr>
          <w:b/>
          <w:sz w:val="28"/>
          <w:szCs w:val="28"/>
          <w:lang w:val="uk-UA"/>
        </w:rPr>
        <w:t xml:space="preserve">Апробація результатів дисертації. </w:t>
      </w:r>
      <w:r w:rsidR="000E25D9" w:rsidRPr="00BE086B">
        <w:rPr>
          <w:sz w:val="28"/>
          <w:szCs w:val="28"/>
        </w:rPr>
        <w:t xml:space="preserve">Матеріали дисертаційної роботи представлені на: XIII Северо-Западной научно-практической конференции по ревматологии (Санкт-Петербург, 2013), </w:t>
      </w:r>
      <w:r w:rsidR="000E25D9" w:rsidRPr="00BE086B">
        <w:rPr>
          <w:rFonts w:eastAsia="PetersburgC-Italic"/>
          <w:sz w:val="28"/>
          <w:szCs w:val="28"/>
        </w:rPr>
        <w:t xml:space="preserve">XVІ Міжнародній конференції </w:t>
      </w:r>
      <w:r w:rsidR="000E25D9" w:rsidRPr="00BE086B">
        <w:rPr>
          <w:sz w:val="28"/>
          <w:szCs w:val="28"/>
        </w:rPr>
        <w:t>«</w:t>
      </w:r>
      <w:r w:rsidR="000E25D9" w:rsidRPr="00BE086B">
        <w:rPr>
          <w:rFonts w:eastAsia="PetersburgC-Italic"/>
          <w:sz w:val="28"/>
          <w:szCs w:val="28"/>
        </w:rPr>
        <w:t>Современные стратегия и тактика в неврологии</w:t>
      </w:r>
      <w:r w:rsidR="000E25D9" w:rsidRPr="00BE086B">
        <w:rPr>
          <w:sz w:val="28"/>
          <w:szCs w:val="28"/>
        </w:rPr>
        <w:t>»</w:t>
      </w:r>
      <w:r w:rsidR="000E25D9" w:rsidRPr="00BE086B">
        <w:rPr>
          <w:rFonts w:eastAsia="PetersburgC-Italic"/>
          <w:sz w:val="28"/>
          <w:szCs w:val="28"/>
        </w:rPr>
        <w:t xml:space="preserve"> (</w:t>
      </w:r>
      <w:r w:rsidR="000E25D9" w:rsidRPr="00BE086B">
        <w:rPr>
          <w:sz w:val="28"/>
          <w:szCs w:val="28"/>
        </w:rPr>
        <w:t xml:space="preserve">Трускавець, 2014), ХІX Міжнародному медичному конгресі студентів та молодих вчених (Тернопіль, 2015), </w:t>
      </w:r>
      <w:r w:rsidR="000E25D9" w:rsidRPr="00BE086B">
        <w:rPr>
          <w:rStyle w:val="af"/>
          <w:rFonts w:eastAsia="Tahoma"/>
          <w:b w:val="0"/>
          <w:sz w:val="28"/>
          <w:szCs w:val="28"/>
        </w:rPr>
        <w:t>н</w:t>
      </w:r>
      <w:r w:rsidR="000E25D9" w:rsidRPr="00BE086B">
        <w:rPr>
          <w:rStyle w:val="af"/>
          <w:b w:val="0"/>
          <w:sz w:val="28"/>
          <w:szCs w:val="28"/>
        </w:rPr>
        <w:t xml:space="preserve">ауково-практичній конференції </w:t>
      </w:r>
      <w:r w:rsidR="000E25D9" w:rsidRPr="00BE086B">
        <w:rPr>
          <w:rStyle w:val="A20"/>
          <w:rFonts w:ascii="Times New Roman" w:hAnsi="Times New Roman" w:cs="Times New Roman"/>
          <w:b w:val="0"/>
          <w:color w:val="auto"/>
          <w:sz w:val="28"/>
          <w:szCs w:val="28"/>
        </w:rPr>
        <w:t>«Філатовські читання - 2016» (Одеса, 2016),</w:t>
      </w:r>
      <w:r w:rsidR="000E25D9" w:rsidRPr="00BE086B">
        <w:rPr>
          <w:rFonts w:eastAsia="Calibri"/>
          <w:sz w:val="28"/>
          <w:szCs w:val="28"/>
        </w:rPr>
        <w:t xml:space="preserve"> V Національному з’їзді фармакологів України (Запоріжжя, 2017), </w:t>
      </w:r>
      <w:r w:rsidR="000E25D9" w:rsidRPr="00BE086B">
        <w:rPr>
          <w:rFonts w:eastAsia="Calibri-Bold"/>
          <w:sz w:val="28"/>
          <w:szCs w:val="28"/>
        </w:rPr>
        <w:t>I Міжнародному конгресі асоціації</w:t>
      </w:r>
      <w:r w:rsidR="000E25D9" w:rsidRPr="00BE086B">
        <w:rPr>
          <w:rFonts w:eastAsia="Calibri"/>
          <w:sz w:val="28"/>
          <w:szCs w:val="28"/>
        </w:rPr>
        <w:t xml:space="preserve"> ревмоортопедів (Воронеж, 2017), </w:t>
      </w:r>
      <w:r w:rsidR="000E25D9" w:rsidRPr="00BE086B">
        <w:rPr>
          <w:rFonts w:eastAsia="TimesNewRomanPSMT"/>
          <w:sz w:val="28"/>
          <w:szCs w:val="28"/>
        </w:rPr>
        <w:t xml:space="preserve">ІХ Всеукраїнській науково-практичній конференції </w:t>
      </w:r>
      <w:r w:rsidR="000E25D9" w:rsidRPr="00BE086B">
        <w:rPr>
          <w:rStyle w:val="A20"/>
          <w:rFonts w:ascii="Times New Roman" w:hAnsi="Times New Roman" w:cs="Times New Roman"/>
          <w:b w:val="0"/>
          <w:color w:val="auto"/>
          <w:sz w:val="28"/>
          <w:szCs w:val="28"/>
        </w:rPr>
        <w:t>«</w:t>
      </w:r>
      <w:r w:rsidR="000E25D9" w:rsidRPr="00BE086B">
        <w:rPr>
          <w:rFonts w:eastAsia="TimesNewRomanPSMT"/>
          <w:sz w:val="28"/>
          <w:szCs w:val="28"/>
        </w:rPr>
        <w:t>Сучасні аспекти клінічної фармакології на тлі досягнень доказової медицини</w:t>
      </w:r>
      <w:r w:rsidR="000E25D9" w:rsidRPr="00BE086B">
        <w:rPr>
          <w:rStyle w:val="A20"/>
          <w:rFonts w:ascii="Times New Roman" w:hAnsi="Times New Roman" w:cs="Times New Roman"/>
          <w:color w:val="auto"/>
          <w:sz w:val="28"/>
          <w:szCs w:val="28"/>
        </w:rPr>
        <w:t>»</w:t>
      </w:r>
      <w:r w:rsidR="000E25D9" w:rsidRPr="00BE086B">
        <w:rPr>
          <w:rFonts w:eastAsia="TimesNewRomanPSMT"/>
          <w:sz w:val="28"/>
          <w:szCs w:val="28"/>
        </w:rPr>
        <w:t xml:space="preserve"> (Вінниця, 2017), </w:t>
      </w:r>
      <w:r w:rsidR="000E25D9" w:rsidRPr="00BE086B">
        <w:rPr>
          <w:rStyle w:val="af"/>
          <w:b w:val="0"/>
          <w:sz w:val="28"/>
          <w:szCs w:val="28"/>
        </w:rPr>
        <w:t xml:space="preserve">International scientific and practical conference «Prospects for the development of medicine in EU countries and Ukraine» (Wloclawek, Republic of Poland, 2018), </w:t>
      </w:r>
      <w:r w:rsidR="000E25D9" w:rsidRPr="00BE086B">
        <w:rPr>
          <w:rStyle w:val="af"/>
          <w:rFonts w:eastAsia="PetersburgC-Italic"/>
          <w:b w:val="0"/>
          <w:sz w:val="28"/>
          <w:szCs w:val="28"/>
        </w:rPr>
        <w:t>н</w:t>
      </w:r>
      <w:r w:rsidR="000E25D9" w:rsidRPr="00BE086B">
        <w:rPr>
          <w:sz w:val="28"/>
          <w:szCs w:val="28"/>
        </w:rPr>
        <w:t>аучно-практической конференции с международным участием, посвященной 90-летию со дня рождения профессора Н.П. Демичева</w:t>
      </w:r>
      <w:r w:rsidR="000E25D9" w:rsidRPr="00BE086B">
        <w:rPr>
          <w:rStyle w:val="af"/>
          <w:sz w:val="28"/>
          <w:szCs w:val="28"/>
        </w:rPr>
        <w:t xml:space="preserve"> </w:t>
      </w:r>
      <w:r w:rsidR="000E25D9" w:rsidRPr="00BE086B">
        <w:rPr>
          <w:sz w:val="28"/>
          <w:szCs w:val="28"/>
        </w:rPr>
        <w:t xml:space="preserve">(Астрахань, 2019), </w:t>
      </w:r>
      <w:r w:rsidR="000E25D9" w:rsidRPr="00BE086B">
        <w:rPr>
          <w:rFonts w:eastAsia="TimesNewRoman"/>
          <w:sz w:val="28"/>
          <w:szCs w:val="28"/>
        </w:rPr>
        <w:lastRenderedPageBreak/>
        <w:t>міжвузівській</w:t>
      </w:r>
      <w:r w:rsidR="000E25D9" w:rsidRPr="00BE086B">
        <w:rPr>
          <w:sz w:val="28"/>
          <w:szCs w:val="28"/>
        </w:rPr>
        <w:t xml:space="preserve"> </w:t>
      </w:r>
      <w:r w:rsidR="000E25D9" w:rsidRPr="00BE086B">
        <w:rPr>
          <w:rFonts w:eastAsia="TimesNewRoman"/>
          <w:sz w:val="28"/>
          <w:szCs w:val="28"/>
        </w:rPr>
        <w:t>науково</w:t>
      </w:r>
      <w:r w:rsidR="000E25D9" w:rsidRPr="00BE086B">
        <w:rPr>
          <w:sz w:val="28"/>
          <w:szCs w:val="28"/>
        </w:rPr>
        <w:t>-</w:t>
      </w:r>
      <w:r w:rsidR="000E25D9" w:rsidRPr="00BE086B">
        <w:rPr>
          <w:rFonts w:eastAsia="TimesNewRoman"/>
          <w:sz w:val="28"/>
          <w:szCs w:val="28"/>
        </w:rPr>
        <w:t>практичній</w:t>
      </w:r>
      <w:r w:rsidR="000E25D9" w:rsidRPr="00BE086B">
        <w:rPr>
          <w:sz w:val="28"/>
          <w:szCs w:val="28"/>
        </w:rPr>
        <w:t xml:space="preserve"> </w:t>
      </w:r>
      <w:r w:rsidR="000E25D9" w:rsidRPr="00BE086B">
        <w:rPr>
          <w:rFonts w:eastAsia="TimesNewRoman"/>
          <w:sz w:val="28"/>
          <w:szCs w:val="28"/>
        </w:rPr>
        <w:t>конференції</w:t>
      </w:r>
      <w:r w:rsidR="000E25D9" w:rsidRPr="00BE086B">
        <w:rPr>
          <w:sz w:val="28"/>
          <w:szCs w:val="28"/>
        </w:rPr>
        <w:t xml:space="preserve"> </w:t>
      </w:r>
      <w:r w:rsidR="000E25D9" w:rsidRPr="00BE086B">
        <w:rPr>
          <w:rFonts w:eastAsia="TimesNewRoman"/>
          <w:sz w:val="28"/>
          <w:szCs w:val="28"/>
        </w:rPr>
        <w:t>молодих учених та студентів</w:t>
      </w:r>
      <w:r w:rsidR="000E25D9" w:rsidRPr="00BE086B">
        <w:rPr>
          <w:rStyle w:val="af"/>
          <w:b w:val="0"/>
          <w:sz w:val="28"/>
          <w:szCs w:val="28"/>
        </w:rPr>
        <w:t xml:space="preserve"> «</w:t>
      </w:r>
      <w:r w:rsidR="000E25D9" w:rsidRPr="00BE086B">
        <w:rPr>
          <w:rFonts w:eastAsia="TimesNewRoman"/>
          <w:sz w:val="28"/>
          <w:szCs w:val="28"/>
        </w:rPr>
        <w:t>Фізіологічні та біохімічні механізми розвитку і корекції</w:t>
      </w:r>
      <w:r w:rsidR="000E25D9" w:rsidRPr="00BE086B">
        <w:rPr>
          <w:sz w:val="28"/>
          <w:szCs w:val="28"/>
        </w:rPr>
        <w:t xml:space="preserve"> </w:t>
      </w:r>
      <w:r w:rsidR="000E25D9" w:rsidRPr="00BE086B">
        <w:rPr>
          <w:rFonts w:eastAsia="TimesNewRoman"/>
          <w:sz w:val="28"/>
          <w:szCs w:val="28"/>
        </w:rPr>
        <w:t>патологічних станів</w:t>
      </w:r>
      <w:r w:rsidR="000E25D9" w:rsidRPr="00BE086B">
        <w:rPr>
          <w:rStyle w:val="af"/>
          <w:b w:val="0"/>
          <w:sz w:val="28"/>
          <w:szCs w:val="28"/>
        </w:rPr>
        <w:t>» (</w:t>
      </w:r>
      <w:r w:rsidR="000E25D9" w:rsidRPr="00BE086B">
        <w:rPr>
          <w:rFonts w:eastAsia="TimesNewRoman"/>
          <w:sz w:val="28"/>
          <w:szCs w:val="28"/>
        </w:rPr>
        <w:t>Харків</w:t>
      </w:r>
      <w:r w:rsidR="000E25D9" w:rsidRPr="00BE086B">
        <w:rPr>
          <w:sz w:val="28"/>
          <w:szCs w:val="28"/>
        </w:rPr>
        <w:t xml:space="preserve">, 2019), </w:t>
      </w:r>
      <w:r w:rsidR="000E25D9" w:rsidRPr="00BE086B">
        <w:rPr>
          <w:rStyle w:val="af"/>
          <w:rFonts w:eastAsia="PetersburgC-Italic"/>
          <w:b w:val="0"/>
          <w:sz w:val="28"/>
          <w:szCs w:val="28"/>
        </w:rPr>
        <w:t xml:space="preserve">Міжнародній </w:t>
      </w:r>
      <w:r w:rsidR="000E25D9" w:rsidRPr="00BE086B">
        <w:rPr>
          <w:rStyle w:val="af"/>
          <w:rFonts w:eastAsia="Tahoma"/>
          <w:b w:val="0"/>
          <w:sz w:val="28"/>
          <w:szCs w:val="28"/>
        </w:rPr>
        <w:t>н</w:t>
      </w:r>
      <w:r w:rsidR="000E25D9" w:rsidRPr="00BE086B">
        <w:rPr>
          <w:rStyle w:val="af"/>
          <w:b w:val="0"/>
          <w:sz w:val="28"/>
          <w:szCs w:val="28"/>
        </w:rPr>
        <w:t>ауково-практичній конференції</w:t>
      </w:r>
      <w:r w:rsidR="000E25D9" w:rsidRPr="00BE086B">
        <w:rPr>
          <w:rStyle w:val="A20"/>
          <w:rFonts w:ascii="Times New Roman" w:hAnsi="Times New Roman" w:cs="Times New Roman"/>
          <w:b w:val="0"/>
          <w:color w:val="auto"/>
          <w:sz w:val="28"/>
          <w:szCs w:val="28"/>
        </w:rPr>
        <w:t xml:space="preserve"> «Сучасні стандарти діагностики та лікування захворювань внутрішніх органів» (Івано-Франківськ, 2019), LXXIII </w:t>
      </w:r>
      <w:r w:rsidR="000E25D9" w:rsidRPr="00BE086B">
        <w:rPr>
          <w:rStyle w:val="af"/>
          <w:rFonts w:eastAsia="PetersburgC-Italic"/>
          <w:b w:val="0"/>
          <w:sz w:val="28"/>
          <w:szCs w:val="28"/>
        </w:rPr>
        <w:t xml:space="preserve">Міжнародній </w:t>
      </w:r>
      <w:r w:rsidR="000E25D9" w:rsidRPr="00BE086B">
        <w:rPr>
          <w:rStyle w:val="af"/>
          <w:rFonts w:eastAsia="Tahoma"/>
          <w:b w:val="0"/>
          <w:sz w:val="28"/>
          <w:szCs w:val="28"/>
        </w:rPr>
        <w:t>н</w:t>
      </w:r>
      <w:r w:rsidR="000E25D9" w:rsidRPr="00BE086B">
        <w:rPr>
          <w:rStyle w:val="af"/>
          <w:b w:val="0"/>
          <w:sz w:val="28"/>
          <w:szCs w:val="28"/>
        </w:rPr>
        <w:t>ауково-практичній конференції</w:t>
      </w:r>
      <w:r w:rsidR="000E25D9" w:rsidRPr="00BE086B">
        <w:rPr>
          <w:b/>
          <w:sz w:val="28"/>
          <w:szCs w:val="28"/>
        </w:rPr>
        <w:t xml:space="preserve"> </w:t>
      </w:r>
      <w:r w:rsidR="000E25D9" w:rsidRPr="00BE086B">
        <w:rPr>
          <w:rStyle w:val="A20"/>
          <w:rFonts w:ascii="Times New Roman" w:hAnsi="Times New Roman" w:cs="Times New Roman"/>
          <w:b w:val="0"/>
          <w:color w:val="auto"/>
          <w:sz w:val="28"/>
          <w:szCs w:val="28"/>
        </w:rPr>
        <w:t>«</w:t>
      </w:r>
      <w:r w:rsidR="000E25D9" w:rsidRPr="00BE086B">
        <w:rPr>
          <w:sz w:val="28"/>
          <w:szCs w:val="28"/>
        </w:rPr>
        <w:t>Актуальные проблемы современной медицины и фармации 2019</w:t>
      </w:r>
      <w:r w:rsidR="000E25D9" w:rsidRPr="00BE086B">
        <w:rPr>
          <w:rStyle w:val="A20"/>
          <w:rFonts w:ascii="Times New Roman" w:hAnsi="Times New Roman" w:cs="Times New Roman"/>
          <w:b w:val="0"/>
          <w:color w:val="auto"/>
          <w:sz w:val="28"/>
          <w:szCs w:val="28"/>
        </w:rPr>
        <w:t>» (</w:t>
      </w:r>
      <w:r w:rsidR="000E25D9" w:rsidRPr="00BE086B">
        <w:rPr>
          <w:sz w:val="28"/>
          <w:szCs w:val="28"/>
        </w:rPr>
        <w:t xml:space="preserve">Мінськ, Білорусь, 2019), науково-освітній конференції </w:t>
      </w:r>
      <w:r w:rsidR="000E25D9" w:rsidRPr="00BE086B">
        <w:rPr>
          <w:rFonts w:eastAsia="Calibri"/>
          <w:sz w:val="28"/>
          <w:szCs w:val="28"/>
        </w:rPr>
        <w:t>«Научные достижения и современные технологии в российской травматологии и ортопедии» (</w:t>
      </w:r>
      <w:r w:rsidR="000E25D9" w:rsidRPr="00BE086B">
        <w:rPr>
          <w:sz w:val="28"/>
          <w:szCs w:val="28"/>
        </w:rPr>
        <w:t xml:space="preserve">Омск, 2019), </w:t>
      </w:r>
      <w:r w:rsidR="000E25D9" w:rsidRPr="00BE086B">
        <w:rPr>
          <w:rStyle w:val="A20"/>
          <w:rFonts w:ascii="Times New Roman" w:hAnsi="Times New Roman" w:cs="Times New Roman"/>
          <w:b w:val="0"/>
          <w:color w:val="auto"/>
          <w:sz w:val="28"/>
          <w:szCs w:val="28"/>
        </w:rPr>
        <w:t xml:space="preserve">International scientific conference «Medicine under the modern conditions of integration development of European countries» (Lublin, </w:t>
      </w:r>
      <w:r w:rsidR="000E25D9" w:rsidRPr="00BE086B">
        <w:rPr>
          <w:rStyle w:val="af"/>
          <w:b w:val="0"/>
          <w:sz w:val="28"/>
          <w:szCs w:val="28"/>
        </w:rPr>
        <w:t>Republic of Poland,</w:t>
      </w:r>
      <w:r w:rsidR="000E25D9" w:rsidRPr="00BE086B">
        <w:rPr>
          <w:rStyle w:val="A20"/>
          <w:rFonts w:ascii="Times New Roman" w:hAnsi="Times New Roman" w:cs="Times New Roman"/>
          <w:b w:val="0"/>
          <w:color w:val="auto"/>
          <w:sz w:val="28"/>
          <w:szCs w:val="28"/>
        </w:rPr>
        <w:t xml:space="preserve"> 2019), III Міжнародному конгресі асоціації ревмоортопедів (Воронеж, 2019), </w:t>
      </w:r>
      <w:r w:rsidR="000E25D9" w:rsidRPr="00BE086B">
        <w:rPr>
          <w:rStyle w:val="af"/>
          <w:rFonts w:eastAsia="PetersburgC-Italic"/>
          <w:b w:val="0"/>
          <w:sz w:val="28"/>
          <w:szCs w:val="28"/>
        </w:rPr>
        <w:t xml:space="preserve">міжнародній </w:t>
      </w:r>
      <w:r w:rsidR="000E25D9" w:rsidRPr="00BE086B">
        <w:rPr>
          <w:rStyle w:val="af"/>
          <w:rFonts w:eastAsia="Tahoma"/>
          <w:b w:val="0"/>
          <w:sz w:val="28"/>
          <w:szCs w:val="28"/>
        </w:rPr>
        <w:t>н</w:t>
      </w:r>
      <w:r w:rsidR="000E25D9" w:rsidRPr="00BE086B">
        <w:rPr>
          <w:rStyle w:val="af"/>
          <w:b w:val="0"/>
          <w:sz w:val="28"/>
          <w:szCs w:val="28"/>
        </w:rPr>
        <w:t>ауково-практичній конференції</w:t>
      </w:r>
      <w:r w:rsidR="000E25D9" w:rsidRPr="00BE086B">
        <w:rPr>
          <w:sz w:val="28"/>
          <w:szCs w:val="28"/>
        </w:rPr>
        <w:t xml:space="preserve"> «Илизаровские чтения» «Осложнения в ортопедии и травматологии. Клинические и экспериментальные аспекты» (Курган, 2019), н</w:t>
      </w:r>
      <w:r w:rsidR="000E25D9" w:rsidRPr="00BE086B">
        <w:rPr>
          <w:rStyle w:val="A20"/>
          <w:rFonts w:ascii="Times New Roman" w:hAnsi="Times New Roman" w:cs="Times New Roman"/>
          <w:b w:val="0"/>
          <w:color w:val="auto"/>
          <w:sz w:val="28"/>
          <w:szCs w:val="28"/>
        </w:rPr>
        <w:t xml:space="preserve">ауково-практичній конференції «Новітні тенденції в діагностиці та лікуванні внутрішніх хвороб» (Харків, 2019), X Всеукраїнській науково-практичній конференції «Сучасна клінічна фармакологія в фармакотерапії та профілактиці з позицій доказової медицини» (Вінниця, 2019), </w:t>
      </w:r>
      <w:r w:rsidR="000E25D9" w:rsidRPr="00BE086B">
        <w:rPr>
          <w:rStyle w:val="af"/>
          <w:b w:val="0"/>
          <w:sz w:val="28"/>
          <w:szCs w:val="28"/>
          <w:lang w:eastAsia="uk-UA"/>
        </w:rPr>
        <w:t xml:space="preserve">науково-практичній інтернет-конференції </w:t>
      </w:r>
      <w:r w:rsidR="000E25D9" w:rsidRPr="00BE086B">
        <w:rPr>
          <w:rStyle w:val="A20"/>
          <w:rFonts w:ascii="Times New Roman" w:hAnsi="Times New Roman" w:cs="Times New Roman"/>
          <w:b w:val="0"/>
          <w:color w:val="auto"/>
          <w:sz w:val="28"/>
          <w:szCs w:val="28"/>
        </w:rPr>
        <w:t>«</w:t>
      </w:r>
      <w:r w:rsidR="000E25D9" w:rsidRPr="00BE086B">
        <w:rPr>
          <w:rStyle w:val="af"/>
          <w:b w:val="0"/>
          <w:sz w:val="28"/>
          <w:szCs w:val="28"/>
          <w:lang w:eastAsia="uk-UA"/>
        </w:rPr>
        <w:t>Розвиток природничих наук як основа новітніх досягнень у медицині</w:t>
      </w:r>
      <w:r w:rsidR="000E25D9" w:rsidRPr="00BE086B">
        <w:rPr>
          <w:rStyle w:val="A20"/>
          <w:rFonts w:ascii="Times New Roman" w:hAnsi="Times New Roman" w:cs="Times New Roman"/>
          <w:b w:val="0"/>
          <w:color w:val="auto"/>
          <w:sz w:val="28"/>
          <w:szCs w:val="28"/>
        </w:rPr>
        <w:t>» (Чернівці,</w:t>
      </w:r>
      <w:r w:rsidR="000E25D9" w:rsidRPr="00BE086B">
        <w:rPr>
          <w:rStyle w:val="af"/>
          <w:b w:val="0"/>
          <w:sz w:val="28"/>
          <w:szCs w:val="28"/>
          <w:lang w:eastAsia="uk-UA"/>
        </w:rPr>
        <w:t xml:space="preserve"> 2019), </w:t>
      </w:r>
      <w:r w:rsidR="000E25D9" w:rsidRPr="00BE086B">
        <w:rPr>
          <w:rStyle w:val="A20"/>
          <w:rFonts w:ascii="Times New Roman" w:hAnsi="Times New Roman" w:cs="Times New Roman"/>
          <w:b w:val="0"/>
          <w:color w:val="auto"/>
          <w:sz w:val="28"/>
          <w:szCs w:val="28"/>
        </w:rPr>
        <w:t>ІV Міжнародній науково-практичній конференції «Ліки – людині. Сучасні проблеми фармакотерапії і призначення лікарських засобів» (Харків, 2020), Всеукраїнській науково-практичній інтернет-конференції «Сучасний стан та перспективи розвитку природничих дисциплін в медичній освіті» (Кропивницький, 2020), V Міжнародній науково-практичній конференції «Ліки – людині. Сучасні проблеми фармакотерапії та призначення лікарських засобів» (Харків, 2021), ІІ Всеукраїнській науково-практичній інтернет-конференції «Сучасний стан та перспективи розвитку природничих дисциплін в медичній освіті» (Кропивницький, 2021).</w:t>
      </w:r>
    </w:p>
    <w:p w:rsidR="000E25D9" w:rsidRPr="00BE086B" w:rsidRDefault="00380CA6" w:rsidP="000E25D9">
      <w:pPr>
        <w:pStyle w:val="af0"/>
        <w:ind w:firstLine="709"/>
        <w:jc w:val="both"/>
        <w:rPr>
          <w:sz w:val="28"/>
          <w:szCs w:val="28"/>
          <w:lang w:eastAsia="en-US"/>
        </w:rPr>
      </w:pPr>
      <w:r w:rsidRPr="00BE086B">
        <w:rPr>
          <w:b/>
          <w:sz w:val="28"/>
          <w:szCs w:val="28"/>
          <w:lang w:val="uk-UA"/>
        </w:rPr>
        <w:t>Публікації.</w:t>
      </w:r>
      <w:r w:rsidRPr="00BE086B">
        <w:rPr>
          <w:sz w:val="28"/>
          <w:szCs w:val="28"/>
          <w:lang w:val="uk-UA"/>
        </w:rPr>
        <w:t xml:space="preserve"> </w:t>
      </w:r>
      <w:r w:rsidR="000E25D9" w:rsidRPr="00BE086B">
        <w:rPr>
          <w:sz w:val="28"/>
          <w:szCs w:val="28"/>
        </w:rPr>
        <w:t>Результати досліджень, що викладені у дисертації, знайшли відображення у 5</w:t>
      </w:r>
      <w:r w:rsidR="0085248B" w:rsidRPr="00BE086B">
        <w:rPr>
          <w:sz w:val="28"/>
          <w:szCs w:val="28"/>
          <w:lang w:val="uk-UA"/>
        </w:rPr>
        <w:t>3</w:t>
      </w:r>
      <w:r w:rsidR="000E25D9" w:rsidRPr="00BE086B">
        <w:rPr>
          <w:sz w:val="28"/>
          <w:szCs w:val="28"/>
        </w:rPr>
        <w:t xml:space="preserve"> наукових працях, з них: 2</w:t>
      </w:r>
      <w:r w:rsidR="0085248B" w:rsidRPr="00BE086B">
        <w:rPr>
          <w:sz w:val="28"/>
          <w:szCs w:val="28"/>
          <w:lang w:val="uk-UA"/>
        </w:rPr>
        <w:t>2</w:t>
      </w:r>
      <w:r w:rsidR="000E25D9" w:rsidRPr="00BE086B">
        <w:rPr>
          <w:sz w:val="28"/>
          <w:szCs w:val="28"/>
        </w:rPr>
        <w:t xml:space="preserve"> статті у фахових наукових </w:t>
      </w:r>
      <w:r w:rsidR="000E25D9" w:rsidRPr="00BE086B">
        <w:rPr>
          <w:sz w:val="28"/>
          <w:szCs w:val="28"/>
        </w:rPr>
        <w:lastRenderedPageBreak/>
        <w:t xml:space="preserve">журналах, рекомендованих МОН України (з них 6 - закордонних), 1 монографія, 1 патент </w:t>
      </w:r>
      <w:r w:rsidR="000E25D9" w:rsidRPr="00BE086B">
        <w:rPr>
          <w:sz w:val="28"/>
          <w:szCs w:val="28"/>
          <w:lang w:eastAsia="ru-RU"/>
        </w:rPr>
        <w:t>України на корисну модель</w:t>
      </w:r>
      <w:r w:rsidR="000E25D9" w:rsidRPr="00BE086B">
        <w:rPr>
          <w:sz w:val="28"/>
          <w:szCs w:val="28"/>
        </w:rPr>
        <w:t>, 1 нововведення, 23 роботи у матеріалах з’їздів, конференцій, конгресів, видано 3 інформаційні листи.</w:t>
      </w:r>
    </w:p>
    <w:p w:rsidR="00380CA6" w:rsidRPr="00BE086B" w:rsidRDefault="000E25D9" w:rsidP="00641114">
      <w:pPr>
        <w:pStyle w:val="af0"/>
        <w:ind w:firstLine="709"/>
        <w:jc w:val="both"/>
        <w:rPr>
          <w:sz w:val="28"/>
          <w:szCs w:val="28"/>
        </w:rPr>
      </w:pPr>
      <w:r w:rsidRPr="00BE086B">
        <w:rPr>
          <w:b/>
          <w:bCs/>
          <w:sz w:val="28"/>
          <w:szCs w:val="28"/>
        </w:rPr>
        <w:t>Структура дисертації.</w:t>
      </w:r>
      <w:r w:rsidRPr="00BE086B">
        <w:rPr>
          <w:b/>
          <w:sz w:val="28"/>
          <w:szCs w:val="28"/>
        </w:rPr>
        <w:t xml:space="preserve"> </w:t>
      </w:r>
      <w:r w:rsidRPr="00BE086B">
        <w:rPr>
          <w:sz w:val="28"/>
          <w:szCs w:val="28"/>
        </w:rPr>
        <w:t xml:space="preserve">Дисертація викладена на </w:t>
      </w:r>
      <w:r w:rsidR="00EC6353" w:rsidRPr="00BE086B">
        <w:rPr>
          <w:sz w:val="28"/>
          <w:szCs w:val="28"/>
          <w:lang w:val="uk-UA"/>
        </w:rPr>
        <w:t>38</w:t>
      </w:r>
      <w:r w:rsidR="00D92D95" w:rsidRPr="00BE086B">
        <w:rPr>
          <w:sz w:val="28"/>
          <w:szCs w:val="28"/>
          <w:lang w:val="uk-UA"/>
        </w:rPr>
        <w:t>3</w:t>
      </w:r>
      <w:r w:rsidRPr="00BE086B">
        <w:rPr>
          <w:sz w:val="28"/>
          <w:szCs w:val="28"/>
        </w:rPr>
        <w:t xml:space="preserve"> сторінках (основний обсяг становить </w:t>
      </w:r>
      <w:r w:rsidR="00EC6353" w:rsidRPr="00BE086B">
        <w:rPr>
          <w:sz w:val="28"/>
          <w:szCs w:val="28"/>
          <w:lang w:val="uk-UA"/>
        </w:rPr>
        <w:t>27</w:t>
      </w:r>
      <w:r w:rsidR="00D92D95" w:rsidRPr="00BE086B">
        <w:rPr>
          <w:sz w:val="28"/>
          <w:szCs w:val="28"/>
          <w:lang w:val="uk-UA"/>
        </w:rPr>
        <w:t>5</w:t>
      </w:r>
      <w:r w:rsidRPr="00BE086B">
        <w:rPr>
          <w:sz w:val="28"/>
          <w:szCs w:val="28"/>
        </w:rPr>
        <w:t xml:space="preserve"> сторінок) і складається зі вступу, огляду літератури, опису матеріалів та методів дослідження, 6 розділів власних досліджень, аналізу й узагальнення результатів досліджень, висновків, списку використаних джерел літератури (всього </w:t>
      </w:r>
      <w:r w:rsidR="0027051C" w:rsidRPr="00BE086B">
        <w:rPr>
          <w:sz w:val="28"/>
          <w:szCs w:val="28"/>
          <w:lang w:val="uk-UA"/>
        </w:rPr>
        <w:t>467</w:t>
      </w:r>
      <w:r w:rsidRPr="00BE086B">
        <w:rPr>
          <w:sz w:val="28"/>
          <w:szCs w:val="28"/>
        </w:rPr>
        <w:t xml:space="preserve"> найменувань, з них </w:t>
      </w:r>
      <w:r w:rsidR="003F022E" w:rsidRPr="00BE086B">
        <w:rPr>
          <w:sz w:val="28"/>
          <w:szCs w:val="28"/>
        </w:rPr>
        <w:t>158</w:t>
      </w:r>
      <w:r w:rsidRPr="00BE086B">
        <w:rPr>
          <w:sz w:val="28"/>
          <w:szCs w:val="28"/>
        </w:rPr>
        <w:t xml:space="preserve"> кирилицею та </w:t>
      </w:r>
      <w:r w:rsidR="003F022E" w:rsidRPr="00BE086B">
        <w:rPr>
          <w:sz w:val="28"/>
          <w:szCs w:val="28"/>
        </w:rPr>
        <w:t>309</w:t>
      </w:r>
      <w:r w:rsidRPr="00BE086B">
        <w:rPr>
          <w:sz w:val="28"/>
          <w:szCs w:val="28"/>
        </w:rPr>
        <w:t xml:space="preserve"> латиницею), додатків. </w:t>
      </w:r>
      <w:r w:rsidR="008D0500" w:rsidRPr="00BE086B">
        <w:rPr>
          <w:sz w:val="28"/>
          <w:szCs w:val="28"/>
        </w:rPr>
        <w:t>Робота проілюстрована 28 таблицями та 9</w:t>
      </w:r>
      <w:r w:rsidR="00D92D95" w:rsidRPr="00BE086B">
        <w:rPr>
          <w:sz w:val="28"/>
          <w:szCs w:val="28"/>
          <w:lang w:val="uk-UA"/>
        </w:rPr>
        <w:t>2</w:t>
      </w:r>
      <w:r w:rsidR="008D0500" w:rsidRPr="00BE086B">
        <w:rPr>
          <w:sz w:val="28"/>
          <w:szCs w:val="28"/>
        </w:rPr>
        <w:t xml:space="preserve"> рисунк</w:t>
      </w:r>
      <w:r w:rsidR="00D92D95" w:rsidRPr="00BE086B">
        <w:rPr>
          <w:sz w:val="28"/>
          <w:szCs w:val="28"/>
          <w:lang w:val="uk-UA"/>
        </w:rPr>
        <w:t>ами</w:t>
      </w:r>
      <w:r w:rsidR="008D0500" w:rsidRPr="00BE086B">
        <w:rPr>
          <w:sz w:val="28"/>
          <w:szCs w:val="28"/>
        </w:rPr>
        <w:t>.</w:t>
      </w:r>
    </w:p>
    <w:p w:rsidR="00D92D95" w:rsidRPr="00BE086B" w:rsidRDefault="00D92D95" w:rsidP="00641114">
      <w:pPr>
        <w:pStyle w:val="af0"/>
        <w:ind w:firstLine="709"/>
        <w:jc w:val="both"/>
        <w:rPr>
          <w:sz w:val="28"/>
          <w:szCs w:val="28"/>
        </w:rPr>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Default="00D92D95" w:rsidP="00641114">
      <w:pPr>
        <w:pStyle w:val="af0"/>
        <w:ind w:firstLine="709"/>
        <w:jc w:val="both"/>
      </w:pPr>
    </w:p>
    <w:p w:rsidR="00AF27FE" w:rsidRDefault="00AF27FE" w:rsidP="00641114">
      <w:pPr>
        <w:pStyle w:val="af0"/>
        <w:ind w:firstLine="709"/>
        <w:jc w:val="both"/>
      </w:pPr>
    </w:p>
    <w:p w:rsidR="00AF27FE" w:rsidRDefault="00AF27FE" w:rsidP="00641114">
      <w:pPr>
        <w:pStyle w:val="af0"/>
        <w:ind w:firstLine="709"/>
        <w:jc w:val="both"/>
      </w:pPr>
    </w:p>
    <w:p w:rsidR="00AF27FE" w:rsidRDefault="00AF27FE" w:rsidP="00641114">
      <w:pPr>
        <w:pStyle w:val="af0"/>
        <w:ind w:firstLine="709"/>
        <w:jc w:val="both"/>
      </w:pPr>
    </w:p>
    <w:p w:rsidR="00AF27FE" w:rsidRDefault="00AF27FE" w:rsidP="00641114">
      <w:pPr>
        <w:pStyle w:val="af0"/>
        <w:ind w:firstLine="709"/>
        <w:jc w:val="both"/>
      </w:pPr>
    </w:p>
    <w:p w:rsidR="00AF27FE" w:rsidRPr="00BE086B" w:rsidRDefault="00AF27FE" w:rsidP="00641114">
      <w:pPr>
        <w:pStyle w:val="af0"/>
        <w:ind w:firstLine="709"/>
        <w:jc w:val="both"/>
      </w:pPr>
    </w:p>
    <w:p w:rsidR="00D92D95" w:rsidRPr="00BE086B" w:rsidRDefault="00D92D95" w:rsidP="00641114">
      <w:pPr>
        <w:pStyle w:val="af0"/>
        <w:ind w:firstLine="709"/>
        <w:jc w:val="both"/>
      </w:pPr>
    </w:p>
    <w:p w:rsidR="00D92D95" w:rsidRPr="00BE086B" w:rsidRDefault="00D92D95" w:rsidP="00641114">
      <w:pPr>
        <w:pStyle w:val="af0"/>
        <w:ind w:firstLine="709"/>
        <w:jc w:val="both"/>
      </w:pPr>
    </w:p>
    <w:p w:rsidR="00D92D95" w:rsidRPr="00BE086B" w:rsidRDefault="00D92D95" w:rsidP="00D92D95">
      <w:pPr>
        <w:pStyle w:val="15"/>
        <w:spacing w:line="360" w:lineRule="auto"/>
        <w:jc w:val="center"/>
        <w:rPr>
          <w:rFonts w:ascii="Times New Roman" w:hAnsi="Times New Roman" w:cs="Times New Roman"/>
          <w:sz w:val="28"/>
          <w:szCs w:val="28"/>
          <w:lang w:val="uk-UA"/>
        </w:rPr>
      </w:pPr>
      <w:r w:rsidRPr="00BE086B">
        <w:rPr>
          <w:rFonts w:ascii="Times New Roman" w:hAnsi="Times New Roman" w:cs="Times New Roman"/>
          <w:b/>
          <w:bCs/>
          <w:caps/>
          <w:sz w:val="28"/>
          <w:szCs w:val="28"/>
          <w:lang w:val="uk-UA"/>
        </w:rPr>
        <w:lastRenderedPageBreak/>
        <w:t>Розділ 1</w:t>
      </w:r>
    </w:p>
    <w:p w:rsidR="00D92D95" w:rsidRPr="00BE086B" w:rsidRDefault="00D92D95" w:rsidP="00D92D95">
      <w:pPr>
        <w:pStyle w:val="15"/>
        <w:spacing w:line="360" w:lineRule="auto"/>
        <w:jc w:val="center"/>
        <w:rPr>
          <w:rFonts w:ascii="Times New Roman" w:hAnsi="Times New Roman" w:cs="Times New Roman"/>
          <w:b/>
          <w:bCs/>
          <w:caps/>
          <w:sz w:val="28"/>
          <w:szCs w:val="28"/>
          <w:lang w:val="uk-UA"/>
        </w:rPr>
      </w:pPr>
    </w:p>
    <w:p w:rsidR="00D92D95" w:rsidRPr="00BE086B" w:rsidRDefault="00D92D95" w:rsidP="00D92D95">
      <w:pPr>
        <w:spacing w:line="360" w:lineRule="auto"/>
        <w:jc w:val="center"/>
        <w:rPr>
          <w:sz w:val="28"/>
          <w:szCs w:val="28"/>
          <w:lang w:val="uk-UA"/>
        </w:rPr>
      </w:pPr>
      <w:r w:rsidRPr="00BE086B">
        <w:rPr>
          <w:b/>
          <w:bCs/>
          <w:caps/>
          <w:sz w:val="28"/>
          <w:szCs w:val="28"/>
          <w:lang w:val="uk-UA"/>
        </w:rPr>
        <w:t>ОСТЕОАРТРОЗ: особливості перебігу на ТЛІ ГІПОТИРЕОЗУ та стратегічні напрямки впливу на біль та хондропротекцію</w:t>
      </w:r>
    </w:p>
    <w:p w:rsidR="00D92D95" w:rsidRPr="00BE086B" w:rsidRDefault="00D92D95" w:rsidP="00D92D95">
      <w:pPr>
        <w:spacing w:line="360" w:lineRule="auto"/>
        <w:jc w:val="center"/>
        <w:rPr>
          <w:sz w:val="28"/>
          <w:szCs w:val="28"/>
          <w:lang w:val="uk-UA"/>
        </w:rPr>
      </w:pPr>
      <w:r w:rsidRPr="00BE086B">
        <w:rPr>
          <w:b/>
          <w:bCs/>
          <w:caps/>
          <w:sz w:val="28"/>
          <w:szCs w:val="28"/>
          <w:lang w:val="uk-UA"/>
        </w:rPr>
        <w:t>(</w:t>
      </w:r>
      <w:r w:rsidRPr="00BE086B">
        <w:rPr>
          <w:b/>
          <w:bCs/>
          <w:iCs/>
          <w:caps/>
          <w:sz w:val="28"/>
          <w:szCs w:val="28"/>
          <w:lang w:val="uk-UA"/>
        </w:rPr>
        <w:t>огляд літератури</w:t>
      </w:r>
      <w:r w:rsidRPr="00BE086B">
        <w:rPr>
          <w:b/>
          <w:bCs/>
          <w:caps/>
          <w:sz w:val="28"/>
          <w:szCs w:val="28"/>
          <w:lang w:val="uk-UA"/>
        </w:rPr>
        <w:t>)</w:t>
      </w:r>
    </w:p>
    <w:p w:rsidR="00D92D95" w:rsidRPr="00BE086B" w:rsidRDefault="00D92D95" w:rsidP="00D92D95">
      <w:pPr>
        <w:spacing w:line="360" w:lineRule="auto"/>
        <w:ind w:firstLine="709"/>
        <w:jc w:val="both"/>
        <w:rPr>
          <w:bCs/>
          <w:caps/>
          <w:sz w:val="28"/>
          <w:szCs w:val="28"/>
          <w:lang w:val="uk-UA"/>
        </w:rPr>
      </w:pPr>
    </w:p>
    <w:p w:rsidR="00D92D95" w:rsidRPr="00BE086B" w:rsidRDefault="00D92D95" w:rsidP="00D92D95">
      <w:pPr>
        <w:pStyle w:val="1"/>
        <w:shd w:val="clear" w:color="auto" w:fill="FFFFFF"/>
        <w:spacing w:line="360" w:lineRule="auto"/>
        <w:ind w:left="0" w:right="0" w:firstLine="709"/>
        <w:jc w:val="both"/>
        <w:textAlignment w:val="baseline"/>
        <w:rPr>
          <w:szCs w:val="28"/>
        </w:rPr>
      </w:pPr>
      <w:r w:rsidRPr="00BE086B">
        <w:rPr>
          <w:szCs w:val="28"/>
        </w:rPr>
        <w:t>Біль є основним проявом захворювань та причиною страждань людини, що спонукає до використання аналгетичних засобів. Ретроспективний аналіз вітчизняної та закордонної літератури показав, що поширеність больового синдрому у дітей та дорослих в системі первинної медичної допомоги коливається від 40 до 70% [1-5].</w:t>
      </w:r>
    </w:p>
    <w:p w:rsidR="00D92D95" w:rsidRPr="00BE086B" w:rsidRDefault="00D92D95" w:rsidP="00D92D95">
      <w:pPr>
        <w:pStyle w:val="1"/>
        <w:shd w:val="clear" w:color="auto" w:fill="FFFFFF"/>
        <w:spacing w:line="360" w:lineRule="auto"/>
        <w:ind w:left="0" w:right="0" w:firstLine="709"/>
        <w:jc w:val="both"/>
        <w:textAlignment w:val="baseline"/>
        <w:rPr>
          <w:szCs w:val="28"/>
        </w:rPr>
      </w:pPr>
      <w:r w:rsidRPr="00BE086B">
        <w:rPr>
          <w:szCs w:val="28"/>
        </w:rPr>
        <w:t>Особливої уваги потребує біль, спричинений різноманітними патологічними станами внаслідок ускладнення захворювання сукупністю етіологічних та/або патогенетичних факторів. У зв’язку з цим больовий синдром може бути коморбідним з основним захворюванням, яке може сформуватись за типом сінтропії - ураження органів під впливом загальних патогенетичних факторів або інтерференції - виникнення одного захворювання під впливом іншого [6-10]. В таких випадках біль є фактором, який обтяжує перебіг коморбідної патології, а потреба в прийомі аналгетиків набуває рис тривалості і безперервності, що підвищує ризики ускладнень та побічних явищ фармакотерапії [11-15].</w:t>
      </w:r>
    </w:p>
    <w:p w:rsidR="00D92D95" w:rsidRPr="00BE086B" w:rsidRDefault="00D92D95" w:rsidP="00D92D95">
      <w:pPr>
        <w:spacing w:line="360" w:lineRule="auto"/>
        <w:ind w:firstLine="709"/>
        <w:jc w:val="both"/>
        <w:rPr>
          <w:sz w:val="28"/>
          <w:szCs w:val="28"/>
          <w:lang w:val="uk-UA"/>
        </w:rPr>
      </w:pPr>
      <w:r w:rsidRPr="00BE086B">
        <w:rPr>
          <w:sz w:val="28"/>
          <w:szCs w:val="28"/>
          <w:lang w:val="uk-UA"/>
        </w:rPr>
        <w:t>Остеоартроз (ОА) та гіпотиреоз (ГІТ) відносяться до актуальних проблем сучасної медицини та всього суспільства у зв'язку з великою частотою поширеності цих нозологій, тяжким перебігом та інвалідизуючими наслідками даних захворювань [16-20].</w:t>
      </w:r>
    </w:p>
    <w:p w:rsidR="00D92D95" w:rsidRPr="00BE086B" w:rsidRDefault="00D92D95" w:rsidP="00D92D95">
      <w:pPr>
        <w:spacing w:line="360" w:lineRule="auto"/>
        <w:ind w:firstLine="709"/>
        <w:jc w:val="both"/>
        <w:rPr>
          <w:b/>
          <w:sz w:val="28"/>
          <w:szCs w:val="28"/>
          <w:lang w:val="uk-UA" w:eastAsia="en-US"/>
        </w:rPr>
      </w:pPr>
      <w:r w:rsidRPr="00BE086B">
        <w:rPr>
          <w:sz w:val="28"/>
          <w:szCs w:val="28"/>
          <w:lang w:val="uk-UA"/>
        </w:rPr>
        <w:t xml:space="preserve">Як окремі нозологічні форми ОА та ГІТ відрізняються за своєю етіологією [18, 21-24]. Так, ГІТ пов'язаний з недостатньою функціональною активністю щитоподібної залози (ЩЗ) [25-29], а ОА – це дегенеративно-дистрофічний та запальний процес, який пов'язаний з первинним </w:t>
      </w:r>
      <w:r w:rsidRPr="00BE086B">
        <w:rPr>
          <w:sz w:val="28"/>
          <w:szCs w:val="28"/>
          <w:lang w:val="uk-UA"/>
        </w:rPr>
        <w:lastRenderedPageBreak/>
        <w:t xml:space="preserve">ушкодженням гіалінового хряща суглоба [30-34]. Проте </w:t>
      </w:r>
      <w:r w:rsidRPr="00BE086B">
        <w:rPr>
          <w:sz w:val="28"/>
          <w:szCs w:val="28"/>
          <w:shd w:val="clear" w:color="auto" w:fill="FFFFFF"/>
          <w:lang w:val="uk-UA"/>
        </w:rPr>
        <w:t xml:space="preserve">певну роль у розвитку ОА відіграють ендокринні фактори </w:t>
      </w:r>
      <w:r w:rsidRPr="00BE086B">
        <w:rPr>
          <w:sz w:val="28"/>
          <w:szCs w:val="28"/>
          <w:lang w:val="uk-UA"/>
        </w:rPr>
        <w:t>[35-39]</w:t>
      </w:r>
      <w:r w:rsidRPr="00BE086B">
        <w:rPr>
          <w:sz w:val="28"/>
          <w:szCs w:val="28"/>
          <w:shd w:val="clear" w:color="auto" w:fill="FFFFFF"/>
          <w:lang w:val="uk-UA"/>
        </w:rPr>
        <w:t>.</w:t>
      </w:r>
    </w:p>
    <w:p w:rsidR="00D92D95" w:rsidRPr="00BE086B" w:rsidRDefault="00D92D95" w:rsidP="00D92D95">
      <w:pPr>
        <w:pStyle w:val="Default"/>
        <w:spacing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сьогоднішній день ОА та ГІТ, як окремі нозологічні захворювання, досить широко досліджені та продовжують досліджуватися у зв’язку з постійним прогресом фармакології, ендокринології, ортопедії, ревматології та пов’язаних з ними дисциплінами, проте важливого сенсу набуває питання коморбідності цих захворювань, які в літературі висвітлені недостатньо [40-44].</w:t>
      </w:r>
    </w:p>
    <w:p w:rsidR="00D92D95" w:rsidRPr="00BE086B" w:rsidRDefault="00D92D95" w:rsidP="00D92D95">
      <w:pPr>
        <w:spacing w:line="360" w:lineRule="auto"/>
        <w:ind w:firstLine="709"/>
        <w:jc w:val="both"/>
        <w:rPr>
          <w:caps/>
          <w:sz w:val="28"/>
          <w:szCs w:val="28"/>
          <w:lang w:val="uk-UA"/>
        </w:rPr>
      </w:pPr>
    </w:p>
    <w:p w:rsidR="00D92D95" w:rsidRPr="00BE086B" w:rsidRDefault="00D92D95" w:rsidP="00D92D95">
      <w:pPr>
        <w:spacing w:line="360" w:lineRule="auto"/>
        <w:ind w:left="709" w:firstLine="709"/>
        <w:jc w:val="both"/>
        <w:rPr>
          <w:lang w:val="uk-UA"/>
        </w:rPr>
      </w:pPr>
      <w:r w:rsidRPr="00BE086B">
        <w:rPr>
          <w:b/>
          <w:bCs/>
          <w:sz w:val="28"/>
          <w:szCs w:val="28"/>
          <w:lang w:val="uk-UA"/>
        </w:rPr>
        <w:t>1.1. Сучасний погляд на остеоартроз та фармакологію знеболення і хондропротекці</w:t>
      </w:r>
      <w:r w:rsidR="00C769E2" w:rsidRPr="00BE086B">
        <w:rPr>
          <w:b/>
          <w:bCs/>
          <w:sz w:val="28"/>
          <w:szCs w:val="28"/>
          <w:lang w:val="uk-UA"/>
        </w:rPr>
        <w:t>ї</w:t>
      </w:r>
      <w:r w:rsidRPr="00BE086B">
        <w:rPr>
          <w:b/>
          <w:bCs/>
          <w:sz w:val="28"/>
          <w:szCs w:val="28"/>
          <w:lang w:val="uk-UA"/>
        </w:rPr>
        <w:t xml:space="preserve"> при захворюваннях суглобів</w:t>
      </w:r>
    </w:p>
    <w:p w:rsidR="00D92D95" w:rsidRPr="00BE086B" w:rsidRDefault="00D92D95" w:rsidP="00D92D95">
      <w:pPr>
        <w:spacing w:line="360" w:lineRule="auto"/>
        <w:ind w:firstLine="709"/>
        <w:jc w:val="both"/>
        <w:rPr>
          <w:sz w:val="28"/>
          <w:szCs w:val="28"/>
          <w:lang w:val="uk-UA"/>
        </w:rPr>
      </w:pPr>
    </w:p>
    <w:p w:rsidR="00D92D95" w:rsidRPr="00BE086B" w:rsidRDefault="00D92D95" w:rsidP="00D92D95">
      <w:pPr>
        <w:spacing w:line="360" w:lineRule="auto"/>
        <w:ind w:firstLine="709"/>
        <w:jc w:val="both"/>
        <w:rPr>
          <w:sz w:val="28"/>
          <w:szCs w:val="28"/>
          <w:lang w:val="uk-UA" w:eastAsia="en-US"/>
        </w:rPr>
      </w:pPr>
      <w:r w:rsidRPr="00BE086B">
        <w:rPr>
          <w:sz w:val="28"/>
          <w:szCs w:val="28"/>
          <w:lang w:val="uk-UA" w:eastAsia="en-US"/>
        </w:rPr>
        <w:t xml:space="preserve">Остеоартроз (ОА) (синоніми – остеоартрит, артроз, деформуючий артроз) традиційно характеризують як гетерогенну групу хронічних дегенеративно-дистрофічних захворювань суглобів і хребта різної етіології, але зі схожими прогресуючими морфологічними змінами хрящової тканини, субхондральної кістки, синовіальної оболонки, зв'язок, капсули суглоба, навколосуглобових м'язів, що призводять до зниження функціональної активності пацієнтів, спроможності до самообслуговування та інвалідізації хворих </w:t>
      </w:r>
      <w:r w:rsidRPr="00BE086B">
        <w:rPr>
          <w:sz w:val="28"/>
          <w:szCs w:val="28"/>
          <w:lang w:val="uk-UA"/>
        </w:rPr>
        <w:t>[</w:t>
      </w:r>
      <w:r w:rsidRPr="00BE086B">
        <w:rPr>
          <w:sz w:val="28"/>
          <w:szCs w:val="28"/>
          <w:lang w:val="uk-UA" w:eastAsia="en-US"/>
        </w:rPr>
        <w:t>45-49</w:t>
      </w:r>
      <w:r w:rsidRPr="00BE086B">
        <w:rPr>
          <w:sz w:val="28"/>
          <w:szCs w:val="28"/>
          <w:lang w:val="uk-UA"/>
        </w:rPr>
        <w:t>]</w:t>
      </w:r>
      <w:r w:rsidRPr="00BE086B">
        <w:rPr>
          <w:sz w:val="28"/>
          <w:szCs w:val="28"/>
          <w:lang w:val="uk-UA" w:eastAsia="en-US"/>
        </w:rPr>
        <w:t>.</w:t>
      </w:r>
    </w:p>
    <w:p w:rsidR="00D92D95" w:rsidRPr="00BE086B" w:rsidRDefault="00D92D95" w:rsidP="00D92D95">
      <w:pPr>
        <w:spacing w:line="360" w:lineRule="auto"/>
        <w:ind w:firstLine="709"/>
        <w:jc w:val="both"/>
        <w:rPr>
          <w:sz w:val="28"/>
          <w:szCs w:val="28"/>
          <w:lang w:val="uk-UA" w:eastAsia="en-US"/>
        </w:rPr>
      </w:pPr>
      <w:r w:rsidRPr="00BE086B">
        <w:rPr>
          <w:sz w:val="28"/>
          <w:szCs w:val="28"/>
          <w:lang w:val="uk-UA" w:eastAsia="en-US"/>
        </w:rPr>
        <w:t xml:space="preserve">У 2015/2016 році поширеність і захворюваність на ОА в Україні склала 431 </w:t>
      </w:r>
      <w:r w:rsidR="001142BF">
        <w:rPr>
          <w:sz w:val="28"/>
          <w:szCs w:val="28"/>
          <w:lang w:val="uk-UA" w:eastAsia="en-US"/>
        </w:rPr>
        <w:t xml:space="preserve"> </w:t>
      </w:r>
      <w:r w:rsidRPr="00BE086B">
        <w:rPr>
          <w:sz w:val="28"/>
          <w:szCs w:val="28"/>
          <w:lang w:val="uk-UA" w:eastAsia="en-US"/>
        </w:rPr>
        <w:t xml:space="preserve">на </w:t>
      </w:r>
      <w:r w:rsidR="001142BF">
        <w:rPr>
          <w:sz w:val="28"/>
          <w:szCs w:val="28"/>
          <w:lang w:val="uk-UA" w:eastAsia="en-US"/>
        </w:rPr>
        <w:t xml:space="preserve"> </w:t>
      </w:r>
      <w:r w:rsidRPr="00BE086B">
        <w:rPr>
          <w:sz w:val="28"/>
          <w:szCs w:val="28"/>
          <w:lang w:val="uk-UA" w:eastAsia="en-US"/>
        </w:rPr>
        <w:t xml:space="preserve">100 000 </w:t>
      </w:r>
      <w:r w:rsidR="001142BF">
        <w:rPr>
          <w:sz w:val="28"/>
          <w:szCs w:val="28"/>
          <w:lang w:val="uk-UA" w:eastAsia="en-US"/>
        </w:rPr>
        <w:t xml:space="preserve"> </w:t>
      </w:r>
      <w:r w:rsidRPr="00BE086B">
        <w:rPr>
          <w:sz w:val="28"/>
          <w:szCs w:val="28"/>
          <w:lang w:val="uk-UA" w:eastAsia="en-US"/>
        </w:rPr>
        <w:t>населення та 2995 на 100 000 населення відповідно</w:t>
      </w:r>
      <w:r w:rsidRPr="00BE086B">
        <w:rPr>
          <w:sz w:val="28"/>
          <w:szCs w:val="28"/>
          <w:lang w:val="uk-UA"/>
        </w:rPr>
        <w:t>, що</w:t>
      </w:r>
      <w:r w:rsidRPr="00BE086B">
        <w:rPr>
          <w:sz w:val="28"/>
          <w:szCs w:val="28"/>
          <w:lang w:val="uk-UA" w:eastAsia="en-US"/>
        </w:rPr>
        <w:t xml:space="preserve"> охопило </w:t>
      </w:r>
      <w:r w:rsidR="001142BF">
        <w:rPr>
          <w:sz w:val="28"/>
          <w:szCs w:val="28"/>
          <w:lang w:val="uk-UA" w:eastAsia="en-US"/>
        </w:rPr>
        <w:t xml:space="preserve"> </w:t>
      </w:r>
      <w:r w:rsidRPr="00BE086B">
        <w:rPr>
          <w:sz w:val="28"/>
          <w:szCs w:val="28"/>
          <w:lang w:val="uk-UA" w:eastAsia="en-US"/>
        </w:rPr>
        <w:t xml:space="preserve">близько 13,3 </w:t>
      </w:r>
      <w:r w:rsidR="001142BF">
        <w:rPr>
          <w:sz w:val="28"/>
          <w:szCs w:val="28"/>
          <w:lang w:val="uk-UA" w:eastAsia="en-US"/>
        </w:rPr>
        <w:t xml:space="preserve"> </w:t>
      </w:r>
      <w:r w:rsidRPr="00BE086B">
        <w:rPr>
          <w:sz w:val="28"/>
          <w:szCs w:val="28"/>
          <w:lang w:val="uk-UA" w:eastAsia="en-US"/>
        </w:rPr>
        <w:t xml:space="preserve">млн. чоловік, </w:t>
      </w:r>
      <w:r w:rsidR="001142BF">
        <w:rPr>
          <w:sz w:val="28"/>
          <w:szCs w:val="28"/>
          <w:lang w:val="uk-UA" w:eastAsia="en-US"/>
        </w:rPr>
        <w:t xml:space="preserve"> </w:t>
      </w:r>
      <w:r w:rsidRPr="00BE086B">
        <w:rPr>
          <w:sz w:val="28"/>
          <w:szCs w:val="28"/>
          <w:lang w:val="uk-UA" w:eastAsia="en-US"/>
        </w:rPr>
        <w:t xml:space="preserve">з </w:t>
      </w:r>
      <w:r w:rsidR="001142BF">
        <w:rPr>
          <w:sz w:val="28"/>
          <w:szCs w:val="28"/>
          <w:lang w:val="uk-UA" w:eastAsia="en-US"/>
        </w:rPr>
        <w:t xml:space="preserve"> </w:t>
      </w:r>
      <w:r w:rsidRPr="00BE086B">
        <w:rPr>
          <w:sz w:val="28"/>
          <w:szCs w:val="28"/>
          <w:lang w:val="uk-UA" w:eastAsia="en-US"/>
        </w:rPr>
        <w:t xml:space="preserve">них </w:t>
      </w:r>
      <w:r w:rsidR="001142BF">
        <w:rPr>
          <w:sz w:val="28"/>
          <w:szCs w:val="28"/>
          <w:lang w:val="uk-UA" w:eastAsia="en-US"/>
        </w:rPr>
        <w:t xml:space="preserve"> </w:t>
      </w:r>
      <w:r w:rsidRPr="00BE086B">
        <w:rPr>
          <w:sz w:val="28"/>
          <w:szCs w:val="28"/>
          <w:lang w:val="uk-UA" w:eastAsia="en-US"/>
        </w:rPr>
        <w:t xml:space="preserve">близько </w:t>
      </w:r>
      <w:r w:rsidR="001142BF">
        <w:rPr>
          <w:sz w:val="28"/>
          <w:szCs w:val="28"/>
          <w:lang w:val="uk-UA" w:eastAsia="en-US"/>
        </w:rPr>
        <w:t xml:space="preserve"> </w:t>
      </w:r>
      <w:r w:rsidRPr="00BE086B">
        <w:rPr>
          <w:sz w:val="28"/>
          <w:szCs w:val="28"/>
          <w:lang w:val="uk-UA" w:eastAsia="en-US"/>
        </w:rPr>
        <w:t xml:space="preserve">195200 чоловік звернулися по спеціалізовану допомогу до лікаря </w:t>
      </w:r>
      <w:r w:rsidRPr="00BE086B">
        <w:rPr>
          <w:sz w:val="28"/>
          <w:szCs w:val="28"/>
          <w:lang w:val="uk-UA"/>
        </w:rPr>
        <w:t>[50-53]</w:t>
      </w:r>
      <w:r w:rsidRPr="00BE086B">
        <w:rPr>
          <w:sz w:val="28"/>
          <w:szCs w:val="28"/>
          <w:lang w:val="uk-UA" w:eastAsia="en-US"/>
        </w:rPr>
        <w:t xml:space="preserve">. Відповідно до даних Держстату України кожний третій мешканець нашої держави страждає на ОА </w:t>
      </w:r>
      <w:r w:rsidRPr="00BE086B">
        <w:rPr>
          <w:sz w:val="28"/>
          <w:szCs w:val="28"/>
          <w:lang w:val="uk-UA"/>
        </w:rPr>
        <w:t>[54]</w:t>
      </w:r>
      <w:r w:rsidRPr="00BE086B">
        <w:rPr>
          <w:sz w:val="28"/>
          <w:szCs w:val="28"/>
          <w:lang w:val="uk-UA" w:eastAsia="en-US"/>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Соціальна значущість ОА обумовлена тим, що перші ознаки або прояви ОА можуть бути у 30-річному віці, а з віком спостерігається збільшення частоти захворювання [55-59]. Встановлено, що розвиток ОА збільшується від 2 </w:t>
      </w:r>
      <w:r w:rsidR="001142BF">
        <w:rPr>
          <w:sz w:val="28"/>
          <w:szCs w:val="28"/>
          <w:lang w:val="uk-UA"/>
        </w:rPr>
        <w:t xml:space="preserve"> </w:t>
      </w:r>
      <w:r w:rsidRPr="00BE086B">
        <w:rPr>
          <w:sz w:val="28"/>
          <w:szCs w:val="28"/>
          <w:lang w:val="uk-UA"/>
        </w:rPr>
        <w:t xml:space="preserve">до </w:t>
      </w:r>
      <w:r w:rsidR="001142BF">
        <w:rPr>
          <w:sz w:val="28"/>
          <w:szCs w:val="28"/>
          <w:lang w:val="uk-UA"/>
        </w:rPr>
        <w:t xml:space="preserve"> </w:t>
      </w:r>
      <w:r w:rsidRPr="00BE086B">
        <w:rPr>
          <w:sz w:val="28"/>
          <w:szCs w:val="28"/>
          <w:lang w:val="uk-UA"/>
        </w:rPr>
        <w:t xml:space="preserve">10 </w:t>
      </w:r>
      <w:r w:rsidR="001142BF">
        <w:rPr>
          <w:sz w:val="28"/>
          <w:szCs w:val="28"/>
          <w:lang w:val="uk-UA"/>
        </w:rPr>
        <w:t xml:space="preserve"> </w:t>
      </w:r>
      <w:r w:rsidRPr="00BE086B">
        <w:rPr>
          <w:sz w:val="28"/>
          <w:szCs w:val="28"/>
          <w:lang w:val="uk-UA"/>
        </w:rPr>
        <w:t xml:space="preserve">разів </w:t>
      </w:r>
      <w:r w:rsidR="001142BF">
        <w:rPr>
          <w:sz w:val="28"/>
          <w:szCs w:val="28"/>
          <w:lang w:val="uk-UA"/>
        </w:rPr>
        <w:t xml:space="preserve"> </w:t>
      </w:r>
      <w:r w:rsidRPr="00BE086B">
        <w:rPr>
          <w:sz w:val="28"/>
          <w:szCs w:val="28"/>
          <w:lang w:val="uk-UA"/>
        </w:rPr>
        <w:t xml:space="preserve">у </w:t>
      </w:r>
      <w:r w:rsidR="001142BF">
        <w:rPr>
          <w:sz w:val="28"/>
          <w:szCs w:val="28"/>
          <w:lang w:val="uk-UA"/>
        </w:rPr>
        <w:t xml:space="preserve"> </w:t>
      </w:r>
      <w:r w:rsidRPr="00BE086B">
        <w:rPr>
          <w:sz w:val="28"/>
          <w:szCs w:val="28"/>
          <w:lang w:val="uk-UA"/>
        </w:rPr>
        <w:t xml:space="preserve">віці </w:t>
      </w:r>
      <w:r w:rsidR="001142BF">
        <w:rPr>
          <w:sz w:val="28"/>
          <w:szCs w:val="28"/>
          <w:lang w:val="uk-UA"/>
        </w:rPr>
        <w:t xml:space="preserve"> </w:t>
      </w:r>
      <w:r w:rsidRPr="00BE086B">
        <w:rPr>
          <w:sz w:val="28"/>
          <w:szCs w:val="28"/>
          <w:lang w:val="uk-UA"/>
        </w:rPr>
        <w:t xml:space="preserve">від 30 до 65 років [60-64]. </w:t>
      </w:r>
      <w:r w:rsidRPr="00BE086B">
        <w:rPr>
          <w:sz w:val="28"/>
          <w:szCs w:val="28"/>
          <w:lang w:val="uk-UA" w:eastAsia="en-US"/>
        </w:rPr>
        <w:t xml:space="preserve">За даними ВООЗ 80% </w:t>
      </w:r>
      <w:r w:rsidRPr="00BE086B">
        <w:rPr>
          <w:sz w:val="28"/>
          <w:szCs w:val="28"/>
          <w:lang w:val="uk-UA" w:eastAsia="en-US"/>
        </w:rPr>
        <w:lastRenderedPageBreak/>
        <w:t xml:space="preserve">населення у віці 50-60 років страждають на ОА, при цьому більше половини з них мають обмеження в повсякденній життєвій активності, а 25% - не можуть впоратися з основними щоденними життєвими обов'язками </w:t>
      </w:r>
      <w:r w:rsidRPr="00BE086B">
        <w:rPr>
          <w:sz w:val="28"/>
          <w:szCs w:val="28"/>
          <w:lang w:val="uk-UA"/>
        </w:rPr>
        <w:t>[18, 32, 34, 62, 64]</w:t>
      </w:r>
      <w:r w:rsidRPr="00BE086B">
        <w:rPr>
          <w:sz w:val="28"/>
          <w:szCs w:val="28"/>
          <w:lang w:val="uk-UA" w:eastAsia="en-US"/>
        </w:rPr>
        <w:t xml:space="preserve">. До 80-річного віку на ОА страждає кожна людина </w:t>
      </w:r>
      <w:r w:rsidRPr="00BE086B">
        <w:rPr>
          <w:sz w:val="28"/>
          <w:szCs w:val="28"/>
          <w:lang w:val="uk-UA"/>
        </w:rPr>
        <w:t>[49, 50]</w:t>
      </w:r>
      <w:r w:rsidRPr="00BE086B">
        <w:rPr>
          <w:sz w:val="28"/>
          <w:szCs w:val="28"/>
          <w:lang w:val="uk-UA" w:eastAsia="en-US"/>
        </w:rPr>
        <w:t xml:space="preserve">. Крім того, хворі на ОА складають до 30% пацієнтів, які вийшли на інвалідність з приводу захворювань опорно-рухового апарату </w:t>
      </w:r>
      <w:r w:rsidRPr="00BE086B">
        <w:rPr>
          <w:sz w:val="28"/>
          <w:szCs w:val="28"/>
          <w:lang w:val="uk-UA"/>
        </w:rPr>
        <w:t>[16, 30, 31, 54, 61]</w:t>
      </w:r>
      <w:r w:rsidRPr="00BE086B">
        <w:rPr>
          <w:sz w:val="28"/>
          <w:szCs w:val="28"/>
          <w:lang w:val="uk-UA" w:eastAsia="en-US"/>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Причиною виникнення та розвитку ОА вважається порушення співвідношень механічного навантаження на суглоб та можливостями фізіологічного відновлення гіалінового хряща після цього навантаження, що призводить до формування «хибного кола», яке пов’язане з розвитком і підтриманням запалення у суглобі та прогресуючою деструкцією хряща [17, 21, 33, 45, 63].</w:t>
      </w:r>
    </w:p>
    <w:p w:rsidR="00D92D95" w:rsidRPr="00BE086B" w:rsidRDefault="00D92D95" w:rsidP="00D92D95">
      <w:pPr>
        <w:spacing w:line="360" w:lineRule="auto"/>
        <w:ind w:firstLine="709"/>
        <w:jc w:val="both"/>
        <w:rPr>
          <w:sz w:val="28"/>
          <w:szCs w:val="28"/>
          <w:lang w:val="uk-UA"/>
        </w:rPr>
      </w:pPr>
      <w:r w:rsidRPr="00BE086B">
        <w:rPr>
          <w:sz w:val="28"/>
          <w:szCs w:val="28"/>
          <w:lang w:val="uk-UA"/>
        </w:rPr>
        <w:t>До факторів ризику розвитку та прогресування ОА відносять системні, локальні та зовнішні чинники [</w:t>
      </w:r>
      <w:r w:rsidRPr="00BE086B">
        <w:rPr>
          <w:sz w:val="28"/>
          <w:szCs w:val="28"/>
          <w:lang w:val="uk-UA" w:eastAsia="en-US"/>
        </w:rPr>
        <w:t>65-69</w:t>
      </w:r>
      <w:r w:rsidRPr="00BE086B">
        <w:rPr>
          <w:sz w:val="28"/>
          <w:szCs w:val="28"/>
          <w:lang w:val="uk-UA"/>
        </w:rPr>
        <w:t>]. До системних належать стать, генетична обумовленість, мінеральна щільність кісткової тканини та гормональний статус [70-74]. До локальних факторів відносять дисплазію і деформацію суглоба, травми, слабкість м’язів [75-77]. До зовнішніх чинників належать спортивні і професійні навантаження, метаболічні порушення, ожиріння, цукровий діабет та інша супутня патологія [78-80].</w:t>
      </w:r>
    </w:p>
    <w:p w:rsidR="00D92D95" w:rsidRPr="00BE086B" w:rsidRDefault="00D92D95" w:rsidP="00D92D95">
      <w:pPr>
        <w:spacing w:line="360" w:lineRule="auto"/>
        <w:ind w:firstLine="709"/>
        <w:jc w:val="both"/>
        <w:rPr>
          <w:sz w:val="28"/>
          <w:szCs w:val="28"/>
          <w:lang w:val="uk-UA"/>
        </w:rPr>
      </w:pPr>
      <w:r w:rsidRPr="00BE086B">
        <w:rPr>
          <w:sz w:val="28"/>
          <w:szCs w:val="28"/>
          <w:lang w:val="uk-UA"/>
        </w:rPr>
        <w:t>До основних клінічних ознак ОА належать біль, обмеження рухів і деформація суглобів, що призводять до функціональної недостатності всієї кінцівки та зниження здібності до самообслуговування [18, 31, 49, 57, 61].</w:t>
      </w:r>
    </w:p>
    <w:p w:rsidR="00D92D95" w:rsidRPr="00BE086B" w:rsidRDefault="00D92D95" w:rsidP="00D92D95">
      <w:pPr>
        <w:spacing w:line="360" w:lineRule="auto"/>
        <w:ind w:firstLine="709"/>
        <w:jc w:val="both"/>
        <w:rPr>
          <w:sz w:val="28"/>
          <w:szCs w:val="28"/>
          <w:lang w:val="uk-UA"/>
        </w:rPr>
      </w:pPr>
      <w:r w:rsidRPr="00BE086B">
        <w:rPr>
          <w:sz w:val="28"/>
          <w:szCs w:val="28"/>
          <w:lang w:val="uk-UA"/>
        </w:rPr>
        <w:t>На підставі проведеного аналітичного огляду вітчизняної та закордонної літератури встановлено, що головним симптомом, який обтяжує протікання ОА та обумовлює інвалідність є біль [81-85]. На теперішній час причина болю у суглобі при ОА остаточно не встановлена [86-90].</w:t>
      </w:r>
    </w:p>
    <w:p w:rsidR="00D92D95" w:rsidRPr="00BE086B" w:rsidRDefault="00D92D95" w:rsidP="00D92D95">
      <w:pPr>
        <w:spacing w:line="360" w:lineRule="auto"/>
        <w:ind w:firstLine="709"/>
        <w:jc w:val="both"/>
        <w:rPr>
          <w:sz w:val="28"/>
          <w:szCs w:val="28"/>
          <w:lang w:val="uk-UA"/>
        </w:rPr>
      </w:pPr>
      <w:r w:rsidRPr="00BE086B">
        <w:rPr>
          <w:sz w:val="28"/>
          <w:szCs w:val="28"/>
          <w:shd w:val="clear" w:color="auto" w:fill="FFFFFF"/>
          <w:lang w:val="uk-UA"/>
        </w:rPr>
        <w:t xml:space="preserve">Так, Bacon K. з співавт. (2020) використовуючи дані Osteoarthritis Initiative кількісно оцінили взаємозв’язок між втратою хряща та посиленням болю в колінних суглобах та встановили, що зменшення товщини хряща </w:t>
      </w:r>
      <w:r w:rsidRPr="00BE086B">
        <w:rPr>
          <w:sz w:val="28"/>
          <w:szCs w:val="28"/>
          <w:shd w:val="clear" w:color="auto" w:fill="FFFFFF"/>
          <w:lang w:val="uk-UA"/>
        </w:rPr>
        <w:lastRenderedPageBreak/>
        <w:t xml:space="preserve">обумовлює лише невелике посилення болю у колінних суглобах і такий біль пов’язаний з загостренням синовіту </w:t>
      </w:r>
      <w:r w:rsidRPr="00BE086B">
        <w:rPr>
          <w:sz w:val="28"/>
          <w:szCs w:val="28"/>
          <w:lang w:val="uk-UA"/>
        </w:rPr>
        <w:t>[91]</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Вважається, що відповідь на запитання причини болю у суглобі при ОА можна знайти в дослідженні питань </w:t>
      </w:r>
      <w:r w:rsidRPr="00BE086B">
        <w:rPr>
          <w:sz w:val="28"/>
          <w:szCs w:val="28"/>
          <w:lang w:val="uk-UA" w:eastAsia="en-US"/>
        </w:rPr>
        <w:t xml:space="preserve">молекулярної біології і біохімії ОА </w:t>
      </w:r>
      <w:r w:rsidRPr="00BE086B">
        <w:rPr>
          <w:sz w:val="28"/>
          <w:szCs w:val="28"/>
          <w:lang w:val="uk-UA"/>
        </w:rPr>
        <w:t>[92-95]</w:t>
      </w:r>
      <w:r w:rsidRPr="00BE086B">
        <w:rPr>
          <w:sz w:val="28"/>
          <w:szCs w:val="28"/>
          <w:lang w:val="uk-UA" w:eastAsia="en-US"/>
        </w:rPr>
        <w:t xml:space="preserve">. З цієї точки зору ОА є складним, комплексним процесом, оборотність якого залежить від дії на відновні і регенераторні процеси у суглобі шляхом впливу на хондроцити у напрямку протизапальної та хондропротекторної дії </w:t>
      </w:r>
      <w:r w:rsidRPr="00BE086B">
        <w:rPr>
          <w:sz w:val="28"/>
          <w:szCs w:val="28"/>
          <w:lang w:val="uk-UA"/>
        </w:rPr>
        <w:t>[</w:t>
      </w:r>
      <w:r w:rsidRPr="00BE086B">
        <w:rPr>
          <w:sz w:val="28"/>
          <w:szCs w:val="28"/>
          <w:lang w:val="uk-UA" w:eastAsia="en-US"/>
        </w:rPr>
        <w:t>96-100</w:t>
      </w:r>
      <w:r w:rsidRPr="00BE086B">
        <w:rPr>
          <w:sz w:val="28"/>
          <w:szCs w:val="28"/>
          <w:lang w:val="uk-UA"/>
        </w:rPr>
        <w:t>]</w:t>
      </w:r>
      <w:r w:rsidRPr="00BE086B">
        <w:rPr>
          <w:sz w:val="28"/>
          <w:szCs w:val="28"/>
          <w:lang w:val="uk-UA" w:eastAsia="en-US"/>
        </w:rPr>
        <w:t>.</w:t>
      </w:r>
    </w:p>
    <w:p w:rsidR="00D92D95" w:rsidRPr="00BE086B" w:rsidRDefault="00D92D95" w:rsidP="00D92D95">
      <w:pPr>
        <w:spacing w:line="360" w:lineRule="auto"/>
        <w:ind w:firstLine="709"/>
        <w:jc w:val="both"/>
        <w:rPr>
          <w:sz w:val="28"/>
          <w:szCs w:val="28"/>
          <w:lang w:val="uk-UA" w:eastAsia="en-US"/>
        </w:rPr>
      </w:pPr>
      <w:r w:rsidRPr="00BE086B">
        <w:rPr>
          <w:sz w:val="28"/>
          <w:szCs w:val="28"/>
          <w:shd w:val="clear" w:color="auto" w:fill="FFFFFF"/>
          <w:lang w:val="uk-UA"/>
        </w:rPr>
        <w:t xml:space="preserve">Так в роботі Anderson J.R. з співавт. (2020) автори дослідили біохімічні зміни за рівнем аденозіну, аланіну, бетаїну, креатіну, міо-інозитолу, уридіну, глюкози, лізину, фактору некрозу пухлин та інтерлейкіну 1 при ОА та представили інформацію стосовно патогенезу раннього ОА </w:t>
      </w:r>
      <w:r w:rsidRPr="00BE086B">
        <w:rPr>
          <w:sz w:val="28"/>
          <w:szCs w:val="28"/>
          <w:lang w:val="uk-UA"/>
        </w:rPr>
        <w:t>[101].</w:t>
      </w:r>
    </w:p>
    <w:p w:rsidR="00D92D95" w:rsidRPr="00BE086B" w:rsidRDefault="00D92D95" w:rsidP="00D92D95">
      <w:pPr>
        <w:spacing w:line="360" w:lineRule="auto"/>
        <w:ind w:firstLine="709"/>
        <w:jc w:val="both"/>
        <w:rPr>
          <w:lang w:val="uk-UA"/>
        </w:rPr>
      </w:pPr>
      <w:r w:rsidRPr="00BE086B">
        <w:rPr>
          <w:sz w:val="28"/>
          <w:szCs w:val="28"/>
          <w:lang w:val="uk-UA" w:eastAsia="en-US"/>
        </w:rPr>
        <w:t xml:space="preserve">Відомо, що хондроцити суглобового хряща виступають основним компонентом для створення і регенерації хрящового матриксу. </w:t>
      </w:r>
      <w:r w:rsidRPr="00BE086B">
        <w:rPr>
          <w:sz w:val="28"/>
          <w:szCs w:val="28"/>
          <w:shd w:val="clear" w:color="auto" w:fill="FFFFFF"/>
          <w:lang w:val="uk-UA"/>
        </w:rPr>
        <w:t xml:space="preserve">Hwang H.S. з співавт. (2015) </w:t>
      </w:r>
      <w:r w:rsidRPr="00BE086B">
        <w:rPr>
          <w:sz w:val="28"/>
          <w:szCs w:val="28"/>
          <w:lang w:val="uk-UA" w:eastAsia="en-US"/>
        </w:rPr>
        <w:t xml:space="preserve">було показано, що при ОА відбувається проліферація і загибель клітин (апоптоз), наростають зміни в синтетичній активності і деградації хондроцитів, відбувається фенотипічна модуляція суглобових хондроцитів і утворення остеофітів (крайових кісткових розростань) </w:t>
      </w:r>
      <w:r w:rsidRPr="00BE086B">
        <w:rPr>
          <w:sz w:val="28"/>
          <w:szCs w:val="28"/>
          <w:lang w:val="uk-UA"/>
        </w:rPr>
        <w:t>[102]</w:t>
      </w:r>
      <w:r w:rsidRPr="00BE086B">
        <w:rPr>
          <w:sz w:val="28"/>
          <w:szCs w:val="28"/>
          <w:lang w:val="uk-UA" w:eastAsia="en-US"/>
        </w:rPr>
        <w:t xml:space="preserve">. Оскільки загальна кількість хондроцитів є низькою (10% від загального об'єму хрящової тканини) і вони повільно регенерують, саме їх стимуляція є надзвичайно важливим завданням для фармакотерапії ОА </w:t>
      </w:r>
      <w:r w:rsidRPr="00BE086B">
        <w:rPr>
          <w:sz w:val="28"/>
          <w:szCs w:val="28"/>
          <w:lang w:val="uk-UA"/>
        </w:rPr>
        <w:t>[103-105]</w:t>
      </w:r>
      <w:r w:rsidRPr="00BE086B">
        <w:rPr>
          <w:sz w:val="28"/>
          <w:szCs w:val="28"/>
          <w:lang w:val="uk-UA" w:eastAsia="en-US"/>
        </w:rPr>
        <w:t>.</w:t>
      </w:r>
    </w:p>
    <w:p w:rsidR="00D92D95" w:rsidRPr="00BE086B" w:rsidRDefault="00D92D95" w:rsidP="00D92D95">
      <w:pPr>
        <w:spacing w:line="360" w:lineRule="auto"/>
        <w:ind w:firstLine="709"/>
        <w:jc w:val="both"/>
        <w:rPr>
          <w:lang w:val="uk-UA"/>
        </w:rPr>
      </w:pPr>
      <w:r w:rsidRPr="00BE086B">
        <w:rPr>
          <w:sz w:val="28"/>
          <w:szCs w:val="28"/>
          <w:lang w:val="uk-UA"/>
        </w:rPr>
        <w:t>Механічні властивості суглобового хряща залежать від структурної організації хрящового матриксу, а саме взаємодії молекул води і макромолекул - колагену, протеогліканів і неколагенових білків. Синтез матриксних макромолекул визначається функціональною активністю хондроцитів, яка знижуючись з віком, призводить до порушення нормального співвідношення компонентів суглобового хряща і прогресу його дегенерації, а порушення ремоделювання субхондральної кістки сприяє деградації хрящової тканини, оскільки порушується її живлення [106-110].</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lastRenderedPageBreak/>
        <w:t>Головними компонентами хрящової тканини є власні клітини –хондроцити, які складають 10% від загальної кількості клітин хрящу і міжклітинна речовина або екстрацелюлярний матрикс, який становить 90% всієї структури. Екстрацелюлярний матрикс складається з основної речовини (масова доля складає 60%) і волокнини (масова доля складає 40%), яка на 80-90% представлена структурами колагену II типу (рис. 1.1) [111-115].</w:t>
      </w:r>
    </w:p>
    <w:p w:rsidR="00D92D95" w:rsidRPr="00BE086B" w:rsidRDefault="001823B1" w:rsidP="00D92D95">
      <w:pPr>
        <w:pStyle w:val="western"/>
        <w:spacing w:before="0" w:after="0" w:line="360" w:lineRule="auto"/>
        <w:ind w:firstLine="709"/>
        <w:jc w:val="center"/>
        <w:rPr>
          <w:rFonts w:ascii="Times New Roman" w:hAnsi="Times New Roman" w:cs="Times New Roman"/>
          <w:b/>
          <w:bCs/>
          <w:color w:val="auto"/>
          <w:sz w:val="28"/>
          <w:szCs w:val="28"/>
          <w:lang w:val="uk-UA"/>
        </w:rPr>
      </w:pPr>
      <w:r w:rsidRPr="001823B1">
        <w:rPr>
          <w:rFonts w:ascii="Times New Roman" w:hAnsi="Times New Roman" w:cs="Times New Roman"/>
          <w:b/>
          <w:bCs/>
          <w:noProof/>
          <w:color w:val="auto"/>
          <w:sz w:val="28"/>
          <w:szCs w:val="28"/>
          <w:lang w:eastAsia="ru-RU"/>
        </w:rPr>
        <w:drawing>
          <wp:inline distT="0" distB="0" distL="0" distR="0">
            <wp:extent cx="3783600" cy="2944800"/>
            <wp:effectExtent l="0" t="0" r="7620" b="8255"/>
            <wp:docPr id="3" name="Рисунок 3" descr="C:\Users\bubyr\OneDrive\Рабочий стол\рис к дис\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ubyr\OneDrive\Рабочий стол\рис к дис\1\1.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83600" cy="2944800"/>
                    </a:xfrm>
                    <a:prstGeom prst="rect">
                      <a:avLst/>
                    </a:prstGeom>
                    <a:noFill/>
                    <a:ln>
                      <a:noFill/>
                    </a:ln>
                  </pic:spPr>
                </pic:pic>
              </a:graphicData>
            </a:graphic>
          </wp:inline>
        </w:drawing>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bCs/>
          <w:color w:val="auto"/>
          <w:sz w:val="28"/>
          <w:szCs w:val="28"/>
          <w:lang w:val="uk-UA"/>
        </w:rPr>
        <w:t xml:space="preserve">Рис. 1.1. </w:t>
      </w:r>
      <w:r w:rsidRPr="00BE086B">
        <w:rPr>
          <w:rFonts w:ascii="Times New Roman" w:hAnsi="Times New Roman" w:cs="Times New Roman"/>
          <w:color w:val="auto"/>
          <w:sz w:val="28"/>
          <w:szCs w:val="28"/>
          <w:lang w:val="uk-UA"/>
        </w:rPr>
        <w:t>Схематичне зображення структурної організації хрящової тканини.</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sz w:val="28"/>
          <w:szCs w:val="28"/>
          <w:lang w:val="uk-UA"/>
        </w:rPr>
      </w:pPr>
    </w:p>
    <w:p w:rsidR="00D92D95" w:rsidRPr="00BE086B" w:rsidRDefault="00FE2099" w:rsidP="00D92D95">
      <w:pPr>
        <w:pStyle w:val="western"/>
        <w:shd w:val="clear" w:color="auto" w:fill="FFFFFF"/>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Як видно з рис. 1.1</w:t>
      </w:r>
      <w:r w:rsidR="00D92D95" w:rsidRPr="00BE086B">
        <w:rPr>
          <w:rFonts w:ascii="Times New Roman" w:hAnsi="Times New Roman" w:cs="Times New Roman"/>
          <w:color w:val="auto"/>
          <w:sz w:val="28"/>
          <w:szCs w:val="28"/>
          <w:lang w:val="uk-UA"/>
        </w:rPr>
        <w:t xml:space="preserve">, основна речовина екстрацелюлярного матриксу представлена протеогліканами - великими молекулами з високою молекулярною масою, що складаються з ядра центрального білку, який пов'язаний з ланцюжком вуглеводів, який називається глікозаміноглікани, що у співвідношенні 1:3 складається з кератан сульфату і хондроїтин сульфату, утворюючи аггрекан. Аггрекани кріпляться у екстрацелюлярному матриксі шляхом зв'язування з гіалуроновою кислотою через зв'язуючий білок. На хондроциті розміщені поверхневі рецептори для хондроцит-перицеллюлярної взаємодії. Хондроцити синтезують основні компоненти міжклітинного матриксу - хондроїтин сульфат та гіалуронову кислоту. За умов нормального </w:t>
      </w:r>
      <w:r w:rsidR="00D92D95" w:rsidRPr="00BE086B">
        <w:rPr>
          <w:rFonts w:ascii="Times New Roman" w:hAnsi="Times New Roman" w:cs="Times New Roman"/>
          <w:color w:val="auto"/>
          <w:sz w:val="28"/>
          <w:szCs w:val="28"/>
          <w:lang w:val="uk-UA"/>
        </w:rPr>
        <w:lastRenderedPageBreak/>
        <w:t>фізіологічного стану процеси катаболізму і анаболізму урівноважені [109-111, 116, 117].</w:t>
      </w:r>
    </w:p>
    <w:p w:rsidR="00D92D95" w:rsidRPr="00BE086B" w:rsidRDefault="00D92D95" w:rsidP="00D92D95">
      <w:pPr>
        <w:pStyle w:val="western"/>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eastAsia="en-US"/>
        </w:rPr>
        <w:t xml:space="preserve">Необхідно відмітити роль гіалуронової кислоти, яка при ОА інтенсивно деполімеризується гіалуронідазою (основною речовиною матриксу сполучних і хрящових тканин, що руйнуються). Внаслідок зменшення розмірів молекул в'язкість гіалуронової кислоти знижується, що негативно позначається на біохімічних і біомеханічних властивостях синовіальної рідини суглоба і призводить до дегенерації хряща. Оскільки розвиток дегенеративно-дистрофічних змін при ОА може бути пов'язаний з дією гіалуронідази, на теперішній час багато фармацевтичних досліджень зосереджені в цьому напрямку </w:t>
      </w:r>
      <w:r w:rsidRPr="00BE086B">
        <w:rPr>
          <w:rFonts w:ascii="Times New Roman" w:hAnsi="Times New Roman" w:cs="Times New Roman"/>
          <w:color w:val="auto"/>
          <w:sz w:val="28"/>
          <w:szCs w:val="28"/>
          <w:lang w:val="uk-UA"/>
        </w:rPr>
        <w:t>[</w:t>
      </w:r>
      <w:r w:rsidRPr="00BE086B">
        <w:rPr>
          <w:rFonts w:ascii="Times New Roman" w:hAnsi="Times New Roman" w:cs="Times New Roman"/>
          <w:color w:val="auto"/>
          <w:sz w:val="28"/>
          <w:szCs w:val="28"/>
          <w:lang w:val="uk-UA" w:eastAsia="en-US"/>
        </w:rPr>
        <w:t>118-122</w:t>
      </w:r>
      <w:r w:rsidRPr="00BE086B">
        <w:rPr>
          <w:rFonts w:ascii="Times New Roman" w:hAnsi="Times New Roman" w:cs="Times New Roman"/>
          <w:color w:val="auto"/>
          <w:sz w:val="28"/>
          <w:szCs w:val="28"/>
          <w:lang w:val="uk-UA"/>
        </w:rPr>
        <w:t>].</w:t>
      </w:r>
    </w:p>
    <w:p w:rsidR="00D92D95" w:rsidRPr="00BE086B" w:rsidRDefault="00D92D95" w:rsidP="00D92D95">
      <w:pPr>
        <w:pStyle w:val="western"/>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При ушкодженні суглобового хряща внаслідок ОА відбувається руйнування екстрацелюлярного матриксу і виділення продуктів його розпаду навколо структурних елементів (рис. 1.2).</w:t>
      </w:r>
    </w:p>
    <w:p w:rsidR="00D92D95" w:rsidRPr="00BE086B" w:rsidRDefault="001823B1" w:rsidP="00D92D95">
      <w:pPr>
        <w:pStyle w:val="western"/>
        <w:spacing w:before="0" w:after="0" w:line="360" w:lineRule="auto"/>
        <w:ind w:firstLine="709"/>
        <w:jc w:val="center"/>
        <w:rPr>
          <w:rFonts w:ascii="Times New Roman" w:hAnsi="Times New Roman" w:cs="Times New Roman"/>
          <w:b/>
          <w:color w:val="auto"/>
          <w:sz w:val="28"/>
          <w:szCs w:val="28"/>
          <w:lang w:val="uk-UA"/>
        </w:rPr>
      </w:pPr>
      <w:r>
        <w:rPr>
          <w:rFonts w:ascii="Times New Roman" w:hAnsi="Times New Roman" w:cs="Times New Roman"/>
          <w:b/>
          <w:noProof/>
          <w:color w:val="auto"/>
          <w:sz w:val="28"/>
          <w:szCs w:val="28"/>
          <w:lang w:eastAsia="ru-RU"/>
        </w:rPr>
        <w:drawing>
          <wp:inline distT="0" distB="0" distL="0" distR="0">
            <wp:extent cx="5317200" cy="2847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pic:nvPicPr>
                  <pic:blipFill>
                    <a:blip r:embed="rId9">
                      <a:extLst>
                        <a:ext uri="{28A0092B-C50C-407E-A947-70E740481C1C}">
                          <a14:useLocalDpi xmlns:a14="http://schemas.microsoft.com/office/drawing/2010/main" val="0"/>
                        </a:ext>
                      </a:extLst>
                    </a:blip>
                    <a:stretch>
                      <a:fillRect/>
                    </a:stretch>
                  </pic:blipFill>
                  <pic:spPr>
                    <a:xfrm>
                      <a:off x="0" y="0"/>
                      <a:ext cx="5317200" cy="2847600"/>
                    </a:xfrm>
                    <a:prstGeom prst="rect">
                      <a:avLst/>
                    </a:prstGeom>
                  </pic:spPr>
                </pic:pic>
              </a:graphicData>
            </a:graphic>
          </wp:inline>
        </w:drawing>
      </w:r>
    </w:p>
    <w:p w:rsidR="00D92D95" w:rsidRPr="00BE086B" w:rsidRDefault="00D92D95" w:rsidP="00D92D95">
      <w:pPr>
        <w:pStyle w:val="western"/>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rPr>
        <w:t>Рис. 1.2.</w:t>
      </w:r>
      <w:r w:rsidRPr="00BE086B">
        <w:rPr>
          <w:rFonts w:ascii="Times New Roman" w:hAnsi="Times New Roman" w:cs="Times New Roman"/>
          <w:color w:val="auto"/>
          <w:sz w:val="28"/>
          <w:szCs w:val="28"/>
          <w:lang w:val="uk-UA"/>
        </w:rPr>
        <w:t xml:space="preserve"> Схематичне зображення біохімічних змін при остеоартрозі.</w:t>
      </w:r>
    </w:p>
    <w:p w:rsidR="00D92D95" w:rsidRPr="00BE086B" w:rsidRDefault="00D92D95" w:rsidP="00D92D95">
      <w:pPr>
        <w:pStyle w:val="western"/>
        <w:spacing w:before="0" w:after="0" w:line="360" w:lineRule="auto"/>
        <w:ind w:firstLine="709"/>
        <w:jc w:val="both"/>
        <w:rPr>
          <w:rFonts w:ascii="Times New Roman" w:hAnsi="Times New Roman" w:cs="Times New Roman"/>
          <w:color w:val="auto"/>
          <w:sz w:val="28"/>
          <w:szCs w:val="28"/>
          <w:lang w:val="uk-UA"/>
        </w:rPr>
      </w:pPr>
    </w:p>
    <w:p w:rsidR="00D92D95" w:rsidRPr="00BE086B" w:rsidRDefault="00D92D95" w:rsidP="00D92D95">
      <w:pPr>
        <w:pStyle w:val="western"/>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Як видно з рис. 1.2, внаслідок ушкодження суглобового хряща при ОА утворюється велика кількість фрагментів фібронектину (FN-f), колагену II (CII-f), гіалуронової кислоти (HA-f). Ці фрагменти взаємодіють з поверхневими рецепторами TLR4, IL-1, ICAM1, CD44, що знаходяться на </w:t>
      </w:r>
      <w:r w:rsidRPr="00BE086B">
        <w:rPr>
          <w:rFonts w:ascii="Times New Roman" w:hAnsi="Times New Roman" w:cs="Times New Roman"/>
          <w:color w:val="auto"/>
          <w:sz w:val="28"/>
          <w:szCs w:val="28"/>
          <w:lang w:val="uk-UA"/>
        </w:rPr>
        <w:lastRenderedPageBreak/>
        <w:t>мембрані хондроциту і запускають у середині хондроциту ядерну транслокацію NF-κB (нуклеарний чинник каппа-B) [103, 105, 112, 119, 123].</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В результаті запуску ядерної транслокації NF-κB збільшується синтез ADAMTS, MMП (матриксних металопротеїназ), Hyal2 (гіалуронідази), циклооксигенази 2 типу (СОХ-2), фосфоліпази А2 (PLA2), N02 і прозапальних цитокінів IL-1β, IL-6 та TNF-α (рис. 1.2) [124-128].</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Внаслідок вищеозначених процесів відбувається подальше руйнування хондроциту, вихід ферментів і цитокінів в екстрацелюлярний матрикс. Описаний процес призводить до посилення ушкодження хрящової тканини, загибелі хондроцитів та відповідних біохімічних змін у зв’язку в викидом продуктів руйнування у кров [129-133]. Розвивається патологічний стан, до якого залучаються синовіальна оболонка суглобу, субхондральна кістка, внутрішньосуглобові структури, зв'язки суглобу і навколосуглобові м'язи. Вищеозначені біохімічні процеси та зміни призводять до маніфестації симптомів ОА, що у клінічних умовах проявляється болем і обмеженням рухливості суглоба. Ці процеси обумовлюють формування І стадії ОА та подальший розвиток захворювання [103, 132, 134].</w:t>
      </w:r>
    </w:p>
    <w:p w:rsidR="00D92D95" w:rsidRPr="00BE086B" w:rsidRDefault="00D92D95" w:rsidP="00D92D95">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Через зменшення кількості колагену ІІ типу та протеогліканів порушуються еластичні властивості гіалінового хряща, що в клінічних умовах є проявом болю та запалення у суглобі, порушенням функції. У зв’язку з особливостями фізіологічної регенерації гіалінового хряща, його відновлення є неповноцінним та призводить до формування так званого «фіброзного» хряща, який має меншу здатність до гідратації та знижені еластичні властивості. Суглобовий хрящ втрачає фізіологічну функцію, що призводить до прогресування патологічного процесу і порушення структури субхондральної кістки [135-139].</w:t>
      </w:r>
    </w:p>
    <w:p w:rsidR="00D92D95" w:rsidRPr="00BE086B" w:rsidRDefault="00D92D95" w:rsidP="00D92D95">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На сьогоднішній день діагностика ОА базується на даних клінічних та додаткових методів дослідження, серед яких рентгенологічним методам дослідження належить провідна роль. Проте, відомі лабораторні маркери метаболізму хряща, які здатні відобразити ступінь його деструкції, та у зв’язку </w:t>
      </w:r>
      <w:r w:rsidRPr="00BE086B">
        <w:rPr>
          <w:rFonts w:ascii="Times New Roman" w:hAnsi="Times New Roman" w:cs="Times New Roman"/>
          <w:color w:val="auto"/>
          <w:sz w:val="28"/>
          <w:szCs w:val="28"/>
          <w:lang w:val="uk-UA"/>
        </w:rPr>
        <w:lastRenderedPageBreak/>
        <w:t>з вартістю їх визначення цей спосіб діагностики ОА використовується частіше в експериментальних роботах [140-144]. Одним з таких маркерів є СТХ II. CTX II – це С-кінцевий телопептид колагену II типу, який</w:t>
      </w:r>
      <w:r w:rsidRPr="00BE086B">
        <w:rPr>
          <w:rFonts w:ascii="Times New Roman" w:hAnsi="Times New Roman" w:cs="Times New Roman"/>
          <w:color w:val="auto"/>
          <w:lang w:val="uk-UA"/>
        </w:rPr>
        <w:t xml:space="preserve"> </w:t>
      </w:r>
      <w:r w:rsidRPr="00BE086B">
        <w:rPr>
          <w:rFonts w:ascii="Times New Roman" w:hAnsi="Times New Roman" w:cs="Times New Roman"/>
          <w:color w:val="auto"/>
          <w:sz w:val="28"/>
          <w:szCs w:val="28"/>
          <w:lang w:val="uk-UA"/>
        </w:rPr>
        <w:t>є важливим біомаркером деградації колагену типу II при різноманітних захворюваннях опорно-рухового апарату та свідчить про деградацію хрящової тканини і може бути визначений в синовіальній рідині, плазмі та сироватки крові, сечі та інших тканинах [145-149].</w:t>
      </w:r>
    </w:p>
    <w:p w:rsidR="00D92D95" w:rsidRPr="00BE086B" w:rsidRDefault="00D92D95" w:rsidP="00D92D95">
      <w:pPr>
        <w:pStyle w:val="Default"/>
        <w:spacing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Біохімічний маркер С-т</w:t>
      </w:r>
      <w:r w:rsidR="000D0132" w:rsidRPr="00BE086B">
        <w:rPr>
          <w:rFonts w:ascii="Times New Roman" w:hAnsi="Times New Roman" w:cs="Times New Roman"/>
          <w:color w:val="auto"/>
          <w:sz w:val="28"/>
          <w:szCs w:val="28"/>
          <w:lang w:val="uk-UA"/>
        </w:rPr>
        <w:t>е</w:t>
      </w:r>
      <w:r w:rsidRPr="00BE086B">
        <w:rPr>
          <w:rFonts w:ascii="Times New Roman" w:hAnsi="Times New Roman" w:cs="Times New Roman"/>
          <w:color w:val="auto"/>
          <w:sz w:val="28"/>
          <w:szCs w:val="28"/>
          <w:lang w:val="uk-UA"/>
        </w:rPr>
        <w:t>лопептиду колагену II типу (СТХ II) являє собою відображення інтенсивності розпаду хрящової тканини за рівнем продуктів розпаду колагену II типу, які потрапляють у сироватку крові та інші середовища організму та тканини [148, 150-153]. За дослідженнями багатьох авторів рівень СТХ II чутливий до змін на ранніх стадіях ОА [137-139], корелює з іншими біохімічними маркерами запалення та розпаду хрящової і кісткової тканини [140, 145, 146], мінеральною щільністю кісткової тканини [142], прогресуванням ОА [143, 144, 147, 153, 154], відображає ступінь деструкції хрящу [149, 150], корелює зі змінами показників оксидантного стресу [150] та змінами на МРТ [151, 155], чутливий до змін під час фармакотерапії ОА [152, 156, 157].</w:t>
      </w:r>
    </w:p>
    <w:p w:rsidR="00D92D95" w:rsidRPr="00BE086B" w:rsidRDefault="00D92D95" w:rsidP="00D92D95">
      <w:pPr>
        <w:shd w:val="clear" w:color="auto" w:fill="FFFFFF"/>
        <w:spacing w:line="360" w:lineRule="auto"/>
        <w:ind w:firstLine="709"/>
        <w:jc w:val="both"/>
        <w:rPr>
          <w:rFonts w:eastAsia="Calibri"/>
          <w:sz w:val="22"/>
          <w:szCs w:val="22"/>
          <w:lang w:val="uk-UA" w:eastAsia="en-US"/>
        </w:rPr>
      </w:pPr>
      <w:r w:rsidRPr="00BE086B">
        <w:rPr>
          <w:sz w:val="28"/>
          <w:szCs w:val="28"/>
          <w:lang w:val="uk-UA"/>
        </w:rPr>
        <w:t>Біохімічні маркери, які утворюються внаслідок руйнування колагену I типу, не знайшли широкого застосування в якості селективних індикаторів ОА внаслідок специфічності патологічного процесу, який більш стосується тканин утворених колагеном II типу. Більш широке використання вони отримали при патології суто кісткової тканини, таких як остеопороз, остеонекроз та гетеротопічна осифікація. Проте відомо, що диклофенак натрію здатний впливати на кількість остеофітів субхондральної кістки при ОА [158, 159] та має спроможність пригнічувати резорбцію кісткової тканини шляхом протизапальної дії [160].</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Нажаль інших даних щодо впливу НПЗЗ на рівень маркеру СТХ I при ОА та супутньому гіпотиреозі у доступній нам літературі не було знайдено.</w:t>
      </w:r>
    </w:p>
    <w:p w:rsidR="00D92D95" w:rsidRPr="00BE086B" w:rsidRDefault="00D92D95" w:rsidP="00D92D95">
      <w:pPr>
        <w:autoSpaceDE w:val="0"/>
        <w:spacing w:line="360" w:lineRule="auto"/>
        <w:ind w:firstLine="709"/>
        <w:jc w:val="both"/>
        <w:rPr>
          <w:rFonts w:eastAsia="Calibri"/>
          <w:sz w:val="22"/>
          <w:szCs w:val="22"/>
          <w:lang w:val="uk-UA" w:eastAsia="en-US"/>
        </w:rPr>
      </w:pPr>
      <w:r w:rsidRPr="00BE086B">
        <w:rPr>
          <w:sz w:val="28"/>
          <w:szCs w:val="28"/>
          <w:lang w:val="uk-UA"/>
        </w:rPr>
        <w:lastRenderedPageBreak/>
        <w:t>Відомо, що IL 1 (зокрема його переважаюча форма IL 1β) є найважливішим цитокіном, який має сильну протизапальну активність, стимулюючи вироблення прозапальних медіаторів, таких як інші цитокіни, хемокіни та матриксні металопротеїнази. Також IL 1β сприяє окислювальному стресу і прискорює деградацію позаклітинного матриксу, індукуючи апоптоз клітинного старіння. Значне підвищення рівня IL 1 призводить до руйнування хрящової тканини у суглобах [161-165].</w:t>
      </w:r>
    </w:p>
    <w:p w:rsidR="00D92D95" w:rsidRPr="00BE086B" w:rsidRDefault="00D92D95" w:rsidP="00D92D95">
      <w:pPr>
        <w:autoSpaceDE w:val="0"/>
        <w:spacing w:line="360" w:lineRule="auto"/>
        <w:ind w:firstLine="709"/>
        <w:jc w:val="both"/>
        <w:rPr>
          <w:rFonts w:eastAsia="NewtonC"/>
          <w:sz w:val="28"/>
          <w:szCs w:val="28"/>
          <w:lang w:val="uk-UA" w:eastAsia="ru-RU"/>
        </w:rPr>
      </w:pPr>
      <w:r w:rsidRPr="00BE086B">
        <w:rPr>
          <w:sz w:val="28"/>
          <w:szCs w:val="28"/>
          <w:lang w:val="uk-UA"/>
        </w:rPr>
        <w:t>IL</w:t>
      </w:r>
      <w:r w:rsidRPr="00BE086B">
        <w:rPr>
          <w:sz w:val="28"/>
          <w:szCs w:val="28"/>
          <w:shd w:val="clear" w:color="auto" w:fill="FFFFFF"/>
          <w:lang w:val="uk-UA"/>
        </w:rPr>
        <w:t xml:space="preserve"> 6 є багатофункціональним цитокіном, який впливає на імунну та гострофазову запальну відповідь. Продукується клітинами імунної системи, а також клітинами, які не мають прямого відношення до імунної системи, в тому числі і хондроцитами. </w:t>
      </w:r>
      <w:r w:rsidRPr="00BE086B">
        <w:rPr>
          <w:sz w:val="28"/>
          <w:szCs w:val="28"/>
          <w:lang w:val="uk-UA"/>
        </w:rPr>
        <w:t>IL</w:t>
      </w:r>
      <w:r w:rsidRPr="00BE086B">
        <w:rPr>
          <w:sz w:val="28"/>
          <w:szCs w:val="28"/>
          <w:shd w:val="clear" w:color="auto" w:fill="FFFFFF"/>
          <w:lang w:val="uk-UA"/>
        </w:rPr>
        <w:t xml:space="preserve"> 6 виконує функцію медіатора захисних процесів від пошкодження тканин та інфекцій. Крім того, </w:t>
      </w:r>
      <w:r w:rsidRPr="00BE086B">
        <w:rPr>
          <w:sz w:val="28"/>
          <w:szCs w:val="28"/>
          <w:lang w:val="uk-UA"/>
        </w:rPr>
        <w:t>IL</w:t>
      </w:r>
      <w:r w:rsidRPr="00BE086B">
        <w:rPr>
          <w:sz w:val="28"/>
          <w:szCs w:val="28"/>
          <w:shd w:val="clear" w:color="auto" w:fill="FFFFFF"/>
          <w:lang w:val="uk-UA"/>
        </w:rPr>
        <w:t xml:space="preserve"> 6 здатний пригнічувати синтез прозапальних цитокінів (</w:t>
      </w:r>
      <w:r w:rsidRPr="00BE086B">
        <w:rPr>
          <w:sz w:val="28"/>
          <w:szCs w:val="28"/>
          <w:lang w:val="uk-UA"/>
        </w:rPr>
        <w:t>IL</w:t>
      </w:r>
      <w:r w:rsidRPr="00BE086B">
        <w:rPr>
          <w:sz w:val="28"/>
          <w:szCs w:val="28"/>
          <w:shd w:val="clear" w:color="auto" w:fill="FFFFFF"/>
          <w:lang w:val="uk-UA"/>
        </w:rPr>
        <w:t xml:space="preserve"> 1β та фактору некрозу пухлин), стимулює секрецію соматотропного гормону і пригнічує секрецію тиреотропного гормону, індукує синтез фібриногену та С-реактивного білку. </w:t>
      </w:r>
      <w:r w:rsidRPr="00BE086B">
        <w:rPr>
          <w:sz w:val="28"/>
          <w:szCs w:val="28"/>
          <w:lang w:val="uk-UA"/>
        </w:rPr>
        <w:t>IL</w:t>
      </w:r>
      <w:r w:rsidRPr="00BE086B">
        <w:rPr>
          <w:sz w:val="28"/>
          <w:szCs w:val="28"/>
          <w:shd w:val="clear" w:color="auto" w:fill="FFFFFF"/>
          <w:lang w:val="uk-UA"/>
        </w:rPr>
        <w:t xml:space="preserve"> 6 відіграє важливу роль в гомеостазі кісткової і хрящової тканини, стимулюючи розвиток остеокластів і руйнування суглобного хряща, перешкоджає розвитку остеобластів і стимулює резорбцію протеогліканів хряща. Встановлено, що потужний вплив стероїдних статевих гормонів, паратгормону, 1,25-дигидроксивитамина D3 і тироксину (Т4) на ремоделювання та гомеостаз кісткової і хрящової тканини опосередковано їх впливом на секрецію і активність </w:t>
      </w:r>
      <w:r w:rsidRPr="00BE086B">
        <w:rPr>
          <w:sz w:val="28"/>
          <w:szCs w:val="28"/>
          <w:lang w:val="uk-UA"/>
        </w:rPr>
        <w:t>IL</w:t>
      </w:r>
      <w:r w:rsidRPr="00BE086B">
        <w:rPr>
          <w:sz w:val="28"/>
          <w:szCs w:val="28"/>
          <w:shd w:val="clear" w:color="auto" w:fill="FFFFFF"/>
          <w:lang w:val="uk-UA"/>
        </w:rPr>
        <w:t xml:space="preserve"> 6 та 11 (гормони регулюють активність цих цитокінів, модулюючи експресію їх рецепторів). При підвищенні рівня </w:t>
      </w:r>
      <w:r w:rsidRPr="00BE086B">
        <w:rPr>
          <w:sz w:val="28"/>
          <w:szCs w:val="28"/>
          <w:lang w:val="uk-UA"/>
        </w:rPr>
        <w:t>IL</w:t>
      </w:r>
      <w:r w:rsidRPr="00BE086B">
        <w:rPr>
          <w:sz w:val="28"/>
          <w:szCs w:val="28"/>
          <w:shd w:val="clear" w:color="auto" w:fill="FFFFFF"/>
          <w:lang w:val="uk-UA"/>
        </w:rPr>
        <w:t xml:space="preserve"> 6 у хворих на ОА відбувається деградація хряща і прогресування рентгенологічних змін. </w:t>
      </w:r>
      <w:r w:rsidRPr="00BE086B">
        <w:rPr>
          <w:sz w:val="28"/>
          <w:szCs w:val="28"/>
          <w:lang w:val="uk-UA"/>
        </w:rPr>
        <w:t>IL</w:t>
      </w:r>
      <w:r w:rsidRPr="00BE086B">
        <w:rPr>
          <w:sz w:val="28"/>
          <w:szCs w:val="28"/>
          <w:shd w:val="clear" w:color="auto" w:fill="FFFFFF"/>
          <w:lang w:val="uk-UA"/>
        </w:rPr>
        <w:t xml:space="preserve"> 6 сприяє збільшенню числа запальних клітин в синовіальній оболонці і болю, зумовленої запаленням [166-169</w:t>
      </w:r>
      <w:r w:rsidRPr="00BE086B">
        <w:rPr>
          <w:rFonts w:eastAsia="NewtonC"/>
          <w:sz w:val="28"/>
          <w:szCs w:val="28"/>
          <w:lang w:val="uk-UA" w:eastAsia="ru-RU"/>
        </w:rPr>
        <w:t>].</w:t>
      </w:r>
    </w:p>
    <w:p w:rsidR="00D92D95" w:rsidRPr="00BE086B" w:rsidRDefault="00D92D95" w:rsidP="00D92D95">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Відомо, що матриксні металопротеїнази (ММП) відносяться до позаклітинних цинкових протеїназ, які здатні специфічно гідролізувати основні білки позаклітинного матриксу. За специфічністю ММП можна розділити на коллагенази (ММП-1, -8 і -13), желатинази (ММП-2 і -9) і </w:t>
      </w:r>
      <w:r w:rsidRPr="00BE086B">
        <w:rPr>
          <w:rFonts w:ascii="Times New Roman" w:hAnsi="Times New Roman" w:cs="Times New Roman"/>
          <w:color w:val="auto"/>
          <w:sz w:val="28"/>
          <w:szCs w:val="28"/>
          <w:lang w:val="uk-UA"/>
        </w:rPr>
        <w:lastRenderedPageBreak/>
        <w:t xml:space="preserve">стромелізіни (ММП-3 і -10). Раніше вважалося, що головна роль в деструкції матриксу належить ММП-1, потім була встановлена важлива роль ММП-13 та ММП-3. ММП-3, або стромелізін-1, каталізує деградацію багатьох компонентів сполучної тканини, включаючи протеоглікани та колаген II типу. ММП-3 активує проформи ММП-1, 7, 8 та 13, і ця активація є ключовим моментом при патології хрящу. Експресія ММП-3 відображає активність захворювання та процес пошкодження суглобу при ОА та ревматоїдному артриті. Отримано дані, що ММП-3 відіграє важливу роль в процесах тканинного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ремоделювання,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зокрема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при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ОА.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Однак,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за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деякими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даними, при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ОА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рівень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експресії гену ММП-3 в хрящовій тканині знижений [170-172].</w:t>
      </w:r>
    </w:p>
    <w:p w:rsidR="00D92D95" w:rsidRPr="00BE086B" w:rsidRDefault="00D92D95" w:rsidP="00D92D95">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ММП-9 також відома як желатіназа B, секретується як профермент. Субстрати для ММП-9 включають денатурований колаген I типу, нативні колагени типів IV, V, VII, X і XI, фібриноген, вітронектин, IL-1 і ентактін. Базальні рівні ММП-9 зазвичай низькі, її експресія може індукуватися різними цитокінами/хемокінами, включаючи TNF-α і головним чином секретується запальними клітинами [171, 173]. ММП-9 приймає участь в процесах запалення, ремоделювання тканин і репарації, мобілізації матрикс-пов'язаних факторів росту і процесінгу цитокінів [170, 174].</w:t>
      </w:r>
    </w:p>
    <w:p w:rsidR="00D92D95" w:rsidRPr="00BE086B" w:rsidRDefault="00D92D95" w:rsidP="00D92D95">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ММП-13 відома як коллагеназа-3, має широку специфічність та руйнує колаген II типу. На теперішній час збільшується кількість досліджень, які підтверджують важливу роль ММП-13 в розвитку ОА та ревматоїдного артриту [170, 171, 173, 174]. ММП-13 бере участь в загоєнні ран у багатьох тканинах, включаючи кістку, райдужну оболонку ока і суглобову тканину [170, 171, 173, 175].</w:t>
      </w:r>
    </w:p>
    <w:p w:rsidR="00D92D95" w:rsidRPr="00BE086B" w:rsidRDefault="00D92D95" w:rsidP="00D92D95">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При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захворюваннях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опорно-рухового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апарату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ММП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утворюють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 зоні резорбції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кістки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та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хрящу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великі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комплекси,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що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складаються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двох</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 С-телопептидів молекул колагену I та II типу. Ці комплекси потрапляють у кровоток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і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потім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виводяться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сечею,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однак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їх </w:t>
      </w:r>
      <w:r w:rsidR="001142BF">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структура нестабільна, і вони руйнуються під дією катепсину К, а також протеолітичних ферментів у </w:t>
      </w:r>
      <w:r w:rsidRPr="00BE086B">
        <w:rPr>
          <w:rFonts w:ascii="Times New Roman" w:hAnsi="Times New Roman" w:cs="Times New Roman"/>
          <w:color w:val="auto"/>
          <w:sz w:val="28"/>
          <w:szCs w:val="28"/>
          <w:lang w:val="uk-UA"/>
        </w:rPr>
        <w:lastRenderedPageBreak/>
        <w:t>судинному руслі, в результаті чого у кровообігу циркулюють різні фрагменти С-телопептиду. При ОА спостерігається підвищення рівня багатьох ММП в сироватці крові, тканинах і синовіальній рідині [170, 172, 174, 176, 177].</w:t>
      </w:r>
    </w:p>
    <w:p w:rsidR="00D92D95" w:rsidRPr="00BE086B" w:rsidRDefault="00D92D95" w:rsidP="00D92D95">
      <w:pPr>
        <w:autoSpaceDE w:val="0"/>
        <w:spacing w:line="360" w:lineRule="auto"/>
        <w:ind w:firstLine="709"/>
        <w:jc w:val="both"/>
        <w:rPr>
          <w:lang w:val="uk-UA"/>
        </w:rPr>
      </w:pPr>
      <w:r w:rsidRPr="00BE086B">
        <w:rPr>
          <w:sz w:val="28"/>
          <w:szCs w:val="28"/>
          <w:lang w:val="uk-UA"/>
        </w:rPr>
        <w:t xml:space="preserve">Також відомо, що </w:t>
      </w:r>
      <w:r w:rsidRPr="00BE086B">
        <w:rPr>
          <w:sz w:val="28"/>
          <w:szCs w:val="28"/>
          <w:shd w:val="clear" w:color="auto" w:fill="FFFFFF"/>
          <w:lang w:val="uk-UA"/>
        </w:rPr>
        <w:t>запальні цитокіни стимулюють синтез ММП, які руйнують всі компоненти позаклітинного матриксу при ОА. ММП-13 пошкоджує хондроцити та окрім колагену II типу руйнує молекули протеоглікану та агрегану. Експресія ММП-3 та ММП-9 підвищується при ОА і ці ферменти руйнують неколагенові матричні компоненти суглобів. ММП-3 вважається системним маркером, який відображає локальне запалення суглобу [178, 179].</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shd w:val="clear" w:color="auto" w:fill="FFFFFF"/>
          <w:lang w:val="uk-UA"/>
        </w:rPr>
        <w:t>При вивчені літературних джерел було встановлено, що в експериментальних роботах з дослідження ОА автори також спостерігали аналогічні підвищення рівня ММП за умов експериментальних моделей ОА [179-181]. Ці роботи підтверджують підвищення рівня ММП на фоні експериментального дегенеративно-дистрофічного процесу у суглобі. Нажаль робіт з дослідження ММП на фоні експериментального ОА та гіпотиреозу нами знайдено не було.</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Відомо, що концентрація С-реактивного протеїну змінюється більш швидко порівняно з іншими гострофазовими білками [182-184] та лікування стероїдами та НПЗЗ може значно вплинути на зменшення концентрації протеїну [185].</w:t>
      </w:r>
    </w:p>
    <w:p w:rsidR="00D92D95" w:rsidRPr="00BE086B" w:rsidRDefault="00D92D95" w:rsidP="00D92D95">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Відомо, що С-реактивний протеїн, складається з 5 субодиниць, синтезується в печінці і присутній в крові в нормі практично у всіх здорових осіб (близько 1 мкг/мл) при відсутності запального процесу. Свою назву протеїн отримав ще в 1930 році завдяки тому, що він здатний зв'язувати С-полісахарид пневмококів. Основним регулятором його синтезу є інтерлейкін-6, фактор некрозу пухлини та інтерлейкін-1. Зазвичай концентрація С-реактивного протеїну підвищується в крові через 6 годин після початку запальної реакції або пошкодження тканин, тому його відносять до </w:t>
      </w:r>
      <w:r w:rsidRPr="00BE086B">
        <w:rPr>
          <w:rFonts w:ascii="Times New Roman" w:hAnsi="Times New Roman" w:cs="Times New Roman"/>
          <w:color w:val="auto"/>
          <w:sz w:val="28"/>
          <w:szCs w:val="28"/>
          <w:lang w:val="uk-UA"/>
        </w:rPr>
        <w:lastRenderedPageBreak/>
        <w:t>неспецифічних показників гострої фази запалення та досліджують при захворюваннях опорно-рухового апарату [182, 183, 186].</w:t>
      </w:r>
    </w:p>
    <w:p w:rsidR="00D92D95" w:rsidRPr="00BE086B" w:rsidRDefault="00D92D95" w:rsidP="00D92D95">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Фактор некрозу пухлин альфа </w:t>
      </w:r>
      <w:r w:rsidR="00EC5E77" w:rsidRPr="00BE086B">
        <w:rPr>
          <w:rFonts w:ascii="Times New Roman" w:hAnsi="Times New Roman" w:cs="Times New Roman"/>
          <w:color w:val="auto"/>
          <w:sz w:val="28"/>
          <w:szCs w:val="28"/>
          <w:lang w:val="uk-UA"/>
        </w:rPr>
        <w:t xml:space="preserve">(ФНП) </w:t>
      </w:r>
      <w:r w:rsidRPr="00BE086B">
        <w:rPr>
          <w:rFonts w:ascii="Times New Roman" w:hAnsi="Times New Roman" w:cs="Times New Roman"/>
          <w:color w:val="auto"/>
          <w:sz w:val="28"/>
          <w:szCs w:val="28"/>
          <w:lang w:val="uk-UA"/>
        </w:rPr>
        <w:t xml:space="preserve">(TNF-α) є прозапальним цитокіном, який грає важливу роль в патогенезі ОА [187-189]. Також відомо, що ФНП є прогностичним маркером у визначені риску розвитку ОА [190, 191]. В досліджені </w:t>
      </w:r>
      <w:r w:rsidRPr="00BE086B">
        <w:rPr>
          <w:rFonts w:ascii="Times New Roman" w:hAnsi="Times New Roman" w:cs="Times New Roman"/>
          <w:color w:val="auto"/>
          <w:sz w:val="28"/>
          <w:szCs w:val="28"/>
          <w:lang w:val="uk-UA" w:eastAsia="ru-RU"/>
        </w:rPr>
        <w:t xml:space="preserve">С. </w:t>
      </w:r>
      <w:r w:rsidRPr="00BE086B">
        <w:rPr>
          <w:rFonts w:ascii="Times New Roman" w:hAnsi="Times New Roman" w:cs="Times New Roman"/>
          <w:color w:val="auto"/>
          <w:sz w:val="28"/>
          <w:szCs w:val="28"/>
          <w:lang w:val="uk-UA"/>
        </w:rPr>
        <w:t>Chen з співавт. (2015) встановлено, що інтерлейкін-1β (IL-1β) і ФНП (TNF-α) збільшують щільність і порушують суглобові хондроцити [192]. Разом з інтерлейкіном-1 та 6, матричними металопротеазами 1 та 3, ФНП пов'язаний з розвитком ОА у людей похилого віку [193, 194]. Також встановлено, що фармакологічна нейтралізація ФНП (TNFα) запобігає сенсибілізації, яка спричинена цитокінами [194, 195].</w:t>
      </w:r>
    </w:p>
    <w:p w:rsidR="00D92D95" w:rsidRPr="00BE086B" w:rsidRDefault="00D92D95" w:rsidP="00D92D95">
      <w:pPr>
        <w:pStyle w:val="WW-"/>
        <w:autoSpaceDE w:val="0"/>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Відомо, що лужна фосфатаза це група ферментів класу гідролаз (ортофосфомоноестерфосфогідролаза), що містяться практично в усіх тканинах організму, з переважною локалізацією в печінці, кістках і плаценті, тому виділяють її ізоферментні форми (кісткову, кишкову та гепатобіліарну) [196-198].</w:t>
      </w:r>
    </w:p>
    <w:p w:rsidR="00D92D95" w:rsidRPr="00BE086B" w:rsidRDefault="00D92D95" w:rsidP="00D92D95">
      <w:pPr>
        <w:pStyle w:val="WW-"/>
        <w:autoSpaceDE w:val="0"/>
        <w:spacing w:after="0" w:line="360" w:lineRule="auto"/>
        <w:ind w:firstLine="709"/>
        <w:jc w:val="both"/>
        <w:rPr>
          <w:rFonts w:ascii="Times New Roman" w:hAnsi="Times New Roman" w:cs="Times New Roman"/>
          <w:color w:val="auto"/>
          <w:kern w:val="2"/>
          <w:lang w:val="uk-UA"/>
        </w:rPr>
      </w:pPr>
      <w:r w:rsidRPr="00BE086B">
        <w:rPr>
          <w:rFonts w:ascii="Times New Roman" w:hAnsi="Times New Roman" w:cs="Times New Roman"/>
          <w:color w:val="auto"/>
          <w:sz w:val="28"/>
          <w:szCs w:val="28"/>
          <w:lang w:val="uk-UA"/>
        </w:rPr>
        <w:t>Рецептори лужної фосфатази розташовані на клітинній мембрані, фермент каталізує процес відщеплення фосфорної кислоти від її органічних сполук та приймає участь у транспорті органічного та неорганічного фосфору [197]. Лужна фосфатаза бере участь в обміні фосфорної кислоти, розщеплюючи її від органічних сполук і сприяючи транспорту фосфору в організмі [196, 198]. Найвищий рівень змісту лужної фосфатази - в кістковій тканині, слизовій оболонці кишковика, в плаценті і молочній залозі під час лактації. У кістках лужна фосфатаза утворюється в спеціальних клітинах - остеобластах, які відіграють важливу роль у формуванні і оновленні кісткової тканини [198]. Чим вище активність остеобластів, тим вище активність лужної фосфатази в крові, тому у дітей і осіб, що перенесли переломи кісток, активність лужної фосфатази на високому рівні. Будь-які стани, які пов'язані із зростанням кісток або підвищеною активністю кісткових клітин, підвищують активність лужної фосфатази [199-202].</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Кісткова лужна фосфатаза приймає участь у процесах, пов’язаних з ростом кісток, тому її рівень у сироватці крові збільшується під час періоду росту структур опорно-рухового апарату та більше визначається у дітей, ніж у дорослих [203]. Патологічне підвищення активності кісткової лужної фосфатази у сироватці крові, пов’язано з захворюваннями кісток та при формуванні нової кісткової тканини, як на фоні зрощення перелому так і на фоні неопластичного процесу [202, 203].</w:t>
      </w:r>
    </w:p>
    <w:p w:rsidR="00D92D95" w:rsidRPr="00BE086B" w:rsidRDefault="00D92D95" w:rsidP="00D92D95">
      <w:pPr>
        <w:autoSpaceDE w:val="0"/>
        <w:spacing w:line="360" w:lineRule="auto"/>
        <w:ind w:firstLine="709"/>
        <w:jc w:val="both"/>
        <w:rPr>
          <w:sz w:val="28"/>
          <w:szCs w:val="28"/>
          <w:shd w:val="clear" w:color="auto" w:fill="FFFFFF"/>
          <w:lang w:val="uk-UA"/>
        </w:rPr>
      </w:pPr>
      <w:r w:rsidRPr="00BE086B">
        <w:rPr>
          <w:sz w:val="28"/>
          <w:szCs w:val="28"/>
          <w:lang w:val="uk-UA"/>
        </w:rPr>
        <w:t xml:space="preserve">Відомо, що концентрація кісткової лужної фосфатази змінюється більш швидко в клітинах мінералізованої тканини та відіграє важливу роль в утворені твердих тканин [197, 202], проте вважається, що існуючі значення цього критичного ферменту потрібно періодично переглядати [197]. Також у дослідженні </w:t>
      </w:r>
      <w:r w:rsidRPr="00BE086B">
        <w:rPr>
          <w:sz w:val="28"/>
          <w:szCs w:val="28"/>
          <w:shd w:val="clear" w:color="auto" w:fill="FFFFFF"/>
          <w:lang w:val="uk-UA"/>
        </w:rPr>
        <w:t xml:space="preserve">Nizet A. </w:t>
      </w:r>
      <w:r w:rsidRPr="00BE086B">
        <w:rPr>
          <w:sz w:val="28"/>
          <w:szCs w:val="28"/>
          <w:lang w:val="uk-UA"/>
        </w:rPr>
        <w:t>et al. (2020) автори встановили,</w:t>
      </w:r>
      <w:r w:rsidRPr="00BE086B">
        <w:rPr>
          <w:sz w:val="28"/>
          <w:szCs w:val="28"/>
          <w:shd w:val="clear" w:color="auto" w:fill="FFFFFF"/>
          <w:lang w:val="uk-UA"/>
        </w:rPr>
        <w:t xml:space="preserve"> що разом з паратгормоном ЩЗ, сивороткову концентрацію КЛФ можна запропонувати в якості біомаркеру метаболізму кісткової тканини </w:t>
      </w:r>
      <w:r w:rsidRPr="00BE086B">
        <w:rPr>
          <w:sz w:val="28"/>
          <w:szCs w:val="28"/>
          <w:lang w:val="uk-UA"/>
        </w:rPr>
        <w:t>[198].</w:t>
      </w:r>
    </w:p>
    <w:p w:rsidR="00D92D95" w:rsidRPr="00BE086B" w:rsidRDefault="00D92D95" w:rsidP="00D92D95">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Рівень лужної фосфатази понижений при гіпотиреозі, порушеннях зростання кістки, нестачі цинку, магнію, вітаміну В12 або С (цинга) в їжі, анемії [197, 198, 200]. Найбільшим позапечінковим джерелом КЛФ є кісткова тканина [198]. При інтерпретації результатів треба враховувати, що зміст КЛФ в сироватці крові збільшений як при зростанні кісток (у дитячому віці, при акромегалії), так і при загоєнні переломів [201]. Лужним цей ензим називається тому, що його максимальна активність досягається в лужному (pH 9-10) середовищі [202]. Патологічні кісткові процеси: остеобластні метастази в кістках (при злоякісних пухлинах грудей і передміхурової залози), хвороба Педжета (часто зустрічається ізольований підйом КЛФ), ревматоїдний артрит і остеомаляція [199, 203]. </w:t>
      </w:r>
      <w:r w:rsidRPr="00BE086B">
        <w:rPr>
          <w:rFonts w:ascii="Times New Roman" w:hAnsi="Times New Roman" w:cs="Times New Roman"/>
          <w:color w:val="auto"/>
          <w:sz w:val="28"/>
          <w:szCs w:val="28"/>
          <w:shd w:val="clear" w:color="auto" w:fill="FFFFFF"/>
          <w:lang w:val="uk-UA"/>
        </w:rPr>
        <w:t>Нажаль робіт з дослідження КЛФ на фоні експериментального ОА та гіпотиреозу нами знайдено не було.</w:t>
      </w:r>
    </w:p>
    <w:p w:rsidR="00D92D95" w:rsidRPr="00BE086B" w:rsidRDefault="00D92D95" w:rsidP="00D92D95">
      <w:pPr>
        <w:pStyle w:val="western"/>
        <w:shd w:val="clear" w:color="auto" w:fill="FFFFFF"/>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Важливим питанням експериментального дослідження ОА є формування патологічного процесу у тварин [204, 205]. Створення експериментальної моделі покликане відтворити патологічний процес, який за своїми етіологічними і/або патогенетичними ознаками ідентичний </w:t>
      </w:r>
      <w:r w:rsidRPr="00BE086B">
        <w:rPr>
          <w:rFonts w:ascii="Times New Roman" w:hAnsi="Times New Roman" w:cs="Times New Roman"/>
          <w:color w:val="auto"/>
          <w:sz w:val="28"/>
          <w:szCs w:val="28"/>
          <w:lang w:val="uk-UA"/>
        </w:rPr>
        <w:lastRenderedPageBreak/>
        <w:t>захворюванню у людини [205]. Проте часто при створенні експериментальної моделі практично неможливо відтворити усю багатогранність патологічного процесу і чим складніше захворювання, тим з великими труднощами стикається дослідник [204]. Ще одна проблема при виборі методики моделювання пов'язана з наявністю величезної кількості експериментальних моделей патології хрящової тканини. У зв'язку з цим перед дослідником виникає закономірне питання про вибір найбільш оптимальної експериментальної моделі, яка максимально відповідатиме завданням дослідження [205-208].</w:t>
      </w:r>
    </w:p>
    <w:p w:rsidR="00D92D95" w:rsidRPr="00BE086B" w:rsidRDefault="00D92D95" w:rsidP="00D92D95">
      <w:pPr>
        <w:spacing w:line="360" w:lineRule="auto"/>
        <w:ind w:firstLine="709"/>
        <w:jc w:val="both"/>
        <w:rPr>
          <w:lang w:val="uk-UA"/>
        </w:rPr>
      </w:pPr>
      <w:r w:rsidRPr="00BE086B">
        <w:rPr>
          <w:sz w:val="28"/>
          <w:szCs w:val="28"/>
          <w:lang w:val="uk-UA"/>
        </w:rPr>
        <w:t>Для експериментального моделювання використовують щурів, мишей, мурчаків, кролів, курчат, собак, овець, приматів [204]. Вибір тварини при створенні експериментальної моделі ґрунтується на особливостях вживаної методики, доцільності відтворення усього дегенеративно-дистрофічного процесу або тільки якихось його етапів, супутньої патології і можливостей дослідника. Оскільки найбільш часта локалізація ОА у людини це колінний і тазостегнові суглоби, ці суглоби є предметом уваги дослідників при експериментальному моделюванні дегенеративно-дистрофічного процесу [209-213].</w:t>
      </w:r>
    </w:p>
    <w:p w:rsidR="00D92D95" w:rsidRPr="00BE086B" w:rsidRDefault="00D92D95" w:rsidP="00D92D95">
      <w:pPr>
        <w:spacing w:line="360" w:lineRule="auto"/>
        <w:ind w:firstLine="709"/>
        <w:jc w:val="both"/>
        <w:rPr>
          <w:lang w:val="uk-UA"/>
        </w:rPr>
      </w:pPr>
      <w:r w:rsidRPr="00BE086B">
        <w:rPr>
          <w:sz w:val="28"/>
          <w:szCs w:val="28"/>
          <w:lang w:val="uk-UA"/>
        </w:rPr>
        <w:t>Для систематизації існуючих способів створення патології хрящової тканини [214-218] доцільно використати класифікацію, яка підрозділяє експериментальні моделі за шляхом впливу на хрящову тканину [204]. Так експериментальні моделі можна розділити на моделі, які формуються шляхом введення в суглоб [219-223] хімічних речовин [224-228], дії фізичними чинниками [229-233] та хірургічні експериментальні моделі [234-238]. При цьому первинний ОА моделюється при використанні хімічних і фізичних чинників, а вторинний (зокрема, посттравматичний) ОА формується при використанні хірургічних методів [239-243].</w:t>
      </w:r>
    </w:p>
    <w:p w:rsidR="00D92D95" w:rsidRPr="00BE086B" w:rsidRDefault="00D92D95" w:rsidP="00D92D95">
      <w:pPr>
        <w:pStyle w:val="afd"/>
        <w:spacing w:after="0" w:line="360" w:lineRule="auto"/>
        <w:ind w:firstLine="709"/>
        <w:jc w:val="both"/>
        <w:rPr>
          <w:rFonts w:ascii="Times New Roman" w:hAnsi="Times New Roman"/>
          <w:sz w:val="28"/>
          <w:szCs w:val="28"/>
          <w:lang w:val="uk-UA"/>
        </w:rPr>
      </w:pPr>
      <w:r w:rsidRPr="00BE086B">
        <w:rPr>
          <w:rFonts w:ascii="Times New Roman" w:hAnsi="Times New Roman"/>
          <w:sz w:val="28"/>
          <w:szCs w:val="28"/>
          <w:lang w:val="uk-UA"/>
        </w:rPr>
        <w:t xml:space="preserve">На наш погляд для відтворення ОА найбільш доцільно використання розчину монойодоцтової кислоти (МОК) шляхом внутрішньосуглобового введення. Вперше розчин МОК для експериментального моделювання ОА </w:t>
      </w:r>
      <w:r w:rsidRPr="00BE086B">
        <w:rPr>
          <w:rFonts w:ascii="Times New Roman" w:hAnsi="Times New Roman"/>
          <w:sz w:val="28"/>
          <w:szCs w:val="28"/>
          <w:lang w:val="uk-UA"/>
        </w:rPr>
        <w:lastRenderedPageBreak/>
        <w:t>використали Williams J.M. та Brandt K.D. у 1982 році на мурчаках. Перша дискусія о використанні розчина МОК зустрічається в роботі Dunham H. з співавт. (1993). Автори стверджували, що МОК спричинює зміни суглобового хряща, які за біохімічними та морфологічними параметрами нагадують зміни при ОА людини [243].</w:t>
      </w:r>
    </w:p>
    <w:p w:rsidR="00D92D95" w:rsidRPr="00BE086B" w:rsidRDefault="00D92D95" w:rsidP="00D92D95">
      <w:pPr>
        <w:pStyle w:val="afd"/>
        <w:spacing w:after="0" w:line="360" w:lineRule="auto"/>
        <w:ind w:firstLine="709"/>
        <w:jc w:val="both"/>
        <w:rPr>
          <w:rFonts w:ascii="Times New Roman" w:hAnsi="Times New Roman"/>
          <w:sz w:val="28"/>
          <w:szCs w:val="28"/>
          <w:lang w:val="uk-UA"/>
        </w:rPr>
      </w:pPr>
      <w:r w:rsidRPr="00BE086B">
        <w:rPr>
          <w:rFonts w:ascii="Times New Roman" w:hAnsi="Times New Roman"/>
          <w:sz w:val="28"/>
          <w:szCs w:val="28"/>
          <w:lang w:val="uk-UA"/>
        </w:rPr>
        <w:t>МОК є інгібітором гліколізу. Вплив кислоти при внутрішньосуглобовому введені заснований на блокуванні гліцеральдегід-3-фосфатдегідрогенази, що перешкоджає перетворенню 1,3-діфосфогліцеральдегіду у 1,3-гліцеринову кислоту та спричинює загибель хондроцитів in vitro [244].</w:t>
      </w:r>
    </w:p>
    <w:p w:rsidR="00D92D95" w:rsidRPr="00BE086B" w:rsidRDefault="00D92D95" w:rsidP="00D92D95">
      <w:pPr>
        <w:pStyle w:val="afd"/>
        <w:spacing w:after="0" w:line="360" w:lineRule="auto"/>
        <w:ind w:firstLine="709"/>
        <w:jc w:val="both"/>
        <w:rPr>
          <w:rFonts w:ascii="Times New Roman" w:hAnsi="Times New Roman"/>
          <w:sz w:val="28"/>
          <w:szCs w:val="28"/>
          <w:lang w:val="uk-UA"/>
        </w:rPr>
      </w:pPr>
      <w:r w:rsidRPr="00BE086B">
        <w:rPr>
          <w:rFonts w:ascii="Times New Roman" w:hAnsi="Times New Roman"/>
          <w:sz w:val="28"/>
          <w:szCs w:val="28"/>
          <w:lang w:val="uk-UA"/>
        </w:rPr>
        <w:t xml:space="preserve">Внутрішньосуглобове введення МОК призводить до порушення гліколізу та апоптозу хондроцитів. Цей процес звичайно супроводжується вираженою начальною запальною реакцією (потовщення синовіальної капсули суглоба, її інфільтрація макрофагами, нейтрофілами та лімфоцитами). Проте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на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подальшому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етапі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(до 25-30 доби)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розвиваються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дегенеративно-дистрофічні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зміни,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які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перебігають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без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виражених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запальних змін [245-248].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У </w:t>
      </w:r>
      <w:r w:rsidR="007B5280">
        <w:rPr>
          <w:rFonts w:ascii="Times New Roman" w:hAnsi="Times New Roman"/>
          <w:sz w:val="28"/>
          <w:szCs w:val="28"/>
          <w:lang w:val="uk-UA"/>
        </w:rPr>
        <w:t xml:space="preserve"> </w:t>
      </w:r>
      <w:r w:rsidRPr="00BE086B">
        <w:rPr>
          <w:rFonts w:ascii="Times New Roman" w:hAnsi="Times New Roman"/>
          <w:sz w:val="28"/>
          <w:szCs w:val="28"/>
          <w:lang w:val="uk-UA"/>
        </w:rPr>
        <w:t>зв’язку з цим патофізіологія болю у суглобах при виконанні цієї моделі вважається цілком різною від моделі гострого запального артриту [249-252].</w:t>
      </w:r>
    </w:p>
    <w:p w:rsidR="00D92D95" w:rsidRPr="00BE086B" w:rsidRDefault="00D92D95" w:rsidP="00D92D95">
      <w:pPr>
        <w:pStyle w:val="afd"/>
        <w:spacing w:after="0" w:line="360" w:lineRule="auto"/>
        <w:ind w:firstLine="709"/>
        <w:jc w:val="both"/>
        <w:rPr>
          <w:rFonts w:ascii="Times New Roman" w:hAnsi="Times New Roman"/>
          <w:sz w:val="28"/>
          <w:szCs w:val="28"/>
          <w:lang w:val="uk-UA"/>
        </w:rPr>
      </w:pPr>
      <w:r w:rsidRPr="00BE086B">
        <w:rPr>
          <w:rFonts w:ascii="Times New Roman" w:hAnsi="Times New Roman"/>
          <w:sz w:val="28"/>
          <w:szCs w:val="28"/>
          <w:lang w:val="uk-UA"/>
        </w:rPr>
        <w:t>У порівнянні з іншими експериментальними моделями, модель ОА, індукована за допомогою МОК має високу відтворюваність та імітує біль при ОА у людини [253-256]. Гістологічні зміни при використанні моделі ОА за допомогою МОК характеризуються деградацією хряща [257-259], субхондральними змінами кістки [227, 242, 260-262], синовіальним запаленням [263-266] та утворенням остеофітів [243, 245, 257, 258]. Хоча інтенсивне</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 запалення </w:t>
      </w:r>
      <w:r w:rsidR="007B5280">
        <w:rPr>
          <w:rFonts w:ascii="Times New Roman" w:hAnsi="Times New Roman"/>
          <w:sz w:val="28"/>
          <w:szCs w:val="28"/>
          <w:lang w:val="uk-UA"/>
        </w:rPr>
        <w:t xml:space="preserve"> </w:t>
      </w:r>
      <w:r w:rsidRPr="00BE086B">
        <w:rPr>
          <w:rFonts w:ascii="Times New Roman" w:hAnsi="Times New Roman"/>
          <w:sz w:val="28"/>
          <w:szCs w:val="28"/>
          <w:lang w:val="uk-UA"/>
        </w:rPr>
        <w:t xml:space="preserve">звичайно завершується на початковій стадії формування моделі [265], стійке підвищення рівня прозапальних цитокінів спостерігається навіть після зникнення запальних інфільтратів [248, 253, 256, 266]. Больова поведінка піддослідних тварин включає біль, пов’язану з тяжкістю патологічного процесу, тактильну алодінію та механічну </w:t>
      </w:r>
      <w:r w:rsidRPr="00BE086B">
        <w:rPr>
          <w:rFonts w:ascii="Times New Roman" w:hAnsi="Times New Roman"/>
          <w:sz w:val="28"/>
          <w:szCs w:val="28"/>
          <w:lang w:val="uk-UA"/>
        </w:rPr>
        <w:lastRenderedPageBreak/>
        <w:t>гіпералгезію [249-252]. Тому велика кількість авторів в теперішній час використовують визначену модель в якості стандарту відтворення ОА [204, 206, 209, 242, 259]. Крім того, клінічні дослідження передбачають існування невропатичного компоненту при болю на фоні ОА [267-271], а в деяких роботах показано, що ін’єкція МОК у колінний суглоб щура викликала не тільки запалення і дегенеративно-дистрофічні зміни, але й відтворювала можливий нейропатичний компонент з залученням аференту у суглоб [272-274].</w:t>
      </w:r>
    </w:p>
    <w:p w:rsidR="00D92D95" w:rsidRPr="00BE086B" w:rsidRDefault="00D92D95" w:rsidP="00D92D95">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підставі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аналітичного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огляду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вітчизняної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та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закордонної літератури встановлено, що ОА є поширеною та соціально значущою патологією перші ознаки якої можуть бути визначені у 30-річному віці та яка з часом призводить до обмеження якості життя та інвалідності хворих. Причиною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виникнення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та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розвитку ОА вважається порушення співвідношень механічного навантаження на суглоб та можливостями фізіологічного відновлення гіалінового хряща після цього навантаження, що призводить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формування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«хибного кола»,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яке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пов’язане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розвитком</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 і підтриманням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запалення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у суглобі та прогресуючою деструкцією хряща. Головним симптомом, </w:t>
      </w:r>
      <w:r w:rsidR="007B5280">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який обтяжує протікання ОА та обумовлює інвалідність хворих є біль. На теперішній час причина болю у суглобі при ОА остаточно не встановлена. Вважається, що причиною болю при ОА є каскад біохімічних змін, які виникають у відповідь на деструкцію хондроцитів та обумовлюють розвиток запалення. На сьогоднішній день існує очевидна необхідність в визначені біохімічних маркерів, які могли б визначити інтенсивність патологічного процесу, передбачити реакцію пацієнта на лікування ОА та зазначити ефективність лікування насамперед при коморбідних станах. Також важливим питанням експериментального дослідження ОА є формування патологічного процесу у тварин для чого найбільш доцільно використання розчину монойодоцтової кислоти (МОК) шляхом внутрішньосуглобового введення. Даний спосіб експериментального </w:t>
      </w:r>
      <w:r w:rsidRPr="00BE086B">
        <w:rPr>
          <w:rFonts w:ascii="Times New Roman" w:hAnsi="Times New Roman" w:cs="Times New Roman"/>
          <w:color w:val="auto"/>
          <w:sz w:val="28"/>
          <w:szCs w:val="28"/>
          <w:lang w:val="uk-UA"/>
        </w:rPr>
        <w:lastRenderedPageBreak/>
        <w:t>моделювання ОА має високу відтворюваність, імітує біль та гістологічні зміни, які притаманні патологічному процесу у людини.</w:t>
      </w:r>
    </w:p>
    <w:p w:rsidR="00D92D95" w:rsidRPr="00BE086B" w:rsidRDefault="00D92D95" w:rsidP="00D92D95">
      <w:pPr>
        <w:spacing w:line="360" w:lineRule="auto"/>
        <w:ind w:firstLine="709"/>
        <w:jc w:val="both"/>
        <w:rPr>
          <w:sz w:val="28"/>
          <w:szCs w:val="28"/>
          <w:lang w:val="uk-UA"/>
        </w:rPr>
      </w:pPr>
      <w:r w:rsidRPr="00BE086B">
        <w:rPr>
          <w:sz w:val="28"/>
          <w:szCs w:val="28"/>
          <w:lang w:val="uk-UA" w:eastAsia="ru-RU"/>
        </w:rPr>
        <w:t xml:space="preserve">На сьогоднішній день лікування ОА спрямоване на уповільнення прогресування захворювання, профілактику функціональних порушень, обмеження проявів захворювання (болю та запалення), поліпшення якості життя хворих та попередження інвалідності </w:t>
      </w:r>
      <w:r w:rsidRPr="00BE086B">
        <w:rPr>
          <w:sz w:val="28"/>
          <w:szCs w:val="28"/>
          <w:lang w:val="uk-UA"/>
        </w:rPr>
        <w:t xml:space="preserve">[16-18, 30, 60]. </w:t>
      </w:r>
      <w:r w:rsidRPr="00BE086B">
        <w:rPr>
          <w:sz w:val="28"/>
          <w:szCs w:val="28"/>
          <w:lang w:val="uk-UA" w:eastAsia="ru-RU"/>
        </w:rPr>
        <w:t xml:space="preserve">Як вже було зазначено вище головним симптомом, який обтяжує течію ОА є біль </w:t>
      </w:r>
      <w:r w:rsidRPr="00BE086B">
        <w:rPr>
          <w:sz w:val="28"/>
          <w:szCs w:val="28"/>
          <w:lang w:val="uk-UA"/>
        </w:rPr>
        <w:t>[81-85]</w:t>
      </w:r>
      <w:r w:rsidRPr="00BE086B">
        <w:rPr>
          <w:sz w:val="28"/>
          <w:szCs w:val="28"/>
          <w:lang w:val="uk-UA" w:eastAsia="ru-RU"/>
        </w:rPr>
        <w:t>.</w:t>
      </w:r>
    </w:p>
    <w:p w:rsidR="00D92D95" w:rsidRPr="00BE086B" w:rsidRDefault="00D92D95" w:rsidP="00D92D95">
      <w:pPr>
        <w:spacing w:line="360" w:lineRule="auto"/>
        <w:ind w:firstLine="709"/>
        <w:jc w:val="both"/>
        <w:rPr>
          <w:bCs/>
          <w:sz w:val="28"/>
          <w:szCs w:val="28"/>
          <w:lang w:val="uk-UA"/>
        </w:rPr>
      </w:pPr>
      <w:r w:rsidRPr="00BE086B">
        <w:rPr>
          <w:bCs/>
          <w:sz w:val="28"/>
          <w:szCs w:val="28"/>
          <w:lang w:val="uk-UA"/>
        </w:rPr>
        <w:t xml:space="preserve">Сучасна концепція раціональної аналгетичної фармакотерапії передбачає вплив на різні ланки патогенезу болю. Перший її етап - усунення впливу шкідливого чинника (якщо це можливо), а також усунення локальної реакції організму на пошкодження з використанням препаратів, що блокують синтез медіаторів болю і запалення. Серед цих медіаторів дуже важливе місце належить простагландинам, які активно синтезуються в області пошкодження за участю ферменту ЦОГ-2. Простагландини відповідальні за розвиток локального набряку, підвищення проникності судин, порушення мікроциркуляції, хемотаксис клітин запальної відповіді і безпосередньо впливають  на  процес виникнення і передачі больового імпульсу, викликаючи підвищення чутливості периферичних ноцицепторів і аферентних нейронів задніх рогів спинного мозку. Цей механізм має універсальний характер в патогенезі больового синдрому, незалежно від причини, що викликала локальне пошкодження, і є обґрунтуванням для застосування НПЗЗ в комплексній болетамуючий терапії </w:t>
      </w:r>
      <w:r w:rsidRPr="00BE086B">
        <w:rPr>
          <w:sz w:val="28"/>
          <w:szCs w:val="28"/>
          <w:lang w:val="uk-UA"/>
        </w:rPr>
        <w:t>[89, 90, 93, 101, 103]</w:t>
      </w:r>
      <w:r w:rsidRPr="00BE086B">
        <w:rPr>
          <w:bCs/>
          <w:sz w:val="28"/>
          <w:szCs w:val="28"/>
          <w:lang w:val="uk-UA"/>
        </w:rPr>
        <w:t>.</w:t>
      </w:r>
    </w:p>
    <w:p w:rsidR="00D92D95" w:rsidRPr="00BE086B" w:rsidRDefault="00D92D95" w:rsidP="00D92D95">
      <w:pPr>
        <w:spacing w:line="360" w:lineRule="auto"/>
        <w:ind w:firstLine="709"/>
        <w:jc w:val="both"/>
        <w:rPr>
          <w:bCs/>
          <w:sz w:val="28"/>
          <w:szCs w:val="28"/>
          <w:lang w:val="uk-UA"/>
        </w:rPr>
      </w:pPr>
      <w:r w:rsidRPr="00BE086B">
        <w:rPr>
          <w:bCs/>
          <w:sz w:val="28"/>
          <w:szCs w:val="28"/>
          <w:lang w:val="uk-UA"/>
        </w:rPr>
        <w:t xml:space="preserve">На сьогоднішній день НПЗЗ є найважливішим способом контролю гострого та хронічного болю, пов'язаного з пошкодженням і запаленням. Відомо, що препарати цієї групи регулярно призначають понад 80% лікарів різного фаху. Це обумовлено поєднанням протизапальних, аналгетичних, жарознижуючих і антитромботичних властивостей, що перекривають майже весь спектр основних симптомів, найбільш характерних в тому числі для захворювань опорно-рухового апарату </w:t>
      </w:r>
      <w:r w:rsidRPr="00BE086B">
        <w:rPr>
          <w:sz w:val="28"/>
          <w:szCs w:val="28"/>
          <w:lang w:val="uk-UA"/>
        </w:rPr>
        <w:t>[275]</w:t>
      </w:r>
      <w:r w:rsidRPr="00BE086B">
        <w:rPr>
          <w:bCs/>
          <w:sz w:val="28"/>
          <w:szCs w:val="28"/>
          <w:lang w:val="uk-UA"/>
        </w:rPr>
        <w:t>.</w:t>
      </w:r>
    </w:p>
    <w:p w:rsidR="00D92D95" w:rsidRPr="00BE086B" w:rsidRDefault="00D92D95" w:rsidP="00D92D95">
      <w:pPr>
        <w:spacing w:line="360" w:lineRule="auto"/>
        <w:ind w:firstLine="709"/>
        <w:jc w:val="both"/>
        <w:rPr>
          <w:bCs/>
          <w:sz w:val="28"/>
          <w:szCs w:val="28"/>
          <w:lang w:val="uk-UA"/>
        </w:rPr>
      </w:pPr>
      <w:r w:rsidRPr="00BE086B">
        <w:rPr>
          <w:bCs/>
          <w:sz w:val="28"/>
          <w:szCs w:val="28"/>
          <w:lang w:val="uk-UA"/>
        </w:rPr>
        <w:lastRenderedPageBreak/>
        <w:t xml:space="preserve">Відомо, що НПЗЗ – це гетерогенна група лікарських засобів, серед яких найбільш широко використовуються близько 20 оригінальних препаратів, що відносяться до декількох основних хімічних груп (похідні саліцилової, індолової, пропіонової, гетероарілоцтової, еноліокової кислот, оксиками, сульфонаміди та інш.). Причиною широкого використання НПЗЗ є механізм дії цього класу лікарських засобів, який пов'язаний з пригніченням синтезу про-простагландинів шляхом гальмування каскаду арахідонової кислоти, інгібуючи фермент циклооксигеназу (ЦОГ-1 або ЦОГ-2). Протизапальна дія НПЗЗ також пов'язана з гальмуванням перекисного окислення ліпідів, стабілізацією лізосомальних мембран (що перешкоджає виходу лізосомальних ферментів і попереджає пошкодження клітин), з гальмуванням процесів утворення макроергічних сполук в процесах окисного фосфорилювання (зниження енергозабезпечення запального процесу і гальмування хемотаксису клітин у вогнище запалення), гальмуванням агрегації нейтрофілів (порушується вивільнення з них медіаторів запалення), інактивацією інших медіаторів запалення (брадикінін, лімфокіни, лейкотрієни, фактори комплементу), гальмуванням проліферативної фази запалення за рахунок пригнічення трансформації лімфоцитів </w:t>
      </w:r>
      <w:r w:rsidRPr="00BE086B">
        <w:rPr>
          <w:sz w:val="28"/>
          <w:szCs w:val="28"/>
          <w:lang w:val="uk-UA"/>
        </w:rPr>
        <w:t>[275]</w:t>
      </w:r>
      <w:r w:rsidRPr="00BE086B">
        <w:rPr>
          <w:bCs/>
          <w:sz w:val="28"/>
          <w:szCs w:val="28"/>
          <w:lang w:val="uk-UA"/>
        </w:rPr>
        <w:t>.</w:t>
      </w:r>
    </w:p>
    <w:p w:rsidR="00D92D95" w:rsidRPr="00BE086B" w:rsidRDefault="00D92D95" w:rsidP="00D92D95">
      <w:pPr>
        <w:spacing w:line="360" w:lineRule="auto"/>
        <w:ind w:firstLine="709"/>
        <w:jc w:val="both"/>
        <w:rPr>
          <w:sz w:val="28"/>
          <w:szCs w:val="28"/>
          <w:shd w:val="clear" w:color="auto" w:fill="FFFFFF"/>
          <w:lang w:val="uk-UA"/>
        </w:rPr>
      </w:pPr>
      <w:r w:rsidRPr="00BE086B">
        <w:rPr>
          <w:sz w:val="28"/>
          <w:szCs w:val="28"/>
          <w:lang w:val="uk-UA"/>
        </w:rPr>
        <w:t xml:space="preserve">З огляду на вищеозначене, завданням аналітичного огляду літератури було визначення механізмів болетамуючої активності НПЗЗ на різних моделях. Проте першочергової уваги потребувало вивчення механізмів аналгезії за умов суглобового болю при уражені дегенеративно-дистрофічним процесом. </w:t>
      </w:r>
      <w:r w:rsidR="007B5280">
        <w:rPr>
          <w:sz w:val="28"/>
          <w:szCs w:val="28"/>
          <w:lang w:val="uk-UA"/>
        </w:rPr>
        <w:t xml:space="preserve"> </w:t>
      </w:r>
      <w:r w:rsidRPr="00BE086B">
        <w:rPr>
          <w:sz w:val="28"/>
          <w:szCs w:val="28"/>
          <w:lang w:val="uk-UA"/>
        </w:rPr>
        <w:t xml:space="preserve">Як </w:t>
      </w:r>
      <w:r w:rsidR="007B5280">
        <w:rPr>
          <w:sz w:val="28"/>
          <w:szCs w:val="28"/>
          <w:lang w:val="uk-UA"/>
        </w:rPr>
        <w:t xml:space="preserve"> </w:t>
      </w:r>
      <w:r w:rsidRPr="00BE086B">
        <w:rPr>
          <w:sz w:val="28"/>
          <w:szCs w:val="28"/>
          <w:lang w:val="uk-UA"/>
        </w:rPr>
        <w:t xml:space="preserve">повідомлялось </w:t>
      </w:r>
      <w:r w:rsidR="007B5280">
        <w:rPr>
          <w:sz w:val="28"/>
          <w:szCs w:val="28"/>
          <w:lang w:val="uk-UA"/>
        </w:rPr>
        <w:t xml:space="preserve"> </w:t>
      </w:r>
      <w:r w:rsidRPr="00BE086B">
        <w:rPr>
          <w:sz w:val="28"/>
          <w:szCs w:val="28"/>
          <w:lang w:val="uk-UA"/>
        </w:rPr>
        <w:t>вище, причиною болю у суглобі при ОА є каскад біохімічних змін, які виникають у відповідь на руйнування хондроцитів, що обумовлює розвиток периферичного компоненту болю [276-279]</w:t>
      </w:r>
      <w:r w:rsidRPr="00BE086B">
        <w:rPr>
          <w:sz w:val="28"/>
          <w:szCs w:val="28"/>
          <w:lang w:val="uk-UA" w:eastAsia="en-US"/>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Аналіз літературних джерел встановив, що розвиток болетамуючого ефекту при використанні НПЗЗ обумовлений в першу чергу, впливом на периферичний компонент болю при ОА внаслідок порушення синтезу больових факторів в осередку запалення, зниження синтезу медіаторів </w:t>
      </w:r>
      <w:r w:rsidRPr="00BE086B">
        <w:rPr>
          <w:sz w:val="28"/>
          <w:szCs w:val="28"/>
          <w:lang w:val="uk-UA"/>
        </w:rPr>
        <w:lastRenderedPageBreak/>
        <w:t>запалення та протизапальних цитокінів у суглобі, зменшення набряку суглобових тканин, ацидозу, нормалізації мікроциркуляції, що приводить до зменшення подразнення ноцицепторів [280-284].</w:t>
      </w:r>
    </w:p>
    <w:p w:rsidR="00D92D95" w:rsidRPr="00BE086B" w:rsidRDefault="00D92D95" w:rsidP="00D92D95">
      <w:pPr>
        <w:spacing w:line="360" w:lineRule="auto"/>
        <w:ind w:firstLine="709"/>
        <w:jc w:val="both"/>
        <w:rPr>
          <w:sz w:val="28"/>
          <w:szCs w:val="28"/>
          <w:shd w:val="clear" w:color="auto" w:fill="FFFFFF"/>
          <w:lang w:val="uk-UA"/>
        </w:rPr>
      </w:pPr>
      <w:r w:rsidRPr="00BE086B">
        <w:rPr>
          <w:sz w:val="28"/>
          <w:szCs w:val="28"/>
          <w:shd w:val="clear" w:color="auto" w:fill="FFFFFF"/>
          <w:lang w:val="uk-UA"/>
        </w:rPr>
        <w:t xml:space="preserve">Проте на теперішній час доведено існування центрального компоненту болю при ОА </w:t>
      </w:r>
      <w:r w:rsidRPr="00BE086B">
        <w:rPr>
          <w:sz w:val="28"/>
          <w:szCs w:val="28"/>
          <w:lang w:val="uk-UA"/>
        </w:rPr>
        <w:t xml:space="preserve">[285-289] </w:t>
      </w:r>
      <w:r w:rsidRPr="00BE086B">
        <w:rPr>
          <w:sz w:val="28"/>
          <w:szCs w:val="28"/>
          <w:shd w:val="clear" w:color="auto" w:fill="FFFFFF"/>
          <w:lang w:val="uk-UA"/>
        </w:rPr>
        <w:t xml:space="preserve">та поглиблено вивчаються відповідні ефекти НПЗЗ </w:t>
      </w:r>
      <w:r w:rsidRPr="00BE086B">
        <w:rPr>
          <w:sz w:val="28"/>
          <w:szCs w:val="28"/>
          <w:lang w:val="uk-UA"/>
        </w:rPr>
        <w:t>[290-292]</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lang w:val="uk-UA"/>
        </w:rPr>
      </w:pPr>
      <w:r w:rsidRPr="00BE086B">
        <w:rPr>
          <w:sz w:val="28"/>
          <w:szCs w:val="28"/>
          <w:shd w:val="clear" w:color="auto" w:fill="FFFFFF"/>
          <w:lang w:val="uk-UA"/>
        </w:rPr>
        <w:t xml:space="preserve">Так, Dimitroulas T. з співавт. (2014) на підставі огляду літератури вивчили патофізіологічні механізми, які є в основі болю при ОА та визначили роль центральних больових шляхів разом з сенсибілізацією рецепторів периферичних суглобів та змінами ноцицептивної відповіді при локальному запалені суглобів та структурних змінах кісткової тканини </w:t>
      </w:r>
      <w:r w:rsidRPr="00BE086B">
        <w:rPr>
          <w:sz w:val="28"/>
          <w:szCs w:val="28"/>
          <w:lang w:val="uk-UA"/>
        </w:rPr>
        <w:t>[293]</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lang w:val="uk-UA"/>
        </w:rPr>
      </w:pPr>
      <w:r w:rsidRPr="00BE086B">
        <w:rPr>
          <w:sz w:val="28"/>
          <w:szCs w:val="28"/>
          <w:shd w:val="clear" w:color="auto" w:fill="FFFFFF"/>
          <w:lang w:val="uk-UA"/>
        </w:rPr>
        <w:t>Sofat N. з співавт. (2011)</w:t>
      </w:r>
      <w:r w:rsidRPr="00BE086B">
        <w:rPr>
          <w:sz w:val="28"/>
          <w:szCs w:val="28"/>
          <w:lang w:val="uk-UA"/>
        </w:rPr>
        <w:t xml:space="preserve"> вивчили механізми болю при ОА та зазначили, що </w:t>
      </w:r>
      <w:r w:rsidRPr="00BE086B">
        <w:rPr>
          <w:sz w:val="28"/>
          <w:szCs w:val="28"/>
          <w:shd w:val="clear" w:color="auto" w:fill="FFFFFF"/>
          <w:lang w:val="uk-UA"/>
        </w:rPr>
        <w:t xml:space="preserve">центральна сенсибілізація при ОА обумовлюється активацією первинних аферентних нейронів, які опосередковуються NMDA-рецептором на рівні спинного мозку. Автори встановили, що сприйняття болю при ОА є складним процесом, який формується під впливом локальних факторів та обумовлює залучення центральних больових шляхів </w:t>
      </w:r>
      <w:r w:rsidRPr="00BE086B">
        <w:rPr>
          <w:sz w:val="28"/>
          <w:szCs w:val="28"/>
          <w:lang w:val="uk-UA"/>
        </w:rPr>
        <w:t>[294]</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Протоколи лікування ОА розроблені та представлені державними настановами і профільними асоціаціями найбільш відомими з яких є </w:t>
      </w:r>
      <w:r w:rsidRPr="00BE086B">
        <w:rPr>
          <w:sz w:val="28"/>
          <w:szCs w:val="28"/>
          <w:shd w:val="clear" w:color="auto" w:fill="FFFFFF"/>
          <w:lang w:val="uk-UA"/>
        </w:rPr>
        <w:t xml:space="preserve">Міжнародне товариство з вивчення ОА (OARSI), Європейське товариство клінічних та економічних аспектів остеопорозу, остеоартрозу і захворювань опорно-рухового апарату </w:t>
      </w:r>
      <w:r w:rsidRPr="00BE086B">
        <w:rPr>
          <w:sz w:val="28"/>
          <w:szCs w:val="28"/>
          <w:lang w:val="uk-UA"/>
        </w:rPr>
        <w:t xml:space="preserve">(ESCEO), Європейська протиревматична ліга </w:t>
      </w:r>
      <w:r w:rsidRPr="00BE086B">
        <w:rPr>
          <w:sz w:val="28"/>
          <w:szCs w:val="28"/>
          <w:shd w:val="clear" w:color="auto" w:fill="FFFFFF"/>
          <w:lang w:val="uk-UA"/>
        </w:rPr>
        <w:t xml:space="preserve">(EULAR) та Американська колегія з ревматології (ACR) </w:t>
      </w:r>
      <w:r w:rsidRPr="00BE086B">
        <w:rPr>
          <w:sz w:val="28"/>
          <w:szCs w:val="28"/>
          <w:lang w:val="uk-UA"/>
        </w:rPr>
        <w:t>[295-299]. Як зазначено в настанові з лікування ОА (Україна) ці документи мають рекомендаційний характер для практикуючих лікарів, які надають первинну, вторинну та третинну медичну допомогу для найкращої її реалізації [295]. Загальною рисою вищеозначених рекомендацій є визначення стратегічного напрямку лікування хворих на ОА в залежності від стадії та симптомів захворювання.</w:t>
      </w:r>
    </w:p>
    <w:p w:rsidR="00D92D95" w:rsidRPr="00BE086B" w:rsidRDefault="00D92D95" w:rsidP="00D92D95">
      <w:pPr>
        <w:spacing w:line="360" w:lineRule="auto"/>
        <w:ind w:firstLine="709"/>
        <w:jc w:val="both"/>
        <w:rPr>
          <w:sz w:val="28"/>
          <w:szCs w:val="28"/>
          <w:lang w:val="uk-UA" w:eastAsia="ru-RU"/>
        </w:rPr>
      </w:pPr>
      <w:r w:rsidRPr="00BE086B">
        <w:rPr>
          <w:sz w:val="28"/>
          <w:szCs w:val="28"/>
          <w:lang w:val="uk-UA" w:eastAsia="ru-RU"/>
        </w:rPr>
        <w:lastRenderedPageBreak/>
        <w:t xml:space="preserve">Для аналгезії на першій стадії лікування ОА </w:t>
      </w:r>
      <w:r w:rsidRPr="00BE086B">
        <w:rPr>
          <w:sz w:val="28"/>
          <w:szCs w:val="28"/>
          <w:lang w:val="uk-UA"/>
        </w:rPr>
        <w:t xml:space="preserve">рекомендаціями ESCEO та </w:t>
      </w:r>
      <w:r w:rsidRPr="00BE086B">
        <w:rPr>
          <w:sz w:val="28"/>
          <w:szCs w:val="28"/>
          <w:shd w:val="clear" w:color="auto" w:fill="FFFFFF"/>
          <w:lang w:val="uk-UA"/>
        </w:rPr>
        <w:t xml:space="preserve">OARSI пропонується призначення хворим коротким курсом у низьких дозах парацетамолу, при постійних симптомах топічних форм НПЗЗ та глюкозаміну та/або хондроїтину, які належать до симптоматичних повільнодіючих препаратів при ОА - </w:t>
      </w:r>
      <w:r w:rsidRPr="00BE086B">
        <w:rPr>
          <w:sz w:val="28"/>
          <w:szCs w:val="28"/>
          <w:lang w:val="uk-UA"/>
        </w:rPr>
        <w:t>SYSADOAs</w:t>
      </w:r>
      <w:r w:rsidRPr="00BE086B">
        <w:rPr>
          <w:sz w:val="28"/>
          <w:szCs w:val="28"/>
          <w:shd w:val="clear" w:color="auto" w:fill="FFFFFF"/>
          <w:lang w:val="uk-UA"/>
        </w:rPr>
        <w:t xml:space="preserve"> </w:t>
      </w:r>
      <w:r w:rsidRPr="00BE086B">
        <w:rPr>
          <w:sz w:val="28"/>
          <w:szCs w:val="28"/>
          <w:lang w:val="uk-UA" w:eastAsia="en-US"/>
        </w:rPr>
        <w:t xml:space="preserve">(symptomatic slow acting drugs for osteoarthritis). При неефективності зазначених заходів або внаслідок прогресування ОА на другому етапі пропонується призначення неселективних НПЗЗ, при наявності ризиків ускладнень фармакотерапії рекомендується разом з неселективними НПЗЗ призначення інгібіторів протонної помпи або селективних ЦОГ-2 НПЗЗ. Також </w:t>
      </w:r>
      <w:r w:rsidRPr="00BE086B">
        <w:rPr>
          <w:sz w:val="28"/>
          <w:szCs w:val="28"/>
          <w:lang w:val="uk-UA"/>
        </w:rPr>
        <w:t xml:space="preserve">рекомендаціями ESCEO та </w:t>
      </w:r>
      <w:r w:rsidRPr="00BE086B">
        <w:rPr>
          <w:sz w:val="28"/>
          <w:szCs w:val="28"/>
          <w:shd w:val="clear" w:color="auto" w:fill="FFFFFF"/>
          <w:lang w:val="uk-UA"/>
        </w:rPr>
        <w:t>OARSI</w:t>
      </w:r>
      <w:r w:rsidRPr="00BE086B">
        <w:rPr>
          <w:sz w:val="28"/>
          <w:szCs w:val="28"/>
          <w:lang w:val="uk-UA" w:eastAsia="en-US"/>
        </w:rPr>
        <w:t xml:space="preserve"> на другому етапі лікування ОА пропонується внутрішньосуглобове введення кортикостероїдів. На третьому етапі для усунення вираженого болю пропонується призначення короткотривалих курсів опіоїдних аналгетиків </w:t>
      </w:r>
      <w:r w:rsidRPr="00BE086B">
        <w:rPr>
          <w:sz w:val="28"/>
          <w:szCs w:val="28"/>
          <w:lang w:val="uk-UA"/>
        </w:rPr>
        <w:t>[300]</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Аналізуючи клінічні вищеозначені рекомендації можна встановити, що призначення лікарських засобів обумовлюється вираженістю болю при ОА. Так, при болю невеликої інтенсивності потрібно призначати парацетамол та симптоматичні повільнодіючі засоби. При наявності болю середньої інтенсивності необхідно використовувати </w:t>
      </w:r>
      <w:r w:rsidRPr="00BE086B">
        <w:rPr>
          <w:sz w:val="28"/>
          <w:szCs w:val="28"/>
          <w:lang w:val="uk-UA" w:eastAsia="en-US"/>
        </w:rPr>
        <w:t xml:space="preserve">неселективні НПЗЗ, але потрібно враховувати ризики фармакотерапії. При болю вираженої інтенсивності необхідно призначати опіоїдні аналгетики. Це пов’язано з тим, що дія аналгетиків обумовлює вплив не тільки на периферичні механізми болю при ОА </w:t>
      </w:r>
      <w:r w:rsidRPr="00BE086B">
        <w:rPr>
          <w:sz w:val="28"/>
          <w:szCs w:val="28"/>
          <w:lang w:val="uk-UA"/>
        </w:rPr>
        <w:t>[301-303]</w:t>
      </w:r>
      <w:r w:rsidRPr="00BE086B">
        <w:rPr>
          <w:sz w:val="28"/>
          <w:szCs w:val="28"/>
          <w:lang w:val="uk-UA" w:eastAsia="en-US"/>
        </w:rPr>
        <w:t xml:space="preserve">, а й центральні </w:t>
      </w:r>
      <w:r w:rsidRPr="00BE086B">
        <w:rPr>
          <w:sz w:val="28"/>
          <w:szCs w:val="28"/>
          <w:lang w:val="uk-UA"/>
        </w:rPr>
        <w:t>[304-308]</w:t>
      </w:r>
      <w:r w:rsidRPr="00BE086B">
        <w:rPr>
          <w:sz w:val="28"/>
          <w:szCs w:val="28"/>
          <w:lang w:val="uk-UA" w:eastAsia="en-US"/>
        </w:rPr>
        <w:t>.</w:t>
      </w:r>
    </w:p>
    <w:p w:rsidR="00D92D95" w:rsidRPr="00BE086B" w:rsidRDefault="00D92D95" w:rsidP="00D92D95">
      <w:pPr>
        <w:spacing w:line="360" w:lineRule="auto"/>
        <w:ind w:firstLine="709"/>
        <w:jc w:val="both"/>
        <w:rPr>
          <w:sz w:val="28"/>
          <w:szCs w:val="28"/>
          <w:shd w:val="clear" w:color="auto" w:fill="FFFFFF"/>
          <w:lang w:val="uk-UA"/>
        </w:rPr>
      </w:pPr>
      <w:r w:rsidRPr="00BE086B">
        <w:rPr>
          <w:sz w:val="28"/>
          <w:szCs w:val="28"/>
          <w:shd w:val="clear" w:color="auto" w:fill="FFFFFF"/>
          <w:lang w:val="uk-UA"/>
        </w:rPr>
        <w:t xml:space="preserve">Так, в роботі Vuilleumier P.H. з співавт. (2018) зазначено, що основні периферичні ефекти НПЗЗ при ОА пов’язані з пригніченням простагландинів, а механізми, які є в основі їх центральної дії впливають на спінальну регуляцію ЦОГ, підвищення продукції спінального простагландину Е2, модуляцію інгібуючих швидких сінаптичних токів у задніх рогах спинного мозку та гліцин-залежної модуляції болю </w:t>
      </w:r>
      <w:r w:rsidRPr="00BE086B">
        <w:rPr>
          <w:sz w:val="28"/>
          <w:szCs w:val="28"/>
          <w:lang w:val="uk-UA"/>
        </w:rPr>
        <w:t>[309]</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shd w:val="clear" w:color="auto" w:fill="FFFFFF"/>
          <w:lang w:val="uk-UA"/>
        </w:rPr>
      </w:pPr>
      <w:r w:rsidRPr="00BE086B">
        <w:rPr>
          <w:sz w:val="28"/>
          <w:szCs w:val="28"/>
          <w:shd w:val="clear" w:color="auto" w:fill="FFFFFF"/>
          <w:lang w:val="uk-UA"/>
        </w:rPr>
        <w:lastRenderedPageBreak/>
        <w:t xml:space="preserve">Niibori M. з співавт. (2020) оцінили вплив ацетилсаліцилової кислоти на моделі ОА за допомогою МОК. Автори встановили, що введення ацетилсаліцилової кислоти послаблює вторинну гіпералгезію через 1-3 тижні після формування експериментальної моделі ОА, проте целекоксиб не впливав на вторинну гіпералгезію, що дозволило встановити у ацетилсаліцилової кислоти ЦОГ-2 незалежного шляху </w:t>
      </w:r>
      <w:r w:rsidRPr="00BE086B">
        <w:rPr>
          <w:sz w:val="28"/>
          <w:szCs w:val="28"/>
          <w:lang w:val="uk-UA"/>
        </w:rPr>
        <w:t>[310]</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shd w:val="clear" w:color="auto" w:fill="FFFFFF"/>
          <w:lang w:val="uk-UA"/>
        </w:rPr>
      </w:pPr>
      <w:r w:rsidRPr="00BE086B">
        <w:rPr>
          <w:sz w:val="28"/>
          <w:szCs w:val="28"/>
          <w:shd w:val="clear" w:color="auto" w:fill="FFFFFF"/>
          <w:lang w:val="uk-UA"/>
        </w:rPr>
        <w:t xml:space="preserve">Khotib J. з співавт. (2019) дослідили зміни рівня TNF-α при призначенні мелоксикаму (10 мг/кг) на моделі ОА у тварин та встановили, що мелоксикам призводить до пригнічення болю і запалення за рахунок зниження рівня TNF-α </w:t>
      </w:r>
      <w:r w:rsidRPr="00BE086B">
        <w:rPr>
          <w:sz w:val="28"/>
          <w:szCs w:val="28"/>
          <w:lang w:val="uk-UA"/>
        </w:rPr>
        <w:t>[311].</w:t>
      </w:r>
    </w:p>
    <w:p w:rsidR="00D92D95" w:rsidRPr="00BE086B" w:rsidRDefault="00D92D95" w:rsidP="00D92D95">
      <w:pPr>
        <w:spacing w:line="360" w:lineRule="auto"/>
        <w:ind w:firstLine="709"/>
        <w:jc w:val="both"/>
        <w:rPr>
          <w:sz w:val="28"/>
          <w:szCs w:val="28"/>
          <w:lang w:val="uk-UA"/>
        </w:rPr>
      </w:pPr>
      <w:r w:rsidRPr="00BE086B">
        <w:rPr>
          <w:sz w:val="28"/>
          <w:szCs w:val="28"/>
          <w:shd w:val="clear" w:color="auto" w:fill="FFFFFF"/>
          <w:lang w:val="uk-UA"/>
        </w:rPr>
        <w:t xml:space="preserve">Paglia D.N. з співавт. (2020) дослідили дію ацетамінофену (60 мг/кг) і напроксену (8 мг/кг) на дегенерацію суглобового хряща у самиць щурів та встановили, що через 5 тижнів після призначення засобів глибина медіального суглобового хряща у зразках проксимального відділу великогомілкової кістки була значно більше у щурів, які отримували напроксен і ацетамінофен в порівнянні з плацебо. Однак через 7 тижнів глибина медіального суглобового хряща у щурів, які отримували ацетамінофен, була значно знижена в порівнянні із зразками, отриманими від щурів, які отримували напроксен </w:t>
      </w:r>
      <w:r w:rsidRPr="00BE086B">
        <w:rPr>
          <w:sz w:val="28"/>
          <w:szCs w:val="28"/>
          <w:lang w:val="uk-UA"/>
        </w:rPr>
        <w:t>[312]</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shd w:val="clear" w:color="auto" w:fill="FFFFFF"/>
          <w:lang w:val="uk-UA"/>
        </w:rPr>
      </w:pPr>
      <w:r w:rsidRPr="00BE086B">
        <w:rPr>
          <w:sz w:val="28"/>
          <w:szCs w:val="28"/>
          <w:shd w:val="clear" w:color="auto" w:fill="FFFFFF"/>
          <w:lang w:val="uk-UA"/>
        </w:rPr>
        <w:t xml:space="preserve">Wen Z.H. з співавт. (2020) вивчили вплив ентерального прийому еторикоксибу на розвиток ОА і дослідили супутні зміни ноцицептивної поведінки у щурів. Автори встановили, що еторикоксиб на моделі ОА у щурів послаблює розвиток ОА, знижує ноціцепцію і модулює метаболізм хондроцитів шляхом пригнічення експресії NGF і збільшення експресії TGF-β </w:t>
      </w:r>
      <w:r w:rsidRPr="00BE086B">
        <w:rPr>
          <w:sz w:val="28"/>
          <w:szCs w:val="28"/>
          <w:lang w:val="uk-UA"/>
        </w:rPr>
        <w:t>[313]</w:t>
      </w:r>
      <w:r w:rsidRPr="00BE086B">
        <w:rPr>
          <w:sz w:val="28"/>
          <w:szCs w:val="28"/>
          <w:shd w:val="clear" w:color="auto" w:fill="FFFFFF"/>
          <w:lang w:val="uk-UA"/>
        </w:rPr>
        <w:t>.</w:t>
      </w:r>
    </w:p>
    <w:p w:rsidR="00D92D95" w:rsidRPr="00BE086B" w:rsidRDefault="00D92D95" w:rsidP="00D92D95">
      <w:pPr>
        <w:spacing w:line="360" w:lineRule="auto"/>
        <w:ind w:firstLine="709"/>
        <w:jc w:val="both"/>
        <w:rPr>
          <w:bCs/>
          <w:sz w:val="28"/>
          <w:szCs w:val="28"/>
          <w:lang w:val="uk-UA"/>
        </w:rPr>
      </w:pPr>
      <w:r w:rsidRPr="00BE086B">
        <w:rPr>
          <w:sz w:val="28"/>
          <w:szCs w:val="28"/>
          <w:lang w:val="uk-UA"/>
        </w:rPr>
        <w:t xml:space="preserve">Широке використання НПЗЗ виявило специфічні побічні ефекти цієї групи лікарських засобів, що іноді стає перешкодою для ефективної болетамуючої терапії [314-316]. </w:t>
      </w:r>
      <w:r w:rsidRPr="00BE086B">
        <w:rPr>
          <w:bCs/>
          <w:sz w:val="28"/>
          <w:szCs w:val="28"/>
          <w:lang w:val="uk-UA"/>
        </w:rPr>
        <w:t xml:space="preserve">Відомо, що кількість хворих у яких відзначаються </w:t>
      </w:r>
      <w:r w:rsidR="007B5280">
        <w:rPr>
          <w:bCs/>
          <w:sz w:val="28"/>
          <w:szCs w:val="28"/>
          <w:lang w:val="uk-UA"/>
        </w:rPr>
        <w:t xml:space="preserve"> </w:t>
      </w:r>
      <w:r w:rsidRPr="00BE086B">
        <w:rPr>
          <w:bCs/>
          <w:sz w:val="28"/>
          <w:szCs w:val="28"/>
          <w:lang w:val="uk-UA"/>
        </w:rPr>
        <w:t xml:space="preserve">побічні </w:t>
      </w:r>
      <w:r w:rsidR="007B5280">
        <w:rPr>
          <w:bCs/>
          <w:sz w:val="28"/>
          <w:szCs w:val="28"/>
          <w:lang w:val="uk-UA"/>
        </w:rPr>
        <w:t xml:space="preserve"> </w:t>
      </w:r>
      <w:r w:rsidRPr="00BE086B">
        <w:rPr>
          <w:bCs/>
          <w:sz w:val="28"/>
          <w:szCs w:val="28"/>
          <w:lang w:val="uk-UA"/>
        </w:rPr>
        <w:t xml:space="preserve">реакції </w:t>
      </w:r>
      <w:r w:rsidR="007B5280">
        <w:rPr>
          <w:bCs/>
          <w:sz w:val="28"/>
          <w:szCs w:val="28"/>
          <w:lang w:val="uk-UA"/>
        </w:rPr>
        <w:t xml:space="preserve"> </w:t>
      </w:r>
      <w:r w:rsidRPr="00BE086B">
        <w:rPr>
          <w:bCs/>
          <w:sz w:val="28"/>
          <w:szCs w:val="28"/>
          <w:lang w:val="uk-UA"/>
        </w:rPr>
        <w:t xml:space="preserve">на фоні прийому НПЗЗ, досягає 25%, при цьому </w:t>
      </w:r>
      <w:r w:rsidR="007B5280">
        <w:rPr>
          <w:bCs/>
          <w:sz w:val="28"/>
          <w:szCs w:val="28"/>
          <w:lang w:val="uk-UA"/>
        </w:rPr>
        <w:t xml:space="preserve"> </w:t>
      </w:r>
      <w:r w:rsidRPr="00BE086B">
        <w:rPr>
          <w:bCs/>
          <w:sz w:val="28"/>
          <w:szCs w:val="28"/>
          <w:lang w:val="uk-UA"/>
        </w:rPr>
        <w:t xml:space="preserve">приблизно у 5% можуть розвиватися небезпечні для життя </w:t>
      </w:r>
      <w:r w:rsidRPr="00BE086B">
        <w:rPr>
          <w:bCs/>
          <w:sz w:val="28"/>
          <w:szCs w:val="28"/>
          <w:lang w:val="uk-UA"/>
        </w:rPr>
        <w:lastRenderedPageBreak/>
        <w:t xml:space="preserve">ускладнення. У зв’язку з цим до теперішнього часу продовжується пошук найбільш ефективних та безпечних засобів серед різноманітних класів цих сполук </w:t>
      </w:r>
      <w:r w:rsidRPr="00BE086B">
        <w:rPr>
          <w:sz w:val="28"/>
          <w:szCs w:val="28"/>
          <w:lang w:val="uk-UA"/>
        </w:rPr>
        <w:t>[317-321]</w:t>
      </w:r>
      <w:r w:rsidRPr="00BE086B">
        <w:rPr>
          <w:bCs/>
          <w:sz w:val="28"/>
          <w:szCs w:val="28"/>
          <w:lang w:val="uk-UA"/>
        </w:rPr>
        <w:t>.</w:t>
      </w:r>
    </w:p>
    <w:p w:rsidR="00D92D95" w:rsidRPr="00BE086B" w:rsidRDefault="00D92D95" w:rsidP="00D92D95">
      <w:pPr>
        <w:spacing w:line="360" w:lineRule="auto"/>
        <w:ind w:firstLine="709"/>
        <w:jc w:val="both"/>
        <w:rPr>
          <w:bCs/>
          <w:sz w:val="28"/>
          <w:szCs w:val="28"/>
          <w:lang w:val="uk-UA"/>
        </w:rPr>
      </w:pPr>
      <w:r w:rsidRPr="00BE086B">
        <w:rPr>
          <w:bCs/>
          <w:sz w:val="28"/>
          <w:szCs w:val="28"/>
          <w:lang w:val="uk-UA"/>
        </w:rPr>
        <w:t xml:space="preserve">Безпечність препарату важлива в практичній медицині, оскільки досить часто лікарю доводиться стикатися з ситуацією, коли гострий біль супроводжується вираженою запальною реакцією при реактивному синовіті на фоні ОА, болю в нижній частині спини, періартікулярній патології (епікондиліт, бурсит і т.д.). У цій ситуації для швидкого усунення болю і запалення слід віддавати перевагу НПЗЗ в яких поєднуються швидка знеболююча дія і потужний протизапальний ефект </w:t>
      </w:r>
      <w:r w:rsidRPr="00BE086B">
        <w:rPr>
          <w:sz w:val="28"/>
          <w:szCs w:val="28"/>
          <w:lang w:val="uk-UA"/>
        </w:rPr>
        <w:t>[322-324]</w:t>
      </w:r>
      <w:r w:rsidRPr="00BE086B">
        <w:rPr>
          <w:bCs/>
          <w:sz w:val="28"/>
          <w:szCs w:val="28"/>
          <w:lang w:val="uk-UA"/>
        </w:rPr>
        <w:t>.</w:t>
      </w:r>
    </w:p>
    <w:p w:rsidR="00D92D95" w:rsidRPr="00BE086B" w:rsidRDefault="00D92D95" w:rsidP="00D92D95">
      <w:pPr>
        <w:spacing w:line="360" w:lineRule="auto"/>
        <w:ind w:firstLine="709"/>
        <w:jc w:val="both"/>
        <w:rPr>
          <w:bCs/>
          <w:lang w:val="uk-UA"/>
        </w:rPr>
      </w:pPr>
      <w:r w:rsidRPr="00BE086B">
        <w:rPr>
          <w:bCs/>
          <w:sz w:val="28"/>
          <w:szCs w:val="28"/>
          <w:lang w:val="uk-UA"/>
        </w:rPr>
        <w:t xml:space="preserve">На особливу увагу заслуговує та обставина, що ефективність НПЗЗ визначається здатністю досягти тканини-мішені в концентрації, достатній для розвитку клінічно значущого ефекту. При цьому вміст препарату в плазмі крові </w:t>
      </w:r>
      <w:r w:rsidR="007B5280">
        <w:rPr>
          <w:bCs/>
          <w:sz w:val="28"/>
          <w:szCs w:val="28"/>
          <w:lang w:val="uk-UA"/>
        </w:rPr>
        <w:t xml:space="preserve"> </w:t>
      </w:r>
      <w:r w:rsidRPr="00BE086B">
        <w:rPr>
          <w:bCs/>
          <w:sz w:val="28"/>
          <w:szCs w:val="28"/>
          <w:lang w:val="uk-UA"/>
        </w:rPr>
        <w:t xml:space="preserve">далеко </w:t>
      </w:r>
      <w:r w:rsidR="007B5280">
        <w:rPr>
          <w:bCs/>
          <w:sz w:val="28"/>
          <w:szCs w:val="28"/>
          <w:lang w:val="uk-UA"/>
        </w:rPr>
        <w:t xml:space="preserve"> </w:t>
      </w:r>
      <w:r w:rsidRPr="00BE086B">
        <w:rPr>
          <w:bCs/>
          <w:sz w:val="28"/>
          <w:szCs w:val="28"/>
          <w:lang w:val="uk-UA"/>
        </w:rPr>
        <w:t xml:space="preserve">не </w:t>
      </w:r>
      <w:r w:rsidR="007B5280">
        <w:rPr>
          <w:bCs/>
          <w:sz w:val="28"/>
          <w:szCs w:val="28"/>
          <w:lang w:val="uk-UA"/>
        </w:rPr>
        <w:t xml:space="preserve"> </w:t>
      </w:r>
      <w:r w:rsidRPr="00BE086B">
        <w:rPr>
          <w:bCs/>
          <w:sz w:val="28"/>
          <w:szCs w:val="28"/>
          <w:lang w:val="uk-UA"/>
        </w:rPr>
        <w:t xml:space="preserve">завжди </w:t>
      </w:r>
      <w:r w:rsidR="007B5280">
        <w:rPr>
          <w:bCs/>
          <w:sz w:val="28"/>
          <w:szCs w:val="28"/>
          <w:lang w:val="uk-UA"/>
        </w:rPr>
        <w:t xml:space="preserve"> </w:t>
      </w:r>
      <w:r w:rsidRPr="00BE086B">
        <w:rPr>
          <w:bCs/>
          <w:sz w:val="28"/>
          <w:szCs w:val="28"/>
          <w:lang w:val="uk-UA"/>
        </w:rPr>
        <w:t xml:space="preserve">корелює </w:t>
      </w:r>
      <w:r w:rsidR="007B5280">
        <w:rPr>
          <w:bCs/>
          <w:sz w:val="28"/>
          <w:szCs w:val="28"/>
          <w:lang w:val="uk-UA"/>
        </w:rPr>
        <w:t xml:space="preserve"> </w:t>
      </w:r>
      <w:r w:rsidRPr="00BE086B">
        <w:rPr>
          <w:bCs/>
          <w:sz w:val="28"/>
          <w:szCs w:val="28"/>
          <w:lang w:val="uk-UA"/>
        </w:rPr>
        <w:t xml:space="preserve">з </w:t>
      </w:r>
      <w:r w:rsidR="007B5280">
        <w:rPr>
          <w:bCs/>
          <w:sz w:val="28"/>
          <w:szCs w:val="28"/>
          <w:lang w:val="uk-UA"/>
        </w:rPr>
        <w:t xml:space="preserve"> </w:t>
      </w:r>
      <w:r w:rsidRPr="00BE086B">
        <w:rPr>
          <w:bCs/>
          <w:sz w:val="28"/>
          <w:szCs w:val="28"/>
          <w:lang w:val="uk-UA"/>
        </w:rPr>
        <w:t xml:space="preserve">клінічною </w:t>
      </w:r>
      <w:r w:rsidR="007B5280">
        <w:rPr>
          <w:bCs/>
          <w:sz w:val="28"/>
          <w:szCs w:val="28"/>
          <w:lang w:val="uk-UA"/>
        </w:rPr>
        <w:t xml:space="preserve"> </w:t>
      </w:r>
      <w:r w:rsidRPr="00BE086B">
        <w:rPr>
          <w:bCs/>
          <w:sz w:val="28"/>
          <w:szCs w:val="28"/>
          <w:lang w:val="uk-UA"/>
        </w:rPr>
        <w:t xml:space="preserve">ефективністю, саме тому істотне значення набуває показник концентрації препарату в ділянці запалення. </w:t>
      </w:r>
      <w:r w:rsidR="007B5280">
        <w:rPr>
          <w:bCs/>
          <w:sz w:val="28"/>
          <w:szCs w:val="28"/>
          <w:lang w:val="uk-UA"/>
        </w:rPr>
        <w:t xml:space="preserve"> </w:t>
      </w:r>
      <w:r w:rsidRPr="00BE086B">
        <w:rPr>
          <w:bCs/>
          <w:sz w:val="28"/>
          <w:szCs w:val="28"/>
          <w:lang w:val="uk-UA"/>
        </w:rPr>
        <w:t xml:space="preserve">Важливо </w:t>
      </w:r>
      <w:r w:rsidR="007B5280">
        <w:rPr>
          <w:bCs/>
          <w:sz w:val="28"/>
          <w:szCs w:val="28"/>
          <w:lang w:val="uk-UA"/>
        </w:rPr>
        <w:t xml:space="preserve"> </w:t>
      </w:r>
      <w:r w:rsidRPr="00BE086B">
        <w:rPr>
          <w:bCs/>
          <w:sz w:val="28"/>
          <w:szCs w:val="28"/>
          <w:lang w:val="uk-UA"/>
        </w:rPr>
        <w:t xml:space="preserve">підкреслити, </w:t>
      </w:r>
      <w:r w:rsidR="007B5280">
        <w:rPr>
          <w:bCs/>
          <w:sz w:val="28"/>
          <w:szCs w:val="28"/>
          <w:lang w:val="uk-UA"/>
        </w:rPr>
        <w:t xml:space="preserve"> </w:t>
      </w:r>
      <w:r w:rsidRPr="00BE086B">
        <w:rPr>
          <w:bCs/>
          <w:sz w:val="28"/>
          <w:szCs w:val="28"/>
          <w:lang w:val="uk-UA"/>
        </w:rPr>
        <w:t xml:space="preserve">що </w:t>
      </w:r>
      <w:r w:rsidR="007B5280">
        <w:rPr>
          <w:bCs/>
          <w:sz w:val="28"/>
          <w:szCs w:val="28"/>
          <w:lang w:val="uk-UA"/>
        </w:rPr>
        <w:t xml:space="preserve"> </w:t>
      </w:r>
      <w:r w:rsidRPr="00BE086B">
        <w:rPr>
          <w:bCs/>
          <w:sz w:val="28"/>
          <w:szCs w:val="28"/>
          <w:lang w:val="uk-UA"/>
        </w:rPr>
        <w:t xml:space="preserve">при </w:t>
      </w:r>
      <w:r w:rsidR="007B5280">
        <w:rPr>
          <w:bCs/>
          <w:sz w:val="28"/>
          <w:szCs w:val="28"/>
          <w:lang w:val="uk-UA"/>
        </w:rPr>
        <w:t xml:space="preserve"> </w:t>
      </w:r>
      <w:r w:rsidRPr="00BE086B">
        <w:rPr>
          <w:bCs/>
          <w:sz w:val="28"/>
          <w:szCs w:val="28"/>
          <w:lang w:val="uk-UA"/>
        </w:rPr>
        <w:t xml:space="preserve">високій </w:t>
      </w:r>
      <w:r w:rsidR="007B5280">
        <w:rPr>
          <w:bCs/>
          <w:sz w:val="28"/>
          <w:szCs w:val="28"/>
          <w:lang w:val="uk-UA"/>
        </w:rPr>
        <w:t xml:space="preserve"> </w:t>
      </w:r>
      <w:r w:rsidRPr="00BE086B">
        <w:rPr>
          <w:bCs/>
          <w:sz w:val="28"/>
          <w:szCs w:val="28"/>
          <w:lang w:val="uk-UA"/>
        </w:rPr>
        <w:t xml:space="preserve">концентрації в плазмі крові </w:t>
      </w:r>
      <w:r w:rsidR="007B5280">
        <w:rPr>
          <w:bCs/>
          <w:sz w:val="28"/>
          <w:szCs w:val="28"/>
          <w:lang w:val="uk-UA"/>
        </w:rPr>
        <w:t xml:space="preserve"> </w:t>
      </w:r>
      <w:r w:rsidRPr="00BE086B">
        <w:rPr>
          <w:bCs/>
          <w:sz w:val="28"/>
          <w:szCs w:val="28"/>
          <w:lang w:val="uk-UA"/>
        </w:rPr>
        <w:t xml:space="preserve">(а, </w:t>
      </w:r>
      <w:r w:rsidR="007B5280">
        <w:rPr>
          <w:bCs/>
          <w:sz w:val="28"/>
          <w:szCs w:val="28"/>
          <w:lang w:val="uk-UA"/>
        </w:rPr>
        <w:t xml:space="preserve"> </w:t>
      </w:r>
      <w:r w:rsidRPr="00BE086B">
        <w:rPr>
          <w:bCs/>
          <w:sz w:val="28"/>
          <w:szCs w:val="28"/>
          <w:lang w:val="uk-UA"/>
        </w:rPr>
        <w:t xml:space="preserve">отже, </w:t>
      </w:r>
      <w:r w:rsidR="007B5280">
        <w:rPr>
          <w:bCs/>
          <w:sz w:val="28"/>
          <w:szCs w:val="28"/>
          <w:lang w:val="uk-UA"/>
        </w:rPr>
        <w:t xml:space="preserve"> </w:t>
      </w:r>
      <w:r w:rsidRPr="00BE086B">
        <w:rPr>
          <w:bCs/>
          <w:sz w:val="28"/>
          <w:szCs w:val="28"/>
          <w:lang w:val="uk-UA"/>
        </w:rPr>
        <w:t xml:space="preserve">в </w:t>
      </w:r>
      <w:r w:rsidR="007B5280">
        <w:rPr>
          <w:bCs/>
          <w:sz w:val="28"/>
          <w:szCs w:val="28"/>
          <w:lang w:val="uk-UA"/>
        </w:rPr>
        <w:t xml:space="preserve"> </w:t>
      </w:r>
      <w:r w:rsidRPr="00BE086B">
        <w:rPr>
          <w:bCs/>
          <w:sz w:val="28"/>
          <w:szCs w:val="28"/>
          <w:lang w:val="uk-UA"/>
        </w:rPr>
        <w:t xml:space="preserve">стінках </w:t>
      </w:r>
      <w:r w:rsidR="007B5280">
        <w:rPr>
          <w:bCs/>
          <w:sz w:val="28"/>
          <w:szCs w:val="28"/>
          <w:lang w:val="uk-UA"/>
        </w:rPr>
        <w:t xml:space="preserve"> </w:t>
      </w:r>
      <w:r w:rsidRPr="00BE086B">
        <w:rPr>
          <w:bCs/>
          <w:sz w:val="28"/>
          <w:szCs w:val="28"/>
          <w:lang w:val="uk-UA"/>
        </w:rPr>
        <w:t xml:space="preserve">судин </w:t>
      </w:r>
      <w:r w:rsidR="007B5280">
        <w:rPr>
          <w:bCs/>
          <w:sz w:val="28"/>
          <w:szCs w:val="28"/>
          <w:lang w:val="uk-UA"/>
        </w:rPr>
        <w:t xml:space="preserve"> </w:t>
      </w:r>
      <w:r w:rsidRPr="00BE086B">
        <w:rPr>
          <w:bCs/>
          <w:sz w:val="28"/>
          <w:szCs w:val="28"/>
          <w:lang w:val="uk-UA"/>
        </w:rPr>
        <w:t xml:space="preserve">і </w:t>
      </w:r>
      <w:r w:rsidR="007B5280">
        <w:rPr>
          <w:bCs/>
          <w:sz w:val="28"/>
          <w:szCs w:val="28"/>
          <w:lang w:val="uk-UA"/>
        </w:rPr>
        <w:t xml:space="preserve"> </w:t>
      </w:r>
      <w:r w:rsidRPr="00BE086B">
        <w:rPr>
          <w:bCs/>
          <w:sz w:val="28"/>
          <w:szCs w:val="28"/>
          <w:lang w:val="uk-UA"/>
        </w:rPr>
        <w:t xml:space="preserve">нирках) </w:t>
      </w:r>
      <w:r w:rsidR="007B5280">
        <w:rPr>
          <w:bCs/>
          <w:sz w:val="28"/>
          <w:szCs w:val="28"/>
          <w:lang w:val="uk-UA"/>
        </w:rPr>
        <w:t xml:space="preserve"> </w:t>
      </w:r>
      <w:r w:rsidRPr="00BE086B">
        <w:rPr>
          <w:bCs/>
          <w:sz w:val="28"/>
          <w:szCs w:val="28"/>
          <w:lang w:val="uk-UA"/>
        </w:rPr>
        <w:t xml:space="preserve">зростає </w:t>
      </w:r>
      <w:r w:rsidR="007B5280">
        <w:rPr>
          <w:bCs/>
          <w:sz w:val="28"/>
          <w:szCs w:val="28"/>
          <w:lang w:val="uk-UA"/>
        </w:rPr>
        <w:t xml:space="preserve"> </w:t>
      </w:r>
      <w:r w:rsidRPr="00BE086B">
        <w:rPr>
          <w:bCs/>
          <w:sz w:val="28"/>
          <w:szCs w:val="28"/>
          <w:lang w:val="uk-UA"/>
        </w:rPr>
        <w:t xml:space="preserve">ризик </w:t>
      </w:r>
      <w:r w:rsidR="007B5280">
        <w:rPr>
          <w:bCs/>
          <w:sz w:val="28"/>
          <w:szCs w:val="28"/>
          <w:lang w:val="uk-UA"/>
        </w:rPr>
        <w:t xml:space="preserve"> </w:t>
      </w:r>
      <w:r w:rsidRPr="00BE086B">
        <w:rPr>
          <w:bCs/>
          <w:sz w:val="28"/>
          <w:szCs w:val="28"/>
          <w:lang w:val="uk-UA"/>
        </w:rPr>
        <w:t xml:space="preserve">небажаних </w:t>
      </w:r>
      <w:r w:rsidR="007B5280">
        <w:rPr>
          <w:bCs/>
          <w:sz w:val="28"/>
          <w:szCs w:val="28"/>
          <w:lang w:val="uk-UA"/>
        </w:rPr>
        <w:t xml:space="preserve"> </w:t>
      </w:r>
      <w:r w:rsidRPr="00BE086B">
        <w:rPr>
          <w:bCs/>
          <w:sz w:val="28"/>
          <w:szCs w:val="28"/>
          <w:lang w:val="uk-UA"/>
        </w:rPr>
        <w:t xml:space="preserve">побічних реакцій з боку серцево-судинної системи </w:t>
      </w:r>
      <w:r w:rsidRPr="00BE086B">
        <w:rPr>
          <w:sz w:val="28"/>
          <w:szCs w:val="28"/>
          <w:lang w:val="uk-UA"/>
        </w:rPr>
        <w:t>[325-328]</w:t>
      </w:r>
      <w:r w:rsidRPr="00BE086B">
        <w:rPr>
          <w:bCs/>
          <w:sz w:val="28"/>
          <w:szCs w:val="28"/>
          <w:lang w:val="uk-UA"/>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Вважається, що типовими ускладненнями при прийомі «класичних» НПЗЗ є зміни з боку ШКТ, але клінічне використання селективних НПЗЗ (німесулід, мелоксикам) та специфічних інгібіторів ЦОГ-2 (целекоксиб, еторікоксиб) </w:t>
      </w:r>
      <w:r w:rsidR="00340C77">
        <w:rPr>
          <w:sz w:val="28"/>
          <w:szCs w:val="28"/>
          <w:lang w:val="uk-UA"/>
        </w:rPr>
        <w:t xml:space="preserve">  </w:t>
      </w:r>
      <w:r w:rsidRPr="00BE086B">
        <w:rPr>
          <w:sz w:val="28"/>
          <w:szCs w:val="28"/>
          <w:lang w:val="uk-UA"/>
        </w:rPr>
        <w:t xml:space="preserve">виявило </w:t>
      </w:r>
      <w:r w:rsidR="00340C77">
        <w:rPr>
          <w:sz w:val="28"/>
          <w:szCs w:val="28"/>
          <w:lang w:val="uk-UA"/>
        </w:rPr>
        <w:t xml:space="preserve">  </w:t>
      </w:r>
      <w:r w:rsidRPr="00BE086B">
        <w:rPr>
          <w:sz w:val="28"/>
          <w:szCs w:val="28"/>
          <w:lang w:val="uk-UA"/>
        </w:rPr>
        <w:t xml:space="preserve">побічні </w:t>
      </w:r>
      <w:r w:rsidR="00340C77">
        <w:rPr>
          <w:sz w:val="28"/>
          <w:szCs w:val="28"/>
          <w:lang w:val="uk-UA"/>
        </w:rPr>
        <w:t xml:space="preserve"> </w:t>
      </w:r>
      <w:r w:rsidRPr="00BE086B">
        <w:rPr>
          <w:sz w:val="28"/>
          <w:szCs w:val="28"/>
          <w:lang w:val="uk-UA"/>
        </w:rPr>
        <w:t xml:space="preserve">ефекти </w:t>
      </w:r>
      <w:r w:rsidR="00340C77">
        <w:rPr>
          <w:sz w:val="28"/>
          <w:szCs w:val="28"/>
          <w:lang w:val="uk-UA"/>
        </w:rPr>
        <w:t xml:space="preserve"> </w:t>
      </w:r>
      <w:r w:rsidRPr="00BE086B">
        <w:rPr>
          <w:sz w:val="28"/>
          <w:szCs w:val="28"/>
          <w:lang w:val="uk-UA"/>
        </w:rPr>
        <w:t xml:space="preserve">з </w:t>
      </w:r>
      <w:r w:rsidR="00340C77">
        <w:rPr>
          <w:sz w:val="28"/>
          <w:szCs w:val="28"/>
          <w:lang w:val="uk-UA"/>
        </w:rPr>
        <w:t xml:space="preserve"> </w:t>
      </w:r>
      <w:r w:rsidRPr="00BE086B">
        <w:rPr>
          <w:sz w:val="28"/>
          <w:szCs w:val="28"/>
          <w:lang w:val="uk-UA"/>
        </w:rPr>
        <w:t xml:space="preserve">боку </w:t>
      </w:r>
      <w:r w:rsidR="00340C77">
        <w:rPr>
          <w:sz w:val="28"/>
          <w:szCs w:val="28"/>
          <w:lang w:val="uk-UA"/>
        </w:rPr>
        <w:t xml:space="preserve"> </w:t>
      </w:r>
      <w:r w:rsidRPr="00BE086B">
        <w:rPr>
          <w:sz w:val="28"/>
          <w:szCs w:val="28"/>
          <w:lang w:val="uk-UA"/>
        </w:rPr>
        <w:t xml:space="preserve">ССС </w:t>
      </w:r>
      <w:r w:rsidR="00340C77">
        <w:rPr>
          <w:sz w:val="28"/>
          <w:szCs w:val="28"/>
          <w:lang w:val="uk-UA"/>
        </w:rPr>
        <w:t xml:space="preserve"> </w:t>
      </w:r>
      <w:r w:rsidRPr="00BE086B">
        <w:rPr>
          <w:sz w:val="28"/>
          <w:szCs w:val="28"/>
          <w:lang w:val="uk-UA"/>
        </w:rPr>
        <w:t xml:space="preserve">та </w:t>
      </w:r>
      <w:r w:rsidR="00340C77">
        <w:rPr>
          <w:sz w:val="28"/>
          <w:szCs w:val="28"/>
          <w:lang w:val="uk-UA"/>
        </w:rPr>
        <w:t xml:space="preserve"> </w:t>
      </w:r>
      <w:r w:rsidRPr="00BE086B">
        <w:rPr>
          <w:sz w:val="28"/>
          <w:szCs w:val="28"/>
          <w:lang w:val="uk-UA"/>
        </w:rPr>
        <w:t xml:space="preserve">системи </w:t>
      </w:r>
      <w:r w:rsidR="00340C77">
        <w:rPr>
          <w:sz w:val="28"/>
          <w:szCs w:val="28"/>
          <w:lang w:val="uk-UA"/>
        </w:rPr>
        <w:t xml:space="preserve"> </w:t>
      </w:r>
      <w:r w:rsidRPr="00BE086B">
        <w:rPr>
          <w:sz w:val="28"/>
          <w:szCs w:val="28"/>
          <w:lang w:val="uk-UA"/>
        </w:rPr>
        <w:t>крові.</w:t>
      </w:r>
      <w:r w:rsidR="00340C77">
        <w:rPr>
          <w:sz w:val="28"/>
          <w:szCs w:val="28"/>
          <w:lang w:val="uk-UA"/>
        </w:rPr>
        <w:t xml:space="preserve"> </w:t>
      </w:r>
      <w:r w:rsidRPr="00BE086B">
        <w:rPr>
          <w:sz w:val="28"/>
          <w:szCs w:val="28"/>
          <w:lang w:val="uk-UA"/>
        </w:rPr>
        <w:t xml:space="preserve"> Проте, відносно НПЗЗ-гастропатій, проблема патології серцево-судинної системи визначається високою коморбідністю серед пацієнтів, що потребують тривалої знеболювальної терапії внаслідок ОА [329-333].</w:t>
      </w:r>
    </w:p>
    <w:p w:rsidR="00D92D95" w:rsidRPr="00BE086B" w:rsidRDefault="00D92D95" w:rsidP="00D92D95">
      <w:pPr>
        <w:spacing w:line="360" w:lineRule="auto"/>
        <w:ind w:firstLine="709"/>
        <w:jc w:val="both"/>
        <w:rPr>
          <w:lang w:val="uk-UA"/>
        </w:rPr>
      </w:pPr>
      <w:r w:rsidRPr="00BE086B">
        <w:rPr>
          <w:sz w:val="28"/>
          <w:szCs w:val="28"/>
          <w:lang w:val="uk-UA"/>
        </w:rPr>
        <w:t xml:space="preserve">На </w:t>
      </w:r>
      <w:r w:rsidR="00340C77">
        <w:rPr>
          <w:sz w:val="28"/>
          <w:szCs w:val="28"/>
          <w:lang w:val="uk-UA"/>
        </w:rPr>
        <w:t xml:space="preserve">  </w:t>
      </w:r>
      <w:r w:rsidRPr="00BE086B">
        <w:rPr>
          <w:sz w:val="28"/>
          <w:szCs w:val="28"/>
          <w:lang w:val="uk-UA"/>
        </w:rPr>
        <w:t xml:space="preserve">теперішній </w:t>
      </w:r>
      <w:r w:rsidR="00340C77">
        <w:rPr>
          <w:sz w:val="28"/>
          <w:szCs w:val="28"/>
          <w:lang w:val="uk-UA"/>
        </w:rPr>
        <w:t xml:space="preserve"> </w:t>
      </w:r>
      <w:r w:rsidRPr="00BE086B">
        <w:rPr>
          <w:sz w:val="28"/>
          <w:szCs w:val="28"/>
          <w:lang w:val="uk-UA"/>
        </w:rPr>
        <w:t xml:space="preserve">час </w:t>
      </w:r>
      <w:r w:rsidR="00340C77">
        <w:rPr>
          <w:sz w:val="28"/>
          <w:szCs w:val="28"/>
          <w:lang w:val="uk-UA"/>
        </w:rPr>
        <w:t xml:space="preserve">  </w:t>
      </w:r>
      <w:r w:rsidRPr="00BE086B">
        <w:rPr>
          <w:sz w:val="28"/>
          <w:szCs w:val="28"/>
          <w:lang w:val="uk-UA"/>
        </w:rPr>
        <w:t xml:space="preserve">в </w:t>
      </w:r>
      <w:r w:rsidR="00340C77">
        <w:rPr>
          <w:sz w:val="28"/>
          <w:szCs w:val="28"/>
          <w:lang w:val="uk-UA"/>
        </w:rPr>
        <w:t xml:space="preserve">  </w:t>
      </w:r>
      <w:r w:rsidRPr="00BE086B">
        <w:rPr>
          <w:sz w:val="28"/>
          <w:szCs w:val="28"/>
          <w:lang w:val="uk-UA"/>
        </w:rPr>
        <w:t xml:space="preserve">реальній </w:t>
      </w:r>
      <w:r w:rsidR="00340C77">
        <w:rPr>
          <w:sz w:val="28"/>
          <w:szCs w:val="28"/>
          <w:lang w:val="uk-UA"/>
        </w:rPr>
        <w:t xml:space="preserve">  </w:t>
      </w:r>
      <w:r w:rsidRPr="00BE086B">
        <w:rPr>
          <w:sz w:val="28"/>
          <w:szCs w:val="28"/>
          <w:lang w:val="uk-UA"/>
        </w:rPr>
        <w:t xml:space="preserve">клінічній </w:t>
      </w:r>
      <w:r w:rsidR="00340C77">
        <w:rPr>
          <w:sz w:val="28"/>
          <w:szCs w:val="28"/>
          <w:lang w:val="uk-UA"/>
        </w:rPr>
        <w:t xml:space="preserve">  </w:t>
      </w:r>
      <w:r w:rsidRPr="00BE086B">
        <w:rPr>
          <w:sz w:val="28"/>
          <w:szCs w:val="28"/>
          <w:lang w:val="uk-UA"/>
        </w:rPr>
        <w:t xml:space="preserve">практиці </w:t>
      </w:r>
      <w:r w:rsidR="00340C77">
        <w:rPr>
          <w:sz w:val="28"/>
          <w:szCs w:val="28"/>
          <w:lang w:val="uk-UA"/>
        </w:rPr>
        <w:t xml:space="preserve">  </w:t>
      </w:r>
      <w:r w:rsidRPr="00BE086B">
        <w:rPr>
          <w:sz w:val="28"/>
          <w:szCs w:val="28"/>
          <w:lang w:val="uk-UA"/>
        </w:rPr>
        <w:t>слід</w:t>
      </w:r>
      <w:r w:rsidR="00340C77">
        <w:rPr>
          <w:sz w:val="28"/>
          <w:szCs w:val="28"/>
          <w:lang w:val="uk-UA"/>
        </w:rPr>
        <w:t xml:space="preserve"> </w:t>
      </w:r>
      <w:r w:rsidRPr="00BE086B">
        <w:rPr>
          <w:sz w:val="28"/>
          <w:szCs w:val="28"/>
          <w:lang w:val="uk-UA"/>
        </w:rPr>
        <w:t xml:space="preserve"> </w:t>
      </w:r>
      <w:r w:rsidR="00340C77">
        <w:rPr>
          <w:sz w:val="28"/>
          <w:szCs w:val="28"/>
          <w:lang w:val="uk-UA"/>
        </w:rPr>
        <w:t xml:space="preserve"> </w:t>
      </w:r>
      <w:r w:rsidRPr="00BE086B">
        <w:rPr>
          <w:sz w:val="28"/>
          <w:szCs w:val="28"/>
          <w:lang w:val="uk-UA"/>
        </w:rPr>
        <w:t xml:space="preserve">враховувати можливість, </w:t>
      </w:r>
      <w:r w:rsidR="00340C77">
        <w:rPr>
          <w:sz w:val="28"/>
          <w:szCs w:val="28"/>
          <w:lang w:val="uk-UA"/>
        </w:rPr>
        <w:t xml:space="preserve"> </w:t>
      </w:r>
      <w:r w:rsidRPr="00BE086B">
        <w:rPr>
          <w:sz w:val="28"/>
          <w:szCs w:val="28"/>
          <w:lang w:val="uk-UA"/>
        </w:rPr>
        <w:t xml:space="preserve">як шлунково-кишкових, так і кардіоваскулярних факторів ризику, які нерідко поєднуються, особливо на тлі коморбідної патології </w:t>
      </w:r>
      <w:r w:rsidRPr="00BE086B">
        <w:rPr>
          <w:bCs/>
          <w:sz w:val="28"/>
          <w:szCs w:val="28"/>
          <w:lang w:val="uk-UA"/>
        </w:rPr>
        <w:t>[8-11, 13]</w:t>
      </w:r>
      <w:r w:rsidRPr="00BE086B">
        <w:rPr>
          <w:sz w:val="28"/>
          <w:szCs w:val="28"/>
          <w:lang w:val="uk-UA"/>
        </w:rPr>
        <w:t>.</w:t>
      </w:r>
    </w:p>
    <w:p w:rsidR="00D92D95" w:rsidRPr="00BE086B" w:rsidRDefault="00D92D95" w:rsidP="00D92D95">
      <w:pPr>
        <w:pStyle w:val="1"/>
        <w:shd w:val="clear" w:color="auto" w:fill="FFFFFF"/>
        <w:spacing w:line="360" w:lineRule="auto"/>
        <w:ind w:left="0" w:right="0" w:firstLine="709"/>
        <w:jc w:val="both"/>
        <w:rPr>
          <w:szCs w:val="28"/>
        </w:rPr>
      </w:pPr>
      <w:r w:rsidRPr="00BE086B">
        <w:rPr>
          <w:bCs/>
          <w:szCs w:val="28"/>
          <w:lang w:eastAsia="ru-RU"/>
        </w:rPr>
        <w:lastRenderedPageBreak/>
        <w:t xml:space="preserve">Відомо, що застосування НПЗЗ пов'язано з розвитком побічних ефектів, які можуть посилювати перебіг артеріальної гіпертензії, знижувати ефективність терапії та негативно впливати на стан пацієнтів з серцевою недостатністю </w:t>
      </w:r>
      <w:r w:rsidRPr="00BE086B">
        <w:rPr>
          <w:szCs w:val="28"/>
        </w:rPr>
        <w:t>[10, 334-336]</w:t>
      </w:r>
      <w:r w:rsidRPr="00BE086B">
        <w:rPr>
          <w:bCs/>
          <w:szCs w:val="28"/>
          <w:lang w:eastAsia="ru-RU"/>
        </w:rPr>
        <w:t xml:space="preserve">. Призначення </w:t>
      </w:r>
      <w:r w:rsidRPr="00BE086B">
        <w:rPr>
          <w:szCs w:val="28"/>
        </w:rPr>
        <w:t>НПЗЗ пов’язано з нефротоксичністю - аналгетики впливають на паренхіму нирок, викликаючи інтерстиціальний нефрит (аналгетична нефропатія), при цьому включаються ниркові механізми підвищення артеріального тиску [331, 333].</w:t>
      </w:r>
    </w:p>
    <w:p w:rsidR="00D92D95" w:rsidRPr="00BE086B" w:rsidRDefault="00D92D95" w:rsidP="00D92D95">
      <w:pPr>
        <w:spacing w:line="360" w:lineRule="auto"/>
        <w:ind w:firstLine="709"/>
        <w:jc w:val="both"/>
        <w:rPr>
          <w:bCs/>
          <w:sz w:val="28"/>
          <w:szCs w:val="28"/>
          <w:lang w:val="uk-UA"/>
        </w:rPr>
      </w:pPr>
      <w:r w:rsidRPr="00BE086B">
        <w:rPr>
          <w:bCs/>
          <w:sz w:val="28"/>
          <w:szCs w:val="28"/>
          <w:lang w:val="uk-UA"/>
        </w:rPr>
        <w:t>З огляду на вищезазначене, при лікуванні гострого болю внаслідок ОА необхідно враховувати, що призначення аналгетиків ускладняється тим, що більшість хворих це особи похилого віку, для яких характерна наявність широкого спектру супутніх та коморбідних захворювань. У теперішній час питання коморбідності надзвичайно актуальні, що обумовлено постарінням населення в усьому світі. Зазначені особливості НПЗЗ є факторами ризику розвитку побічних ефектів при їх застосуванні.</w:t>
      </w:r>
    </w:p>
    <w:p w:rsidR="00D92D95" w:rsidRPr="00BE086B" w:rsidRDefault="00D92D95" w:rsidP="00D92D95">
      <w:pPr>
        <w:spacing w:line="360" w:lineRule="auto"/>
        <w:ind w:firstLine="709"/>
        <w:jc w:val="both"/>
        <w:rPr>
          <w:bCs/>
          <w:sz w:val="28"/>
          <w:szCs w:val="28"/>
          <w:lang w:val="uk-UA"/>
        </w:rPr>
      </w:pPr>
      <w:r w:rsidRPr="00BE086B">
        <w:rPr>
          <w:bCs/>
          <w:sz w:val="28"/>
          <w:szCs w:val="28"/>
          <w:lang w:val="uk-UA"/>
        </w:rPr>
        <w:t xml:space="preserve">При </w:t>
      </w:r>
      <w:r w:rsidR="00340C77">
        <w:rPr>
          <w:bCs/>
          <w:sz w:val="28"/>
          <w:szCs w:val="28"/>
          <w:lang w:val="uk-UA"/>
        </w:rPr>
        <w:t xml:space="preserve"> </w:t>
      </w:r>
      <w:r w:rsidRPr="00BE086B">
        <w:rPr>
          <w:bCs/>
          <w:sz w:val="28"/>
          <w:szCs w:val="28"/>
          <w:lang w:val="uk-UA"/>
        </w:rPr>
        <w:t xml:space="preserve">аналізі </w:t>
      </w:r>
      <w:r w:rsidR="00340C77">
        <w:rPr>
          <w:bCs/>
          <w:sz w:val="28"/>
          <w:szCs w:val="28"/>
          <w:lang w:val="uk-UA"/>
        </w:rPr>
        <w:t xml:space="preserve"> </w:t>
      </w:r>
      <w:r w:rsidRPr="00BE086B">
        <w:rPr>
          <w:bCs/>
          <w:sz w:val="28"/>
          <w:szCs w:val="28"/>
          <w:lang w:val="uk-UA"/>
        </w:rPr>
        <w:t xml:space="preserve">настанов </w:t>
      </w:r>
      <w:r w:rsidR="00340C77">
        <w:rPr>
          <w:bCs/>
          <w:sz w:val="28"/>
          <w:szCs w:val="28"/>
          <w:lang w:val="uk-UA"/>
        </w:rPr>
        <w:t xml:space="preserve"> </w:t>
      </w:r>
      <w:r w:rsidRPr="00BE086B">
        <w:rPr>
          <w:bCs/>
          <w:sz w:val="28"/>
          <w:szCs w:val="28"/>
          <w:lang w:val="uk-UA"/>
        </w:rPr>
        <w:t xml:space="preserve">з лікування ОА звертає на себе увагу рекомендація щодо </w:t>
      </w:r>
      <w:r w:rsidRPr="00BE086B">
        <w:rPr>
          <w:sz w:val="28"/>
          <w:szCs w:val="28"/>
          <w:lang w:val="uk-UA" w:eastAsia="ru-RU"/>
        </w:rPr>
        <w:t xml:space="preserve">аналгезії на першій стадії лікування ОА. Так, за </w:t>
      </w:r>
      <w:r w:rsidRPr="00BE086B">
        <w:rPr>
          <w:sz w:val="28"/>
          <w:szCs w:val="28"/>
          <w:lang w:val="uk-UA"/>
        </w:rPr>
        <w:t xml:space="preserve">рекомендаціями ESCEO та </w:t>
      </w:r>
      <w:r w:rsidR="00340C77">
        <w:rPr>
          <w:sz w:val="28"/>
          <w:szCs w:val="28"/>
          <w:lang w:val="uk-UA"/>
        </w:rPr>
        <w:t xml:space="preserve"> </w:t>
      </w:r>
      <w:r w:rsidRPr="00BE086B">
        <w:rPr>
          <w:sz w:val="28"/>
          <w:szCs w:val="28"/>
          <w:shd w:val="clear" w:color="auto" w:fill="FFFFFF"/>
          <w:lang w:val="uk-UA"/>
        </w:rPr>
        <w:t xml:space="preserve">OARSI </w:t>
      </w:r>
      <w:r w:rsidR="00340C77">
        <w:rPr>
          <w:sz w:val="28"/>
          <w:szCs w:val="28"/>
          <w:shd w:val="clear" w:color="auto" w:fill="FFFFFF"/>
          <w:lang w:val="uk-UA"/>
        </w:rPr>
        <w:t xml:space="preserve"> </w:t>
      </w:r>
      <w:r w:rsidRPr="00BE086B">
        <w:rPr>
          <w:sz w:val="28"/>
          <w:szCs w:val="28"/>
          <w:lang w:val="uk-UA" w:eastAsia="ru-RU"/>
        </w:rPr>
        <w:t xml:space="preserve">на </w:t>
      </w:r>
      <w:r w:rsidR="00340C77">
        <w:rPr>
          <w:sz w:val="28"/>
          <w:szCs w:val="28"/>
          <w:lang w:val="uk-UA" w:eastAsia="ru-RU"/>
        </w:rPr>
        <w:t xml:space="preserve"> </w:t>
      </w:r>
      <w:r w:rsidRPr="00BE086B">
        <w:rPr>
          <w:sz w:val="28"/>
          <w:szCs w:val="28"/>
          <w:lang w:val="uk-UA" w:eastAsia="ru-RU"/>
        </w:rPr>
        <w:t xml:space="preserve">першій </w:t>
      </w:r>
      <w:r w:rsidR="00340C77">
        <w:rPr>
          <w:sz w:val="28"/>
          <w:szCs w:val="28"/>
          <w:lang w:val="uk-UA" w:eastAsia="ru-RU"/>
        </w:rPr>
        <w:t xml:space="preserve"> </w:t>
      </w:r>
      <w:r w:rsidRPr="00BE086B">
        <w:rPr>
          <w:sz w:val="28"/>
          <w:szCs w:val="28"/>
          <w:lang w:val="uk-UA" w:eastAsia="ru-RU"/>
        </w:rPr>
        <w:t xml:space="preserve">стадії </w:t>
      </w:r>
      <w:r w:rsidR="00340C77">
        <w:rPr>
          <w:sz w:val="28"/>
          <w:szCs w:val="28"/>
          <w:lang w:val="uk-UA" w:eastAsia="ru-RU"/>
        </w:rPr>
        <w:t xml:space="preserve"> </w:t>
      </w:r>
      <w:r w:rsidRPr="00BE086B">
        <w:rPr>
          <w:sz w:val="28"/>
          <w:szCs w:val="28"/>
          <w:lang w:val="uk-UA" w:eastAsia="ru-RU"/>
        </w:rPr>
        <w:t xml:space="preserve">лікування </w:t>
      </w:r>
      <w:r w:rsidR="00340C77">
        <w:rPr>
          <w:sz w:val="28"/>
          <w:szCs w:val="28"/>
          <w:lang w:val="uk-UA" w:eastAsia="ru-RU"/>
        </w:rPr>
        <w:t xml:space="preserve"> </w:t>
      </w:r>
      <w:r w:rsidRPr="00BE086B">
        <w:rPr>
          <w:sz w:val="28"/>
          <w:szCs w:val="28"/>
          <w:lang w:val="uk-UA" w:eastAsia="ru-RU"/>
        </w:rPr>
        <w:t>ОА</w:t>
      </w:r>
      <w:r w:rsidRPr="00BE086B">
        <w:rPr>
          <w:sz w:val="28"/>
          <w:szCs w:val="28"/>
          <w:shd w:val="clear" w:color="auto" w:fill="FFFFFF"/>
          <w:lang w:val="uk-UA"/>
        </w:rPr>
        <w:t xml:space="preserve"> </w:t>
      </w:r>
      <w:r w:rsidR="00340C77">
        <w:rPr>
          <w:sz w:val="28"/>
          <w:szCs w:val="28"/>
          <w:shd w:val="clear" w:color="auto" w:fill="FFFFFF"/>
          <w:lang w:val="uk-UA"/>
        </w:rPr>
        <w:t xml:space="preserve"> </w:t>
      </w:r>
      <w:r w:rsidRPr="00BE086B">
        <w:rPr>
          <w:sz w:val="28"/>
          <w:szCs w:val="28"/>
          <w:shd w:val="clear" w:color="auto" w:fill="FFFFFF"/>
          <w:lang w:val="uk-UA"/>
        </w:rPr>
        <w:t xml:space="preserve">пропонується </w:t>
      </w:r>
      <w:r w:rsidR="00340C77">
        <w:rPr>
          <w:sz w:val="28"/>
          <w:szCs w:val="28"/>
          <w:shd w:val="clear" w:color="auto" w:fill="FFFFFF"/>
          <w:lang w:val="uk-UA"/>
        </w:rPr>
        <w:t xml:space="preserve"> </w:t>
      </w:r>
      <w:r w:rsidRPr="00BE086B">
        <w:rPr>
          <w:sz w:val="28"/>
          <w:szCs w:val="28"/>
          <w:shd w:val="clear" w:color="auto" w:fill="FFFFFF"/>
          <w:lang w:val="uk-UA"/>
        </w:rPr>
        <w:t xml:space="preserve">призначення хворим </w:t>
      </w:r>
      <w:r w:rsidR="00340C77">
        <w:rPr>
          <w:sz w:val="28"/>
          <w:szCs w:val="28"/>
          <w:shd w:val="clear" w:color="auto" w:fill="FFFFFF"/>
          <w:lang w:val="uk-UA"/>
        </w:rPr>
        <w:t xml:space="preserve"> </w:t>
      </w:r>
      <w:r w:rsidRPr="00BE086B">
        <w:rPr>
          <w:sz w:val="28"/>
          <w:szCs w:val="28"/>
          <w:shd w:val="clear" w:color="auto" w:fill="FFFFFF"/>
          <w:lang w:val="uk-UA"/>
        </w:rPr>
        <w:t xml:space="preserve">коротким </w:t>
      </w:r>
      <w:r w:rsidR="00340C77">
        <w:rPr>
          <w:sz w:val="28"/>
          <w:szCs w:val="28"/>
          <w:shd w:val="clear" w:color="auto" w:fill="FFFFFF"/>
          <w:lang w:val="uk-UA"/>
        </w:rPr>
        <w:t xml:space="preserve"> </w:t>
      </w:r>
      <w:r w:rsidRPr="00BE086B">
        <w:rPr>
          <w:sz w:val="28"/>
          <w:szCs w:val="28"/>
          <w:shd w:val="clear" w:color="auto" w:fill="FFFFFF"/>
          <w:lang w:val="uk-UA"/>
        </w:rPr>
        <w:t xml:space="preserve">курсом </w:t>
      </w:r>
      <w:r w:rsidR="00340C77">
        <w:rPr>
          <w:sz w:val="28"/>
          <w:szCs w:val="28"/>
          <w:shd w:val="clear" w:color="auto" w:fill="FFFFFF"/>
          <w:lang w:val="uk-UA"/>
        </w:rPr>
        <w:t xml:space="preserve"> </w:t>
      </w:r>
      <w:r w:rsidRPr="00BE086B">
        <w:rPr>
          <w:sz w:val="28"/>
          <w:szCs w:val="28"/>
          <w:shd w:val="clear" w:color="auto" w:fill="FFFFFF"/>
          <w:lang w:val="uk-UA"/>
        </w:rPr>
        <w:t xml:space="preserve">у </w:t>
      </w:r>
      <w:r w:rsidR="00340C77">
        <w:rPr>
          <w:sz w:val="28"/>
          <w:szCs w:val="28"/>
          <w:shd w:val="clear" w:color="auto" w:fill="FFFFFF"/>
          <w:lang w:val="uk-UA"/>
        </w:rPr>
        <w:t xml:space="preserve"> </w:t>
      </w:r>
      <w:r w:rsidRPr="00BE086B">
        <w:rPr>
          <w:sz w:val="28"/>
          <w:szCs w:val="28"/>
          <w:shd w:val="clear" w:color="auto" w:fill="FFFFFF"/>
          <w:lang w:val="uk-UA"/>
        </w:rPr>
        <w:t xml:space="preserve">низьких </w:t>
      </w:r>
      <w:r w:rsidR="00340C77">
        <w:rPr>
          <w:sz w:val="28"/>
          <w:szCs w:val="28"/>
          <w:shd w:val="clear" w:color="auto" w:fill="FFFFFF"/>
          <w:lang w:val="uk-UA"/>
        </w:rPr>
        <w:t xml:space="preserve"> </w:t>
      </w:r>
      <w:r w:rsidRPr="00BE086B">
        <w:rPr>
          <w:sz w:val="28"/>
          <w:szCs w:val="28"/>
          <w:shd w:val="clear" w:color="auto" w:fill="FFFFFF"/>
          <w:lang w:val="uk-UA"/>
        </w:rPr>
        <w:t xml:space="preserve">дозах </w:t>
      </w:r>
      <w:r w:rsidR="00340C77">
        <w:rPr>
          <w:sz w:val="28"/>
          <w:szCs w:val="28"/>
          <w:shd w:val="clear" w:color="auto" w:fill="FFFFFF"/>
          <w:lang w:val="uk-UA"/>
        </w:rPr>
        <w:t xml:space="preserve"> </w:t>
      </w:r>
      <w:r w:rsidRPr="00BE086B">
        <w:rPr>
          <w:sz w:val="28"/>
          <w:szCs w:val="28"/>
          <w:shd w:val="clear" w:color="auto" w:fill="FFFFFF"/>
          <w:lang w:val="uk-UA"/>
        </w:rPr>
        <w:t xml:space="preserve">парацетамолу </w:t>
      </w:r>
      <w:r w:rsidRPr="00BE086B">
        <w:rPr>
          <w:sz w:val="28"/>
          <w:szCs w:val="28"/>
          <w:lang w:val="uk-UA"/>
        </w:rPr>
        <w:t>[</w:t>
      </w:r>
      <w:r w:rsidRPr="00BE086B">
        <w:rPr>
          <w:sz w:val="28"/>
          <w:szCs w:val="28"/>
          <w:lang w:val="uk-UA" w:eastAsia="ru-RU"/>
        </w:rPr>
        <w:t>296, 297, 300</w:t>
      </w:r>
      <w:r w:rsidRPr="00BE086B">
        <w:rPr>
          <w:sz w:val="28"/>
          <w:szCs w:val="28"/>
          <w:lang w:val="uk-UA"/>
        </w:rPr>
        <w:t>].</w:t>
      </w:r>
    </w:p>
    <w:p w:rsidR="00D92D95" w:rsidRPr="00BE086B" w:rsidRDefault="00D92D95" w:rsidP="00D92D95">
      <w:pPr>
        <w:spacing w:line="360" w:lineRule="auto"/>
        <w:ind w:firstLine="709"/>
        <w:jc w:val="both"/>
        <w:rPr>
          <w:sz w:val="28"/>
          <w:szCs w:val="28"/>
          <w:lang w:val="uk-UA" w:eastAsia="ru-RU"/>
        </w:rPr>
      </w:pPr>
      <w:r w:rsidRPr="00BE086B">
        <w:rPr>
          <w:rStyle w:val="hps"/>
          <w:sz w:val="28"/>
          <w:szCs w:val="28"/>
          <w:lang w:val="uk-UA"/>
        </w:rPr>
        <w:t xml:space="preserve">Парацетамол </w:t>
      </w:r>
      <w:r w:rsidRPr="00BE086B">
        <w:rPr>
          <w:bCs/>
          <w:sz w:val="28"/>
          <w:szCs w:val="28"/>
          <w:lang w:val="uk-UA"/>
        </w:rPr>
        <w:t xml:space="preserve">- це ненаркотичний анальгетик-антипіретик, який </w:t>
      </w:r>
      <w:r w:rsidRPr="00BE086B">
        <w:rPr>
          <w:rStyle w:val="hps"/>
          <w:sz w:val="28"/>
          <w:szCs w:val="28"/>
          <w:lang w:val="uk-UA"/>
        </w:rPr>
        <w:t xml:space="preserve">належить до похідних аніліну. </w:t>
      </w:r>
      <w:r w:rsidRPr="00BE086B">
        <w:rPr>
          <w:bCs/>
          <w:sz w:val="28"/>
          <w:szCs w:val="28"/>
          <w:lang w:val="uk-UA"/>
        </w:rPr>
        <w:t xml:space="preserve">Від засобів, що мають знеболюючий і </w:t>
      </w:r>
      <w:r w:rsidRPr="00BE086B">
        <w:rPr>
          <w:rStyle w:val="hps"/>
          <w:sz w:val="28"/>
          <w:szCs w:val="28"/>
          <w:lang w:val="uk-UA"/>
        </w:rPr>
        <w:t>жарознижуючий</w:t>
      </w:r>
      <w:r w:rsidRPr="00BE086B">
        <w:rPr>
          <w:bCs/>
          <w:sz w:val="28"/>
          <w:szCs w:val="28"/>
          <w:lang w:val="uk-UA"/>
        </w:rPr>
        <w:t xml:space="preserve"> ефекти парацетамол відрізняється низкою терапевтичних переваг. </w:t>
      </w:r>
      <w:r w:rsidR="00340C77">
        <w:rPr>
          <w:bCs/>
          <w:sz w:val="28"/>
          <w:szCs w:val="28"/>
          <w:lang w:val="uk-UA"/>
        </w:rPr>
        <w:t xml:space="preserve"> </w:t>
      </w:r>
      <w:r w:rsidRPr="00BE086B">
        <w:rPr>
          <w:bCs/>
          <w:sz w:val="28"/>
          <w:szCs w:val="28"/>
          <w:lang w:val="uk-UA"/>
        </w:rPr>
        <w:t xml:space="preserve">Зокрема, </w:t>
      </w:r>
      <w:r w:rsidR="00340C77">
        <w:rPr>
          <w:bCs/>
          <w:sz w:val="28"/>
          <w:szCs w:val="28"/>
          <w:lang w:val="uk-UA"/>
        </w:rPr>
        <w:t xml:space="preserve"> </w:t>
      </w:r>
      <w:r w:rsidRPr="00BE086B">
        <w:rPr>
          <w:bCs/>
          <w:sz w:val="28"/>
          <w:szCs w:val="28"/>
          <w:lang w:val="uk-UA"/>
        </w:rPr>
        <w:t xml:space="preserve">парацетамол </w:t>
      </w:r>
      <w:r w:rsidR="00340C77">
        <w:rPr>
          <w:bCs/>
          <w:sz w:val="28"/>
          <w:szCs w:val="28"/>
          <w:lang w:val="uk-UA"/>
        </w:rPr>
        <w:t xml:space="preserve"> </w:t>
      </w:r>
      <w:r w:rsidRPr="00BE086B">
        <w:rPr>
          <w:bCs/>
          <w:sz w:val="28"/>
          <w:szCs w:val="28"/>
          <w:lang w:val="uk-UA"/>
        </w:rPr>
        <w:t xml:space="preserve">має центральний механізм дії, який пов'язаний </w:t>
      </w:r>
      <w:r w:rsidR="00340C77">
        <w:rPr>
          <w:bCs/>
          <w:sz w:val="28"/>
          <w:szCs w:val="28"/>
          <w:lang w:val="uk-UA"/>
        </w:rPr>
        <w:t xml:space="preserve"> </w:t>
      </w:r>
      <w:r w:rsidRPr="00BE086B">
        <w:rPr>
          <w:bCs/>
          <w:sz w:val="28"/>
          <w:szCs w:val="28"/>
          <w:lang w:val="uk-UA"/>
        </w:rPr>
        <w:t xml:space="preserve">з </w:t>
      </w:r>
      <w:r w:rsidR="00340C77">
        <w:rPr>
          <w:bCs/>
          <w:sz w:val="28"/>
          <w:szCs w:val="28"/>
          <w:lang w:val="uk-UA"/>
        </w:rPr>
        <w:t xml:space="preserve"> </w:t>
      </w:r>
      <w:r w:rsidRPr="00BE086B">
        <w:rPr>
          <w:bCs/>
          <w:sz w:val="28"/>
          <w:szCs w:val="28"/>
          <w:lang w:val="uk-UA"/>
        </w:rPr>
        <w:t xml:space="preserve">пригніченням </w:t>
      </w:r>
      <w:r w:rsidR="00340C77">
        <w:rPr>
          <w:bCs/>
          <w:sz w:val="28"/>
          <w:szCs w:val="28"/>
          <w:lang w:val="uk-UA"/>
        </w:rPr>
        <w:t xml:space="preserve"> </w:t>
      </w:r>
      <w:r w:rsidRPr="00BE086B">
        <w:rPr>
          <w:bCs/>
          <w:sz w:val="28"/>
          <w:szCs w:val="28"/>
          <w:lang w:val="uk-UA"/>
        </w:rPr>
        <w:t xml:space="preserve">синтезу </w:t>
      </w:r>
      <w:r w:rsidR="00340C77">
        <w:rPr>
          <w:bCs/>
          <w:sz w:val="28"/>
          <w:szCs w:val="28"/>
          <w:lang w:val="uk-UA"/>
        </w:rPr>
        <w:t xml:space="preserve"> </w:t>
      </w:r>
      <w:r w:rsidRPr="00BE086B">
        <w:rPr>
          <w:bCs/>
          <w:sz w:val="28"/>
          <w:szCs w:val="28"/>
          <w:lang w:val="uk-UA"/>
        </w:rPr>
        <w:t xml:space="preserve">прозапальних </w:t>
      </w:r>
      <w:r w:rsidR="00340C77">
        <w:rPr>
          <w:bCs/>
          <w:sz w:val="28"/>
          <w:szCs w:val="28"/>
          <w:lang w:val="uk-UA"/>
        </w:rPr>
        <w:t xml:space="preserve"> </w:t>
      </w:r>
      <w:r w:rsidRPr="00BE086B">
        <w:rPr>
          <w:bCs/>
          <w:sz w:val="28"/>
          <w:szCs w:val="28"/>
          <w:lang w:val="uk-UA"/>
        </w:rPr>
        <w:t xml:space="preserve">простагландинів у ЦНС, а також впливає на антиноцицептивну систему через β-ендорфін </w:t>
      </w:r>
      <w:r w:rsidRPr="00BE086B">
        <w:rPr>
          <w:sz w:val="28"/>
          <w:szCs w:val="28"/>
          <w:lang w:val="uk-UA" w:eastAsia="ru-RU"/>
        </w:rPr>
        <w:t>[337]</w:t>
      </w:r>
      <w:r w:rsidRPr="00BE086B">
        <w:rPr>
          <w:bCs/>
          <w:sz w:val="28"/>
          <w:szCs w:val="28"/>
          <w:lang w:val="uk-UA"/>
        </w:rPr>
        <w:t xml:space="preserve">. </w:t>
      </w:r>
      <w:r w:rsidRPr="00BE086B">
        <w:rPr>
          <w:sz w:val="28"/>
          <w:szCs w:val="28"/>
          <w:lang w:val="uk-UA" w:eastAsia="ru-RU"/>
        </w:rPr>
        <w:t xml:space="preserve">Фармакологічна дія парацетамолу відрізняється від НПЗЗ і опіоїдів. Парацетамол здатний пригнічувати синтез прозапальних простагландинів, блокуючи </w:t>
      </w:r>
      <w:r w:rsidR="00340C77">
        <w:rPr>
          <w:sz w:val="28"/>
          <w:szCs w:val="28"/>
          <w:lang w:val="uk-UA" w:eastAsia="ru-RU"/>
        </w:rPr>
        <w:t xml:space="preserve"> </w:t>
      </w:r>
      <w:r w:rsidRPr="00BE086B">
        <w:rPr>
          <w:sz w:val="28"/>
          <w:szCs w:val="28"/>
          <w:lang w:val="uk-UA" w:eastAsia="ru-RU"/>
        </w:rPr>
        <w:t xml:space="preserve">фермент </w:t>
      </w:r>
      <w:r w:rsidR="00340C77">
        <w:rPr>
          <w:sz w:val="28"/>
          <w:szCs w:val="28"/>
          <w:lang w:val="uk-UA" w:eastAsia="ru-RU"/>
        </w:rPr>
        <w:t xml:space="preserve"> </w:t>
      </w:r>
      <w:r w:rsidRPr="00BE086B">
        <w:rPr>
          <w:sz w:val="28"/>
          <w:szCs w:val="28"/>
          <w:lang w:val="uk-UA" w:eastAsia="ru-RU"/>
        </w:rPr>
        <w:t xml:space="preserve">ЦОГ, </w:t>
      </w:r>
      <w:r w:rsidR="00340C77">
        <w:rPr>
          <w:sz w:val="28"/>
          <w:szCs w:val="28"/>
          <w:lang w:val="uk-UA" w:eastAsia="ru-RU"/>
        </w:rPr>
        <w:t xml:space="preserve"> </w:t>
      </w:r>
      <w:r w:rsidRPr="00BE086B">
        <w:rPr>
          <w:sz w:val="28"/>
          <w:szCs w:val="28"/>
          <w:lang w:val="uk-UA" w:eastAsia="ru-RU"/>
        </w:rPr>
        <w:t xml:space="preserve">але </w:t>
      </w:r>
      <w:r w:rsidR="00340C77">
        <w:rPr>
          <w:sz w:val="28"/>
          <w:szCs w:val="28"/>
          <w:lang w:val="uk-UA" w:eastAsia="ru-RU"/>
        </w:rPr>
        <w:t xml:space="preserve"> </w:t>
      </w:r>
      <w:r w:rsidRPr="00BE086B">
        <w:rPr>
          <w:sz w:val="28"/>
          <w:szCs w:val="28"/>
          <w:lang w:val="uk-UA" w:eastAsia="ru-RU"/>
        </w:rPr>
        <w:t xml:space="preserve">на </w:t>
      </w:r>
      <w:r w:rsidR="00340C77">
        <w:rPr>
          <w:sz w:val="28"/>
          <w:szCs w:val="28"/>
          <w:lang w:val="uk-UA" w:eastAsia="ru-RU"/>
        </w:rPr>
        <w:t xml:space="preserve"> </w:t>
      </w:r>
      <w:r w:rsidRPr="00BE086B">
        <w:rPr>
          <w:sz w:val="28"/>
          <w:szCs w:val="28"/>
          <w:lang w:val="uk-UA" w:eastAsia="ru-RU"/>
        </w:rPr>
        <w:t xml:space="preserve">відміну </w:t>
      </w:r>
      <w:r w:rsidR="00340C77">
        <w:rPr>
          <w:sz w:val="28"/>
          <w:szCs w:val="28"/>
          <w:lang w:val="uk-UA" w:eastAsia="ru-RU"/>
        </w:rPr>
        <w:t xml:space="preserve"> </w:t>
      </w:r>
      <w:r w:rsidRPr="00BE086B">
        <w:rPr>
          <w:sz w:val="28"/>
          <w:szCs w:val="28"/>
          <w:lang w:val="uk-UA" w:eastAsia="ru-RU"/>
        </w:rPr>
        <w:t xml:space="preserve">від </w:t>
      </w:r>
      <w:r w:rsidR="00340C77">
        <w:rPr>
          <w:sz w:val="28"/>
          <w:szCs w:val="28"/>
          <w:lang w:val="uk-UA" w:eastAsia="ru-RU"/>
        </w:rPr>
        <w:t xml:space="preserve"> </w:t>
      </w:r>
      <w:r w:rsidRPr="00BE086B">
        <w:rPr>
          <w:sz w:val="28"/>
          <w:szCs w:val="28"/>
          <w:lang w:val="uk-UA" w:eastAsia="ru-RU"/>
        </w:rPr>
        <w:t xml:space="preserve">НПЗЗ, </w:t>
      </w:r>
      <w:r w:rsidR="00340C77">
        <w:rPr>
          <w:sz w:val="28"/>
          <w:szCs w:val="28"/>
          <w:lang w:val="uk-UA" w:eastAsia="ru-RU"/>
        </w:rPr>
        <w:t xml:space="preserve"> </w:t>
      </w:r>
      <w:r w:rsidRPr="00BE086B">
        <w:rPr>
          <w:sz w:val="28"/>
          <w:szCs w:val="28"/>
          <w:lang w:val="uk-UA" w:eastAsia="ru-RU"/>
        </w:rPr>
        <w:t xml:space="preserve">парацетамол впливає на </w:t>
      </w:r>
      <w:r w:rsidR="00340C77">
        <w:rPr>
          <w:sz w:val="28"/>
          <w:szCs w:val="28"/>
          <w:lang w:val="uk-UA" w:eastAsia="ru-RU"/>
        </w:rPr>
        <w:t xml:space="preserve"> </w:t>
      </w:r>
      <w:r w:rsidRPr="00BE086B">
        <w:rPr>
          <w:sz w:val="28"/>
          <w:szCs w:val="28"/>
          <w:lang w:val="uk-UA" w:eastAsia="ru-RU"/>
        </w:rPr>
        <w:t xml:space="preserve">ізоформу </w:t>
      </w:r>
      <w:r w:rsidR="00340C77">
        <w:rPr>
          <w:sz w:val="28"/>
          <w:szCs w:val="28"/>
          <w:lang w:val="uk-UA" w:eastAsia="ru-RU"/>
        </w:rPr>
        <w:t xml:space="preserve"> </w:t>
      </w:r>
      <w:r w:rsidRPr="00BE086B">
        <w:rPr>
          <w:sz w:val="28"/>
          <w:szCs w:val="28"/>
          <w:lang w:val="uk-UA" w:eastAsia="ru-RU"/>
        </w:rPr>
        <w:t xml:space="preserve">ЦОГ-3, </w:t>
      </w:r>
      <w:r w:rsidR="00340C77">
        <w:rPr>
          <w:sz w:val="28"/>
          <w:szCs w:val="28"/>
          <w:lang w:val="uk-UA" w:eastAsia="ru-RU"/>
        </w:rPr>
        <w:t xml:space="preserve"> </w:t>
      </w:r>
      <w:r w:rsidRPr="00BE086B">
        <w:rPr>
          <w:sz w:val="28"/>
          <w:szCs w:val="28"/>
          <w:lang w:val="uk-UA" w:eastAsia="ru-RU"/>
        </w:rPr>
        <w:t xml:space="preserve">що </w:t>
      </w:r>
      <w:r w:rsidR="00340C77">
        <w:rPr>
          <w:sz w:val="28"/>
          <w:szCs w:val="28"/>
          <w:lang w:val="uk-UA" w:eastAsia="ru-RU"/>
        </w:rPr>
        <w:t xml:space="preserve"> </w:t>
      </w:r>
      <w:r w:rsidRPr="00BE086B">
        <w:rPr>
          <w:sz w:val="28"/>
          <w:szCs w:val="28"/>
          <w:lang w:val="uk-UA" w:eastAsia="ru-RU"/>
        </w:rPr>
        <w:t xml:space="preserve">розташована </w:t>
      </w:r>
      <w:r w:rsidR="00340C77">
        <w:rPr>
          <w:sz w:val="28"/>
          <w:szCs w:val="28"/>
          <w:lang w:val="uk-UA" w:eastAsia="ru-RU"/>
        </w:rPr>
        <w:t xml:space="preserve"> </w:t>
      </w:r>
      <w:r w:rsidRPr="00BE086B">
        <w:rPr>
          <w:sz w:val="28"/>
          <w:szCs w:val="28"/>
          <w:lang w:val="uk-UA" w:eastAsia="ru-RU"/>
        </w:rPr>
        <w:t xml:space="preserve">у </w:t>
      </w:r>
      <w:r w:rsidR="00340C77">
        <w:rPr>
          <w:sz w:val="28"/>
          <w:szCs w:val="28"/>
          <w:lang w:val="uk-UA" w:eastAsia="ru-RU"/>
        </w:rPr>
        <w:t xml:space="preserve"> </w:t>
      </w:r>
      <w:r w:rsidRPr="00BE086B">
        <w:rPr>
          <w:sz w:val="28"/>
          <w:szCs w:val="28"/>
          <w:lang w:val="uk-UA" w:eastAsia="ru-RU"/>
        </w:rPr>
        <w:t xml:space="preserve">ЦНС. </w:t>
      </w:r>
      <w:r w:rsidR="00340C77">
        <w:rPr>
          <w:sz w:val="28"/>
          <w:szCs w:val="28"/>
          <w:lang w:val="uk-UA" w:eastAsia="ru-RU"/>
        </w:rPr>
        <w:t xml:space="preserve"> </w:t>
      </w:r>
      <w:r w:rsidRPr="00BE086B">
        <w:rPr>
          <w:sz w:val="28"/>
          <w:szCs w:val="28"/>
          <w:lang w:val="uk-UA" w:eastAsia="ru-RU"/>
        </w:rPr>
        <w:t xml:space="preserve">Саме </w:t>
      </w:r>
      <w:r w:rsidR="00340C77">
        <w:rPr>
          <w:sz w:val="28"/>
          <w:szCs w:val="28"/>
          <w:lang w:val="uk-UA" w:eastAsia="ru-RU"/>
        </w:rPr>
        <w:t xml:space="preserve"> </w:t>
      </w:r>
      <w:r w:rsidRPr="00BE086B">
        <w:rPr>
          <w:sz w:val="28"/>
          <w:szCs w:val="28"/>
          <w:lang w:val="uk-UA" w:eastAsia="ru-RU"/>
        </w:rPr>
        <w:t xml:space="preserve">з </w:t>
      </w:r>
      <w:r w:rsidR="00340C77">
        <w:rPr>
          <w:sz w:val="28"/>
          <w:szCs w:val="28"/>
          <w:lang w:val="uk-UA" w:eastAsia="ru-RU"/>
        </w:rPr>
        <w:t xml:space="preserve"> </w:t>
      </w:r>
      <w:r w:rsidRPr="00BE086B">
        <w:rPr>
          <w:sz w:val="28"/>
          <w:szCs w:val="28"/>
          <w:lang w:val="uk-UA" w:eastAsia="ru-RU"/>
        </w:rPr>
        <w:t xml:space="preserve">центральною </w:t>
      </w:r>
      <w:r w:rsidR="00340C77">
        <w:rPr>
          <w:sz w:val="28"/>
          <w:szCs w:val="28"/>
          <w:lang w:val="uk-UA" w:eastAsia="ru-RU"/>
        </w:rPr>
        <w:t xml:space="preserve"> </w:t>
      </w:r>
      <w:r w:rsidRPr="00BE086B">
        <w:rPr>
          <w:sz w:val="28"/>
          <w:szCs w:val="28"/>
          <w:lang w:val="uk-UA" w:eastAsia="ru-RU"/>
        </w:rPr>
        <w:t xml:space="preserve">дією цього препарату пов'язані його аналгетичні і </w:t>
      </w:r>
      <w:r w:rsidRPr="00BE086B">
        <w:rPr>
          <w:rStyle w:val="hps"/>
          <w:sz w:val="28"/>
          <w:szCs w:val="28"/>
          <w:lang w:val="uk-UA"/>
        </w:rPr>
        <w:t>жарознижуючі</w:t>
      </w:r>
      <w:r w:rsidRPr="00BE086B">
        <w:rPr>
          <w:sz w:val="28"/>
          <w:szCs w:val="28"/>
          <w:lang w:val="uk-UA" w:eastAsia="ru-RU"/>
        </w:rPr>
        <w:t xml:space="preserve"> ефекти. </w:t>
      </w:r>
      <w:r w:rsidRPr="00BE086B">
        <w:rPr>
          <w:sz w:val="28"/>
          <w:szCs w:val="28"/>
          <w:lang w:val="uk-UA" w:eastAsia="ru-RU"/>
        </w:rPr>
        <w:lastRenderedPageBreak/>
        <w:t>Парацетамол проявляє також властивості слабкого селективного ЦОГ-2 інгібітора, але цей ефект недостатній для розвитку значущої протизапальної дії безпосередньо в осередках тканинного ушкодження. Крім цього, є дані про активуючий вплив парацетамолу на антиноцицептивну систему за рахунок впливу на нисхідні серотонінергічні шляхи і каннабіодні рецептори [275, 338-340].</w:t>
      </w:r>
    </w:p>
    <w:p w:rsidR="00D92D95" w:rsidRPr="00BE086B" w:rsidRDefault="00D92D95" w:rsidP="00D92D95">
      <w:pPr>
        <w:spacing w:line="360" w:lineRule="auto"/>
        <w:ind w:firstLine="709"/>
        <w:jc w:val="both"/>
        <w:rPr>
          <w:shd w:val="clear" w:color="auto" w:fill="FFFFFF"/>
          <w:lang w:val="uk-UA"/>
        </w:rPr>
      </w:pPr>
      <w:r w:rsidRPr="00BE086B">
        <w:rPr>
          <w:sz w:val="28"/>
          <w:szCs w:val="28"/>
          <w:shd w:val="clear" w:color="auto" w:fill="FFFFFF"/>
          <w:lang w:val="uk-UA"/>
        </w:rPr>
        <w:t xml:space="preserve">Проте в досліджені Chandran P. з співавт. (2009) на моделі in vivo дослідили біль, пов’язану з рухом при призначені трамадолу, целекоксибу, диклофенаку, індометацину, дулоксетину, ацетамінофену та ібупрофену. Автори встановили, що повна аналгетична активність спостерігалася при прийомі трамадолу, целекоксибу і диклофенаку; помірні ефекти при використанні індометацину, дулоксетину та слабкі ефекти або відсутність ефектів при призначені ацетамінофену і ібупрофену </w:t>
      </w:r>
      <w:r w:rsidRPr="00BE086B">
        <w:rPr>
          <w:sz w:val="28"/>
          <w:szCs w:val="28"/>
          <w:lang w:val="uk-UA" w:eastAsia="ru-RU"/>
        </w:rPr>
        <w:t>[218]</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lang w:val="uk-UA" w:eastAsia="ru-RU"/>
        </w:rPr>
      </w:pPr>
      <w:r w:rsidRPr="00BE086B">
        <w:rPr>
          <w:bCs/>
          <w:sz w:val="28"/>
          <w:szCs w:val="28"/>
          <w:lang w:val="uk-UA"/>
        </w:rPr>
        <w:t xml:space="preserve">До переваг парацетамолу, пов'язаних з безпекою знеболювальної терапії, також відносять той факт, що препарат має низький ризик ускладнень з боку ШКТ і серцево-судинної системи також і при тривалому використанні в максимальній добовій дозі. Також парцетамол широко використовують в комбінації з іншими аналгетиками (НПЗЗ та опіоїди), що дозволяє істотно підвищити ефективність знеболювання і знизити дозу останніх [341-343]. </w:t>
      </w:r>
      <w:r w:rsidRPr="00BE086B">
        <w:rPr>
          <w:sz w:val="28"/>
          <w:szCs w:val="28"/>
          <w:lang w:val="uk-UA" w:eastAsia="ru-RU"/>
        </w:rPr>
        <w:t>Результати досліджень підтверджують можливість успішного використання парацетамолу, як для усунення гострого болю, так і при фармакотерапії хронічних больових синдромів [344-346].</w:t>
      </w:r>
    </w:p>
    <w:p w:rsidR="00D92D95" w:rsidRPr="00BE086B" w:rsidRDefault="00D92D95" w:rsidP="00D92D95">
      <w:pPr>
        <w:spacing w:line="360" w:lineRule="auto"/>
        <w:ind w:firstLine="709"/>
        <w:jc w:val="both"/>
        <w:rPr>
          <w:lang w:val="uk-UA"/>
        </w:rPr>
      </w:pPr>
      <w:r w:rsidRPr="00BE086B">
        <w:rPr>
          <w:sz w:val="28"/>
          <w:szCs w:val="28"/>
          <w:lang w:val="uk-UA"/>
        </w:rPr>
        <w:t>Ще однією групою препаратів, які зменшують біль, поліпшують функцію суглобів, характеризуються високою гастроінтестинальною та кардіоваскулярною безпекою є SYSADOA (</w:t>
      </w:r>
      <w:r w:rsidRPr="00BE086B">
        <w:rPr>
          <w:sz w:val="28"/>
          <w:szCs w:val="28"/>
          <w:shd w:val="clear" w:color="auto" w:fill="FFFFFF"/>
          <w:lang w:val="uk-UA"/>
        </w:rPr>
        <w:t>симптоматичні повільнодіючі препарати)</w:t>
      </w:r>
      <w:r w:rsidRPr="00BE086B">
        <w:rPr>
          <w:sz w:val="28"/>
          <w:szCs w:val="28"/>
          <w:lang w:val="uk-UA"/>
        </w:rPr>
        <w:t xml:space="preserve"> до яких належать глюкозамін та хондроїтин. Згідно рекомендацій ESCEO та </w:t>
      </w:r>
      <w:r w:rsidRPr="00BE086B">
        <w:rPr>
          <w:sz w:val="28"/>
          <w:szCs w:val="28"/>
          <w:shd w:val="clear" w:color="auto" w:fill="FFFFFF"/>
          <w:lang w:val="uk-UA"/>
        </w:rPr>
        <w:t xml:space="preserve">OARSI призначення глюкозаміну та/або хондроїтину пропонується на </w:t>
      </w:r>
      <w:r w:rsidRPr="00BE086B">
        <w:rPr>
          <w:sz w:val="28"/>
          <w:szCs w:val="28"/>
          <w:lang w:val="uk-UA" w:eastAsia="ru-RU"/>
        </w:rPr>
        <w:t>першій стадії лікування ОА [296, 297, 300].</w:t>
      </w:r>
    </w:p>
    <w:p w:rsidR="00D92D95" w:rsidRPr="00BE086B" w:rsidRDefault="00D92D95" w:rsidP="00D92D95">
      <w:pPr>
        <w:pStyle w:val="HTML1"/>
        <w:spacing w:line="360" w:lineRule="auto"/>
        <w:ind w:firstLine="709"/>
        <w:jc w:val="both"/>
        <w:rPr>
          <w:rFonts w:ascii="Times New Roman" w:hAnsi="Times New Roman" w:cs="Times New Roman"/>
          <w:kern w:val="28"/>
          <w:sz w:val="28"/>
          <w:szCs w:val="28"/>
          <w:lang w:val="uk-UA" w:eastAsia="en-US"/>
        </w:rPr>
      </w:pPr>
      <w:r w:rsidRPr="00BE086B">
        <w:rPr>
          <w:rFonts w:ascii="Times New Roman" w:hAnsi="Times New Roman" w:cs="Times New Roman"/>
          <w:sz w:val="28"/>
          <w:szCs w:val="28"/>
          <w:lang w:val="uk-UA" w:eastAsia="en-US"/>
        </w:rPr>
        <w:t xml:space="preserve">Виникнення цієї групи препаратів пов’язано з розширенням і поглибленням знань про природу дегенеративно-дистрофічних захворювань </w:t>
      </w:r>
      <w:r w:rsidRPr="00BE086B">
        <w:rPr>
          <w:rFonts w:ascii="Times New Roman" w:hAnsi="Times New Roman" w:cs="Times New Roman"/>
          <w:sz w:val="28"/>
          <w:szCs w:val="28"/>
          <w:lang w:val="uk-UA" w:eastAsia="en-US"/>
        </w:rPr>
        <w:lastRenderedPageBreak/>
        <w:t>опорно-рухового апарату і вивченням механізмів руйнування хрящової тканини. Синонімом SYSADOA (symptomatic slow acting drugs for osteoarthritis) є термін «хондропротектор», який з грецької мови перекладається як «захищаючий хрящ» (χόνδρων - хрящ, зерно, προστασία - захист), чим і обумовлено застосування препаратів при захворюваннях суглоб</w:t>
      </w:r>
      <w:r w:rsidRPr="00BE086B">
        <w:rPr>
          <w:rFonts w:ascii="Times New Roman" w:hAnsi="Times New Roman" w:cs="Times New Roman"/>
          <w:kern w:val="28"/>
          <w:sz w:val="28"/>
          <w:szCs w:val="28"/>
          <w:lang w:val="uk-UA" w:eastAsia="en-US"/>
        </w:rPr>
        <w:t xml:space="preserve">ів, хребта, а також у відновному періоді після травм </w:t>
      </w:r>
      <w:r w:rsidRPr="00BE086B">
        <w:rPr>
          <w:rFonts w:ascii="Times New Roman" w:hAnsi="Times New Roman" w:cs="Times New Roman"/>
          <w:kern w:val="28"/>
          <w:sz w:val="28"/>
          <w:szCs w:val="28"/>
          <w:lang w:val="uk-UA" w:eastAsia="ru-RU"/>
        </w:rPr>
        <w:t>[347]</w:t>
      </w:r>
      <w:r w:rsidRPr="00BE086B">
        <w:rPr>
          <w:rFonts w:ascii="Times New Roman" w:hAnsi="Times New Roman" w:cs="Times New Roman"/>
          <w:kern w:val="28"/>
          <w:sz w:val="28"/>
          <w:szCs w:val="28"/>
          <w:lang w:val="uk-UA" w:eastAsia="en-US"/>
        </w:rPr>
        <w:t>.</w:t>
      </w:r>
    </w:p>
    <w:p w:rsidR="00D92D95" w:rsidRPr="00BE086B" w:rsidRDefault="00D92D95" w:rsidP="00D92D95">
      <w:pPr>
        <w:pStyle w:val="HTML1"/>
        <w:spacing w:line="360" w:lineRule="auto"/>
        <w:ind w:firstLine="709"/>
        <w:jc w:val="both"/>
        <w:rPr>
          <w:rFonts w:ascii="Times New Roman" w:hAnsi="Times New Roman" w:cs="Times New Roman"/>
          <w:kern w:val="28"/>
          <w:sz w:val="28"/>
          <w:szCs w:val="28"/>
          <w:lang w:val="uk-UA" w:eastAsia="ru-RU" w:bidi="ar-SA"/>
        </w:rPr>
      </w:pPr>
      <w:r w:rsidRPr="00BE086B">
        <w:rPr>
          <w:rFonts w:ascii="Times New Roman" w:hAnsi="Times New Roman" w:cs="Times New Roman"/>
          <w:kern w:val="28"/>
          <w:sz w:val="28"/>
          <w:szCs w:val="28"/>
          <w:lang w:val="uk-UA"/>
        </w:rPr>
        <w:t xml:space="preserve">Основними представниками </w:t>
      </w:r>
      <w:r w:rsidRPr="00BE086B">
        <w:rPr>
          <w:rFonts w:ascii="Times New Roman" w:hAnsi="Times New Roman" w:cs="Times New Roman"/>
          <w:sz w:val="28"/>
          <w:szCs w:val="28"/>
          <w:shd w:val="clear" w:color="auto" w:fill="FFFFFF"/>
          <w:lang w:val="uk-UA"/>
        </w:rPr>
        <w:t>симптоматичних повільнодіючих препаратів</w:t>
      </w:r>
      <w:r w:rsidRPr="00BE086B">
        <w:rPr>
          <w:rFonts w:ascii="Times New Roman" w:hAnsi="Times New Roman" w:cs="Times New Roman"/>
          <w:kern w:val="28"/>
          <w:sz w:val="28"/>
          <w:szCs w:val="28"/>
          <w:lang w:val="uk-UA"/>
        </w:rPr>
        <w:t xml:space="preserve"> (SYSADOA), які найчастіше застосовуються у клінічній практиці є хондроїтин сульфат (ХС) і глюкозамін (ГА) </w:t>
      </w:r>
      <w:r w:rsidRPr="00BE086B">
        <w:rPr>
          <w:rFonts w:ascii="Times New Roman" w:hAnsi="Times New Roman" w:cs="Times New Roman"/>
          <w:kern w:val="28"/>
          <w:sz w:val="28"/>
          <w:szCs w:val="28"/>
          <w:lang w:val="uk-UA" w:eastAsia="ru-RU"/>
        </w:rPr>
        <w:t>[348-350]</w:t>
      </w:r>
      <w:r w:rsidRPr="00BE086B">
        <w:rPr>
          <w:rFonts w:ascii="Times New Roman" w:hAnsi="Times New Roman" w:cs="Times New Roman"/>
          <w:kern w:val="28"/>
          <w:sz w:val="28"/>
          <w:szCs w:val="28"/>
          <w:lang w:val="uk-UA"/>
        </w:rPr>
        <w:t xml:space="preserve">. ГА ретельно вивчений співробітниками ДУ «Інститут геронтології ім. Д.Ф. Чеботарьова НАМН України» (м. Киів) (проф. Поворознюк В.В.) та Національного фармацевтичного університету (м. Харків) (проф. Зупанець І.А.). Дослідниками широко представлені властивості ГА, досліджені ефекти при монотерапії та доведені переваги при використані комбінацій ГА </w:t>
      </w:r>
      <w:r w:rsidRPr="00BE086B">
        <w:rPr>
          <w:rFonts w:ascii="Times New Roman" w:hAnsi="Times New Roman" w:cs="Times New Roman"/>
          <w:kern w:val="28"/>
          <w:sz w:val="28"/>
          <w:szCs w:val="28"/>
          <w:lang w:val="uk-UA" w:eastAsia="ru-RU"/>
        </w:rPr>
        <w:t>[351-354]. На наш погляд, у порівнянні з ГА властивості ХС досліджені недостатньо [355, 356].</w:t>
      </w:r>
    </w:p>
    <w:p w:rsidR="00D92D95" w:rsidRPr="00BE086B" w:rsidRDefault="00D92D95" w:rsidP="00D92D95">
      <w:pPr>
        <w:pStyle w:val="HTML1"/>
        <w:spacing w:line="360" w:lineRule="auto"/>
        <w:ind w:firstLine="709"/>
        <w:jc w:val="both"/>
        <w:rPr>
          <w:rFonts w:ascii="Times New Roman" w:hAnsi="Times New Roman" w:cs="Times New Roman"/>
          <w:sz w:val="28"/>
          <w:szCs w:val="28"/>
          <w:lang w:val="uk-UA" w:eastAsia="en-US"/>
        </w:rPr>
      </w:pPr>
      <w:r w:rsidRPr="00BE086B">
        <w:rPr>
          <w:rFonts w:ascii="Times New Roman" w:hAnsi="Times New Roman" w:cs="Times New Roman"/>
          <w:kern w:val="28"/>
          <w:sz w:val="28"/>
          <w:szCs w:val="28"/>
          <w:lang w:val="uk-UA" w:eastAsia="en-US"/>
        </w:rPr>
        <w:t xml:space="preserve">На теперішній час відомо, що основними </w:t>
      </w:r>
      <w:r w:rsidRPr="00BE086B">
        <w:rPr>
          <w:rFonts w:ascii="Times New Roman" w:hAnsi="Times New Roman" w:cs="Times New Roman"/>
          <w:sz w:val="28"/>
          <w:szCs w:val="28"/>
          <w:lang w:val="uk-UA" w:eastAsia="en-US"/>
        </w:rPr>
        <w:t xml:space="preserve">фармакологічними ефектами </w:t>
      </w:r>
      <w:r w:rsidRPr="00BE086B">
        <w:rPr>
          <w:rFonts w:ascii="Times New Roman" w:hAnsi="Times New Roman" w:cs="Times New Roman"/>
          <w:sz w:val="28"/>
          <w:szCs w:val="28"/>
          <w:shd w:val="clear" w:color="auto" w:fill="FFFFFF"/>
          <w:lang w:val="uk-UA"/>
        </w:rPr>
        <w:t>симптоматичних повільнодіючих препаратів</w:t>
      </w:r>
      <w:r w:rsidRPr="00BE086B">
        <w:rPr>
          <w:rFonts w:ascii="Times New Roman" w:hAnsi="Times New Roman" w:cs="Times New Roman"/>
          <w:sz w:val="28"/>
          <w:szCs w:val="28"/>
          <w:lang w:val="uk-UA" w:eastAsia="en-US"/>
        </w:rPr>
        <w:t xml:space="preserve"> є: хондропротекторний </w:t>
      </w:r>
      <w:r w:rsidRPr="00BE086B">
        <w:rPr>
          <w:rFonts w:ascii="Times New Roman" w:hAnsi="Times New Roman" w:cs="Times New Roman"/>
          <w:kern w:val="28"/>
          <w:sz w:val="28"/>
          <w:szCs w:val="28"/>
          <w:lang w:val="uk-UA" w:eastAsia="ru-RU"/>
        </w:rPr>
        <w:t>[357-361]</w:t>
      </w:r>
      <w:r w:rsidRPr="00BE086B">
        <w:rPr>
          <w:rFonts w:ascii="Times New Roman" w:hAnsi="Times New Roman" w:cs="Times New Roman"/>
          <w:sz w:val="28"/>
          <w:szCs w:val="28"/>
          <w:lang w:val="uk-UA" w:eastAsia="en-US"/>
        </w:rPr>
        <w:t xml:space="preserve">, протизапальний </w:t>
      </w:r>
      <w:r w:rsidRPr="00BE086B">
        <w:rPr>
          <w:rFonts w:ascii="Times New Roman" w:hAnsi="Times New Roman" w:cs="Times New Roman"/>
          <w:kern w:val="28"/>
          <w:sz w:val="28"/>
          <w:szCs w:val="28"/>
          <w:lang w:val="uk-UA" w:eastAsia="ru-RU"/>
        </w:rPr>
        <w:t>[359, 362-365]</w:t>
      </w:r>
      <w:r w:rsidRPr="00BE086B">
        <w:rPr>
          <w:rFonts w:ascii="Times New Roman" w:hAnsi="Times New Roman" w:cs="Times New Roman"/>
          <w:sz w:val="28"/>
          <w:szCs w:val="28"/>
          <w:lang w:val="uk-UA" w:eastAsia="en-US"/>
        </w:rPr>
        <w:t xml:space="preserve">, аналгетичний </w:t>
      </w:r>
      <w:r w:rsidRPr="00BE086B">
        <w:rPr>
          <w:rFonts w:ascii="Times New Roman" w:hAnsi="Times New Roman" w:cs="Times New Roman"/>
          <w:kern w:val="28"/>
          <w:sz w:val="28"/>
          <w:szCs w:val="28"/>
          <w:lang w:val="uk-UA" w:eastAsia="ru-RU"/>
        </w:rPr>
        <w:t xml:space="preserve">[366-368] </w:t>
      </w:r>
      <w:r w:rsidRPr="00BE086B">
        <w:rPr>
          <w:rFonts w:ascii="Times New Roman" w:hAnsi="Times New Roman" w:cs="Times New Roman"/>
          <w:sz w:val="28"/>
          <w:szCs w:val="28"/>
          <w:lang w:val="uk-UA" w:eastAsia="en-US"/>
        </w:rPr>
        <w:t xml:space="preserve">і антикатаболічний </w:t>
      </w:r>
      <w:r w:rsidRPr="00BE086B">
        <w:rPr>
          <w:rFonts w:ascii="Times New Roman" w:hAnsi="Times New Roman" w:cs="Times New Roman"/>
          <w:kern w:val="28"/>
          <w:sz w:val="28"/>
          <w:szCs w:val="28"/>
          <w:lang w:val="uk-UA" w:eastAsia="ru-RU"/>
        </w:rPr>
        <w:t>[358, 366, 368]</w:t>
      </w:r>
      <w:r w:rsidRPr="00BE086B">
        <w:rPr>
          <w:rFonts w:ascii="Times New Roman" w:hAnsi="Times New Roman" w:cs="Times New Roman"/>
          <w:sz w:val="28"/>
          <w:szCs w:val="28"/>
          <w:lang w:val="uk-UA" w:eastAsia="en-US"/>
        </w:rPr>
        <w:t>.</w:t>
      </w:r>
    </w:p>
    <w:p w:rsidR="00D92D95" w:rsidRPr="00BE086B" w:rsidRDefault="00D92D95" w:rsidP="00D92D95">
      <w:pPr>
        <w:pStyle w:val="HTML1"/>
        <w:spacing w:line="360" w:lineRule="auto"/>
        <w:ind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eastAsia="en-US"/>
        </w:rPr>
        <w:t xml:space="preserve">Виходячи з механізмів дії </w:t>
      </w:r>
      <w:r w:rsidRPr="00BE086B">
        <w:rPr>
          <w:rFonts w:ascii="Times New Roman" w:hAnsi="Times New Roman" w:cs="Times New Roman"/>
          <w:sz w:val="28"/>
          <w:szCs w:val="28"/>
          <w:shd w:val="clear" w:color="auto" w:fill="FFFFFF"/>
          <w:lang w:val="uk-UA"/>
        </w:rPr>
        <w:t>симптоматичних повільнодіючих препаратів,</w:t>
      </w:r>
      <w:r w:rsidRPr="00BE086B">
        <w:rPr>
          <w:rFonts w:ascii="Times New Roman" w:hAnsi="Times New Roman" w:cs="Times New Roman"/>
          <w:sz w:val="28"/>
          <w:szCs w:val="28"/>
          <w:lang w:val="uk-UA" w:eastAsia="en-US"/>
        </w:rPr>
        <w:t xml:space="preserve"> фармакотерапія ОА спрямована на стимуляцію хондроцитів, зниження активності лізосомальних ферментів, збільшення резистентності хондроцитів до дії прозапальних цитокінів, збільшення резистентності матриксу хряща до дії НПЗЗ, активацію анаболічних процесів в матриксі хряща, поліпшення властивостей суглобового хряща і створення передумов для відновлення ушкодженого хряща </w:t>
      </w:r>
      <w:r w:rsidRPr="00BE086B">
        <w:rPr>
          <w:rFonts w:ascii="Times New Roman" w:hAnsi="Times New Roman" w:cs="Times New Roman"/>
          <w:sz w:val="28"/>
          <w:szCs w:val="28"/>
          <w:lang w:val="uk-UA" w:eastAsia="ru-RU"/>
        </w:rPr>
        <w:t>[347, 348, 352, 355, 360]</w:t>
      </w:r>
      <w:r w:rsidRPr="00BE086B">
        <w:rPr>
          <w:rFonts w:ascii="Times New Roman" w:hAnsi="Times New Roman" w:cs="Times New Roman"/>
          <w:sz w:val="28"/>
          <w:szCs w:val="28"/>
          <w:lang w:val="uk-UA" w:eastAsia="en-US"/>
        </w:rPr>
        <w:t>.</w:t>
      </w:r>
    </w:p>
    <w:p w:rsidR="00D92D95" w:rsidRPr="00BE086B" w:rsidRDefault="00D92D95" w:rsidP="00D92D95">
      <w:pPr>
        <w:spacing w:line="360" w:lineRule="auto"/>
        <w:ind w:firstLine="709"/>
        <w:jc w:val="both"/>
        <w:rPr>
          <w:lang w:val="uk-UA"/>
        </w:rPr>
      </w:pPr>
      <w:r w:rsidRPr="00BE086B">
        <w:rPr>
          <w:sz w:val="28"/>
          <w:szCs w:val="28"/>
          <w:lang w:val="uk-UA" w:eastAsia="en-US"/>
        </w:rPr>
        <w:t xml:space="preserve">Сучасні хондропротектори включають біопрепарати, які містять у своєму складі структурні елементи натуральної хрящової тканини і використовуються для оновлення структури хряща </w:t>
      </w:r>
      <w:r w:rsidRPr="00BE086B">
        <w:rPr>
          <w:sz w:val="28"/>
          <w:szCs w:val="28"/>
          <w:lang w:val="uk-UA" w:eastAsia="ru-RU"/>
        </w:rPr>
        <w:t>[275, 347, 348, 355]</w:t>
      </w:r>
      <w:r w:rsidRPr="00BE086B">
        <w:rPr>
          <w:sz w:val="28"/>
          <w:szCs w:val="28"/>
          <w:lang w:val="uk-UA" w:eastAsia="en-US"/>
        </w:rPr>
        <w:t>.</w:t>
      </w:r>
    </w:p>
    <w:p w:rsidR="00D92D95" w:rsidRPr="00BE086B" w:rsidRDefault="00D92D95" w:rsidP="00D92D95">
      <w:pPr>
        <w:spacing w:line="360" w:lineRule="auto"/>
        <w:ind w:firstLine="709"/>
        <w:jc w:val="both"/>
        <w:rPr>
          <w:lang w:val="uk-UA"/>
        </w:rPr>
      </w:pPr>
      <w:r w:rsidRPr="00BE086B">
        <w:rPr>
          <w:sz w:val="28"/>
          <w:szCs w:val="28"/>
          <w:lang w:val="uk-UA"/>
        </w:rPr>
        <w:lastRenderedPageBreak/>
        <w:t xml:space="preserve">Сировиною для хондропротекторів служать продукти тваринного (певні види морської риби і безхребетних, велика рогата худоба, птахи та інш.) і рослинного походження (деякі види бобових, сої і авокадо), які можуть відрізнятися молекулярною масою від 14 000 до 20 000 Да основної діючої речовини і наявністю допоміжних компонентів </w:t>
      </w:r>
      <w:r w:rsidRPr="00BE086B">
        <w:rPr>
          <w:sz w:val="28"/>
          <w:szCs w:val="28"/>
          <w:lang w:val="uk-UA" w:eastAsia="ru-RU"/>
        </w:rPr>
        <w:t>[275, 347, 355]</w:t>
      </w:r>
      <w:r w:rsidRPr="00BE086B">
        <w:rPr>
          <w:sz w:val="28"/>
          <w:szCs w:val="28"/>
          <w:lang w:val="uk-UA"/>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На теперішній час не існує препарату, що запобігає руйнуванню хрящової тканини, проте накопичуються дані про лікарські засоби, які здатні якщо не зупиняти, то, принаймні, модифікувати перебіг захворювання, уповільнюючи процес наростання структурних змін в суглобах і хребті, і характерною особливістю яких є високий профіль безпеки, підтверджений дослідженням і спостереженнями </w:t>
      </w:r>
      <w:r w:rsidRPr="00BE086B">
        <w:rPr>
          <w:sz w:val="28"/>
          <w:szCs w:val="28"/>
          <w:lang w:val="uk-UA" w:eastAsia="ru-RU"/>
        </w:rPr>
        <w:t>[369, 370]</w:t>
      </w:r>
      <w:r w:rsidRPr="00BE086B">
        <w:rPr>
          <w:sz w:val="28"/>
          <w:szCs w:val="28"/>
          <w:lang w:val="uk-UA"/>
        </w:rPr>
        <w:t>. Важливо звернути увагу, що ефективність використання ХС залежить від певних вимог [360, 371].</w:t>
      </w:r>
    </w:p>
    <w:p w:rsidR="00D92D95" w:rsidRPr="00BE086B" w:rsidRDefault="00D92D95" w:rsidP="00D92D95">
      <w:pPr>
        <w:spacing w:line="360" w:lineRule="auto"/>
        <w:ind w:firstLine="709"/>
        <w:jc w:val="both"/>
        <w:rPr>
          <w:sz w:val="28"/>
          <w:szCs w:val="28"/>
          <w:lang w:val="uk-UA"/>
        </w:rPr>
      </w:pPr>
      <w:r w:rsidRPr="00BE086B">
        <w:rPr>
          <w:rFonts w:eastAsia="TimesNewRomanPS"/>
          <w:sz w:val="28"/>
          <w:szCs w:val="28"/>
          <w:lang w:val="uk-UA" w:eastAsia="en-US"/>
        </w:rPr>
        <w:t xml:space="preserve">Проте, </w:t>
      </w:r>
      <w:r w:rsidRPr="00BE086B">
        <w:rPr>
          <w:sz w:val="28"/>
          <w:szCs w:val="28"/>
          <w:lang w:val="uk-UA"/>
        </w:rPr>
        <w:t xml:space="preserve">Caraglia M. </w:t>
      </w:r>
      <w:r w:rsidRPr="00BE086B">
        <w:rPr>
          <w:sz w:val="28"/>
          <w:szCs w:val="28"/>
          <w:shd w:val="clear" w:color="auto" w:fill="FFFFFF"/>
          <w:lang w:val="uk-UA"/>
        </w:rPr>
        <w:t xml:space="preserve">з співавт. </w:t>
      </w:r>
      <w:r w:rsidRPr="00BE086B">
        <w:rPr>
          <w:sz w:val="28"/>
          <w:szCs w:val="28"/>
          <w:lang w:val="uk-UA"/>
        </w:rPr>
        <w:t>(2005) на моделі експериментального ОА у мишей показали, що пероральне застосування ХС викликало зменшення радіологічних та гістологічних ознак хондродегенераціі, а за рівнем NO спостерігалось значиме зменшення апоптозу хондроцитів [372].</w:t>
      </w:r>
    </w:p>
    <w:p w:rsidR="00D92D95" w:rsidRPr="00BE086B" w:rsidRDefault="00D92D95" w:rsidP="00D92D95">
      <w:pPr>
        <w:spacing w:line="360" w:lineRule="auto"/>
        <w:ind w:firstLine="709"/>
        <w:jc w:val="both"/>
        <w:rPr>
          <w:sz w:val="28"/>
          <w:szCs w:val="28"/>
          <w:shd w:val="clear" w:color="auto" w:fill="FFFFFF"/>
          <w:lang w:val="uk-UA"/>
        </w:rPr>
      </w:pPr>
      <w:r w:rsidRPr="00BE086B">
        <w:rPr>
          <w:sz w:val="28"/>
          <w:szCs w:val="28"/>
          <w:shd w:val="clear" w:color="auto" w:fill="FFFFFF"/>
          <w:lang w:val="uk-UA"/>
        </w:rPr>
        <w:t xml:space="preserve">Uebelhart D. з співавт. </w:t>
      </w:r>
      <w:r w:rsidRPr="00BE086B">
        <w:rPr>
          <w:sz w:val="28"/>
          <w:szCs w:val="28"/>
          <w:lang w:val="uk-UA"/>
        </w:rPr>
        <w:t xml:space="preserve">(1998) досліджували ефекти перорального і внутрішньом'язового введення ХС та встановили, що </w:t>
      </w:r>
      <w:r w:rsidRPr="00BE086B">
        <w:rPr>
          <w:sz w:val="28"/>
          <w:szCs w:val="28"/>
          <w:shd w:val="clear" w:color="auto" w:fill="FFFFFF"/>
          <w:lang w:val="uk-UA"/>
        </w:rPr>
        <w:t>ХС збільшував продукцію протеогліканів хондроцитами, в моделі хімопапаін-індукованого ушкодження суглобового хряща [373].</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ХС – високомолекулярна сполука, яка не проникає безпосередньо через клітинну мембрану і діє опосередковано через поверхневі рецептори хондроциту </w:t>
      </w:r>
      <w:r w:rsidRPr="00BE086B">
        <w:rPr>
          <w:sz w:val="28"/>
          <w:szCs w:val="28"/>
          <w:shd w:val="clear" w:color="auto" w:fill="FFFFFF"/>
          <w:lang w:val="uk-UA"/>
        </w:rPr>
        <w:t>[358, 362]</w:t>
      </w:r>
      <w:r w:rsidRPr="00BE086B">
        <w:rPr>
          <w:sz w:val="28"/>
          <w:szCs w:val="28"/>
          <w:lang w:val="uk-UA"/>
        </w:rPr>
        <w:t xml:space="preserve">. ГА - низькомолекулярна сполука, яка свою дію реалізує за рахунок двох механізмів: а) опосередковано через рецептори хондроцитів CD44 і б) безпосередньо проникаючи через клітинну мембрану хондроциту завдяки транспортним каналам типу SLC2A </w:t>
      </w:r>
      <w:r w:rsidRPr="00BE086B">
        <w:rPr>
          <w:sz w:val="28"/>
          <w:szCs w:val="28"/>
          <w:shd w:val="clear" w:color="auto" w:fill="FFFFFF"/>
          <w:lang w:val="uk-UA"/>
        </w:rPr>
        <w:t>[349-352]</w:t>
      </w:r>
      <w:r w:rsidRPr="00BE086B">
        <w:rPr>
          <w:sz w:val="28"/>
          <w:szCs w:val="28"/>
          <w:lang w:val="uk-UA"/>
        </w:rPr>
        <w:t>.</w:t>
      </w:r>
    </w:p>
    <w:p w:rsidR="00D92D95" w:rsidRPr="00BE086B" w:rsidRDefault="00D92D95" w:rsidP="00D92D95">
      <w:pPr>
        <w:spacing w:line="360" w:lineRule="auto"/>
        <w:ind w:firstLine="709"/>
        <w:jc w:val="both"/>
        <w:rPr>
          <w:rFonts w:eastAsia="AdvP2E44"/>
          <w:sz w:val="28"/>
          <w:szCs w:val="28"/>
          <w:lang w:val="uk-UA" w:eastAsia="en-US"/>
        </w:rPr>
      </w:pPr>
      <w:r w:rsidRPr="00BE086B">
        <w:rPr>
          <w:sz w:val="28"/>
          <w:szCs w:val="28"/>
          <w:shd w:val="clear" w:color="auto" w:fill="FFFFFF"/>
          <w:lang w:val="uk-UA"/>
        </w:rPr>
        <w:t xml:space="preserve">В роботі </w:t>
      </w:r>
      <w:r w:rsidRPr="00BE086B">
        <w:rPr>
          <w:sz w:val="28"/>
          <w:szCs w:val="28"/>
          <w:shd w:val="clear" w:color="auto" w:fill="FFFFFF"/>
          <w:lang w:val="en-US"/>
        </w:rPr>
        <w:t>Monfort</w:t>
      </w:r>
      <w:r w:rsidRPr="00BE086B">
        <w:rPr>
          <w:sz w:val="28"/>
          <w:szCs w:val="28"/>
          <w:shd w:val="clear" w:color="auto" w:fill="FFFFFF"/>
          <w:lang w:val="uk-UA"/>
        </w:rPr>
        <w:t xml:space="preserve"> </w:t>
      </w:r>
      <w:r w:rsidRPr="00BE086B">
        <w:rPr>
          <w:sz w:val="28"/>
          <w:szCs w:val="28"/>
          <w:shd w:val="clear" w:color="auto" w:fill="FFFFFF"/>
          <w:lang w:val="en-US"/>
        </w:rPr>
        <w:t>J</w:t>
      </w:r>
      <w:r w:rsidRPr="00BE086B">
        <w:rPr>
          <w:sz w:val="28"/>
          <w:szCs w:val="28"/>
          <w:shd w:val="clear" w:color="auto" w:fill="FFFFFF"/>
          <w:lang w:val="uk-UA"/>
        </w:rPr>
        <w:t xml:space="preserve">. з співавт. </w:t>
      </w:r>
      <w:r w:rsidRPr="00BE086B">
        <w:rPr>
          <w:sz w:val="28"/>
          <w:szCs w:val="28"/>
          <w:lang w:val="uk-UA"/>
        </w:rPr>
        <w:t>(2005) показано, що на</w:t>
      </w:r>
      <w:r w:rsidRPr="00BE086B">
        <w:rPr>
          <w:rFonts w:eastAsia="AdvP2E44"/>
          <w:sz w:val="28"/>
          <w:szCs w:val="28"/>
          <w:lang w:val="uk-UA"/>
        </w:rPr>
        <w:t xml:space="preserve">йважливіша роль в обміні екстрацелюлярного матриксу хряща належить ММП, від яких залежить деградація всіх компонентів матриксу. Ці ендопептідази, зокрема ММП-3, ММП-13 і ММП-9, секретуються в латентній проензимній формі та </w:t>
      </w:r>
      <w:r w:rsidRPr="00BE086B">
        <w:rPr>
          <w:rFonts w:eastAsia="AdvP2E44"/>
          <w:sz w:val="28"/>
          <w:szCs w:val="28"/>
          <w:lang w:val="uk-UA"/>
        </w:rPr>
        <w:lastRenderedPageBreak/>
        <w:t>активуються позаклітинно, а активні форми інгібуються шляхом зв'язування з тканинними інгібіторами металопротеїназ. Блокада цих ММП може зменшувати тяжкість ураження суглобів при ОА. Показано, що ХС на 28% пригнічує синтез ММП-3 хондроцитами, яка індукована ІЛ-1b [374].</w:t>
      </w:r>
    </w:p>
    <w:p w:rsidR="00D92D95" w:rsidRPr="00BE086B" w:rsidRDefault="00D92D95" w:rsidP="00D92D95">
      <w:pPr>
        <w:spacing w:line="360" w:lineRule="auto"/>
        <w:ind w:firstLine="709"/>
        <w:jc w:val="both"/>
        <w:rPr>
          <w:rFonts w:eastAsia="AdvP2E44"/>
          <w:sz w:val="28"/>
          <w:szCs w:val="28"/>
          <w:lang w:val="uk-UA"/>
        </w:rPr>
      </w:pPr>
      <w:r w:rsidRPr="00BE086B">
        <w:rPr>
          <w:sz w:val="28"/>
          <w:szCs w:val="28"/>
          <w:shd w:val="clear" w:color="auto" w:fill="FFFFFF"/>
          <w:lang w:val="en-US"/>
        </w:rPr>
        <w:t>Chou</w:t>
      </w:r>
      <w:r w:rsidRPr="00BE086B">
        <w:rPr>
          <w:sz w:val="28"/>
          <w:szCs w:val="28"/>
          <w:shd w:val="clear" w:color="auto" w:fill="FFFFFF"/>
          <w:lang w:val="uk-UA"/>
        </w:rPr>
        <w:t xml:space="preserve"> </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 xml:space="preserve">. з співавт. </w:t>
      </w:r>
      <w:r w:rsidRPr="00BE086B">
        <w:rPr>
          <w:sz w:val="28"/>
          <w:szCs w:val="28"/>
          <w:lang w:val="uk-UA"/>
        </w:rPr>
        <w:t>(2005)</w:t>
      </w:r>
      <w:r w:rsidRPr="00BE086B">
        <w:rPr>
          <w:sz w:val="28"/>
          <w:szCs w:val="28"/>
          <w:shd w:val="clear" w:color="auto" w:fill="FFFFFF"/>
          <w:lang w:val="uk-UA"/>
        </w:rPr>
        <w:t xml:space="preserve"> встановили, що н</w:t>
      </w:r>
      <w:r w:rsidRPr="00BE086B">
        <w:rPr>
          <w:rFonts w:eastAsia="AdvP2E44"/>
          <w:sz w:val="28"/>
          <w:szCs w:val="28"/>
          <w:lang w:val="uk-UA"/>
        </w:rPr>
        <w:t>а моделі ОА у щурів, ХС запобігав підвищенню рівня ММП-9, як пускового моменту хрящової і кісткової деградації [375].</w:t>
      </w:r>
    </w:p>
    <w:p w:rsidR="00D92D95" w:rsidRPr="00BE086B" w:rsidRDefault="00D92D95" w:rsidP="00D92D95">
      <w:pPr>
        <w:spacing w:line="360" w:lineRule="auto"/>
        <w:ind w:firstLine="709"/>
        <w:jc w:val="both"/>
        <w:rPr>
          <w:rFonts w:eastAsia="AdvP2E44"/>
          <w:sz w:val="28"/>
          <w:szCs w:val="28"/>
          <w:lang w:val="uk-UA"/>
        </w:rPr>
      </w:pPr>
      <w:r w:rsidRPr="00BE086B">
        <w:rPr>
          <w:sz w:val="28"/>
          <w:szCs w:val="28"/>
          <w:lang w:val="en-US"/>
        </w:rPr>
        <w:t>Holzmann</w:t>
      </w:r>
      <w:r w:rsidRPr="00BE086B">
        <w:rPr>
          <w:sz w:val="28"/>
          <w:szCs w:val="28"/>
          <w:lang w:val="uk-UA"/>
        </w:rPr>
        <w:t xml:space="preserve"> </w:t>
      </w:r>
      <w:r w:rsidRPr="00BE086B">
        <w:rPr>
          <w:sz w:val="28"/>
          <w:szCs w:val="28"/>
          <w:lang w:val="en-US"/>
        </w:rPr>
        <w:t>J</w:t>
      </w:r>
      <w:r w:rsidRPr="00BE086B">
        <w:rPr>
          <w:sz w:val="28"/>
          <w:szCs w:val="28"/>
          <w:shd w:val="clear" w:color="auto" w:fill="FFFFFF"/>
          <w:lang w:val="uk-UA"/>
        </w:rPr>
        <w:t xml:space="preserve">. з співавт. </w:t>
      </w:r>
      <w:r w:rsidRPr="00BE086B">
        <w:rPr>
          <w:sz w:val="28"/>
          <w:szCs w:val="28"/>
          <w:lang w:val="uk-UA"/>
        </w:rPr>
        <w:t>(2006) б</w:t>
      </w:r>
      <w:r w:rsidRPr="00BE086B">
        <w:rPr>
          <w:rFonts w:eastAsia="AdvP2E44"/>
          <w:sz w:val="28"/>
          <w:szCs w:val="28"/>
          <w:lang w:val="uk-UA"/>
        </w:rPr>
        <w:t>уло продемонстровано, що ХС знижує індуковану ліпополісахаридами ММП-13 в хондроцитах, що супроводжується зменшенням активації р38 мітоген-активованої білкової кінази та екстрацеллюлярної сигнальної регулюючої кінази 1/2 [376].</w:t>
      </w:r>
    </w:p>
    <w:p w:rsidR="00D92D95" w:rsidRPr="00BE086B" w:rsidRDefault="00D92D95" w:rsidP="00D92D95">
      <w:pPr>
        <w:spacing w:line="360" w:lineRule="auto"/>
        <w:ind w:firstLine="709"/>
        <w:jc w:val="both"/>
        <w:rPr>
          <w:rFonts w:eastAsia="AdvP2E44"/>
          <w:sz w:val="28"/>
          <w:szCs w:val="28"/>
          <w:lang w:val="uk-UA"/>
        </w:rPr>
      </w:pPr>
      <w:r w:rsidRPr="00BE086B">
        <w:rPr>
          <w:sz w:val="28"/>
          <w:szCs w:val="28"/>
          <w:shd w:val="clear" w:color="auto" w:fill="FFFFFF"/>
          <w:lang w:val="en-US"/>
        </w:rPr>
        <w:t>Monfort</w:t>
      </w:r>
      <w:r w:rsidRPr="00BE086B">
        <w:rPr>
          <w:sz w:val="28"/>
          <w:szCs w:val="28"/>
          <w:shd w:val="clear" w:color="auto" w:fill="FFFFFF"/>
          <w:lang w:val="uk-UA"/>
        </w:rPr>
        <w:t xml:space="preserve"> </w:t>
      </w:r>
      <w:r w:rsidRPr="00BE086B">
        <w:rPr>
          <w:sz w:val="28"/>
          <w:szCs w:val="28"/>
          <w:shd w:val="clear" w:color="auto" w:fill="FFFFFF"/>
          <w:lang w:val="en-US"/>
        </w:rPr>
        <w:t>J</w:t>
      </w:r>
      <w:r w:rsidRPr="00BE086B">
        <w:rPr>
          <w:sz w:val="28"/>
          <w:szCs w:val="28"/>
          <w:shd w:val="clear" w:color="auto" w:fill="FFFFFF"/>
          <w:lang w:val="uk-UA"/>
        </w:rPr>
        <w:t xml:space="preserve">. з співавт. </w:t>
      </w:r>
      <w:r w:rsidRPr="00BE086B">
        <w:rPr>
          <w:sz w:val="28"/>
          <w:szCs w:val="28"/>
          <w:lang w:val="uk-UA"/>
        </w:rPr>
        <w:t>(2008) встановили, що к</w:t>
      </w:r>
      <w:r w:rsidRPr="00BE086B">
        <w:rPr>
          <w:rFonts w:eastAsia="AdvP2E44"/>
          <w:sz w:val="28"/>
          <w:szCs w:val="28"/>
          <w:lang w:val="uk-UA"/>
        </w:rPr>
        <w:t>лючову роль у розвитку ОА грає ІЛ-1b, що відповідальний за дегенерацію багатьох компонентів екстрацелюлярного матриксу в тканинах суглобу. Цей цитокін індукує каскад катаболічних процесів, включаючи підвищення експресії інших прозапальних цитокінів, таких як ФНП, ІЛ-6, ММП, індуцибельна форма синтази азоту, ЦОГ-2 та інших. До останнього часу активація ЦОГ розглядалася в якості ключового моменту синтезу простагландинів. Однак нещодавно був ідентифікований фермент, відповідальний за ізомеризацію неактивного попередника простагландину в простагландин Е2 та були ідентифіковані три його ізоформи [368].</w:t>
      </w:r>
    </w:p>
    <w:p w:rsidR="00D92D95" w:rsidRPr="00BE086B" w:rsidRDefault="00D92D95" w:rsidP="00D92D95">
      <w:pPr>
        <w:spacing w:line="360" w:lineRule="auto"/>
        <w:ind w:firstLine="709"/>
        <w:jc w:val="both"/>
        <w:rPr>
          <w:rFonts w:eastAsia="AdvP2E44"/>
          <w:sz w:val="28"/>
          <w:szCs w:val="28"/>
          <w:lang w:val="uk-UA"/>
        </w:rPr>
      </w:pPr>
      <w:r w:rsidRPr="00BE086B">
        <w:rPr>
          <w:sz w:val="28"/>
          <w:szCs w:val="28"/>
          <w:shd w:val="clear" w:color="auto" w:fill="FFFFFF"/>
          <w:lang w:val="en-US"/>
        </w:rPr>
        <w:t>Li</w:t>
      </w:r>
      <w:r w:rsidRPr="00BE086B">
        <w:rPr>
          <w:sz w:val="28"/>
          <w:szCs w:val="28"/>
          <w:shd w:val="clear" w:color="auto" w:fill="FFFFFF"/>
          <w:lang w:val="uk-UA"/>
        </w:rPr>
        <w:t xml:space="preserve"> </w:t>
      </w:r>
      <w:r w:rsidRPr="00BE086B">
        <w:rPr>
          <w:sz w:val="28"/>
          <w:szCs w:val="28"/>
          <w:shd w:val="clear" w:color="auto" w:fill="FFFFFF"/>
          <w:lang w:val="en-US"/>
        </w:rPr>
        <w:t>X</w:t>
      </w:r>
      <w:r w:rsidRPr="00BE086B">
        <w:rPr>
          <w:sz w:val="28"/>
          <w:szCs w:val="28"/>
          <w:shd w:val="clear" w:color="auto" w:fill="FFFFFF"/>
          <w:lang w:val="uk-UA"/>
        </w:rPr>
        <w:t xml:space="preserve">. з співавт. </w:t>
      </w:r>
      <w:r w:rsidRPr="00BE086B">
        <w:rPr>
          <w:sz w:val="28"/>
          <w:szCs w:val="28"/>
          <w:lang w:val="uk-UA"/>
        </w:rPr>
        <w:t>(2005) б</w:t>
      </w:r>
      <w:r w:rsidRPr="00BE086B">
        <w:rPr>
          <w:rFonts w:eastAsia="AdvP2E44"/>
          <w:sz w:val="28"/>
          <w:szCs w:val="28"/>
          <w:lang w:val="uk-UA"/>
        </w:rPr>
        <w:t>уло показано, що мікросомальна синтаза-1 простагландину (mPGES-1) експресується в артикулярних тканинах людини та її рівень збільшується після стимуляції ІЛ-1b [377].</w:t>
      </w:r>
    </w:p>
    <w:p w:rsidR="00D92D95" w:rsidRPr="00BE086B" w:rsidRDefault="00D92D95" w:rsidP="00D92D95">
      <w:pPr>
        <w:spacing w:line="360" w:lineRule="auto"/>
        <w:ind w:firstLine="709"/>
        <w:jc w:val="both"/>
        <w:rPr>
          <w:rFonts w:eastAsia="AdvP2E44"/>
          <w:sz w:val="28"/>
          <w:szCs w:val="28"/>
          <w:lang w:val="uk-UA"/>
        </w:rPr>
      </w:pPr>
      <w:r w:rsidRPr="00BE086B">
        <w:rPr>
          <w:rFonts w:eastAsia="AdvP2E44"/>
          <w:sz w:val="28"/>
          <w:szCs w:val="28"/>
          <w:lang w:val="uk-UA"/>
        </w:rPr>
        <w:t xml:space="preserve">У дослідженні </w:t>
      </w:r>
      <w:r w:rsidRPr="00BE086B">
        <w:rPr>
          <w:sz w:val="28"/>
          <w:szCs w:val="28"/>
          <w:shd w:val="clear" w:color="auto" w:fill="FFFFFF"/>
          <w:lang w:val="en-US"/>
        </w:rPr>
        <w:t>Chan</w:t>
      </w:r>
      <w:r w:rsidRPr="00BE086B">
        <w:rPr>
          <w:sz w:val="28"/>
          <w:szCs w:val="28"/>
          <w:shd w:val="clear" w:color="auto" w:fill="FFFFFF"/>
          <w:lang w:val="uk-UA"/>
        </w:rPr>
        <w:t xml:space="preserve"> </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 xml:space="preserve">. з співавт. </w:t>
      </w:r>
      <w:r w:rsidRPr="00BE086B">
        <w:rPr>
          <w:sz w:val="28"/>
          <w:szCs w:val="28"/>
          <w:lang w:val="uk-UA"/>
        </w:rPr>
        <w:t xml:space="preserve">(2006) </w:t>
      </w:r>
      <w:r w:rsidRPr="00BE086B">
        <w:rPr>
          <w:rFonts w:eastAsia="AdvP2E44"/>
          <w:sz w:val="28"/>
          <w:szCs w:val="28"/>
          <w:lang w:val="uk-UA"/>
        </w:rPr>
        <w:t>in vitro ХС пригнічував індуковану ІЛ-1b експресію генів NO синтази, ЦОГ-2 та mPGES-1 [378].</w:t>
      </w:r>
    </w:p>
    <w:p w:rsidR="00D92D95" w:rsidRPr="00BE086B" w:rsidRDefault="00D92D95" w:rsidP="00D92D95">
      <w:pPr>
        <w:spacing w:line="360" w:lineRule="auto"/>
        <w:ind w:firstLine="709"/>
        <w:jc w:val="both"/>
        <w:rPr>
          <w:rFonts w:eastAsia="AdvP2E44"/>
          <w:sz w:val="28"/>
          <w:szCs w:val="28"/>
          <w:lang w:val="uk-UA"/>
        </w:rPr>
      </w:pPr>
      <w:r w:rsidRPr="00BE086B">
        <w:rPr>
          <w:rFonts w:eastAsia="AdvP2E44"/>
          <w:sz w:val="28"/>
          <w:szCs w:val="28"/>
          <w:lang w:val="uk-UA"/>
        </w:rPr>
        <w:t>Більш того, встановлено, що ХС зменшує індуковану ІЛ-1b фосфорилізацію мітоген-активованої білкової кінази, екстрацеллюлярної сигнальної регулюючої кінази і трансактивацію ядерного фактора-kB, що супроводжується антикатаболічним ефектом [379, 380].</w:t>
      </w:r>
    </w:p>
    <w:p w:rsidR="00D92D95" w:rsidRPr="00BE086B" w:rsidRDefault="00D92D95" w:rsidP="00D92D95">
      <w:pPr>
        <w:spacing w:line="360" w:lineRule="auto"/>
        <w:ind w:firstLine="709"/>
        <w:jc w:val="both"/>
        <w:rPr>
          <w:rFonts w:eastAsia="AdvP2E44"/>
          <w:sz w:val="28"/>
          <w:szCs w:val="28"/>
          <w:lang w:val="uk-UA"/>
        </w:rPr>
      </w:pPr>
      <w:r w:rsidRPr="00BE086B">
        <w:rPr>
          <w:rFonts w:eastAsia="AdvP2E44"/>
          <w:sz w:val="28"/>
          <w:szCs w:val="28"/>
          <w:lang w:val="uk-UA"/>
        </w:rPr>
        <w:lastRenderedPageBreak/>
        <w:t xml:space="preserve">Cho </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Y</w:t>
      </w:r>
      <w:r w:rsidRPr="00BE086B">
        <w:rPr>
          <w:sz w:val="28"/>
          <w:szCs w:val="28"/>
          <w:shd w:val="clear" w:color="auto" w:fill="FFFFFF"/>
          <w:lang w:val="uk-UA"/>
        </w:rPr>
        <w:t>.</w:t>
      </w:r>
      <w:r w:rsidRPr="00BE086B">
        <w:rPr>
          <w:rFonts w:eastAsia="AdvP2E44"/>
          <w:sz w:val="28"/>
          <w:szCs w:val="28"/>
          <w:lang w:val="uk-UA"/>
        </w:rPr>
        <w:t xml:space="preserve"> з співавт. </w:t>
      </w:r>
      <w:r w:rsidRPr="00BE086B">
        <w:rPr>
          <w:rFonts w:eastAsia="AdvP2E44"/>
          <w:sz w:val="28"/>
          <w:szCs w:val="28"/>
        </w:rPr>
        <w:t xml:space="preserve">(2004) </w:t>
      </w:r>
      <w:r w:rsidRPr="00BE086B">
        <w:rPr>
          <w:rFonts w:eastAsia="AdvP2E44"/>
          <w:sz w:val="28"/>
          <w:szCs w:val="28"/>
          <w:lang w:val="uk-UA"/>
        </w:rPr>
        <w:t>показали на моделях у тварин, що лікування ХС значимо зменшувало рівень ІЛ-6 в сироватці крові [</w:t>
      </w:r>
      <w:r w:rsidRPr="00BE086B">
        <w:rPr>
          <w:rFonts w:eastAsia="AdvP2E44"/>
          <w:sz w:val="28"/>
          <w:szCs w:val="28"/>
        </w:rPr>
        <w:t>381</w:t>
      </w:r>
      <w:r w:rsidRPr="00BE086B">
        <w:rPr>
          <w:rFonts w:eastAsia="AdvP2E44"/>
          <w:sz w:val="28"/>
          <w:szCs w:val="28"/>
          <w:lang w:val="uk-UA"/>
        </w:rPr>
        <w:t>].</w:t>
      </w:r>
    </w:p>
    <w:p w:rsidR="00D92D95" w:rsidRPr="00BE086B" w:rsidRDefault="00D92D95" w:rsidP="00D92D95">
      <w:pPr>
        <w:spacing w:line="360" w:lineRule="auto"/>
        <w:ind w:firstLine="709"/>
        <w:jc w:val="both"/>
        <w:rPr>
          <w:rFonts w:eastAsia="AdvP2E44"/>
          <w:sz w:val="28"/>
          <w:szCs w:val="28"/>
          <w:lang w:val="uk-UA"/>
        </w:rPr>
      </w:pPr>
      <w:r w:rsidRPr="00BE086B">
        <w:rPr>
          <w:sz w:val="28"/>
          <w:szCs w:val="28"/>
          <w:shd w:val="clear" w:color="auto" w:fill="FFFFFF"/>
          <w:lang w:val="en-US"/>
        </w:rPr>
        <w:t>David</w:t>
      </w:r>
      <w:r w:rsidRPr="00BE086B">
        <w:rPr>
          <w:sz w:val="28"/>
          <w:szCs w:val="28"/>
          <w:shd w:val="clear" w:color="auto" w:fill="FFFFFF"/>
          <w:lang w:val="uk-UA"/>
        </w:rPr>
        <w:t>-</w:t>
      </w:r>
      <w:r w:rsidRPr="00BE086B">
        <w:rPr>
          <w:sz w:val="28"/>
          <w:szCs w:val="28"/>
          <w:shd w:val="clear" w:color="auto" w:fill="FFFFFF"/>
          <w:lang w:val="en-US"/>
        </w:rPr>
        <w:t>Raoudi</w:t>
      </w:r>
      <w:r w:rsidRPr="00BE086B">
        <w:rPr>
          <w:sz w:val="28"/>
          <w:szCs w:val="28"/>
          <w:shd w:val="clear" w:color="auto" w:fill="FFFFFF"/>
          <w:lang w:val="uk-UA"/>
        </w:rPr>
        <w:t xml:space="preserve"> </w:t>
      </w:r>
      <w:r w:rsidRPr="00BE086B">
        <w:rPr>
          <w:sz w:val="28"/>
          <w:szCs w:val="28"/>
          <w:shd w:val="clear" w:color="auto" w:fill="FFFFFF"/>
          <w:lang w:val="en-US"/>
        </w:rPr>
        <w:t>M</w:t>
      </w:r>
      <w:r w:rsidRPr="00BE086B">
        <w:rPr>
          <w:sz w:val="28"/>
          <w:szCs w:val="28"/>
          <w:shd w:val="clear" w:color="auto" w:fill="FFFFFF"/>
          <w:lang w:val="uk-UA"/>
        </w:rPr>
        <w:t>.</w:t>
      </w:r>
      <w:r w:rsidRPr="00BE086B">
        <w:rPr>
          <w:rFonts w:eastAsia="AdvP2E44"/>
          <w:sz w:val="28"/>
          <w:szCs w:val="28"/>
          <w:lang w:val="uk-UA"/>
        </w:rPr>
        <w:t xml:space="preserve"> з співавт. (2009) встановлено, що ХС стимулює продукцію високомолекулярної гіалуронової кислоти сіновіоцитів через регуляцію мРНК для синтази гіалуронової кислоти HAS-1, HAS-2 та HAS-3. ХС зменшує індуковану ІЛ-1 транскрипцію HAS-3 і збільшує продукцію великих молекул гіалуронової кислоти. Крім того, ХС зменшує резорбцію субходральної кістки і знижує експресію генів RANKL [382].</w:t>
      </w:r>
    </w:p>
    <w:p w:rsidR="00D92D95" w:rsidRPr="00BE086B" w:rsidRDefault="00D92D95" w:rsidP="00D92D95">
      <w:pPr>
        <w:spacing w:line="360" w:lineRule="auto"/>
        <w:ind w:firstLine="709"/>
        <w:jc w:val="both"/>
        <w:rPr>
          <w:rFonts w:eastAsia="AdvP2E44"/>
          <w:sz w:val="28"/>
          <w:szCs w:val="28"/>
          <w:lang w:val="uk-UA"/>
        </w:rPr>
      </w:pPr>
      <w:r w:rsidRPr="00BE086B">
        <w:rPr>
          <w:rFonts w:eastAsia="AdvP2E44"/>
          <w:sz w:val="28"/>
          <w:szCs w:val="28"/>
          <w:lang w:val="uk-UA"/>
        </w:rPr>
        <w:t>Відома антиоксидантна дія ХС. Так, в дослідженнях було встановлено, що ХС in vitro пригнічує апоптоз, викликаний закисом азоту. Обробка хондроцитів кролика ХС в концентрації 100 мкг/мл у 70% випадків знижувала кількість загиблих клітин в середньому на 28%. Цей ефект пропорційно залежав від часу впливу закису азоту [380, 383].</w:t>
      </w:r>
    </w:p>
    <w:p w:rsidR="00D92D95" w:rsidRPr="00BE086B" w:rsidRDefault="00D92D95" w:rsidP="00D92D95">
      <w:pPr>
        <w:spacing w:line="360" w:lineRule="auto"/>
        <w:ind w:firstLine="709"/>
        <w:jc w:val="both"/>
        <w:rPr>
          <w:rFonts w:eastAsia="Calibri"/>
          <w:sz w:val="28"/>
          <w:szCs w:val="28"/>
          <w:lang w:val="uk-UA"/>
        </w:rPr>
      </w:pPr>
      <w:r w:rsidRPr="00BE086B">
        <w:rPr>
          <w:sz w:val="28"/>
          <w:szCs w:val="28"/>
          <w:lang w:val="uk-UA"/>
        </w:rPr>
        <w:t>Одним з найбільш відомих і важливих властивостей сульфатованих ГАГ є їх здатність пригнічувати активність ферментів, які беруть участь в руйнуванні міжклітинного матриксу сполучної тканини [384, 385].</w:t>
      </w:r>
    </w:p>
    <w:p w:rsidR="00D92D95" w:rsidRPr="00BE086B" w:rsidRDefault="00D92D95" w:rsidP="00D92D95">
      <w:pPr>
        <w:spacing w:line="360" w:lineRule="auto"/>
        <w:ind w:firstLine="709"/>
        <w:jc w:val="both"/>
        <w:rPr>
          <w:sz w:val="28"/>
          <w:szCs w:val="28"/>
          <w:lang w:val="uk-UA"/>
        </w:rPr>
      </w:pPr>
      <w:r w:rsidRPr="00BE086B">
        <w:rPr>
          <w:sz w:val="28"/>
          <w:szCs w:val="28"/>
          <w:lang w:val="uk-UA"/>
        </w:rPr>
        <w:t>Також сульфатовані ГАГ здатні пригнічувати активність гіалуронідази і еластази гранулоцитів [359, 362, 365, 368], кислих катепсинів [377, 382], колагенази [373, 375, 378], лізосомальних гідролаз, серінових протеїназ [372, 384] і ряду інших ферментів [380, 385].</w:t>
      </w:r>
    </w:p>
    <w:p w:rsidR="00D92D95" w:rsidRPr="00BE086B" w:rsidRDefault="00D92D95" w:rsidP="00D92D95">
      <w:pPr>
        <w:spacing w:line="360" w:lineRule="auto"/>
        <w:ind w:firstLine="709"/>
        <w:jc w:val="both"/>
        <w:rPr>
          <w:sz w:val="28"/>
          <w:szCs w:val="28"/>
          <w:lang w:val="uk-UA"/>
        </w:rPr>
      </w:pPr>
      <w:r w:rsidRPr="00BE086B">
        <w:rPr>
          <w:sz w:val="28"/>
          <w:szCs w:val="28"/>
          <w:shd w:val="clear" w:color="auto" w:fill="FFFFFF"/>
          <w:lang w:val="en-US"/>
        </w:rPr>
        <w:t>Ronca</w:t>
      </w:r>
      <w:r w:rsidRPr="00BE086B">
        <w:rPr>
          <w:sz w:val="28"/>
          <w:szCs w:val="28"/>
          <w:shd w:val="clear" w:color="auto" w:fill="FFFFFF"/>
          <w:lang w:val="uk-UA"/>
        </w:rPr>
        <w:t xml:space="preserve"> </w:t>
      </w:r>
      <w:r w:rsidRPr="00BE086B">
        <w:rPr>
          <w:sz w:val="28"/>
          <w:szCs w:val="28"/>
          <w:shd w:val="clear" w:color="auto" w:fill="FFFFFF"/>
          <w:lang w:val="en-US"/>
        </w:rPr>
        <w:t>F</w:t>
      </w:r>
      <w:r w:rsidRPr="00BE086B">
        <w:rPr>
          <w:sz w:val="28"/>
          <w:szCs w:val="28"/>
          <w:shd w:val="clear" w:color="auto" w:fill="FFFFFF"/>
          <w:lang w:val="uk-UA"/>
        </w:rPr>
        <w:t xml:space="preserve">. </w:t>
      </w:r>
      <w:r w:rsidRPr="00BE086B">
        <w:rPr>
          <w:rFonts w:eastAsia="AdvP2E44"/>
          <w:sz w:val="28"/>
          <w:szCs w:val="28"/>
          <w:lang w:val="uk-UA"/>
        </w:rPr>
        <w:t>з співавт. (1998) б</w:t>
      </w:r>
      <w:r w:rsidRPr="00BE086B">
        <w:rPr>
          <w:sz w:val="28"/>
          <w:szCs w:val="28"/>
          <w:lang w:val="uk-UA"/>
        </w:rPr>
        <w:t xml:space="preserve">уло показано, що ХС і ГА мають певну протинабрякову дію, хоча не здатні запобігти набряку, вже ініційованого такими медіаторами запалення як брадикінін, серотонін або гістамін. Протинабрякова дія сульфатованих ГАГ пов’язана з двома механізмами. По-перше, ГАГ забирають на себе воду і тим самим вилучають її з тканини. По-друге, ГАГ здатні переривати на початкових етапах аферентні ланки запалення, які обумовлені макрофагами. ХС, пов'язуючи повністю або частково продукти розпаду і частину медіаторів запалення, блокує хемотаксис і таким чином позбавляє макрофаги можливості з'являтися у вогнищі запалення, розпізнавати антигени і вивільняти відповідні медіатори. Такий </w:t>
      </w:r>
      <w:r w:rsidRPr="00BE086B">
        <w:rPr>
          <w:sz w:val="28"/>
          <w:szCs w:val="28"/>
          <w:lang w:val="uk-UA"/>
        </w:rPr>
        <w:lastRenderedPageBreak/>
        <w:t>висновок було зроблено в результаті вивчення гістологічних препаратів, що відображають динаміку формування рубця рогівки у експериментальних тварин [358].</w:t>
      </w:r>
    </w:p>
    <w:p w:rsidR="00D92D95" w:rsidRPr="00BE086B" w:rsidRDefault="00D92D95" w:rsidP="00D92D95">
      <w:pPr>
        <w:spacing w:line="360" w:lineRule="auto"/>
        <w:ind w:firstLine="709"/>
        <w:jc w:val="both"/>
        <w:rPr>
          <w:sz w:val="28"/>
          <w:szCs w:val="28"/>
          <w:lang w:val="uk-UA"/>
        </w:rPr>
      </w:pPr>
      <w:r w:rsidRPr="00BE086B">
        <w:rPr>
          <w:sz w:val="28"/>
          <w:szCs w:val="28"/>
          <w:lang w:val="uk-UA"/>
        </w:rPr>
        <w:t>У разі місцевого застосування ГАГ в післяопераційний період в зоні формування рубця зазначалося практично повна відсутність макрофагів і набряку рогівки. Пізніше вплив ХС на макрофаги було доведено в спеціальних дослідженнях [357, 363, 366, 380]. Так, ХС пригнічував спрямований хемотаксис лейкоцитів людини, індукований зимозан-активованою сироваткою, знижував фагоцитоз і вивільнення лізоциму [373, 375].</w:t>
      </w:r>
    </w:p>
    <w:p w:rsidR="00D92D95" w:rsidRPr="00BE086B" w:rsidRDefault="00D92D95" w:rsidP="00D92D95">
      <w:pPr>
        <w:spacing w:line="360" w:lineRule="auto"/>
        <w:ind w:firstLine="709"/>
        <w:jc w:val="both"/>
        <w:rPr>
          <w:sz w:val="28"/>
          <w:szCs w:val="28"/>
          <w:lang w:val="uk-UA"/>
        </w:rPr>
      </w:pPr>
      <w:r w:rsidRPr="00BE086B">
        <w:rPr>
          <w:sz w:val="28"/>
          <w:szCs w:val="28"/>
          <w:lang w:val="uk-UA"/>
        </w:rPr>
        <w:t>Порівняння ХС з НПЗЗ показало, що ХС був більш ефективним під час клітинної фази запалення, ніж на стадії набряку [350, 354, 375]. Крім того, показано, що попереднє введення тваринам протеогліканів, багатих ХС, запобігає розвитку артриту, індукованого мікобактерією туберкульозу [386].</w:t>
      </w:r>
      <w:r w:rsidR="001B2431" w:rsidRPr="00BE086B">
        <w:rPr>
          <w:bCs/>
          <w:sz w:val="28"/>
          <w:szCs w:val="28"/>
          <w:lang w:val="uk-UA"/>
        </w:rPr>
        <w:t xml:space="preserve"> Взагалі, механізм дії ХС складний, багатогранний і охоплює майже всі ключові сторони патогенезу ОА. Основні фармакологічні ефекти ХС можна узагальнити наступним чином </w:t>
      </w:r>
      <w:r w:rsidR="001B2431" w:rsidRPr="00BE086B">
        <w:rPr>
          <w:sz w:val="28"/>
          <w:szCs w:val="28"/>
          <w:lang w:val="uk-UA"/>
        </w:rPr>
        <w:t>(табл. 1.1).</w:t>
      </w:r>
    </w:p>
    <w:p w:rsidR="00D92D95" w:rsidRPr="00BE086B" w:rsidRDefault="00D92D95" w:rsidP="00D92D95">
      <w:pPr>
        <w:spacing w:line="360" w:lineRule="auto"/>
        <w:ind w:firstLine="709"/>
        <w:jc w:val="right"/>
        <w:rPr>
          <w:lang w:val="uk-UA"/>
        </w:rPr>
      </w:pPr>
      <w:r w:rsidRPr="00BE086B">
        <w:rPr>
          <w:i/>
          <w:iCs/>
          <w:sz w:val="28"/>
          <w:szCs w:val="28"/>
          <w:lang w:val="uk-UA"/>
        </w:rPr>
        <w:t>Таблиця 1.1.</w:t>
      </w:r>
    </w:p>
    <w:p w:rsidR="00D92D95" w:rsidRPr="00BE086B" w:rsidRDefault="00D92D95" w:rsidP="00D92D95">
      <w:pPr>
        <w:spacing w:line="360" w:lineRule="auto"/>
        <w:ind w:firstLine="709"/>
        <w:jc w:val="center"/>
        <w:rPr>
          <w:lang w:val="uk-UA"/>
        </w:rPr>
      </w:pPr>
      <w:r w:rsidRPr="00BE086B">
        <w:rPr>
          <w:b/>
          <w:bCs/>
          <w:sz w:val="28"/>
          <w:szCs w:val="28"/>
          <w:lang w:val="uk-UA"/>
        </w:rPr>
        <w:t>Біологічні ефекти хондроїтину сульфату</w:t>
      </w:r>
    </w:p>
    <w:tbl>
      <w:tblPr>
        <w:tblW w:w="9214" w:type="dxa"/>
        <w:tblInd w:w="15" w:type="dxa"/>
        <w:tblLayout w:type="fixed"/>
        <w:tblCellMar>
          <w:top w:w="15" w:type="dxa"/>
          <w:left w:w="15" w:type="dxa"/>
          <w:bottom w:w="15" w:type="dxa"/>
          <w:right w:w="15" w:type="dxa"/>
        </w:tblCellMar>
        <w:tblLook w:val="0000" w:firstRow="0" w:lastRow="0" w:firstColumn="0" w:lastColumn="0" w:noHBand="0" w:noVBand="0"/>
      </w:tblPr>
      <w:tblGrid>
        <w:gridCol w:w="9214"/>
      </w:tblGrid>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Стимулює активність хондроцитів до вироблення екстрацелюлярного матриксу</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Пригнічує активність лізосомальних ферментів</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Пригнічує утворення супероксидних радикалів</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Пригнічує синтез оксиду азоту</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Пригнічує ІЛ-1, що стимулює, синтез коллагенази і активність аггреканази</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Стимулює синтез гіалуронової кислоти і перешкоджає її руйнуванню</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Посилює проникнення у запалені суглоби глюкозаміну сульфату</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Пригнічує апоптоз хондроцитів</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Посилює протизапальну і аналгетичну дію НПЗЗ</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Гальмує катаболічні і стимулює анаболічні процеси в суглобовому хрящі</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Стимулює регенерацію суглобового хряща</w:t>
            </w:r>
          </w:p>
        </w:tc>
      </w:tr>
      <w:tr w:rsidR="00D92D95" w:rsidRPr="00BE086B" w:rsidTr="00B53875">
        <w:tc>
          <w:tcPr>
            <w:tcW w:w="921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D92D95" w:rsidRPr="00BE086B" w:rsidRDefault="00D92D95" w:rsidP="00B53875">
            <w:pPr>
              <w:jc w:val="both"/>
              <w:rPr>
                <w:lang w:val="uk-UA"/>
              </w:rPr>
            </w:pPr>
            <w:r w:rsidRPr="00BE086B">
              <w:rPr>
                <w:sz w:val="28"/>
                <w:szCs w:val="28"/>
                <w:lang w:val="uk-UA"/>
              </w:rPr>
              <w:t>Нормалізує структуру субхондральної кістки</w:t>
            </w:r>
          </w:p>
        </w:tc>
      </w:tr>
    </w:tbl>
    <w:p w:rsidR="00D92D95" w:rsidRPr="00BE086B" w:rsidRDefault="00D92D95" w:rsidP="00D92D95">
      <w:pPr>
        <w:spacing w:line="360" w:lineRule="auto"/>
        <w:ind w:firstLine="709"/>
        <w:jc w:val="both"/>
        <w:rPr>
          <w:sz w:val="28"/>
          <w:szCs w:val="28"/>
          <w:lang w:val="uk-UA"/>
        </w:rPr>
      </w:pPr>
    </w:p>
    <w:p w:rsidR="00C769E2" w:rsidRPr="00BE086B" w:rsidRDefault="00C769E2" w:rsidP="00C769E2">
      <w:pPr>
        <w:spacing w:line="360" w:lineRule="auto"/>
        <w:ind w:firstLine="709"/>
        <w:jc w:val="both"/>
        <w:rPr>
          <w:lang w:val="uk-UA"/>
        </w:rPr>
      </w:pPr>
      <w:r w:rsidRPr="00BE086B">
        <w:rPr>
          <w:bCs/>
          <w:sz w:val="28"/>
          <w:szCs w:val="28"/>
          <w:lang w:val="uk-UA"/>
        </w:rPr>
        <w:lastRenderedPageBreak/>
        <w:t>На жаль, багато механізмів дії ГАГ і ХС поки вивчені недостатньо, але вже зараз можна з упевненістю стверджувати, що ГАГ в цілому і ХС зокрема впливають не тільки на багато показників обміну екстрацелюлярного матриксу, а й на інші органи і системи</w:t>
      </w:r>
      <w:r w:rsidR="007519A2" w:rsidRPr="00BE086B">
        <w:rPr>
          <w:bCs/>
          <w:sz w:val="28"/>
          <w:szCs w:val="28"/>
          <w:lang w:val="uk-UA"/>
        </w:rPr>
        <w:t xml:space="preserve"> </w:t>
      </w:r>
      <w:r w:rsidR="007519A2" w:rsidRPr="00BE086B">
        <w:rPr>
          <w:sz w:val="28"/>
          <w:szCs w:val="28"/>
          <w:lang w:val="uk-UA"/>
        </w:rPr>
        <w:t>[350, 354, 375]</w:t>
      </w:r>
      <w:r w:rsidRPr="00BE086B">
        <w:rPr>
          <w:bCs/>
          <w:sz w:val="28"/>
          <w:szCs w:val="28"/>
          <w:lang w:val="uk-UA"/>
        </w:rPr>
        <w:t>.</w:t>
      </w:r>
    </w:p>
    <w:p w:rsidR="00D92D95" w:rsidRPr="00BE086B" w:rsidRDefault="00D92D95" w:rsidP="00D92D95">
      <w:pPr>
        <w:spacing w:line="360" w:lineRule="auto"/>
        <w:ind w:firstLine="709"/>
        <w:jc w:val="both"/>
        <w:rPr>
          <w:b/>
          <w:sz w:val="28"/>
          <w:szCs w:val="28"/>
          <w:lang w:val="uk-UA"/>
        </w:rPr>
      </w:pPr>
      <w:r w:rsidRPr="00BE086B">
        <w:rPr>
          <w:rStyle w:val="hps"/>
          <w:sz w:val="28"/>
          <w:szCs w:val="28"/>
          <w:lang w:val="uk-UA"/>
        </w:rPr>
        <w:t>Результати дослідження поєднання ГА та ХС свідчать про хондропротекторний ефект за рахунок зниження гістологічної тяжкості течії ОА [348-351]. Комбінація ГА та ХС призводить до більшого хондропротекторного ефекту у кролів, ніж будь-яке з'єднання поодинці, що наводить на думку про синергетичний ефект. Однак синергетичний механізм комбінації ГА і ХС до кінця не вивчений. Результати досліджень у собак [351, 354] свідчать про профілактичні і терапевтичні ефекти даної комбінації на експериментальних моделях ОА. Встановлено, що внаслідок комбінованого застосування засобів поліпшувалися клінічні ознаки, параметри синовіальної рідини, вміст ГАГ в сироватці крові і метаболізм суглобового хряща [351, 387].</w:t>
      </w:r>
    </w:p>
    <w:p w:rsidR="00D92D95" w:rsidRPr="00BE086B" w:rsidRDefault="00D92D95" w:rsidP="00D92D95">
      <w:pPr>
        <w:spacing w:line="360" w:lineRule="auto"/>
        <w:ind w:firstLine="709"/>
        <w:jc w:val="both"/>
        <w:rPr>
          <w:sz w:val="28"/>
          <w:szCs w:val="28"/>
          <w:lang w:val="uk-UA" w:eastAsia="en-US"/>
        </w:rPr>
      </w:pPr>
      <w:r w:rsidRPr="00BE086B">
        <w:rPr>
          <w:sz w:val="28"/>
          <w:szCs w:val="28"/>
          <w:lang w:val="uk-UA"/>
        </w:rPr>
        <w:t xml:space="preserve">Таким чином, на сьогоднішній день препарати ХС зберігають своє місце в переліку лікарських засобів для лікування ОА. Чисельні дослідження, що підтверджують ефективність ХС та його безпеку при тривалому застосуванні дають основу рекомендувати ХС для лікування хворих з ОА. </w:t>
      </w:r>
      <w:r w:rsidRPr="00BE086B">
        <w:rPr>
          <w:sz w:val="28"/>
          <w:szCs w:val="28"/>
          <w:lang w:val="uk-UA" w:eastAsia="en-US"/>
        </w:rPr>
        <w:t>Необхідно звернути увагу на те, що клінічно значимою дозою ГА вважається не менше 1500 мг в добу, а ХС - 800 мг. Дози менш зазначених не мають терапевтичного ефекту і ефективність їх призначення вважається спірною. Також необхідно пам'ятати, що клінічна ефективність хондропротекторів найбільш виражена при I і II стадії ОА.</w:t>
      </w:r>
    </w:p>
    <w:p w:rsidR="00D92D95" w:rsidRPr="00BE086B" w:rsidRDefault="00D92D95" w:rsidP="00D92D95">
      <w:pPr>
        <w:pStyle w:val="WW-"/>
        <w:spacing w:after="0" w:line="360" w:lineRule="auto"/>
        <w:ind w:firstLine="709"/>
        <w:jc w:val="both"/>
        <w:rPr>
          <w:rFonts w:ascii="Times New Roman" w:eastAsia="NewtonC" w:hAnsi="Times New Roman" w:cs="Times New Roman"/>
          <w:color w:val="auto"/>
          <w:sz w:val="28"/>
          <w:szCs w:val="28"/>
          <w:lang w:val="uk-UA" w:eastAsia="ru-RU"/>
        </w:rPr>
      </w:pPr>
    </w:p>
    <w:p w:rsidR="00D92D95" w:rsidRPr="00BE086B" w:rsidRDefault="00D92D95" w:rsidP="00D92D95">
      <w:pPr>
        <w:autoSpaceDE w:val="0"/>
        <w:spacing w:line="360" w:lineRule="auto"/>
        <w:ind w:firstLine="709"/>
        <w:jc w:val="both"/>
        <w:rPr>
          <w:rFonts w:eastAsia="NewtonC"/>
          <w:b/>
          <w:sz w:val="28"/>
          <w:szCs w:val="28"/>
          <w:lang w:val="uk-UA" w:eastAsia="ru-RU"/>
        </w:rPr>
      </w:pPr>
      <w:r w:rsidRPr="00BE086B">
        <w:rPr>
          <w:rFonts w:eastAsia="NewtonC"/>
          <w:b/>
          <w:sz w:val="28"/>
          <w:szCs w:val="28"/>
          <w:lang w:val="uk-UA" w:eastAsia="ru-RU"/>
        </w:rPr>
        <w:t>1.2. Сучасний погляд про вплив НПЗЗ на суглобовий хрящ</w:t>
      </w:r>
    </w:p>
    <w:p w:rsidR="00D92D95" w:rsidRPr="00BE086B" w:rsidRDefault="00D92D95" w:rsidP="00D92D95">
      <w:pPr>
        <w:autoSpaceDE w:val="0"/>
        <w:spacing w:line="360" w:lineRule="auto"/>
        <w:ind w:firstLine="709"/>
        <w:jc w:val="both"/>
        <w:rPr>
          <w:b/>
          <w:lang w:val="uk-UA"/>
        </w:rPr>
      </w:pPr>
    </w:p>
    <w:p w:rsidR="00D92D95" w:rsidRPr="00BE086B" w:rsidRDefault="00D92D95" w:rsidP="00D92D95">
      <w:pPr>
        <w:autoSpaceDE w:val="0"/>
        <w:spacing w:line="360" w:lineRule="auto"/>
        <w:ind w:firstLine="709"/>
        <w:jc w:val="both"/>
        <w:rPr>
          <w:rFonts w:eastAsia="Calibri"/>
          <w:sz w:val="22"/>
          <w:szCs w:val="22"/>
          <w:lang w:val="uk-UA" w:eastAsia="en-US"/>
        </w:rPr>
      </w:pPr>
      <w:r w:rsidRPr="00BE086B">
        <w:rPr>
          <w:sz w:val="28"/>
          <w:szCs w:val="28"/>
          <w:shd w:val="clear" w:color="auto" w:fill="FFFFFF"/>
          <w:lang w:val="uk-UA"/>
        </w:rPr>
        <w:t xml:space="preserve">В експериментальних роботах встановлено, що НПЗЗ можуть прискорити ураження суглобів при ОА, посилюючи вироблення прозапальних цитокінів або інгібуючи синтез протеогліканів хрящу. Так, у дослідженні </w:t>
      </w:r>
      <w:r w:rsidRPr="00BE086B">
        <w:rPr>
          <w:sz w:val="28"/>
          <w:szCs w:val="28"/>
          <w:lang w:val="uk-UA" w:bidi="ru-RU"/>
        </w:rPr>
        <w:t>Rainsford K.D.</w:t>
      </w:r>
      <w:r w:rsidRPr="00BE086B">
        <w:rPr>
          <w:sz w:val="28"/>
          <w:szCs w:val="28"/>
          <w:shd w:val="clear" w:color="auto" w:fill="FFFFFF"/>
          <w:lang w:val="uk-UA" w:bidi="ru-RU"/>
        </w:rPr>
        <w:t xml:space="preserve"> з співавт. (1997) було встановлено, що м</w:t>
      </w:r>
      <w:r w:rsidRPr="00BE086B">
        <w:rPr>
          <w:sz w:val="28"/>
          <w:szCs w:val="28"/>
          <w:shd w:val="clear" w:color="auto" w:fill="FFFFFF"/>
          <w:lang w:val="uk-UA"/>
        </w:rPr>
        <w:t xml:space="preserve">елоксикам пригнічує </w:t>
      </w:r>
      <w:r w:rsidRPr="00BE086B">
        <w:rPr>
          <w:sz w:val="28"/>
          <w:szCs w:val="28"/>
          <w:shd w:val="clear" w:color="auto" w:fill="FFFFFF"/>
          <w:lang w:val="uk-UA"/>
        </w:rPr>
        <w:lastRenderedPageBreak/>
        <w:t xml:space="preserve">синтез синовіального PGE2, але навіть у терапевтичних концентраціях не впливає на синовіальну продукцію прозапального цитокіну IL 1. Проте, індометацин підвищує синовіальну продукцію прозапального цитокіну IL 1. В той же час призначення мелоксикаму та індометацину у терапевтичних концентраціях підвищує синтез IL 6 та не впливає на рівень IL 8 </w:t>
      </w:r>
      <w:r w:rsidRPr="00BE086B">
        <w:rPr>
          <w:sz w:val="28"/>
          <w:szCs w:val="28"/>
          <w:lang w:val="uk-UA" w:bidi="ru-RU"/>
        </w:rPr>
        <w:t>[388</w:t>
      </w:r>
      <w:r w:rsidRPr="00BE086B">
        <w:rPr>
          <w:sz w:val="28"/>
          <w:szCs w:val="28"/>
          <w:shd w:val="clear" w:color="auto" w:fill="FFFFFF"/>
          <w:lang w:val="uk-UA"/>
        </w:rPr>
        <w:t>].</w:t>
      </w:r>
    </w:p>
    <w:p w:rsidR="00D92D95" w:rsidRPr="00BE086B" w:rsidRDefault="00D92D95" w:rsidP="00D92D95">
      <w:pPr>
        <w:autoSpaceDE w:val="0"/>
        <w:spacing w:line="360" w:lineRule="auto"/>
        <w:ind w:firstLine="709"/>
        <w:jc w:val="both"/>
        <w:rPr>
          <w:lang w:val="uk-UA"/>
        </w:rPr>
      </w:pPr>
      <w:r w:rsidRPr="00BE086B">
        <w:rPr>
          <w:sz w:val="28"/>
          <w:szCs w:val="28"/>
          <w:shd w:val="clear" w:color="auto" w:fill="FFFFFF"/>
          <w:lang w:val="uk-UA" w:bidi="ru-RU"/>
        </w:rPr>
        <w:t>Henrotin Y.E. з співавт. (1999) зробили висновок, що німесулід та диклофенак у терапевтичних концентраціях є потужними інгібіторами вироблення PGE2 та IL 6, проте зазначені препарати не впливають на синтез IL 8 [389</w:t>
      </w:r>
      <w:r w:rsidRPr="00BE086B">
        <w:rPr>
          <w:sz w:val="28"/>
          <w:szCs w:val="28"/>
          <w:shd w:val="clear" w:color="auto" w:fill="FFFFFF"/>
          <w:lang w:val="uk-UA"/>
        </w:rPr>
        <w:t>].</w:t>
      </w:r>
    </w:p>
    <w:p w:rsidR="00D92D95" w:rsidRPr="00BE086B" w:rsidRDefault="00D92D95" w:rsidP="00D92D95">
      <w:pPr>
        <w:spacing w:line="360" w:lineRule="auto"/>
        <w:ind w:firstLine="709"/>
        <w:jc w:val="both"/>
        <w:rPr>
          <w:sz w:val="28"/>
          <w:szCs w:val="28"/>
          <w:shd w:val="clear" w:color="auto" w:fill="FFFFFF"/>
          <w:lang w:val="uk-UA"/>
        </w:rPr>
      </w:pPr>
      <w:r w:rsidRPr="00BE086B">
        <w:rPr>
          <w:sz w:val="28"/>
          <w:szCs w:val="28"/>
          <w:shd w:val="clear" w:color="auto" w:fill="FFFFFF"/>
          <w:lang w:val="uk-UA" w:bidi="ru-RU"/>
        </w:rPr>
        <w:t>В дослідженні Bianchi M.</w:t>
      </w:r>
      <w:r w:rsidRPr="00BE086B">
        <w:rPr>
          <w:sz w:val="28"/>
          <w:szCs w:val="28"/>
          <w:shd w:val="clear" w:color="auto" w:fill="FFFFFF"/>
          <w:lang w:val="uk-UA"/>
        </w:rPr>
        <w:t xml:space="preserve"> </w:t>
      </w:r>
      <w:r w:rsidRPr="00BE086B">
        <w:rPr>
          <w:sz w:val="28"/>
          <w:szCs w:val="28"/>
          <w:shd w:val="clear" w:color="auto" w:fill="FFFFFF"/>
          <w:lang w:val="uk-UA" w:bidi="ru-RU"/>
        </w:rPr>
        <w:t>з співавт. (2007) встановлено, що фармакологічні ефекти при прийомі</w:t>
      </w:r>
      <w:r w:rsidRPr="00BE086B">
        <w:rPr>
          <w:sz w:val="28"/>
          <w:szCs w:val="28"/>
          <w:shd w:val="clear" w:color="auto" w:fill="FFFFFF"/>
          <w:lang w:val="uk-UA"/>
        </w:rPr>
        <w:t xml:space="preserve"> німесуліду були більш вираженими, ніж при призначені целекоксибу, про що свідчив швидший початок знеболюючої дії німесуліду. Як одноразове, так і повторне призначення німесуліду значно знижує концентрацію у синовіальній рідині IL 6, проте целекоксиб не впливає на концентрацію речовини Р та значно знижує рівень ІЛ 6 лише на 14 добу після початку лікування. Авторами встановлено, що жоден з препаратів не впливав на рівень IL 8, проте обидва препарати добре переносилися хворими.</w:t>
      </w:r>
      <w:r w:rsidRPr="00BE086B">
        <w:rPr>
          <w:rFonts w:eastAsia="Arial"/>
          <w:sz w:val="28"/>
          <w:szCs w:val="28"/>
          <w:shd w:val="clear" w:color="auto" w:fill="FFFFFF"/>
          <w:lang w:val="uk-UA"/>
        </w:rPr>
        <w:t xml:space="preserve"> На підставі проведеного дослідження автори встановили, що</w:t>
      </w:r>
      <w:r w:rsidRPr="00BE086B">
        <w:rPr>
          <w:sz w:val="28"/>
          <w:szCs w:val="28"/>
          <w:shd w:val="clear" w:color="auto" w:fill="FFFFFF"/>
          <w:lang w:val="uk-UA"/>
        </w:rPr>
        <w:t xml:space="preserve"> німесулід є ефективним засобом для симптоматичного лікування ОА за рахунок дії на медіатори запального процесу [390].</w:t>
      </w:r>
    </w:p>
    <w:p w:rsidR="00D92D95" w:rsidRPr="00BE086B" w:rsidRDefault="00D92D95" w:rsidP="00D92D95">
      <w:pPr>
        <w:autoSpaceDE w:val="0"/>
        <w:spacing w:line="360" w:lineRule="auto"/>
        <w:ind w:firstLine="709"/>
        <w:jc w:val="both"/>
        <w:rPr>
          <w:sz w:val="28"/>
          <w:szCs w:val="28"/>
          <w:lang w:val="uk-UA"/>
        </w:rPr>
      </w:pPr>
      <w:r w:rsidRPr="00BE086B">
        <w:rPr>
          <w:sz w:val="28"/>
          <w:szCs w:val="28"/>
          <w:lang w:val="uk-UA"/>
        </w:rPr>
        <w:t>На даний час в літературі існують суперечливі дані щодо фармакологічної активності НПЗЗ при ОА на рівень ФНП. Відомі роботи в яких проаналізована фармакологія болю НПЗЗ при ОА [391, 392]. Також, відомо що терапевтичні дози диклофенаку, індометацину та кеторолаку приводять до загибелі клітин в культурі остеобластів, пригнічують утворення кістки і порушують ремоделювання кістки, викликаючи зупинку клітинного циклу в фазі G0/G1 [393, 394].</w:t>
      </w:r>
    </w:p>
    <w:p w:rsidR="00D92D95" w:rsidRPr="00BE086B" w:rsidRDefault="00D92D95" w:rsidP="00D92D95">
      <w:pPr>
        <w:autoSpaceDE w:val="0"/>
        <w:spacing w:line="360" w:lineRule="auto"/>
        <w:ind w:firstLine="709"/>
        <w:jc w:val="both"/>
        <w:rPr>
          <w:sz w:val="28"/>
          <w:szCs w:val="28"/>
          <w:lang w:val="uk-UA"/>
        </w:rPr>
      </w:pPr>
      <w:r w:rsidRPr="00BE086B">
        <w:rPr>
          <w:sz w:val="28"/>
          <w:szCs w:val="28"/>
          <w:lang w:val="uk-UA"/>
        </w:rPr>
        <w:t>В досліджені Arpornmaeklong Р. з співавт. (2008) встановлено, що індометацин і целекоксиб інгібують ріст клітин, але не визначено яким чином препарати впливають на синтез лужної фосфатази і остеокальцину [395].</w:t>
      </w:r>
      <w:r w:rsidR="007861D1" w:rsidRPr="00BE086B">
        <w:rPr>
          <w:sz w:val="28"/>
          <w:szCs w:val="28"/>
          <w:lang w:val="uk-UA"/>
        </w:rPr>
        <w:t xml:space="preserve"> </w:t>
      </w:r>
      <w:r w:rsidRPr="00BE086B">
        <w:rPr>
          <w:sz w:val="28"/>
          <w:szCs w:val="28"/>
          <w:lang w:val="uk-UA"/>
        </w:rPr>
        <w:lastRenderedPageBreak/>
        <w:t>Дослідження на тваринах показали, що целекоксиб пригнічує консолідацію переломів в дозах 2-8 мг/кг на добу, тоді як в інших дослідженнях не повідомлялося про будь-які ефекти целекоксибу при загоєнні переломів в дозах 1, 3, 10 і 50 мг/кг на добу [396].</w:t>
      </w:r>
    </w:p>
    <w:p w:rsidR="00D92D95" w:rsidRPr="00BE086B" w:rsidRDefault="00D92D95" w:rsidP="00D92D95">
      <w:pPr>
        <w:pStyle w:val="WW-"/>
        <w:autoSpaceDE w:val="0"/>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жаль робіт, присвячених фармакологічній активності НПЗЗ при ОА та гіпотиреозі на рівень ФНП в доступній нам літературі не знайдено.</w:t>
      </w:r>
    </w:p>
    <w:p w:rsidR="00D92D95" w:rsidRPr="00BE086B" w:rsidRDefault="00D92D95" w:rsidP="007861D1">
      <w:pPr>
        <w:pStyle w:val="WW-"/>
        <w:autoSpaceDE w:val="0"/>
        <w:spacing w:after="0" w:line="360" w:lineRule="auto"/>
        <w:ind w:firstLine="709"/>
        <w:jc w:val="both"/>
        <w:rPr>
          <w:rFonts w:ascii="Times New Roman" w:hAnsi="Times New Roman" w:cs="Times New Roman"/>
          <w:bCs/>
          <w:color w:val="auto"/>
          <w:sz w:val="28"/>
          <w:szCs w:val="28"/>
          <w:lang w:val="uk-UA"/>
        </w:rPr>
      </w:pPr>
      <w:r w:rsidRPr="00BE086B">
        <w:rPr>
          <w:rFonts w:ascii="Times New Roman" w:hAnsi="Times New Roman" w:cs="Times New Roman"/>
          <w:color w:val="auto"/>
          <w:sz w:val="28"/>
          <w:szCs w:val="28"/>
          <w:lang w:val="uk-UA"/>
        </w:rPr>
        <w:t>Прийом медичних препаратів також може викликати пониження лужної фосфатази в крові. Аспірин, парацетамол, алопуринол, антибіотики і ряд інших ліків здатні підвищувати активність лужної фосфатази [203].</w:t>
      </w:r>
      <w:r w:rsidR="007861D1"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У досліджені </w:t>
      </w:r>
      <w:r w:rsidRPr="00BE086B">
        <w:rPr>
          <w:rFonts w:ascii="Times New Roman" w:hAnsi="Times New Roman" w:cs="Times New Roman"/>
          <w:color w:val="auto"/>
          <w:sz w:val="28"/>
          <w:szCs w:val="28"/>
          <w:lang w:val="uk-UA" w:eastAsia="ru-RU"/>
        </w:rPr>
        <w:t xml:space="preserve">Jankowski C.M. з співавт. (2013) </w:t>
      </w:r>
      <w:r w:rsidRPr="00BE086B">
        <w:rPr>
          <w:rFonts w:ascii="Times New Roman" w:hAnsi="Times New Roman" w:cs="Times New Roman"/>
          <w:color w:val="auto"/>
          <w:sz w:val="28"/>
          <w:szCs w:val="28"/>
          <w:lang w:val="uk-UA"/>
        </w:rPr>
        <w:t>було показано, що парацетамол не впливає на маркери утворення кісткової тканини у чоловіків середнього та старшого віку [397].</w:t>
      </w:r>
      <w:r w:rsidR="007861D1" w:rsidRPr="00BE086B">
        <w:rPr>
          <w:rFonts w:ascii="Times New Roman" w:hAnsi="Times New Roman" w:cs="Times New Roman"/>
          <w:color w:val="auto"/>
          <w:sz w:val="28"/>
          <w:szCs w:val="28"/>
          <w:lang w:val="uk-UA"/>
        </w:rPr>
        <w:t xml:space="preserve"> </w:t>
      </w:r>
      <w:r w:rsidRPr="00BE086B">
        <w:rPr>
          <w:rFonts w:ascii="Times New Roman" w:hAnsi="Times New Roman" w:cs="Times New Roman"/>
          <w:bCs/>
          <w:color w:val="auto"/>
          <w:sz w:val="28"/>
          <w:szCs w:val="28"/>
          <w:lang w:val="uk-UA"/>
        </w:rPr>
        <w:t xml:space="preserve">Встановлений вплив на процеси ремоделювання хрящової тканини знайшов відображення у класифікації аналгетичних засобів за здатністю моделювати синтез ГАГ у суглобі (Зупанец И.А., 1999) (табл. 1.2) </w:t>
      </w:r>
      <w:r w:rsidRPr="00BE086B">
        <w:rPr>
          <w:rFonts w:ascii="Times New Roman" w:hAnsi="Times New Roman" w:cs="Times New Roman"/>
          <w:color w:val="auto"/>
          <w:sz w:val="28"/>
          <w:szCs w:val="28"/>
          <w:lang w:val="uk-UA"/>
        </w:rPr>
        <w:t>[398]</w:t>
      </w:r>
      <w:r w:rsidRPr="00BE086B">
        <w:rPr>
          <w:rFonts w:ascii="Times New Roman" w:hAnsi="Times New Roman" w:cs="Times New Roman"/>
          <w:bCs/>
          <w:color w:val="auto"/>
          <w:sz w:val="28"/>
          <w:szCs w:val="28"/>
          <w:lang w:val="uk-UA"/>
        </w:rPr>
        <w:t>.</w:t>
      </w:r>
    </w:p>
    <w:p w:rsidR="00AF27FE" w:rsidRDefault="00AF27FE" w:rsidP="00D92D95">
      <w:pPr>
        <w:spacing w:line="360" w:lineRule="auto"/>
        <w:ind w:firstLine="709"/>
        <w:jc w:val="right"/>
        <w:rPr>
          <w:bCs/>
          <w:i/>
          <w:sz w:val="28"/>
          <w:szCs w:val="28"/>
          <w:lang w:val="uk-UA"/>
        </w:rPr>
      </w:pPr>
    </w:p>
    <w:p w:rsidR="00D92D95" w:rsidRPr="00BE086B" w:rsidRDefault="00D92D95" w:rsidP="00D92D95">
      <w:pPr>
        <w:spacing w:line="360" w:lineRule="auto"/>
        <w:ind w:firstLine="709"/>
        <w:jc w:val="right"/>
        <w:rPr>
          <w:bCs/>
          <w:i/>
          <w:sz w:val="28"/>
          <w:szCs w:val="28"/>
          <w:lang w:val="uk-UA"/>
        </w:rPr>
      </w:pPr>
      <w:r w:rsidRPr="00BE086B">
        <w:rPr>
          <w:bCs/>
          <w:i/>
          <w:sz w:val="28"/>
          <w:szCs w:val="28"/>
          <w:lang w:val="uk-UA"/>
        </w:rPr>
        <w:t>Таблиця 1.2.</w:t>
      </w:r>
    </w:p>
    <w:p w:rsidR="00D92D95" w:rsidRPr="00BE086B" w:rsidRDefault="00D92D95" w:rsidP="00D92D95">
      <w:pPr>
        <w:shd w:val="clear" w:color="auto" w:fill="FFFFFF"/>
        <w:spacing w:line="360" w:lineRule="auto"/>
        <w:ind w:firstLine="709"/>
        <w:jc w:val="center"/>
        <w:rPr>
          <w:b/>
          <w:bCs/>
          <w:sz w:val="28"/>
          <w:szCs w:val="28"/>
          <w:lang w:val="uk-UA"/>
        </w:rPr>
      </w:pPr>
      <w:r w:rsidRPr="00BE086B">
        <w:rPr>
          <w:b/>
          <w:sz w:val="28"/>
          <w:szCs w:val="28"/>
          <w:shd w:val="clear" w:color="auto" w:fill="FFFFFF"/>
          <w:lang w:val="uk-UA"/>
        </w:rPr>
        <w:t xml:space="preserve">Класифікація </w:t>
      </w:r>
      <w:r w:rsidR="007861D1" w:rsidRPr="00BE086B">
        <w:rPr>
          <w:b/>
          <w:sz w:val="28"/>
          <w:szCs w:val="28"/>
          <w:shd w:val="clear" w:color="auto" w:fill="FFFFFF"/>
          <w:lang w:val="uk-UA"/>
        </w:rPr>
        <w:t>НПЗЗ</w:t>
      </w:r>
      <w:r w:rsidRPr="00BE086B">
        <w:rPr>
          <w:b/>
          <w:sz w:val="28"/>
          <w:szCs w:val="28"/>
          <w:shd w:val="clear" w:color="auto" w:fill="FFFFFF"/>
          <w:lang w:val="uk-UA"/>
        </w:rPr>
        <w:t xml:space="preserve"> за впливом на синтез </w:t>
      </w:r>
      <w:r w:rsidR="007861D1" w:rsidRPr="00BE086B">
        <w:rPr>
          <w:b/>
          <w:sz w:val="28"/>
          <w:szCs w:val="28"/>
          <w:shd w:val="clear" w:color="auto" w:fill="FFFFFF"/>
          <w:lang w:val="uk-UA"/>
        </w:rPr>
        <w:t>ГАГ</w:t>
      </w:r>
      <w:r w:rsidRPr="00BE086B">
        <w:rPr>
          <w:b/>
          <w:sz w:val="28"/>
          <w:szCs w:val="28"/>
          <w:shd w:val="clear" w:color="auto" w:fill="FFFFFF"/>
          <w:lang w:val="uk-UA"/>
        </w:rPr>
        <w:t xml:space="preserve"> (структурних елементів хрящової тканини) (Зупанец И.А., 1999, 2000, 2011)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85"/>
      </w:tblGrid>
      <w:tr w:rsidR="00D92D95" w:rsidRPr="00BE086B" w:rsidTr="00B53875">
        <w:trPr>
          <w:jc w:val="center"/>
        </w:trPr>
        <w:tc>
          <w:tcPr>
            <w:tcW w:w="2835" w:type="dxa"/>
            <w:shd w:val="clear" w:color="auto" w:fill="auto"/>
          </w:tcPr>
          <w:p w:rsidR="00D92D95" w:rsidRPr="00BE086B" w:rsidRDefault="00D92D95" w:rsidP="00B53875">
            <w:pPr>
              <w:jc w:val="both"/>
              <w:rPr>
                <w:bCs/>
                <w:sz w:val="28"/>
                <w:szCs w:val="28"/>
                <w:lang w:val="uk-UA"/>
              </w:rPr>
            </w:pPr>
            <w:r w:rsidRPr="00BE086B">
              <w:rPr>
                <w:bCs/>
                <w:sz w:val="28"/>
                <w:szCs w:val="28"/>
                <w:lang w:val="uk-UA"/>
              </w:rPr>
              <w:t>Хондропротекторні</w:t>
            </w:r>
          </w:p>
        </w:tc>
        <w:tc>
          <w:tcPr>
            <w:tcW w:w="3685" w:type="dxa"/>
            <w:shd w:val="clear" w:color="auto" w:fill="FFFFFF"/>
          </w:tcPr>
          <w:p w:rsidR="00D92D95" w:rsidRPr="00BE086B" w:rsidRDefault="00D92D95" w:rsidP="00B53875">
            <w:pPr>
              <w:rPr>
                <w:sz w:val="28"/>
                <w:szCs w:val="28"/>
                <w:shd w:val="clear" w:color="auto" w:fill="FFFFFF"/>
                <w:lang w:val="uk-UA"/>
              </w:rPr>
            </w:pPr>
            <w:r w:rsidRPr="00BE086B">
              <w:rPr>
                <w:sz w:val="28"/>
                <w:szCs w:val="28"/>
                <w:shd w:val="clear" w:color="auto" w:fill="FFFFFF"/>
                <w:lang w:val="uk-UA"/>
              </w:rPr>
              <w:t>Тіапрофенова кислота</w:t>
            </w:r>
          </w:p>
          <w:p w:rsidR="00D92D95" w:rsidRPr="00BE086B" w:rsidRDefault="00D92D95" w:rsidP="00B53875">
            <w:pPr>
              <w:rPr>
                <w:sz w:val="28"/>
                <w:szCs w:val="28"/>
                <w:shd w:val="clear" w:color="auto" w:fill="FFFFFF"/>
                <w:lang w:val="uk-UA"/>
              </w:rPr>
            </w:pPr>
            <w:r w:rsidRPr="00BE086B">
              <w:rPr>
                <w:sz w:val="28"/>
                <w:szCs w:val="28"/>
                <w:shd w:val="clear" w:color="auto" w:fill="FFFFFF"/>
                <w:lang w:val="uk-UA"/>
              </w:rPr>
              <w:t>Ацетамінофен</w:t>
            </w:r>
          </w:p>
          <w:p w:rsidR="00D92D95" w:rsidRPr="00BE086B" w:rsidRDefault="00D92D95" w:rsidP="00B53875">
            <w:pPr>
              <w:rPr>
                <w:sz w:val="28"/>
                <w:szCs w:val="28"/>
                <w:shd w:val="clear" w:color="auto" w:fill="FFFFFF"/>
                <w:lang w:val="uk-UA"/>
              </w:rPr>
            </w:pPr>
            <w:r w:rsidRPr="00BE086B">
              <w:rPr>
                <w:sz w:val="28"/>
                <w:szCs w:val="28"/>
                <w:shd w:val="clear" w:color="auto" w:fill="FFFFFF"/>
                <w:lang w:val="uk-UA"/>
              </w:rPr>
              <w:t>Лорноксикам</w:t>
            </w:r>
          </w:p>
          <w:p w:rsidR="00D92D95" w:rsidRPr="00BE086B" w:rsidRDefault="00D92D95" w:rsidP="00B53875">
            <w:pPr>
              <w:rPr>
                <w:bCs/>
                <w:sz w:val="28"/>
                <w:szCs w:val="28"/>
                <w:lang w:val="uk-UA"/>
              </w:rPr>
            </w:pPr>
            <w:r w:rsidRPr="00BE086B">
              <w:rPr>
                <w:sz w:val="28"/>
                <w:szCs w:val="28"/>
                <w:shd w:val="clear" w:color="auto" w:fill="FFFFFF"/>
                <w:lang w:val="uk-UA"/>
              </w:rPr>
              <w:t>Німесулід</w:t>
            </w:r>
          </w:p>
        </w:tc>
      </w:tr>
      <w:tr w:rsidR="00D92D95" w:rsidRPr="00BE086B" w:rsidTr="00B53875">
        <w:trPr>
          <w:jc w:val="center"/>
        </w:trPr>
        <w:tc>
          <w:tcPr>
            <w:tcW w:w="2835" w:type="dxa"/>
            <w:shd w:val="clear" w:color="auto" w:fill="auto"/>
          </w:tcPr>
          <w:p w:rsidR="00D92D95" w:rsidRPr="00BE086B" w:rsidRDefault="00D92D95" w:rsidP="00B53875">
            <w:pPr>
              <w:jc w:val="both"/>
              <w:rPr>
                <w:bCs/>
                <w:sz w:val="28"/>
                <w:szCs w:val="28"/>
                <w:lang w:val="uk-UA"/>
              </w:rPr>
            </w:pPr>
            <w:r w:rsidRPr="00BE086B">
              <w:rPr>
                <w:bCs/>
                <w:sz w:val="28"/>
                <w:szCs w:val="28"/>
                <w:lang w:val="uk-UA"/>
              </w:rPr>
              <w:t>Хондронейтральні</w:t>
            </w:r>
          </w:p>
        </w:tc>
        <w:tc>
          <w:tcPr>
            <w:tcW w:w="3685" w:type="dxa"/>
            <w:shd w:val="clear" w:color="auto" w:fill="FFFFFF"/>
          </w:tcPr>
          <w:p w:rsidR="00D92D95" w:rsidRPr="00BE086B" w:rsidRDefault="00D92D95" w:rsidP="00B53875">
            <w:pPr>
              <w:rPr>
                <w:sz w:val="28"/>
                <w:szCs w:val="28"/>
                <w:shd w:val="clear" w:color="auto" w:fill="FFFFFF"/>
                <w:lang w:val="uk-UA"/>
              </w:rPr>
            </w:pPr>
            <w:r w:rsidRPr="00BE086B">
              <w:rPr>
                <w:sz w:val="28"/>
                <w:szCs w:val="28"/>
                <w:shd w:val="clear" w:color="auto" w:fill="FFFFFF"/>
                <w:lang w:val="uk-UA"/>
              </w:rPr>
              <w:t>Диклофенак натрію</w:t>
            </w:r>
          </w:p>
          <w:p w:rsidR="00D92D95" w:rsidRPr="00BE086B" w:rsidRDefault="00D92D95" w:rsidP="00B53875">
            <w:pPr>
              <w:rPr>
                <w:sz w:val="28"/>
                <w:szCs w:val="28"/>
                <w:shd w:val="clear" w:color="auto" w:fill="FFFFFF"/>
                <w:lang w:val="uk-UA"/>
              </w:rPr>
            </w:pPr>
            <w:r w:rsidRPr="00BE086B">
              <w:rPr>
                <w:sz w:val="28"/>
                <w:szCs w:val="28"/>
                <w:shd w:val="clear" w:color="auto" w:fill="FFFFFF"/>
                <w:lang w:val="uk-UA"/>
              </w:rPr>
              <w:t>Целекоксиб</w:t>
            </w:r>
          </w:p>
          <w:p w:rsidR="00D92D95" w:rsidRPr="00BE086B" w:rsidRDefault="00D92D95" w:rsidP="00B53875">
            <w:pPr>
              <w:rPr>
                <w:sz w:val="28"/>
                <w:szCs w:val="28"/>
                <w:shd w:val="clear" w:color="auto" w:fill="FFFFFF"/>
                <w:lang w:val="uk-UA"/>
              </w:rPr>
            </w:pPr>
            <w:r w:rsidRPr="00BE086B">
              <w:rPr>
                <w:sz w:val="28"/>
                <w:szCs w:val="28"/>
                <w:shd w:val="clear" w:color="auto" w:fill="FFFFFF"/>
                <w:lang w:val="uk-UA"/>
              </w:rPr>
              <w:t>Рофекоксиб</w:t>
            </w:r>
          </w:p>
          <w:p w:rsidR="00D92D95" w:rsidRPr="00BE086B" w:rsidRDefault="00D92D95" w:rsidP="00B53875">
            <w:pPr>
              <w:rPr>
                <w:bCs/>
                <w:sz w:val="28"/>
                <w:szCs w:val="28"/>
                <w:lang w:val="uk-UA"/>
              </w:rPr>
            </w:pPr>
            <w:r w:rsidRPr="00BE086B">
              <w:rPr>
                <w:sz w:val="28"/>
                <w:szCs w:val="28"/>
                <w:shd w:val="clear" w:color="auto" w:fill="FFFFFF"/>
                <w:lang w:val="uk-UA"/>
              </w:rPr>
              <w:t>Мелоксикам</w:t>
            </w:r>
          </w:p>
        </w:tc>
      </w:tr>
      <w:tr w:rsidR="00D92D95" w:rsidRPr="00BE086B" w:rsidTr="00B53875">
        <w:trPr>
          <w:jc w:val="center"/>
        </w:trPr>
        <w:tc>
          <w:tcPr>
            <w:tcW w:w="2835" w:type="dxa"/>
            <w:shd w:val="clear" w:color="auto" w:fill="auto"/>
          </w:tcPr>
          <w:p w:rsidR="00D92D95" w:rsidRPr="00BE086B" w:rsidRDefault="00D92D95" w:rsidP="00B53875">
            <w:pPr>
              <w:jc w:val="both"/>
              <w:rPr>
                <w:bCs/>
                <w:sz w:val="28"/>
                <w:szCs w:val="28"/>
                <w:lang w:val="uk-UA"/>
              </w:rPr>
            </w:pPr>
            <w:r w:rsidRPr="00BE086B">
              <w:rPr>
                <w:bCs/>
                <w:sz w:val="28"/>
                <w:szCs w:val="28"/>
                <w:lang w:val="uk-UA"/>
              </w:rPr>
              <w:t>Хондротоксичні</w:t>
            </w:r>
          </w:p>
        </w:tc>
        <w:tc>
          <w:tcPr>
            <w:tcW w:w="3685" w:type="dxa"/>
            <w:shd w:val="clear" w:color="auto" w:fill="FFFFFF"/>
          </w:tcPr>
          <w:p w:rsidR="00D92D95" w:rsidRPr="00BE086B" w:rsidRDefault="00D92D95" w:rsidP="00B53875">
            <w:pPr>
              <w:rPr>
                <w:sz w:val="28"/>
                <w:szCs w:val="28"/>
                <w:shd w:val="clear" w:color="auto" w:fill="FFFFFF"/>
                <w:lang w:val="uk-UA"/>
              </w:rPr>
            </w:pPr>
            <w:r w:rsidRPr="00BE086B">
              <w:rPr>
                <w:sz w:val="28"/>
                <w:szCs w:val="28"/>
                <w:shd w:val="clear" w:color="auto" w:fill="FFFFFF"/>
                <w:lang w:val="uk-UA"/>
              </w:rPr>
              <w:t>Ацетілсаліцилова кислота</w:t>
            </w:r>
          </w:p>
          <w:p w:rsidR="00D92D95" w:rsidRPr="00BE086B" w:rsidRDefault="00D92D95" w:rsidP="00B53875">
            <w:pPr>
              <w:rPr>
                <w:sz w:val="28"/>
                <w:szCs w:val="28"/>
                <w:shd w:val="clear" w:color="auto" w:fill="FFFFFF"/>
                <w:lang w:val="uk-UA"/>
              </w:rPr>
            </w:pPr>
            <w:r w:rsidRPr="00BE086B">
              <w:rPr>
                <w:sz w:val="28"/>
                <w:szCs w:val="28"/>
                <w:shd w:val="clear" w:color="auto" w:fill="FFFFFF"/>
                <w:lang w:val="uk-UA"/>
              </w:rPr>
              <w:t>Індометацин</w:t>
            </w:r>
          </w:p>
          <w:p w:rsidR="00D92D95" w:rsidRPr="00BE086B" w:rsidRDefault="00D92D95" w:rsidP="00B53875">
            <w:pPr>
              <w:rPr>
                <w:sz w:val="28"/>
                <w:szCs w:val="28"/>
                <w:shd w:val="clear" w:color="auto" w:fill="FFFFFF"/>
                <w:lang w:val="uk-UA"/>
              </w:rPr>
            </w:pPr>
            <w:r w:rsidRPr="00BE086B">
              <w:rPr>
                <w:sz w:val="28"/>
                <w:szCs w:val="28"/>
                <w:shd w:val="clear" w:color="auto" w:fill="FFFFFF"/>
                <w:lang w:val="uk-UA"/>
              </w:rPr>
              <w:t>Фенілбутозон</w:t>
            </w:r>
          </w:p>
          <w:p w:rsidR="00D92D95" w:rsidRPr="00BE086B" w:rsidRDefault="00D92D95" w:rsidP="00B53875">
            <w:pPr>
              <w:rPr>
                <w:sz w:val="28"/>
                <w:szCs w:val="28"/>
                <w:shd w:val="clear" w:color="auto" w:fill="FFFFFF"/>
                <w:lang w:val="uk-UA"/>
              </w:rPr>
            </w:pPr>
            <w:r w:rsidRPr="00BE086B">
              <w:rPr>
                <w:sz w:val="28"/>
                <w:szCs w:val="28"/>
                <w:shd w:val="clear" w:color="auto" w:fill="FFFFFF"/>
                <w:lang w:val="uk-UA"/>
              </w:rPr>
              <w:t>Напроксен</w:t>
            </w:r>
          </w:p>
          <w:p w:rsidR="00D92D95" w:rsidRPr="00BE086B" w:rsidRDefault="00D92D95" w:rsidP="00B53875">
            <w:pPr>
              <w:rPr>
                <w:bCs/>
                <w:sz w:val="28"/>
                <w:szCs w:val="28"/>
                <w:lang w:val="uk-UA"/>
              </w:rPr>
            </w:pPr>
            <w:r w:rsidRPr="00BE086B">
              <w:rPr>
                <w:sz w:val="28"/>
                <w:szCs w:val="28"/>
                <w:shd w:val="clear" w:color="auto" w:fill="FFFFFF"/>
                <w:lang w:val="uk-UA"/>
              </w:rPr>
              <w:t>Ібупрофен</w:t>
            </w:r>
          </w:p>
        </w:tc>
      </w:tr>
    </w:tbl>
    <w:p w:rsidR="00D92D95" w:rsidRPr="00BE086B" w:rsidRDefault="00D92D95" w:rsidP="00D92D95">
      <w:pPr>
        <w:pStyle w:val="afd"/>
        <w:spacing w:after="0" w:line="360" w:lineRule="auto"/>
        <w:ind w:firstLine="709"/>
        <w:jc w:val="both"/>
        <w:rPr>
          <w:rFonts w:ascii="Times New Roman" w:hAnsi="Times New Roman"/>
          <w:sz w:val="28"/>
          <w:szCs w:val="28"/>
          <w:lang w:val="uk-UA"/>
        </w:rPr>
      </w:pPr>
      <w:r w:rsidRPr="00BE086B">
        <w:rPr>
          <w:rFonts w:ascii="Times New Roman" w:hAnsi="Times New Roman"/>
          <w:sz w:val="28"/>
          <w:szCs w:val="28"/>
          <w:lang w:val="uk-UA"/>
        </w:rPr>
        <w:lastRenderedPageBreak/>
        <w:t>Як видно з табл. 1.2., НПЗЗ мають різний вплив на синтез та структуру глікозаміногліканів, що необхідно враховувати при призначені фармакотерапії хворим на ОА.</w:t>
      </w:r>
    </w:p>
    <w:p w:rsidR="007861D1" w:rsidRPr="00BE086B" w:rsidRDefault="007861D1" w:rsidP="00D92D95">
      <w:pPr>
        <w:pStyle w:val="afd"/>
        <w:spacing w:after="0" w:line="360" w:lineRule="auto"/>
        <w:ind w:firstLine="709"/>
        <w:jc w:val="both"/>
        <w:rPr>
          <w:rFonts w:ascii="Times New Roman" w:hAnsi="Times New Roman"/>
          <w:sz w:val="28"/>
          <w:szCs w:val="28"/>
          <w:lang w:val="uk-UA"/>
        </w:rPr>
      </w:pPr>
    </w:p>
    <w:p w:rsidR="00D92D95" w:rsidRPr="00BE086B" w:rsidRDefault="00D92D95" w:rsidP="00D92D95">
      <w:pPr>
        <w:spacing w:line="360" w:lineRule="auto"/>
        <w:ind w:firstLine="709"/>
        <w:jc w:val="both"/>
        <w:rPr>
          <w:b/>
          <w:bCs/>
          <w:kern w:val="28"/>
          <w:sz w:val="28"/>
          <w:szCs w:val="28"/>
          <w:lang w:val="uk-UA"/>
        </w:rPr>
      </w:pPr>
      <w:r w:rsidRPr="00BE086B">
        <w:rPr>
          <w:b/>
          <w:bCs/>
          <w:kern w:val="28"/>
          <w:sz w:val="28"/>
          <w:szCs w:val="28"/>
          <w:lang w:val="uk-UA"/>
        </w:rPr>
        <w:t>1.3. Сучасний погляд на гіпотиреоз та вплив гормонів на процеси метаболізму</w:t>
      </w:r>
    </w:p>
    <w:p w:rsidR="00D92D95" w:rsidRPr="00BE086B" w:rsidRDefault="00D92D95" w:rsidP="00D92D95">
      <w:pPr>
        <w:spacing w:line="360" w:lineRule="auto"/>
        <w:ind w:firstLine="709"/>
        <w:jc w:val="both"/>
        <w:rPr>
          <w:b/>
          <w:bCs/>
          <w:kern w:val="28"/>
          <w:sz w:val="28"/>
          <w:szCs w:val="28"/>
          <w:lang w:val="uk-UA"/>
        </w:rPr>
      </w:pPr>
    </w:p>
    <w:p w:rsidR="00D92D95" w:rsidRPr="00BE086B" w:rsidRDefault="00D92D95" w:rsidP="00D92D95">
      <w:pPr>
        <w:spacing w:line="360" w:lineRule="auto"/>
        <w:ind w:firstLine="709"/>
        <w:jc w:val="both"/>
        <w:rPr>
          <w:sz w:val="28"/>
          <w:szCs w:val="28"/>
          <w:lang w:val="uk-UA"/>
        </w:rPr>
      </w:pPr>
      <w:r w:rsidRPr="00BE086B">
        <w:rPr>
          <w:sz w:val="28"/>
          <w:szCs w:val="28"/>
          <w:lang w:val="uk-UA"/>
        </w:rPr>
        <w:t>Захворювання щитоподібної залози (ЩЗ) відносяться до актуальної проблеми медицини та сучасного суспільства у зв'язку з широким, постійним поширенням цієї патології. У клінічних умовах це обумовлено, як посиленням функціональної активності ЩЗ - гіпертиреоз, так і її зниженням - гіпотиреоз (ГІТ) [19, 20, 25].</w:t>
      </w:r>
    </w:p>
    <w:p w:rsidR="00D92D95" w:rsidRPr="00BE086B" w:rsidRDefault="00D92D95" w:rsidP="00D92D95">
      <w:pPr>
        <w:spacing w:line="360" w:lineRule="auto"/>
        <w:ind w:firstLine="709"/>
        <w:jc w:val="both"/>
        <w:rPr>
          <w:sz w:val="28"/>
          <w:szCs w:val="28"/>
          <w:lang w:val="uk-UA"/>
        </w:rPr>
      </w:pPr>
      <w:r w:rsidRPr="00BE086B">
        <w:rPr>
          <w:sz w:val="28"/>
          <w:szCs w:val="28"/>
          <w:lang w:val="uk-UA"/>
        </w:rPr>
        <w:t>За даними вітчизняних та закордонних авторів, поширеність первинного (маніфестного) ГІТ серед дорослого населення складає 1,5-2% у жінок та 0,2% у чоловіків, у віці старше 60 років цей показник збільшується до 6% та 2,5% відповідно, але в окремих вікових групах цей показник може досягати 8% серед всього населення [</w:t>
      </w:r>
      <w:r w:rsidRPr="00BE086B">
        <w:rPr>
          <w:sz w:val="28"/>
          <w:szCs w:val="28"/>
          <w:shd w:val="clear" w:color="auto" w:fill="FFFFFF"/>
          <w:lang w:val="uk-UA"/>
        </w:rPr>
        <w:t>399-403</w:t>
      </w:r>
      <w:r w:rsidRPr="00BE086B">
        <w:rPr>
          <w:sz w:val="28"/>
          <w:szCs w:val="28"/>
          <w:lang w:val="uk-UA"/>
        </w:rPr>
        <w:t>]. Проте у</w:t>
      </w:r>
      <w:r w:rsidRPr="00BE086B">
        <w:rPr>
          <w:sz w:val="28"/>
          <w:szCs w:val="28"/>
          <w:shd w:val="clear" w:color="auto" w:fill="FFFFFF"/>
          <w:lang w:val="uk-UA"/>
        </w:rPr>
        <w:t xml:space="preserve"> жінок старшої вікової групи поширеність субклінічного та маніфестного ГІТ досягає 21% </w:t>
      </w:r>
      <w:r w:rsidRPr="00BE086B">
        <w:rPr>
          <w:sz w:val="28"/>
          <w:szCs w:val="28"/>
          <w:lang w:val="uk-UA"/>
        </w:rPr>
        <w:t>[</w:t>
      </w:r>
      <w:r w:rsidRPr="00BE086B">
        <w:rPr>
          <w:sz w:val="28"/>
          <w:szCs w:val="28"/>
          <w:shd w:val="clear" w:color="auto" w:fill="FFFFFF"/>
          <w:lang w:val="uk-UA"/>
        </w:rPr>
        <w:t>28, 404-408</w:t>
      </w:r>
      <w:r w:rsidRPr="00BE086B">
        <w:rPr>
          <w:sz w:val="28"/>
          <w:szCs w:val="28"/>
          <w:lang w:val="uk-UA"/>
        </w:rPr>
        <w:t>]. За даними ВООЗ серед ендокринних порушень, захворювання ЩЗ займають друге місце після цукрового діабету [20, 403, 407].</w:t>
      </w:r>
    </w:p>
    <w:p w:rsidR="00D92D95" w:rsidRPr="00BE086B" w:rsidRDefault="00D92D95" w:rsidP="00D92D95">
      <w:pPr>
        <w:spacing w:line="360" w:lineRule="auto"/>
        <w:ind w:firstLine="709"/>
        <w:jc w:val="both"/>
        <w:rPr>
          <w:lang w:val="uk-UA"/>
        </w:rPr>
      </w:pPr>
      <w:r w:rsidRPr="00BE086B">
        <w:rPr>
          <w:sz w:val="28"/>
          <w:szCs w:val="28"/>
          <w:lang w:val="uk-UA"/>
        </w:rPr>
        <w:t>Клінічна симптоматика ГІТ пов’язана з розвитком багатьох ознак, які стосуються практично всіх органів та систем людини. Зокрема з боку опорно-рухового апарату: біль у м’язах та суглобах, зниження м’язової сили, м’язові судоми, запалення і набряк суглобів [19, 25, 401, 406, 408].</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Негативний вплив гормональної дисфункції ЩЗ на функціональний стан органів і систем обумовлений ключовою роллю тиреоїдних гормонів в процесах метаболізму [409-411]. Зокрема недостатній рівень тиреоїдних гормонів в органах і тканинах веде до зниження процесів ремоделювання кісткової тканини [412, 413]. При цьому при ГІТ не виникають порушення, пов'язані з обміном кальцію, а кісткова тканина характеризується меншою </w:t>
      </w:r>
      <w:r w:rsidRPr="00BE086B">
        <w:rPr>
          <w:sz w:val="28"/>
          <w:szCs w:val="28"/>
          <w:lang w:val="uk-UA"/>
        </w:rPr>
        <w:lastRenderedPageBreak/>
        <w:t>щільністю трабекулярної кістки і більшою товщиною кортикального шару кістки [18, 71].</w:t>
      </w:r>
    </w:p>
    <w:p w:rsidR="00D92D95" w:rsidRPr="00BE086B" w:rsidRDefault="00D92D95" w:rsidP="00D92D95">
      <w:pPr>
        <w:spacing w:line="360" w:lineRule="auto"/>
        <w:ind w:firstLine="709"/>
        <w:jc w:val="both"/>
        <w:rPr>
          <w:lang w:val="uk-UA"/>
        </w:rPr>
      </w:pPr>
      <w:r w:rsidRPr="00BE086B">
        <w:rPr>
          <w:sz w:val="28"/>
          <w:szCs w:val="28"/>
          <w:lang w:val="uk-UA"/>
        </w:rPr>
        <w:t>Повідомляється про зниження в сироватці крові рівня кальцитоніну і маркерів кісткоутворення (зокрема, остеокальцину), підвищення рівня кальцитролу і зниження екскреції з сечею пиридинолину і дезоксипиридинолину, що підтверджує уповільнення кісткової резорбції при ГІТ. Характерно, що системний остеопороз при недоліку гормонів ЩЗ зустрічається лише при тривалому і важкому перебігу захворювання [414].</w:t>
      </w:r>
    </w:p>
    <w:p w:rsidR="00D92D95" w:rsidRPr="00BE086B" w:rsidRDefault="00D92D95" w:rsidP="00D92D95">
      <w:pPr>
        <w:spacing w:line="360" w:lineRule="auto"/>
        <w:ind w:firstLine="709"/>
        <w:jc w:val="both"/>
        <w:rPr>
          <w:sz w:val="28"/>
          <w:szCs w:val="28"/>
          <w:lang w:val="uk-UA" w:eastAsia="en-US"/>
        </w:rPr>
      </w:pPr>
      <w:r w:rsidRPr="00BE086B">
        <w:rPr>
          <w:sz w:val="28"/>
          <w:szCs w:val="28"/>
          <w:lang w:val="uk-UA"/>
        </w:rPr>
        <w:t>При ГІТ активуються процеси перекисного окислення ліпідів, підвищується чутливість до стресу, уповільнюються окислювально-відновні реакції, порушується терморегуляція, накопичуються продукти обміну, виникають функціональні порушення ЦНС та ССС, розвивається дистрофія тканин з формуванням слизового набряку (мікседема) і розвитком «гіпотиреозних» артропатій і міопатій [414-416]. Тому при досліджені ГІТ, як захворювання, особливого сенсу набувають питання сумісного перебігу патологічних станів, здатність ускладнювати та прискорювати негативні наслідки існуючого метаболічного дисбалансу [414, 416].</w:t>
      </w:r>
    </w:p>
    <w:p w:rsidR="00D92D95" w:rsidRPr="00BE086B" w:rsidRDefault="00D92D95" w:rsidP="00D92D95">
      <w:pPr>
        <w:spacing w:line="360" w:lineRule="auto"/>
        <w:ind w:firstLine="709"/>
        <w:jc w:val="both"/>
        <w:rPr>
          <w:sz w:val="28"/>
          <w:szCs w:val="28"/>
          <w:lang w:val="uk-UA"/>
        </w:rPr>
      </w:pPr>
      <w:r w:rsidRPr="00BE086B">
        <w:rPr>
          <w:sz w:val="28"/>
          <w:szCs w:val="28"/>
          <w:lang w:val="uk-UA"/>
        </w:rPr>
        <w:t>На підставі проведеного аналізу встановлено, що метаболічні порушення при ГІТ негативно впливають на стан кісткової і хрящової тканини [412, 417, 418] проте прояв цих змін, можливості регенерації та впливу фармакотерапії на ці процеси для лікування та профілактики патологічних змін вивчені недостатньо.</w:t>
      </w:r>
    </w:p>
    <w:p w:rsidR="00D92D95" w:rsidRPr="00BE086B" w:rsidRDefault="00D92D95" w:rsidP="00D92D95">
      <w:pPr>
        <w:pStyle w:val="afd"/>
        <w:spacing w:after="0" w:line="360" w:lineRule="auto"/>
        <w:ind w:firstLine="709"/>
        <w:jc w:val="both"/>
        <w:rPr>
          <w:rFonts w:ascii="Times New Roman" w:hAnsi="Times New Roman"/>
          <w:sz w:val="28"/>
          <w:szCs w:val="28"/>
          <w:lang w:val="uk-UA"/>
        </w:rPr>
      </w:pPr>
    </w:p>
    <w:p w:rsidR="00D92D95" w:rsidRPr="00BE086B" w:rsidRDefault="00D92D95" w:rsidP="00D92D95">
      <w:pPr>
        <w:spacing w:line="360" w:lineRule="auto"/>
        <w:ind w:firstLine="709"/>
        <w:jc w:val="both"/>
        <w:rPr>
          <w:b/>
          <w:lang w:val="uk-UA"/>
        </w:rPr>
      </w:pPr>
      <w:r w:rsidRPr="00BE086B">
        <w:rPr>
          <w:b/>
          <w:bCs/>
          <w:sz w:val="28"/>
          <w:szCs w:val="28"/>
          <w:lang w:val="uk-UA"/>
        </w:rPr>
        <w:t>1.4. Сучасна стратегія фармакотерапії гіпотиреозу та питання взаємодії лікарських засобів при наявності коморбідної патології з гіпотиреозом</w:t>
      </w:r>
    </w:p>
    <w:p w:rsidR="00D92D95" w:rsidRPr="00BE086B" w:rsidRDefault="00D92D95" w:rsidP="00D92D95">
      <w:pPr>
        <w:spacing w:line="360" w:lineRule="auto"/>
        <w:ind w:firstLine="709"/>
        <w:jc w:val="both"/>
        <w:rPr>
          <w:sz w:val="28"/>
          <w:szCs w:val="28"/>
          <w:lang w:val="uk-UA"/>
        </w:rPr>
      </w:pPr>
    </w:p>
    <w:p w:rsidR="00D92D95" w:rsidRPr="00BE086B" w:rsidRDefault="00D92D95" w:rsidP="00D92D95">
      <w:pPr>
        <w:suppressAutoHyphens w:val="0"/>
        <w:autoSpaceDE w:val="0"/>
        <w:autoSpaceDN w:val="0"/>
        <w:adjustRightInd w:val="0"/>
        <w:spacing w:line="360" w:lineRule="auto"/>
        <w:ind w:firstLine="709"/>
        <w:jc w:val="both"/>
        <w:rPr>
          <w:sz w:val="28"/>
          <w:szCs w:val="28"/>
          <w:lang w:val="uk-UA" w:eastAsia="ru-RU"/>
        </w:rPr>
      </w:pPr>
      <w:r w:rsidRPr="00BE086B">
        <w:rPr>
          <w:sz w:val="28"/>
          <w:szCs w:val="28"/>
          <w:lang w:val="uk-UA" w:eastAsia="ru-RU"/>
        </w:rPr>
        <w:t xml:space="preserve">На сьогоднішній день при визначені у хворого маніфестного ГІТ виникає необхідність в призначені засобу замісної гормональної терапії. Лікарським засобом вибору є синтетичний левотироксин натрію </w:t>
      </w:r>
      <w:r w:rsidRPr="00BE086B">
        <w:rPr>
          <w:sz w:val="28"/>
          <w:szCs w:val="28"/>
          <w:shd w:val="clear" w:color="auto" w:fill="FFFFFF"/>
          <w:lang w:val="uk-UA" w:eastAsia="ru-RU"/>
        </w:rPr>
        <w:lastRenderedPageBreak/>
        <w:t>(</w:t>
      </w:r>
      <w:r w:rsidRPr="00BE086B">
        <w:rPr>
          <w:sz w:val="28"/>
          <w:szCs w:val="28"/>
          <w:shd w:val="clear" w:color="auto" w:fill="FFFFFF"/>
          <w:lang w:val="uk-UA"/>
        </w:rPr>
        <w:t>лівообертаючий ізомер тироксину – Т4)</w:t>
      </w:r>
      <w:r w:rsidRPr="00BE086B">
        <w:rPr>
          <w:sz w:val="28"/>
          <w:szCs w:val="28"/>
          <w:lang w:val="uk-UA" w:eastAsia="ru-RU"/>
        </w:rPr>
        <w:t>, який</w:t>
      </w:r>
      <w:r w:rsidRPr="00BE086B">
        <w:rPr>
          <w:sz w:val="28"/>
          <w:szCs w:val="28"/>
          <w:shd w:val="clear" w:color="auto" w:fill="FFFFFF"/>
          <w:lang w:val="uk-UA" w:eastAsia="ru-RU"/>
        </w:rPr>
        <w:t xml:space="preserve"> за своєю дією ідентичний природному тиреоїдному гормону – тироксину (Т4), що продукується фолікулярними клітинами ЩЗ під контролем ТТГ. Вважається, що різниці між ендогенним та екзогенним левотироксином для організму людини не існує </w:t>
      </w:r>
      <w:r w:rsidRPr="00BE086B">
        <w:rPr>
          <w:sz w:val="28"/>
          <w:szCs w:val="28"/>
          <w:lang w:val="uk-UA"/>
        </w:rPr>
        <w:t>[19, 20, 25, 275, 399]</w:t>
      </w:r>
      <w:r w:rsidRPr="00BE086B">
        <w:rPr>
          <w:sz w:val="28"/>
          <w:szCs w:val="28"/>
          <w:shd w:val="clear" w:color="auto" w:fill="FFFFFF"/>
          <w:lang w:val="uk-UA" w:eastAsia="ru-RU"/>
        </w:rPr>
        <w:t>.</w:t>
      </w:r>
    </w:p>
    <w:p w:rsidR="00D92D95" w:rsidRPr="00BE086B" w:rsidRDefault="00D92D95" w:rsidP="00D92D95">
      <w:pPr>
        <w:suppressAutoHyphens w:val="0"/>
        <w:spacing w:line="360" w:lineRule="auto"/>
        <w:ind w:firstLine="709"/>
        <w:jc w:val="both"/>
        <w:rPr>
          <w:sz w:val="28"/>
          <w:szCs w:val="28"/>
          <w:lang w:val="uk-UA" w:eastAsia="ru-RU"/>
        </w:rPr>
      </w:pPr>
      <w:r w:rsidRPr="00BE086B">
        <w:rPr>
          <w:sz w:val="28"/>
          <w:szCs w:val="28"/>
          <w:lang w:val="uk-UA" w:eastAsia="ru-RU"/>
        </w:rPr>
        <w:t xml:space="preserve">Повідомляється, що синтетичний левотироксин натрію широко використовується у клінічній практиці внаслідок своєї доступності, ефективності, простого прийому, високої біодоступності (до 80% при прийомі натще), великого періоду напіввиведення (біля 7-10 діб), тривалого досвіду використання у клінічній практиці, гарної переносимості та низької вартості </w:t>
      </w:r>
      <w:r w:rsidRPr="00BE086B">
        <w:rPr>
          <w:sz w:val="28"/>
          <w:szCs w:val="28"/>
          <w:lang w:val="uk-UA"/>
        </w:rPr>
        <w:t xml:space="preserve">[20, </w:t>
      </w:r>
      <w:r w:rsidRPr="00BE086B">
        <w:rPr>
          <w:sz w:val="28"/>
          <w:szCs w:val="28"/>
          <w:lang w:val="uk-UA" w:eastAsia="ru-RU"/>
        </w:rPr>
        <w:t>275, 408</w:t>
      </w:r>
      <w:r w:rsidRPr="00BE086B">
        <w:rPr>
          <w:sz w:val="28"/>
          <w:szCs w:val="28"/>
          <w:lang w:val="uk-UA"/>
        </w:rPr>
        <w:t>]</w:t>
      </w:r>
      <w:r w:rsidRPr="00BE086B">
        <w:rPr>
          <w:sz w:val="28"/>
          <w:szCs w:val="28"/>
          <w:lang w:val="uk-UA" w:eastAsia="ru-RU"/>
        </w:rPr>
        <w:t>.</w:t>
      </w:r>
    </w:p>
    <w:p w:rsidR="00D92D95" w:rsidRPr="00BE086B" w:rsidRDefault="00D92D95" w:rsidP="00D92D95">
      <w:pPr>
        <w:suppressAutoHyphens w:val="0"/>
        <w:spacing w:line="360" w:lineRule="auto"/>
        <w:ind w:firstLine="709"/>
        <w:jc w:val="both"/>
        <w:rPr>
          <w:sz w:val="28"/>
          <w:szCs w:val="28"/>
          <w:shd w:val="clear" w:color="auto" w:fill="FFFFFF"/>
          <w:lang w:val="uk-UA" w:eastAsia="ru-RU"/>
        </w:rPr>
      </w:pPr>
      <w:r w:rsidRPr="00BE086B">
        <w:rPr>
          <w:sz w:val="28"/>
          <w:szCs w:val="28"/>
          <w:lang w:val="uk-UA" w:eastAsia="ru-RU"/>
        </w:rPr>
        <w:t>При визначені у хворого субклінічного ГІТ питання призначення засобу замісної гормональної терапії вирішується індивідуально.</w:t>
      </w:r>
      <w:r w:rsidRPr="00BE086B">
        <w:rPr>
          <w:lang w:val="uk-UA"/>
        </w:rPr>
        <w:t xml:space="preserve"> </w:t>
      </w:r>
      <w:r w:rsidRPr="00BE086B">
        <w:rPr>
          <w:sz w:val="28"/>
          <w:szCs w:val="28"/>
          <w:lang w:val="uk-UA" w:eastAsia="ru-RU"/>
        </w:rPr>
        <w:t>Для клінічної лабораторної діагностики ГІТ використовується визначення у сироватці крові рівнів ТТГ та вільного Т4. При цьому головне значення має рівень ТТГ, визначення концентрації Т4 є додатковим внаслідок того, що його рівень може бути підвищеним, а визначення Т3 зазначається недоцільним [19, 25, 275</w:t>
      </w:r>
      <w:r w:rsidRPr="00BE086B">
        <w:rPr>
          <w:sz w:val="28"/>
          <w:szCs w:val="28"/>
          <w:lang w:val="uk-UA"/>
        </w:rPr>
        <w:t>]</w:t>
      </w:r>
      <w:r w:rsidRPr="00BE086B">
        <w:rPr>
          <w:sz w:val="28"/>
          <w:szCs w:val="28"/>
          <w:lang w:val="uk-UA" w:eastAsia="ru-RU"/>
        </w:rPr>
        <w:t>.</w:t>
      </w:r>
    </w:p>
    <w:p w:rsidR="00D92D95" w:rsidRPr="00BE086B" w:rsidRDefault="00D92D95" w:rsidP="00D92D95">
      <w:pPr>
        <w:spacing w:line="360" w:lineRule="auto"/>
        <w:ind w:firstLine="709"/>
        <w:jc w:val="both"/>
        <w:rPr>
          <w:sz w:val="28"/>
          <w:szCs w:val="28"/>
          <w:lang w:val="uk-UA" w:eastAsia="ru-RU"/>
        </w:rPr>
      </w:pPr>
      <w:r w:rsidRPr="00BE086B">
        <w:rPr>
          <w:sz w:val="28"/>
          <w:szCs w:val="28"/>
          <w:shd w:val="clear" w:color="auto" w:fill="FFFFFF"/>
          <w:lang w:val="uk-UA" w:eastAsia="ru-RU"/>
        </w:rPr>
        <w:t>Після часткового перетворювання в ліотиронін (</w:t>
      </w:r>
      <w:r w:rsidRPr="00BE086B">
        <w:rPr>
          <w:sz w:val="28"/>
          <w:szCs w:val="28"/>
          <w:shd w:val="clear" w:color="auto" w:fill="FFFFFF"/>
          <w:lang w:val="uk-UA"/>
        </w:rPr>
        <w:t>лівообертаючий ізомер трийодтиронину – Т3</w:t>
      </w:r>
      <w:r w:rsidRPr="00BE086B">
        <w:rPr>
          <w:sz w:val="28"/>
          <w:szCs w:val="28"/>
          <w:shd w:val="clear" w:color="auto" w:fill="FFFFFF"/>
          <w:lang w:val="uk-UA" w:eastAsia="ru-RU"/>
        </w:rPr>
        <w:t xml:space="preserve">), переважно в печінці і нирках та переходу в клітини організму характерні ефекти тиреоїдних гормонів спостерігаються на розвитку, рості та обміні речовин внаслідок активації Т3-рецепторів. Заміщення тиреоїдних гормонів призводить до нормалізації процесів метаболізму </w:t>
      </w:r>
      <w:r w:rsidRPr="00BE086B">
        <w:rPr>
          <w:sz w:val="28"/>
          <w:szCs w:val="28"/>
          <w:lang w:val="uk-UA"/>
        </w:rPr>
        <w:t>[275, 409, 411]</w:t>
      </w:r>
      <w:r w:rsidRPr="00BE086B">
        <w:rPr>
          <w:sz w:val="28"/>
          <w:szCs w:val="28"/>
          <w:shd w:val="clear" w:color="auto" w:fill="FFFFFF"/>
          <w:lang w:val="uk-UA" w:eastAsia="ru-RU"/>
        </w:rPr>
        <w:t>.</w:t>
      </w:r>
    </w:p>
    <w:p w:rsidR="00D92D95" w:rsidRPr="00BE086B" w:rsidRDefault="00D92D95" w:rsidP="00D92D95">
      <w:pPr>
        <w:suppressAutoHyphens w:val="0"/>
        <w:spacing w:line="360" w:lineRule="auto"/>
        <w:ind w:firstLine="709"/>
        <w:jc w:val="both"/>
        <w:rPr>
          <w:sz w:val="28"/>
          <w:szCs w:val="28"/>
          <w:lang w:val="uk-UA" w:eastAsia="ru-RU"/>
        </w:rPr>
      </w:pPr>
      <w:r w:rsidRPr="00BE086B">
        <w:rPr>
          <w:sz w:val="28"/>
          <w:szCs w:val="28"/>
          <w:shd w:val="clear" w:color="auto" w:fill="FFFFFF"/>
          <w:lang w:val="uk-UA" w:eastAsia="ru-RU"/>
        </w:rPr>
        <w:t xml:space="preserve">Левотироксин транспортується специфічними білками плазми крові та зв’язується з ними біля 99,8% препарату. Цей зв’язок левотироксину з транспортними білками не є ковалентним, тому що постійно відбувається швидкий обмін між вільною та зв’язаною формами гормону та гормонопрепарату </w:t>
      </w:r>
      <w:r w:rsidRPr="00BE086B">
        <w:rPr>
          <w:sz w:val="28"/>
          <w:szCs w:val="28"/>
          <w:lang w:val="uk-UA"/>
        </w:rPr>
        <w:t>[275]</w:t>
      </w:r>
      <w:r w:rsidRPr="00BE086B">
        <w:rPr>
          <w:sz w:val="28"/>
          <w:szCs w:val="28"/>
          <w:shd w:val="clear" w:color="auto" w:fill="FFFFFF"/>
          <w:lang w:val="uk-UA" w:eastAsia="ru-RU"/>
        </w:rPr>
        <w:t>.</w:t>
      </w:r>
    </w:p>
    <w:p w:rsidR="00D92D95" w:rsidRPr="00BE086B" w:rsidRDefault="00D92D95" w:rsidP="00D92D95">
      <w:pPr>
        <w:suppressAutoHyphens w:val="0"/>
        <w:spacing w:line="360" w:lineRule="auto"/>
        <w:ind w:firstLine="709"/>
        <w:jc w:val="both"/>
        <w:rPr>
          <w:sz w:val="28"/>
          <w:szCs w:val="28"/>
          <w:shd w:val="clear" w:color="auto" w:fill="FFFFFF"/>
          <w:lang w:val="uk-UA" w:eastAsia="ru-RU"/>
        </w:rPr>
      </w:pPr>
      <w:r w:rsidRPr="00BE086B">
        <w:rPr>
          <w:sz w:val="28"/>
          <w:szCs w:val="28"/>
          <w:shd w:val="clear" w:color="auto" w:fill="FFFFFF"/>
          <w:lang w:val="uk-UA" w:eastAsia="ru-RU"/>
        </w:rPr>
        <w:t xml:space="preserve">Ця особливість транспорту левотироксину обумовлює необхідність дослідження питання взаємодій ЛЗ при призначені НПЗЗ та парацетамолу на </w:t>
      </w:r>
      <w:r w:rsidRPr="00BE086B">
        <w:rPr>
          <w:sz w:val="28"/>
          <w:szCs w:val="28"/>
          <w:shd w:val="clear" w:color="auto" w:fill="FFFFFF"/>
          <w:lang w:val="uk-UA" w:eastAsia="ru-RU"/>
        </w:rPr>
        <w:lastRenderedPageBreak/>
        <w:t xml:space="preserve">фоні коморбідної патології. </w:t>
      </w:r>
      <w:r w:rsidRPr="00BE086B">
        <w:rPr>
          <w:sz w:val="28"/>
          <w:szCs w:val="28"/>
          <w:lang w:val="uk-UA"/>
        </w:rPr>
        <w:t xml:space="preserve">Відомо, що лікарські засоби можуть впливати на гормональну активність ЩЗ різними шляхами через безпосередній вплив на синтез та </w:t>
      </w:r>
      <w:r w:rsidRPr="00BE086B">
        <w:rPr>
          <w:kern w:val="28"/>
          <w:sz w:val="28"/>
          <w:szCs w:val="28"/>
          <w:lang w:val="uk-UA"/>
        </w:rPr>
        <w:t>виділення гормонів або їх метаболізм, кліренс та поглинання тканинами [</w:t>
      </w:r>
      <w:r w:rsidRPr="00BE086B">
        <w:rPr>
          <w:sz w:val="28"/>
          <w:szCs w:val="28"/>
          <w:lang w:val="uk-UA"/>
        </w:rPr>
        <w:t>275, 419</w:t>
      </w:r>
      <w:r w:rsidRPr="00BE086B">
        <w:rPr>
          <w:kern w:val="28"/>
          <w:sz w:val="28"/>
          <w:szCs w:val="28"/>
          <w:lang w:val="uk-UA"/>
        </w:rPr>
        <w:t>].</w:t>
      </w:r>
    </w:p>
    <w:p w:rsidR="00D92D95" w:rsidRPr="00BE086B" w:rsidRDefault="00D92D95" w:rsidP="00D92D95">
      <w:pPr>
        <w:spacing w:line="360" w:lineRule="auto"/>
        <w:ind w:firstLine="709"/>
        <w:jc w:val="both"/>
        <w:rPr>
          <w:sz w:val="28"/>
          <w:szCs w:val="28"/>
          <w:lang w:val="uk-UA"/>
        </w:rPr>
      </w:pPr>
      <w:r w:rsidRPr="00BE086B">
        <w:rPr>
          <w:kern w:val="28"/>
          <w:sz w:val="28"/>
          <w:szCs w:val="28"/>
          <w:lang w:val="uk-UA"/>
        </w:rPr>
        <w:t>Згідно даних</w:t>
      </w:r>
      <w:r w:rsidRPr="00BE086B">
        <w:rPr>
          <w:sz w:val="28"/>
          <w:szCs w:val="28"/>
          <w:lang w:val="uk-UA"/>
        </w:rPr>
        <w:t xml:space="preserve"> Koizumi Y. з співавт. (2006), мефенамова кислота витісняє Т3 та Т4 із зв’язку з транспортним білком, внаслідок чого більша кількість гормонів Т4 і Т3 стає доступними периферичним тканинам для виділення, деградації та регулювання за допомогою ТТГ [420].</w:t>
      </w:r>
    </w:p>
    <w:p w:rsidR="00D92D95" w:rsidRPr="00BE086B" w:rsidRDefault="00D92D95" w:rsidP="00D92D95">
      <w:pPr>
        <w:spacing w:line="360" w:lineRule="auto"/>
        <w:ind w:firstLine="709"/>
        <w:jc w:val="both"/>
        <w:rPr>
          <w:sz w:val="28"/>
          <w:szCs w:val="28"/>
          <w:lang w:val="uk-UA"/>
        </w:rPr>
      </w:pPr>
      <w:r w:rsidRPr="00BE086B">
        <w:rPr>
          <w:sz w:val="28"/>
          <w:szCs w:val="28"/>
          <w:shd w:val="clear" w:color="auto" w:fill="FFFFFF"/>
          <w:lang w:val="uk-UA"/>
        </w:rPr>
        <w:t xml:space="preserve">У роботі Handa S.I. та Freestone S. (1990) повідомили про розвиток ниркової недостатності та тяжкої нейтропенії при призначені мефенамової кислоти пацієнткам з гіпотиреозом </w:t>
      </w:r>
      <w:r w:rsidRPr="00BE086B">
        <w:rPr>
          <w:sz w:val="28"/>
          <w:szCs w:val="28"/>
          <w:lang w:val="uk-UA"/>
        </w:rPr>
        <w:t>[421].</w:t>
      </w:r>
    </w:p>
    <w:p w:rsidR="00D92D95" w:rsidRPr="00BE086B" w:rsidRDefault="00D92D95" w:rsidP="00D92D95">
      <w:pPr>
        <w:spacing w:line="360" w:lineRule="auto"/>
        <w:ind w:firstLine="709"/>
        <w:jc w:val="both"/>
        <w:rPr>
          <w:sz w:val="28"/>
          <w:szCs w:val="28"/>
          <w:lang w:val="uk-UA"/>
        </w:rPr>
      </w:pPr>
      <w:r w:rsidRPr="00BE086B">
        <w:rPr>
          <w:sz w:val="28"/>
          <w:szCs w:val="28"/>
          <w:lang w:val="uk-UA"/>
        </w:rPr>
        <w:t>Також відома робота Sauvé F. з співавт. (2003), в якій стверджується, що введення мелоксикаму, карпрофену, глюкозаміну та хондроїтину сульфату не впливає на функцію ЩЗ собаки [422].</w:t>
      </w:r>
    </w:p>
    <w:p w:rsidR="00D92D95" w:rsidRPr="00BE086B" w:rsidRDefault="00D92D95" w:rsidP="00D92D95">
      <w:pPr>
        <w:spacing w:line="360" w:lineRule="auto"/>
        <w:ind w:firstLine="709"/>
        <w:jc w:val="both"/>
        <w:rPr>
          <w:kern w:val="2"/>
          <w:sz w:val="28"/>
          <w:szCs w:val="28"/>
          <w:lang w:val="uk-UA"/>
        </w:rPr>
      </w:pPr>
      <w:r w:rsidRPr="00BE086B">
        <w:rPr>
          <w:sz w:val="28"/>
          <w:szCs w:val="28"/>
          <w:lang w:val="uk-UA"/>
        </w:rPr>
        <w:t>В дослідженні Panciera D.L. з співавт. (2006) вивчений ефект призначення деракоксибу і аспірину та встановлено, що прийом аспірину призводить до значного зменшення середньої концентрації Т4 та Т3 у сироватці крові, проте призначення деракоксибу ніяким чином не впливало на рівень гормонів ЩЗ сироватки крові [423].</w:t>
      </w:r>
    </w:p>
    <w:p w:rsidR="00D92D95" w:rsidRPr="00BE086B" w:rsidRDefault="00D92D95" w:rsidP="00D92D95">
      <w:pPr>
        <w:suppressAutoHyphens w:val="0"/>
        <w:spacing w:line="360" w:lineRule="auto"/>
        <w:ind w:firstLine="709"/>
        <w:jc w:val="both"/>
        <w:rPr>
          <w:sz w:val="28"/>
          <w:szCs w:val="28"/>
          <w:lang w:val="uk-UA" w:eastAsia="ru-RU"/>
        </w:rPr>
      </w:pPr>
      <w:r w:rsidRPr="00BE086B">
        <w:rPr>
          <w:sz w:val="28"/>
          <w:szCs w:val="28"/>
          <w:shd w:val="clear" w:color="auto" w:fill="FFFFFF"/>
          <w:lang w:val="uk-UA" w:eastAsia="ru-RU"/>
        </w:rPr>
        <w:t xml:space="preserve">Відомо, що саліцилова кислота та її похідні (у дозі вище 2 г на добу) та фуросемід (у дозі 250 мг на добу та вище) можуть витісняти левотироксин з місць зв’язування з транспортними білками плазми крові та впливати на концентрацію ТТГ </w:t>
      </w:r>
      <w:r w:rsidRPr="00BE086B">
        <w:rPr>
          <w:sz w:val="28"/>
          <w:szCs w:val="28"/>
          <w:lang w:val="uk-UA"/>
        </w:rPr>
        <w:t>[275, 424-426]</w:t>
      </w:r>
      <w:r w:rsidRPr="00BE086B">
        <w:rPr>
          <w:sz w:val="28"/>
          <w:szCs w:val="28"/>
          <w:shd w:val="clear" w:color="auto" w:fill="FFFFFF"/>
          <w:lang w:val="uk-UA" w:eastAsia="ru-RU"/>
        </w:rPr>
        <w:t>. Данну особливість необхідно враховувати при лікуванні коморбідних станів тому що зокрема при ОА на тлі ГІТ це може призводити до транзиторного підвищення рівня вільних тиреоїдних гормонів та/або гормонального препарату у сироватці крові, що знайде відображення на синтезі ТТГ та патологічного стану, пов’язаного з ГІТ.</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З огляду на вищезазначене можна встановити, що лікування ГІТ засновано на принципах замісної гормональної терапії за умов якої препаратом вибору є левотироксин натрію [19, 20]. Вважається, що при </w:t>
      </w:r>
      <w:r w:rsidRPr="00BE086B">
        <w:rPr>
          <w:sz w:val="28"/>
          <w:szCs w:val="28"/>
          <w:lang w:val="uk-UA"/>
        </w:rPr>
        <w:lastRenderedPageBreak/>
        <w:t>проведенні замісної гормональної терапії у більшості пацієнтів відзначається поступове відновлення структурних і функціональних порушень, що виникли з боку опорно-рухового апарату, проте встановлено, що перебігає деякий час з моменту встановлення діагнозу ГІТ до моменту призначення гормонального препарату впродовж якого можуть наростати зміни з боку опорно-рухового апарату [412, 417]. Також для ефективного усунення запальних явищ і больового синдрому пацієнтам необхідно призначати аналгетики, які можуть впливати на рівень гормонів ЩЗ [7, 322, 422, 424].</w:t>
      </w:r>
    </w:p>
    <w:p w:rsidR="00D92D95" w:rsidRPr="00BE086B" w:rsidRDefault="00D92D95" w:rsidP="00D92D95">
      <w:pPr>
        <w:spacing w:line="360" w:lineRule="auto"/>
        <w:ind w:firstLine="709"/>
        <w:jc w:val="both"/>
        <w:rPr>
          <w:sz w:val="28"/>
          <w:szCs w:val="28"/>
          <w:lang w:val="uk-UA" w:eastAsia="ru-RU"/>
        </w:rPr>
      </w:pPr>
      <w:r w:rsidRPr="00BE086B">
        <w:rPr>
          <w:sz w:val="28"/>
          <w:szCs w:val="28"/>
          <w:lang w:val="uk-UA"/>
        </w:rPr>
        <w:t xml:space="preserve">Таким чином, з огляду на дослідження вітчизняної та закордонної літератури встановлено, що больовий синдром є клінічним проявом багатьох патологічних станів. Біль є фактором, що обтяжує перебіг коморбідної і, особливо, хронічної патології, що зумовлює необхідність тривалого та безперервного застосування аналгетиків і тим самим підвищує ризики ускладнень та побічних реакцій фармакотерапії. </w:t>
      </w:r>
      <w:r w:rsidRPr="00BE086B">
        <w:rPr>
          <w:bCs/>
          <w:sz w:val="28"/>
          <w:szCs w:val="28"/>
          <w:lang w:val="uk-UA"/>
        </w:rPr>
        <w:t>Поряд з цим больовий синдром може бути коморбідним з основним захворюванням, яке може сформуватись за типом сінтропії - ураження органів під впливом загальних патогенетичних факторів або інтерференції - виникнення одного захворювання під впливом іншого</w:t>
      </w:r>
      <w:r w:rsidRPr="00BE086B">
        <w:rPr>
          <w:sz w:val="28"/>
          <w:szCs w:val="28"/>
          <w:lang w:val="uk-UA"/>
        </w:rPr>
        <w:t>.</w:t>
      </w:r>
    </w:p>
    <w:p w:rsidR="00D92D95" w:rsidRPr="00BE086B" w:rsidRDefault="00D92D95" w:rsidP="00D92D95">
      <w:pPr>
        <w:spacing w:line="360" w:lineRule="auto"/>
        <w:ind w:firstLine="709"/>
        <w:jc w:val="both"/>
        <w:rPr>
          <w:sz w:val="28"/>
          <w:szCs w:val="28"/>
          <w:lang w:val="uk-UA"/>
        </w:rPr>
      </w:pPr>
      <w:r w:rsidRPr="00BE086B">
        <w:rPr>
          <w:sz w:val="28"/>
          <w:szCs w:val="28"/>
          <w:lang w:val="uk-UA"/>
        </w:rPr>
        <w:t>Пов’язано це з тим, що остеоартроз та гіпотиреоз можуть змінювати перцепцію болю. В цих умовах цілком реальний вплив на фармакодинаміку та як наслідок, зниження ефективності знеболюючих засобів. Крім того, самі аналгетики можуть впливати на коморбідний стан – гіпотиреоз. При цьому не виключена можливість модуляції гормональною замісною терапією аналгетичної активності НПЗЗ [7, 328, 439, 442].</w:t>
      </w:r>
    </w:p>
    <w:p w:rsidR="00D92D95" w:rsidRPr="00BE086B" w:rsidRDefault="00D92D95" w:rsidP="00D92D95">
      <w:pPr>
        <w:spacing w:line="360" w:lineRule="auto"/>
        <w:ind w:firstLine="709"/>
        <w:jc w:val="both"/>
        <w:rPr>
          <w:sz w:val="28"/>
          <w:szCs w:val="28"/>
          <w:lang w:val="uk-UA" w:eastAsia="en-US"/>
        </w:rPr>
      </w:pPr>
      <w:r w:rsidRPr="00BE086B">
        <w:rPr>
          <w:sz w:val="28"/>
          <w:szCs w:val="28"/>
          <w:lang w:val="uk-UA"/>
        </w:rPr>
        <w:t xml:space="preserve">Фармакотерапія остеоартрозу та гіпотиреозу є однією з актуальних проблем сучасної медицини у всьому світі не лише через те, що ці патологічні стани є вельми поширеними, характеризуються тяжким перебігом та наслідками, що призводять до інвалідизації населення, а ще і через недостатність знань щодо можливості та доцільності застосування ліків різних фармакотерапевтичних груп на тлі остеоартрозу, коморбідного з </w:t>
      </w:r>
      <w:r w:rsidRPr="00BE086B">
        <w:rPr>
          <w:sz w:val="28"/>
          <w:szCs w:val="28"/>
          <w:lang w:val="uk-UA"/>
        </w:rPr>
        <w:lastRenderedPageBreak/>
        <w:t>гіпотиреозом. У цьому аспекті особливого значення набуває проблема знеболення, що окреслює актуальність дослідження ефективності та безпечності окремих аналгетиків за комбінованого застосування з препаратами, що використовуються для лікування гіпотиреозу [6, 8-11].</w:t>
      </w:r>
    </w:p>
    <w:p w:rsidR="00D92D95" w:rsidRPr="00BE086B" w:rsidRDefault="00D92D95" w:rsidP="00D92D95">
      <w:pPr>
        <w:spacing w:line="360" w:lineRule="auto"/>
        <w:ind w:firstLine="709"/>
        <w:jc w:val="both"/>
        <w:rPr>
          <w:sz w:val="28"/>
          <w:szCs w:val="28"/>
          <w:lang w:val="uk-UA"/>
        </w:rPr>
      </w:pPr>
      <w:r w:rsidRPr="00BE086B">
        <w:rPr>
          <w:sz w:val="28"/>
          <w:szCs w:val="28"/>
          <w:lang w:val="uk-UA"/>
        </w:rPr>
        <w:t xml:space="preserve">Переплетення патофізіологічних механізмів больового синдрому на фоні остеоартрозу та зміненої функції щитоподібної залози – гіпотиреозу, фармакодинаміки сумісної дії аналгетиків і препаратів гормональної замісної терапії, в цих умовах, з другого боку, визначають актуальність дослідження зазначених питань. </w:t>
      </w:r>
      <w:r w:rsidRPr="00BE086B">
        <w:rPr>
          <w:bCs/>
          <w:sz w:val="28"/>
          <w:szCs w:val="28"/>
          <w:lang w:val="uk-UA"/>
        </w:rPr>
        <w:t xml:space="preserve">Така постановка проблеми є науковим обґрунтуванням пошуку шляхів підвищення ефективності фармакотерапії больового синдрому в умовах коморбідної патології </w:t>
      </w:r>
      <w:r w:rsidRPr="00BE086B">
        <w:rPr>
          <w:sz w:val="28"/>
          <w:szCs w:val="28"/>
          <w:lang w:val="uk-UA"/>
        </w:rPr>
        <w:t>[7, 40, 41].</w:t>
      </w:r>
    </w:p>
    <w:p w:rsidR="00D92D95" w:rsidRPr="00BE086B" w:rsidRDefault="00D92D95" w:rsidP="00D92D95">
      <w:pPr>
        <w:spacing w:line="360" w:lineRule="auto"/>
        <w:ind w:firstLine="709"/>
        <w:jc w:val="both"/>
        <w:rPr>
          <w:sz w:val="28"/>
          <w:szCs w:val="28"/>
          <w:lang w:val="uk-UA" w:eastAsia="en-US"/>
        </w:rPr>
      </w:pPr>
      <w:r w:rsidRPr="00BE086B">
        <w:rPr>
          <w:sz w:val="28"/>
          <w:szCs w:val="28"/>
          <w:lang w:val="uk-UA"/>
        </w:rPr>
        <w:t>Особливого значення набувають питання фармакологічної корекції за сумісного перебігу остеоартрозу з гіпотиреозом, здатних ускладнювати та прискорювати негативні наслідки метаболічного дисбалансу. Відомо про наявність та ступінь метаболічних порушень при гіпотиреозі, що негативно впливають на стан кісткової і хрящової тканини, однак можливості фармакотерапії щодо стимуляції регенерації та нормалізації метаболічних порушень вивчені недостатньо [13-15, 35, 36].</w:t>
      </w:r>
    </w:p>
    <w:p w:rsidR="00D92D95" w:rsidRPr="00BE086B" w:rsidRDefault="00D92D95" w:rsidP="00D92D95">
      <w:pPr>
        <w:spacing w:line="360" w:lineRule="auto"/>
        <w:ind w:firstLine="709"/>
        <w:jc w:val="both"/>
        <w:rPr>
          <w:sz w:val="28"/>
          <w:szCs w:val="28"/>
          <w:lang w:val="uk-UA"/>
        </w:rPr>
      </w:pPr>
      <w:r w:rsidRPr="00BE086B">
        <w:rPr>
          <w:sz w:val="28"/>
          <w:szCs w:val="28"/>
          <w:shd w:val="clear" w:color="auto" w:fill="FFFFFF"/>
          <w:lang w:val="uk-UA"/>
        </w:rPr>
        <w:t xml:space="preserve">Неопіоідні аналгетики, а особливо, НПЗЗ, що найчастіше використовуються для усунення больового синдрому при остеоартрозі, можуть прискорити ураження суглобів шляхом посилення синтезу прозапальних цитокінів або інгібуючи синтез протеогліканів хряща. Проте питання впливу аналгетичної терапії на стан кісткової та хрящової тканин при гіпотиреозі та їхній вплив на рівень біохімічних маркерів при гіпофункції ЩЗ досліджено недостатньо </w:t>
      </w:r>
      <w:r w:rsidRPr="00BE086B">
        <w:rPr>
          <w:sz w:val="28"/>
          <w:szCs w:val="28"/>
          <w:lang w:val="uk-UA"/>
        </w:rPr>
        <w:t>[7, 125, 205, 346, 398].</w:t>
      </w:r>
    </w:p>
    <w:p w:rsidR="00D92D95" w:rsidRPr="00BE086B" w:rsidRDefault="00D92D95" w:rsidP="00D92D95">
      <w:pPr>
        <w:spacing w:line="360" w:lineRule="auto"/>
        <w:ind w:firstLine="709"/>
        <w:jc w:val="both"/>
        <w:rPr>
          <w:sz w:val="28"/>
          <w:szCs w:val="28"/>
        </w:rPr>
      </w:pPr>
      <w:r w:rsidRPr="00BE086B">
        <w:rPr>
          <w:sz w:val="28"/>
          <w:szCs w:val="28"/>
        </w:rPr>
        <w:t xml:space="preserve">Відомо, що аналгетики можуть впливати на гормональну активність ЩЗ через безпосередній вплив на синтез та </w:t>
      </w:r>
      <w:r w:rsidRPr="00BE086B">
        <w:rPr>
          <w:kern w:val="28"/>
          <w:sz w:val="28"/>
          <w:szCs w:val="28"/>
        </w:rPr>
        <w:t>виділення гормонів або їх метаболізм, кліренс та поглинання тканинами</w:t>
      </w:r>
      <w:r w:rsidRPr="00BE086B">
        <w:rPr>
          <w:sz w:val="28"/>
          <w:szCs w:val="28"/>
        </w:rPr>
        <w:t xml:space="preserve">. Проте, важливим та недослідженим питанням є вивчення процесів взаємодії аналгетичних засобів з препаратом </w:t>
      </w:r>
      <w:r w:rsidRPr="00BE086B">
        <w:rPr>
          <w:sz w:val="28"/>
          <w:szCs w:val="28"/>
        </w:rPr>
        <w:lastRenderedPageBreak/>
        <w:t>замісної гормональної терапії L-тироксином, їхньої здатності впливати на біль різної інтенсивності</w:t>
      </w:r>
      <w:r w:rsidRPr="00BE086B">
        <w:rPr>
          <w:sz w:val="28"/>
          <w:szCs w:val="28"/>
          <w:lang w:val="uk-UA"/>
        </w:rPr>
        <w:t xml:space="preserve"> [420, 424, 425]</w:t>
      </w:r>
      <w:r w:rsidRPr="00BE086B">
        <w:rPr>
          <w:sz w:val="28"/>
          <w:szCs w:val="28"/>
        </w:rPr>
        <w:t>.</w:t>
      </w:r>
    </w:p>
    <w:p w:rsidR="00D92D95" w:rsidRPr="00BE086B" w:rsidRDefault="00D92D95" w:rsidP="00D92D95">
      <w:pPr>
        <w:spacing w:line="360" w:lineRule="auto"/>
        <w:ind w:firstLine="709"/>
        <w:jc w:val="both"/>
        <w:rPr>
          <w:sz w:val="28"/>
          <w:szCs w:val="28"/>
        </w:rPr>
      </w:pPr>
      <w:r w:rsidRPr="00BE086B">
        <w:rPr>
          <w:sz w:val="28"/>
          <w:szCs w:val="28"/>
        </w:rPr>
        <w:t xml:space="preserve">Вважається, що призначення замісної гормональної терапії </w:t>
      </w:r>
      <w:r w:rsidRPr="00BE086B">
        <w:rPr>
          <w:sz w:val="28"/>
          <w:szCs w:val="28"/>
          <w:lang w:val="uk-UA"/>
        </w:rPr>
        <w:t>гіпотиреозу</w:t>
      </w:r>
      <w:r w:rsidRPr="00BE086B">
        <w:rPr>
          <w:sz w:val="28"/>
          <w:szCs w:val="28"/>
        </w:rPr>
        <w:t xml:space="preserve"> призводить до відновлення інтенсивності метаболічних процесів, проте дослідження питання впливу гормонотерапії на структуру гіалінового хряща не проводились. Також залишаються відкритими питання профілактики дегенеративно-дистрофічних змін у суглобах за </w:t>
      </w:r>
      <w:r w:rsidRPr="00BE086B">
        <w:rPr>
          <w:sz w:val="28"/>
          <w:szCs w:val="28"/>
          <w:lang w:val="uk-UA"/>
        </w:rPr>
        <w:t>гіпотиреозу</w:t>
      </w:r>
      <w:r w:rsidRPr="00BE086B">
        <w:rPr>
          <w:sz w:val="28"/>
          <w:szCs w:val="28"/>
        </w:rPr>
        <w:t xml:space="preserve"> і вивчення лікарської взаємодії з метою пропозицій щодо ефективного та безпечного комбінованого застосування препаратів різних фармакотерапевтичних груп</w:t>
      </w:r>
      <w:r w:rsidRPr="00BE086B">
        <w:rPr>
          <w:sz w:val="28"/>
          <w:szCs w:val="28"/>
          <w:lang w:val="uk-UA"/>
        </w:rPr>
        <w:t xml:space="preserve"> [36, 37, 371, 416]</w:t>
      </w:r>
      <w:r w:rsidRPr="00BE086B">
        <w:rPr>
          <w:sz w:val="28"/>
          <w:szCs w:val="28"/>
        </w:rPr>
        <w:t>.</w:t>
      </w:r>
    </w:p>
    <w:p w:rsidR="00D92D95" w:rsidRPr="00BE086B" w:rsidRDefault="00D92D95" w:rsidP="00D92D95">
      <w:pPr>
        <w:spacing w:line="360" w:lineRule="auto"/>
        <w:ind w:firstLine="709"/>
        <w:jc w:val="both"/>
        <w:rPr>
          <w:sz w:val="28"/>
          <w:szCs w:val="28"/>
          <w:lang w:val="uk-UA"/>
        </w:rPr>
      </w:pPr>
      <w:r w:rsidRPr="00BE086B">
        <w:rPr>
          <w:sz w:val="28"/>
          <w:szCs w:val="28"/>
        </w:rPr>
        <w:t>Вищезазначене вказує на</w:t>
      </w:r>
      <w:r w:rsidRPr="00BE086B">
        <w:rPr>
          <w:sz w:val="28"/>
          <w:szCs w:val="28"/>
          <w:lang w:val="uk-UA"/>
        </w:rPr>
        <w:t xml:space="preserve"> потребу обґрунтування раціонального використання болетамуючих та хондропротекторних засобів для ефективної фармакотерапії за умов остеоартрозу на тлі гіпотиреозу.</w:t>
      </w:r>
    </w:p>
    <w:p w:rsidR="00D92D95" w:rsidRPr="00BE086B" w:rsidRDefault="00D92D95" w:rsidP="00641114">
      <w:pPr>
        <w:pStyle w:val="af0"/>
        <w:ind w:firstLine="709"/>
        <w:jc w:val="both"/>
        <w:rPr>
          <w:sz w:val="28"/>
          <w:szCs w:val="28"/>
          <w:lang w:val="uk-UA"/>
        </w:rPr>
      </w:pPr>
    </w:p>
    <w:p w:rsidR="004850FF" w:rsidRPr="00BE086B" w:rsidRDefault="004850FF" w:rsidP="00641114">
      <w:pPr>
        <w:pStyle w:val="af0"/>
        <w:ind w:firstLine="709"/>
        <w:jc w:val="both"/>
        <w:rPr>
          <w:sz w:val="28"/>
          <w:szCs w:val="28"/>
          <w:lang w:val="uk-UA"/>
        </w:rPr>
      </w:pPr>
    </w:p>
    <w:p w:rsidR="004850FF" w:rsidRPr="00BE086B" w:rsidRDefault="004850FF" w:rsidP="00641114">
      <w:pPr>
        <w:pStyle w:val="af0"/>
        <w:ind w:firstLine="709"/>
        <w:jc w:val="both"/>
        <w:rPr>
          <w:sz w:val="28"/>
          <w:szCs w:val="28"/>
          <w:lang w:val="uk-UA"/>
        </w:rPr>
      </w:pPr>
    </w:p>
    <w:p w:rsidR="004850FF" w:rsidRPr="00BE086B" w:rsidRDefault="004850FF" w:rsidP="00641114">
      <w:pPr>
        <w:pStyle w:val="af0"/>
        <w:ind w:firstLine="709"/>
        <w:jc w:val="both"/>
        <w:rPr>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340C77" w:rsidRDefault="00340C77" w:rsidP="00A07082">
      <w:pPr>
        <w:pStyle w:val="15"/>
        <w:spacing w:line="360" w:lineRule="auto"/>
        <w:ind w:firstLine="709"/>
        <w:jc w:val="center"/>
        <w:rPr>
          <w:rFonts w:ascii="Times New Roman" w:hAnsi="Times New Roman" w:cs="Times New Roman"/>
          <w:b/>
          <w:bCs/>
          <w:caps/>
          <w:sz w:val="28"/>
          <w:szCs w:val="28"/>
          <w:lang w:val="uk-UA"/>
        </w:rPr>
      </w:pPr>
    </w:p>
    <w:p w:rsidR="004850FF" w:rsidRPr="00BE086B" w:rsidRDefault="004850FF" w:rsidP="00A07082">
      <w:pPr>
        <w:pStyle w:val="15"/>
        <w:spacing w:line="360" w:lineRule="auto"/>
        <w:ind w:firstLine="709"/>
        <w:jc w:val="center"/>
        <w:rPr>
          <w:rFonts w:ascii="Times New Roman" w:hAnsi="Times New Roman" w:cs="Times New Roman"/>
          <w:sz w:val="28"/>
          <w:szCs w:val="28"/>
          <w:lang w:val="uk-UA"/>
        </w:rPr>
      </w:pPr>
      <w:r w:rsidRPr="00BE086B">
        <w:rPr>
          <w:rFonts w:ascii="Times New Roman" w:hAnsi="Times New Roman" w:cs="Times New Roman"/>
          <w:b/>
          <w:bCs/>
          <w:caps/>
          <w:sz w:val="28"/>
          <w:szCs w:val="28"/>
          <w:lang w:val="uk-UA"/>
        </w:rPr>
        <w:lastRenderedPageBreak/>
        <w:t>Розділ 2</w:t>
      </w:r>
    </w:p>
    <w:p w:rsidR="004850FF" w:rsidRPr="00BE086B" w:rsidRDefault="004850FF" w:rsidP="00A07082">
      <w:pPr>
        <w:pStyle w:val="15"/>
        <w:spacing w:line="360" w:lineRule="auto"/>
        <w:ind w:firstLine="709"/>
        <w:jc w:val="center"/>
        <w:rPr>
          <w:rFonts w:ascii="Times New Roman" w:hAnsi="Times New Roman" w:cs="Times New Roman"/>
          <w:b/>
          <w:bCs/>
          <w:caps/>
          <w:sz w:val="28"/>
          <w:szCs w:val="28"/>
          <w:lang w:val="uk-UA"/>
        </w:rPr>
      </w:pPr>
    </w:p>
    <w:p w:rsidR="004850FF" w:rsidRPr="00BE086B" w:rsidRDefault="004850FF" w:rsidP="00A07082">
      <w:pPr>
        <w:pStyle w:val="15"/>
        <w:spacing w:line="360" w:lineRule="auto"/>
        <w:ind w:firstLine="709"/>
        <w:jc w:val="center"/>
        <w:rPr>
          <w:rFonts w:ascii="Times New Roman" w:hAnsi="Times New Roman" w:cs="Times New Roman"/>
          <w:sz w:val="28"/>
          <w:szCs w:val="28"/>
          <w:lang w:val="uk-UA"/>
        </w:rPr>
      </w:pPr>
      <w:r w:rsidRPr="00BE086B">
        <w:rPr>
          <w:rFonts w:ascii="Times New Roman" w:hAnsi="Times New Roman" w:cs="Times New Roman"/>
          <w:b/>
          <w:bCs/>
          <w:sz w:val="28"/>
          <w:szCs w:val="28"/>
          <w:lang w:val="uk-UA"/>
        </w:rPr>
        <w:t xml:space="preserve">МАТЕРІАЛИ </w:t>
      </w:r>
      <w:r w:rsidRPr="00BE086B">
        <w:rPr>
          <w:rFonts w:ascii="Times New Roman" w:hAnsi="Times New Roman" w:cs="Times New Roman"/>
          <w:b/>
          <w:bCs/>
          <w:caps/>
          <w:sz w:val="28"/>
          <w:szCs w:val="28"/>
          <w:lang w:val="uk-UA"/>
        </w:rPr>
        <w:t>та</w:t>
      </w:r>
      <w:r w:rsidRPr="00BE086B">
        <w:rPr>
          <w:rFonts w:ascii="Times New Roman" w:hAnsi="Times New Roman" w:cs="Times New Roman"/>
          <w:b/>
          <w:bCs/>
          <w:sz w:val="28"/>
          <w:szCs w:val="28"/>
          <w:lang w:val="uk-UA"/>
        </w:rPr>
        <w:t xml:space="preserve"> </w:t>
      </w:r>
      <w:r w:rsidRPr="00BE086B">
        <w:rPr>
          <w:rFonts w:ascii="Times New Roman" w:hAnsi="Times New Roman" w:cs="Times New Roman"/>
          <w:b/>
          <w:bCs/>
          <w:caps/>
          <w:sz w:val="28"/>
          <w:szCs w:val="28"/>
          <w:lang w:val="uk-UA"/>
        </w:rPr>
        <w:t>Методи</w:t>
      </w:r>
      <w:r w:rsidRPr="00BE086B">
        <w:rPr>
          <w:rFonts w:ascii="Times New Roman" w:hAnsi="Times New Roman" w:cs="Times New Roman"/>
          <w:b/>
          <w:bCs/>
          <w:sz w:val="28"/>
          <w:szCs w:val="28"/>
          <w:lang w:val="uk-UA"/>
        </w:rPr>
        <w:t xml:space="preserve"> ДОСЛІДЖЕННЯ</w:t>
      </w:r>
    </w:p>
    <w:p w:rsidR="004850FF" w:rsidRPr="00BE086B" w:rsidRDefault="004850FF" w:rsidP="00A07082">
      <w:pPr>
        <w:pStyle w:val="15"/>
        <w:spacing w:line="360" w:lineRule="auto"/>
        <w:ind w:firstLine="709"/>
        <w:jc w:val="center"/>
        <w:rPr>
          <w:rFonts w:ascii="Times New Roman" w:hAnsi="Times New Roman" w:cs="Times New Roman"/>
          <w:bCs/>
          <w:sz w:val="28"/>
          <w:szCs w:val="28"/>
          <w:lang w:val="uk-UA"/>
        </w:rPr>
      </w:pPr>
    </w:p>
    <w:p w:rsidR="004850FF" w:rsidRPr="00BE086B" w:rsidRDefault="004850FF" w:rsidP="00A07082">
      <w:pPr>
        <w:pStyle w:val="af0"/>
        <w:ind w:firstLine="709"/>
        <w:jc w:val="both"/>
        <w:rPr>
          <w:sz w:val="28"/>
          <w:szCs w:val="28"/>
          <w:lang w:eastAsia="en-US"/>
        </w:rPr>
      </w:pPr>
      <w:r w:rsidRPr="00BE086B">
        <w:rPr>
          <w:sz w:val="28"/>
          <w:szCs w:val="28"/>
          <w:lang w:val="uk-UA"/>
        </w:rPr>
        <w:t xml:space="preserve">Робота виконана на кафедрі фармакології та клінічної фармакології ДЗ «ДМА МОЗ України» (завідувач – д. мед. н., професор В. І. Жилюк). Комп’ютерне моделювання біофармацевтичної взаємодії досліджуваних препаратів проведені за консультативної допомоги завідувача відділу фізико-хімічної фармакології Фізико-хімічного інституту ім. </w:t>
      </w:r>
      <w:r w:rsidRPr="00BE086B">
        <w:rPr>
          <w:sz w:val="28"/>
          <w:szCs w:val="28"/>
        </w:rPr>
        <w:t>О.В. Богатського НАН України, академіка НАМН України, проф. М.Я. Головенко та с.н.с., д.б.н. В.Б. Ларіонова. Дослідження гістоморфологічних змін кісткової та хрящової тканини проведені у ДЗ «ДМА МОЗ України» в лабораторії кафедри патологічної анатомії і судової медицини (завідувач – к. мед. н., доцент О. А. Алєксєєнко) та лабораторії електронної мікроскопії (завідувач – д. мед. н., професор І. В. Твердохліб).</w:t>
      </w:r>
    </w:p>
    <w:p w:rsidR="004850FF" w:rsidRPr="00BE086B" w:rsidRDefault="004850FF" w:rsidP="00A07082">
      <w:pPr>
        <w:pStyle w:val="af0"/>
        <w:ind w:firstLine="709"/>
        <w:rPr>
          <w:b/>
          <w:bCs/>
          <w:sz w:val="28"/>
          <w:szCs w:val="28"/>
        </w:rPr>
      </w:pPr>
    </w:p>
    <w:p w:rsidR="004850FF" w:rsidRPr="00BE086B" w:rsidRDefault="004850FF" w:rsidP="009003E4">
      <w:pPr>
        <w:pStyle w:val="af0"/>
        <w:ind w:firstLine="709"/>
        <w:jc w:val="both"/>
        <w:rPr>
          <w:sz w:val="28"/>
          <w:szCs w:val="28"/>
        </w:rPr>
      </w:pPr>
      <w:r w:rsidRPr="00BE086B">
        <w:rPr>
          <w:b/>
          <w:bCs/>
          <w:sz w:val="28"/>
          <w:szCs w:val="28"/>
        </w:rPr>
        <w:t>2.1. Характеристика лабораторних тварин, використаних в експериментальних дослідженнях</w:t>
      </w:r>
    </w:p>
    <w:p w:rsidR="004850FF" w:rsidRPr="00BE086B" w:rsidRDefault="004850FF" w:rsidP="00A07082">
      <w:pPr>
        <w:pStyle w:val="af0"/>
        <w:ind w:firstLine="709"/>
        <w:rPr>
          <w:b/>
          <w:bCs/>
          <w:i/>
          <w:sz w:val="28"/>
          <w:szCs w:val="28"/>
        </w:rPr>
      </w:pPr>
    </w:p>
    <w:p w:rsidR="004850FF" w:rsidRPr="00BE086B" w:rsidRDefault="004850FF" w:rsidP="00A07082">
      <w:pPr>
        <w:spacing w:line="360" w:lineRule="auto"/>
        <w:ind w:firstLine="709"/>
        <w:jc w:val="both"/>
        <w:rPr>
          <w:sz w:val="28"/>
          <w:szCs w:val="28"/>
          <w:lang w:eastAsia="en-US"/>
        </w:rPr>
      </w:pPr>
      <w:r w:rsidRPr="00BE086B">
        <w:rPr>
          <w:sz w:val="28"/>
          <w:szCs w:val="28"/>
        </w:rPr>
        <w:t xml:space="preserve">Експериментальні дослідження проведені на 720 білих статевозрілих нелінійних щурах обох статей вагою 230-250 г. Тварини обох статей знаходилися на стандартному раціоні та в стандартних умовах утримання у віварії ДЗ «ДМА МОЗ України» (температура повітря: 22 ± 2°C, світлий/темний цикл: 12/12 годин) відповідно до санітарно-гігієнічних норм та отримували їжу та воду </w:t>
      </w:r>
      <w:r w:rsidRPr="00BE086B">
        <w:rPr>
          <w:i/>
          <w:iCs/>
          <w:sz w:val="28"/>
          <w:szCs w:val="28"/>
        </w:rPr>
        <w:t>ad</w:t>
      </w:r>
      <w:r w:rsidRPr="00BE086B">
        <w:rPr>
          <w:sz w:val="28"/>
          <w:szCs w:val="28"/>
        </w:rPr>
        <w:t xml:space="preserve"> </w:t>
      </w:r>
      <w:r w:rsidRPr="00BE086B">
        <w:rPr>
          <w:i/>
          <w:iCs/>
          <w:sz w:val="28"/>
          <w:szCs w:val="28"/>
        </w:rPr>
        <w:t>libitum</w:t>
      </w:r>
      <w:r w:rsidRPr="00BE086B">
        <w:rPr>
          <w:iCs/>
          <w:sz w:val="28"/>
          <w:szCs w:val="28"/>
        </w:rPr>
        <w:t xml:space="preserve"> [427]</w:t>
      </w:r>
      <w:r w:rsidRPr="00BE086B">
        <w:rPr>
          <w:sz w:val="28"/>
          <w:szCs w:val="28"/>
        </w:rPr>
        <w:t>.</w:t>
      </w:r>
    </w:p>
    <w:p w:rsidR="004850FF" w:rsidRPr="00BE086B" w:rsidRDefault="004850FF" w:rsidP="00A07082">
      <w:pPr>
        <w:spacing w:line="360" w:lineRule="auto"/>
        <w:ind w:firstLine="709"/>
        <w:jc w:val="both"/>
        <w:rPr>
          <w:sz w:val="28"/>
          <w:szCs w:val="28"/>
        </w:rPr>
      </w:pPr>
      <w:r w:rsidRPr="00BE086B">
        <w:rPr>
          <w:sz w:val="28"/>
          <w:szCs w:val="28"/>
          <w:lang w:eastAsia="ar-SA"/>
        </w:rPr>
        <w:t xml:space="preserve">Усі маніпуляції проводились при дотриманні принципів біоетики у відповідності з положенням Європейської конвенції щодо захисту хребетних тварин, яких використовують в експериментальних та інших наукових цілях (European convention for the protection of vertebrate animals used for experimental and other scientific purposes, Страсбург, 1986) </w:t>
      </w:r>
      <w:r w:rsidRPr="00BE086B">
        <w:rPr>
          <w:iCs/>
          <w:sz w:val="28"/>
          <w:szCs w:val="28"/>
        </w:rPr>
        <w:t>[428]</w:t>
      </w:r>
      <w:r w:rsidRPr="00BE086B">
        <w:rPr>
          <w:sz w:val="28"/>
          <w:szCs w:val="28"/>
          <w:lang w:eastAsia="ar-SA"/>
        </w:rPr>
        <w:t xml:space="preserve">, Закону України «Про </w:t>
      </w:r>
      <w:r w:rsidRPr="00BE086B">
        <w:rPr>
          <w:sz w:val="28"/>
          <w:szCs w:val="28"/>
          <w:lang w:eastAsia="ar-SA"/>
        </w:rPr>
        <w:lastRenderedPageBreak/>
        <w:t>захист тварин від жорстокого поводження» (№ 1759-VI від 15.12.2009) та Директиви Європейського Союзу 2010/10/63 EU щодо експериментів на тваринах,</w:t>
      </w:r>
      <w:r w:rsidRPr="00BE086B">
        <w:rPr>
          <w:sz w:val="28"/>
          <w:szCs w:val="28"/>
        </w:rPr>
        <w:t xml:space="preserve"> </w:t>
      </w:r>
      <w:r w:rsidRPr="00BE086B">
        <w:rPr>
          <w:sz w:val="28"/>
          <w:szCs w:val="28"/>
          <w:lang w:eastAsia="ar-SA"/>
        </w:rPr>
        <w:t xml:space="preserve">що підтверджено комісією з біоетики </w:t>
      </w:r>
      <w:r w:rsidRPr="00BE086B">
        <w:rPr>
          <w:sz w:val="28"/>
          <w:szCs w:val="28"/>
        </w:rPr>
        <w:t xml:space="preserve">ДЗ «ДМА МОЗ України» на початку та після проведення досліджень (протокол №1 від 18.01.2015 р. та протокол №5 від 02.09.2020 р.) </w:t>
      </w:r>
      <w:r w:rsidRPr="00BE086B">
        <w:rPr>
          <w:iCs/>
          <w:sz w:val="28"/>
          <w:szCs w:val="28"/>
        </w:rPr>
        <w:t>[429-431]</w:t>
      </w:r>
      <w:r w:rsidRPr="00BE086B">
        <w:rPr>
          <w:sz w:val="28"/>
          <w:szCs w:val="28"/>
        </w:rPr>
        <w:t>.</w:t>
      </w:r>
    </w:p>
    <w:p w:rsidR="004850FF" w:rsidRPr="00BE086B" w:rsidRDefault="004850FF" w:rsidP="009003E4">
      <w:pPr>
        <w:pStyle w:val="af0"/>
        <w:ind w:firstLine="709"/>
        <w:jc w:val="both"/>
        <w:rPr>
          <w:b/>
          <w:bCs/>
          <w:sz w:val="28"/>
          <w:szCs w:val="28"/>
        </w:rPr>
      </w:pPr>
    </w:p>
    <w:p w:rsidR="004850FF" w:rsidRPr="00BE086B" w:rsidRDefault="004850FF" w:rsidP="009003E4">
      <w:pPr>
        <w:pStyle w:val="af0"/>
        <w:ind w:firstLine="709"/>
        <w:jc w:val="both"/>
        <w:rPr>
          <w:sz w:val="28"/>
          <w:szCs w:val="28"/>
        </w:rPr>
      </w:pPr>
      <w:r w:rsidRPr="00BE086B">
        <w:rPr>
          <w:b/>
          <w:bCs/>
          <w:sz w:val="28"/>
          <w:szCs w:val="28"/>
        </w:rPr>
        <w:t>2.2. Характеристика лікарських засобів, які використані в дослідженні</w:t>
      </w:r>
    </w:p>
    <w:p w:rsidR="004850FF" w:rsidRPr="00BE086B" w:rsidRDefault="004850FF" w:rsidP="00A07082">
      <w:pPr>
        <w:pStyle w:val="af0"/>
        <w:ind w:firstLine="709"/>
        <w:rPr>
          <w:b/>
          <w:bCs/>
          <w:i/>
          <w:sz w:val="28"/>
          <w:szCs w:val="28"/>
        </w:rPr>
      </w:pPr>
    </w:p>
    <w:p w:rsidR="004850FF" w:rsidRPr="00BE086B" w:rsidRDefault="004850FF" w:rsidP="00A07082">
      <w:pPr>
        <w:spacing w:line="360" w:lineRule="auto"/>
        <w:ind w:firstLine="709"/>
        <w:jc w:val="both"/>
        <w:rPr>
          <w:sz w:val="28"/>
          <w:szCs w:val="28"/>
          <w:lang w:eastAsia="en-US"/>
        </w:rPr>
      </w:pPr>
      <w:r w:rsidRPr="00BE086B">
        <w:rPr>
          <w:sz w:val="28"/>
          <w:szCs w:val="28"/>
        </w:rPr>
        <w:t>В процесі проведення експериментальних досліджень лікарські засоби - НПЗЗ, парацетамол та L-тироксин - вводили внутрішньошлунково один раз на добу, а хондроїтину сульфат - внутрішньом'язово один раз на добу (табл. 2.1). Для отримання однорідної суспензії при внутрішньошлунковому введенні таблетованих форм використаний розчин Твіну-80 (Полісорбат 80, Україна). В процесі виконання дослідження оцінка дії ЛЗ проводилась після однократного або 5-ти добового введення засобів в залежності від умов проведення експерименту.</w:t>
      </w:r>
    </w:p>
    <w:p w:rsidR="004850FF" w:rsidRPr="00BE086B" w:rsidRDefault="004850FF" w:rsidP="00A07082">
      <w:pPr>
        <w:pStyle w:val="15"/>
        <w:tabs>
          <w:tab w:val="left" w:pos="4395"/>
        </w:tabs>
        <w:spacing w:line="360" w:lineRule="auto"/>
        <w:ind w:firstLine="709"/>
        <w:jc w:val="both"/>
        <w:rPr>
          <w:rFonts w:ascii="Times New Roman" w:hAnsi="Times New Roman" w:cs="Times New Roman"/>
          <w:sz w:val="28"/>
          <w:szCs w:val="28"/>
        </w:rPr>
      </w:pPr>
      <w:r w:rsidRPr="00BE086B">
        <w:rPr>
          <w:rFonts w:ascii="Times New Roman" w:hAnsi="Times New Roman" w:cs="Times New Roman"/>
          <w:sz w:val="28"/>
          <w:szCs w:val="28"/>
        </w:rPr>
        <w:t xml:space="preserve">Вибір лікарських препаратів заснований на вимогах клінічних настанов для первинної медичної допомоги з лікування остеоартрозу та гіпотиреозу людини </w:t>
      </w:r>
      <w:r w:rsidRPr="00BE086B">
        <w:rPr>
          <w:rFonts w:ascii="Times New Roman" w:hAnsi="Times New Roman" w:cs="Times New Roman"/>
          <w:iCs/>
          <w:sz w:val="28"/>
          <w:szCs w:val="28"/>
        </w:rPr>
        <w:t>[33, 295]</w:t>
      </w:r>
      <w:r w:rsidRPr="00BE086B">
        <w:rPr>
          <w:rFonts w:ascii="Times New Roman" w:hAnsi="Times New Roman" w:cs="Times New Roman"/>
          <w:sz w:val="28"/>
          <w:szCs w:val="28"/>
        </w:rPr>
        <w:t>.</w:t>
      </w:r>
    </w:p>
    <w:p w:rsidR="004850FF" w:rsidRPr="00BE086B" w:rsidRDefault="004850FF" w:rsidP="00A07082">
      <w:pPr>
        <w:spacing w:line="360" w:lineRule="auto"/>
        <w:ind w:firstLine="709"/>
        <w:jc w:val="both"/>
        <w:rPr>
          <w:sz w:val="28"/>
          <w:szCs w:val="28"/>
        </w:rPr>
      </w:pPr>
      <w:r w:rsidRPr="00BE086B">
        <w:rPr>
          <w:sz w:val="28"/>
          <w:szCs w:val="28"/>
        </w:rPr>
        <w:t xml:space="preserve">В роботі на різних етапах експериментів використовувались дози дослідних препаратів, які були обрані на основі розрахунку, виходячи з середніх та максимальних доз людини </w:t>
      </w:r>
      <w:r w:rsidRPr="00BE086B">
        <w:rPr>
          <w:iCs/>
          <w:sz w:val="28"/>
          <w:szCs w:val="28"/>
        </w:rPr>
        <w:t xml:space="preserve">[432] або </w:t>
      </w:r>
      <w:r w:rsidRPr="00BE086B">
        <w:rPr>
          <w:sz w:val="28"/>
          <w:szCs w:val="28"/>
        </w:rPr>
        <w:t>запозичені з літературних джерел, що знаходилися в діапазоні терапевтичних (ЕД</w:t>
      </w:r>
      <w:r w:rsidRPr="00BE086B">
        <w:rPr>
          <w:sz w:val="28"/>
          <w:szCs w:val="28"/>
          <w:vertAlign w:val="subscript"/>
        </w:rPr>
        <w:t>50</w:t>
      </w:r>
      <w:r w:rsidRPr="00BE086B">
        <w:rPr>
          <w:sz w:val="28"/>
          <w:szCs w:val="28"/>
        </w:rPr>
        <w:t xml:space="preserve">) та рекомендовані у доклінічних дослідженнях </w:t>
      </w:r>
      <w:r w:rsidRPr="00BE086B">
        <w:rPr>
          <w:iCs/>
          <w:sz w:val="28"/>
          <w:szCs w:val="28"/>
        </w:rPr>
        <w:t>[427]</w:t>
      </w:r>
      <w:r w:rsidRPr="00BE086B">
        <w:rPr>
          <w:sz w:val="28"/>
          <w:szCs w:val="28"/>
        </w:rPr>
        <w:t xml:space="preserve">. Контрольна група тварин одержувала дистильовану воду. Ненаркотичний анальгетик парацетамол (150; 300 мг/кг) </w:t>
      </w:r>
      <w:r w:rsidRPr="00BE086B">
        <w:rPr>
          <w:iCs/>
          <w:sz w:val="28"/>
          <w:szCs w:val="28"/>
        </w:rPr>
        <w:t>[433-435]</w:t>
      </w:r>
      <w:r w:rsidRPr="00BE086B">
        <w:rPr>
          <w:sz w:val="28"/>
          <w:szCs w:val="28"/>
        </w:rPr>
        <w:t xml:space="preserve">; НПЗЗ – диклофенак натрію (10; 12 мг/кг) </w:t>
      </w:r>
      <w:r w:rsidRPr="00BE086B">
        <w:rPr>
          <w:iCs/>
          <w:sz w:val="28"/>
          <w:szCs w:val="28"/>
        </w:rPr>
        <w:t>[433, 434, 436-438]</w:t>
      </w:r>
      <w:r w:rsidRPr="00BE086B">
        <w:rPr>
          <w:sz w:val="28"/>
          <w:szCs w:val="28"/>
        </w:rPr>
        <w:t xml:space="preserve">, ібупрофен (5; 7 мг/кг) </w:t>
      </w:r>
      <w:r w:rsidRPr="00BE086B">
        <w:rPr>
          <w:iCs/>
          <w:sz w:val="28"/>
          <w:szCs w:val="28"/>
        </w:rPr>
        <w:t>[435, 439]</w:t>
      </w:r>
      <w:r w:rsidRPr="00BE086B">
        <w:rPr>
          <w:sz w:val="28"/>
          <w:szCs w:val="28"/>
        </w:rPr>
        <w:t xml:space="preserve">, німесулід (80; 100 мг/кг) </w:t>
      </w:r>
      <w:r w:rsidRPr="00BE086B">
        <w:rPr>
          <w:iCs/>
          <w:sz w:val="28"/>
          <w:szCs w:val="28"/>
        </w:rPr>
        <w:t>[440-443]</w:t>
      </w:r>
      <w:r w:rsidRPr="00BE086B">
        <w:rPr>
          <w:sz w:val="28"/>
          <w:szCs w:val="28"/>
        </w:rPr>
        <w:t xml:space="preserve">, мелоксикам (10; 12 мг/кг) </w:t>
      </w:r>
      <w:r w:rsidRPr="00BE086B">
        <w:rPr>
          <w:iCs/>
          <w:sz w:val="28"/>
          <w:szCs w:val="28"/>
        </w:rPr>
        <w:t>[435, 436, 444, 445]</w:t>
      </w:r>
      <w:r w:rsidRPr="00BE086B">
        <w:rPr>
          <w:sz w:val="28"/>
          <w:szCs w:val="28"/>
        </w:rPr>
        <w:t xml:space="preserve">, целекоксиб (50; 60 мг/кг) </w:t>
      </w:r>
      <w:r w:rsidRPr="00BE086B">
        <w:rPr>
          <w:iCs/>
          <w:sz w:val="28"/>
          <w:szCs w:val="28"/>
        </w:rPr>
        <w:t>[433-435, 440, 442, 446]</w:t>
      </w:r>
      <w:r w:rsidRPr="00BE086B">
        <w:rPr>
          <w:sz w:val="28"/>
          <w:szCs w:val="28"/>
        </w:rPr>
        <w:t xml:space="preserve">; гормональний препарат – L-тироксин (1,5 мкг/кг) </w:t>
      </w:r>
      <w:r w:rsidRPr="00BE086B">
        <w:rPr>
          <w:iCs/>
          <w:sz w:val="28"/>
          <w:szCs w:val="28"/>
        </w:rPr>
        <w:t>[447-</w:t>
      </w:r>
      <w:r w:rsidRPr="00BE086B">
        <w:rPr>
          <w:iCs/>
          <w:sz w:val="28"/>
          <w:szCs w:val="28"/>
        </w:rPr>
        <w:lastRenderedPageBreak/>
        <w:t>449]</w:t>
      </w:r>
      <w:r w:rsidRPr="00BE086B">
        <w:rPr>
          <w:sz w:val="28"/>
          <w:szCs w:val="28"/>
        </w:rPr>
        <w:t xml:space="preserve">; протиревматичний препарат хондропротекторної дії – хондроїтину сульфат (0,24; 5 мл) </w:t>
      </w:r>
      <w:r w:rsidRPr="00BE086B">
        <w:rPr>
          <w:iCs/>
          <w:sz w:val="28"/>
          <w:szCs w:val="28"/>
        </w:rPr>
        <w:t>[432, 453, 454] (табл. 2.1)</w:t>
      </w:r>
      <w:r w:rsidRPr="00BE086B">
        <w:rPr>
          <w:sz w:val="28"/>
          <w:szCs w:val="28"/>
        </w:rPr>
        <w:t>.</w:t>
      </w:r>
    </w:p>
    <w:p w:rsidR="004850FF" w:rsidRPr="00BE086B" w:rsidRDefault="004850FF" w:rsidP="00A07082">
      <w:pPr>
        <w:pStyle w:val="15"/>
        <w:spacing w:line="360" w:lineRule="auto"/>
        <w:ind w:firstLine="709"/>
        <w:jc w:val="right"/>
        <w:rPr>
          <w:rFonts w:ascii="Times New Roman" w:hAnsi="Times New Roman" w:cs="Times New Roman"/>
          <w:sz w:val="28"/>
          <w:szCs w:val="28"/>
        </w:rPr>
      </w:pPr>
      <w:r w:rsidRPr="00BE086B">
        <w:rPr>
          <w:rFonts w:ascii="Times New Roman" w:hAnsi="Times New Roman" w:cs="Times New Roman"/>
          <w:i/>
          <w:iCs/>
          <w:sz w:val="28"/>
          <w:szCs w:val="28"/>
        </w:rPr>
        <w:t>Таблиця 2.1</w:t>
      </w:r>
    </w:p>
    <w:p w:rsidR="004850FF" w:rsidRPr="00BE086B" w:rsidRDefault="004850FF" w:rsidP="00A07082">
      <w:pPr>
        <w:pStyle w:val="af0"/>
        <w:ind w:firstLine="709"/>
        <w:jc w:val="center"/>
        <w:rPr>
          <w:b/>
          <w:sz w:val="28"/>
          <w:szCs w:val="28"/>
        </w:rPr>
      </w:pPr>
      <w:r w:rsidRPr="00BE086B">
        <w:rPr>
          <w:b/>
          <w:sz w:val="28"/>
          <w:szCs w:val="28"/>
        </w:rPr>
        <w:t>Групи фармакологічних засобів</w:t>
      </w:r>
    </w:p>
    <w:tbl>
      <w:tblPr>
        <w:tblW w:w="101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3828"/>
        <w:gridCol w:w="1417"/>
        <w:gridCol w:w="1559"/>
        <w:gridCol w:w="1209"/>
      </w:tblGrid>
      <w:tr w:rsidR="004850FF" w:rsidRPr="00BE086B" w:rsidTr="00B53875">
        <w:tc>
          <w:tcPr>
            <w:tcW w:w="2127" w:type="dxa"/>
            <w:shd w:val="clear" w:color="auto" w:fill="auto"/>
          </w:tcPr>
          <w:p w:rsidR="004850FF" w:rsidRPr="00BE086B" w:rsidRDefault="004850FF" w:rsidP="009003E4">
            <w:pPr>
              <w:pStyle w:val="af0"/>
              <w:spacing w:line="240" w:lineRule="auto"/>
              <w:jc w:val="center"/>
              <w:rPr>
                <w:b/>
                <w:sz w:val="24"/>
              </w:rPr>
            </w:pPr>
            <w:r w:rsidRPr="00BE086B">
              <w:rPr>
                <w:b/>
                <w:bCs/>
                <w:sz w:val="24"/>
                <w:lang w:eastAsia="ru-RU"/>
              </w:rPr>
              <w:t>Фармакологічна</w:t>
            </w:r>
          </w:p>
          <w:p w:rsidR="004850FF" w:rsidRPr="00BE086B" w:rsidRDefault="004850FF" w:rsidP="009003E4">
            <w:pPr>
              <w:pStyle w:val="af0"/>
              <w:spacing w:line="240" w:lineRule="auto"/>
              <w:jc w:val="center"/>
              <w:rPr>
                <w:b/>
                <w:sz w:val="24"/>
              </w:rPr>
            </w:pPr>
            <w:r w:rsidRPr="00BE086B">
              <w:rPr>
                <w:b/>
                <w:bCs/>
                <w:sz w:val="24"/>
                <w:lang w:eastAsia="ru-RU"/>
              </w:rPr>
              <w:t>група</w:t>
            </w:r>
          </w:p>
        </w:tc>
        <w:tc>
          <w:tcPr>
            <w:tcW w:w="3828" w:type="dxa"/>
            <w:shd w:val="clear" w:color="auto" w:fill="auto"/>
          </w:tcPr>
          <w:p w:rsidR="004850FF" w:rsidRPr="00BE086B" w:rsidRDefault="004850FF" w:rsidP="009003E4">
            <w:pPr>
              <w:pStyle w:val="af0"/>
              <w:spacing w:line="240" w:lineRule="auto"/>
              <w:jc w:val="center"/>
              <w:rPr>
                <w:b/>
                <w:sz w:val="24"/>
              </w:rPr>
            </w:pPr>
            <w:r w:rsidRPr="00BE086B">
              <w:rPr>
                <w:b/>
                <w:bCs/>
                <w:sz w:val="24"/>
                <w:lang w:eastAsia="ru-RU"/>
              </w:rPr>
              <w:t>Назва діючої речовини</w:t>
            </w:r>
          </w:p>
          <w:p w:rsidR="004850FF" w:rsidRPr="00BE086B" w:rsidRDefault="004850FF" w:rsidP="009003E4">
            <w:pPr>
              <w:pStyle w:val="af0"/>
              <w:spacing w:line="240" w:lineRule="auto"/>
              <w:jc w:val="center"/>
              <w:rPr>
                <w:b/>
                <w:bCs/>
                <w:sz w:val="24"/>
                <w:lang w:eastAsia="ru-RU"/>
              </w:rPr>
            </w:pPr>
            <w:r w:rsidRPr="00BE086B">
              <w:rPr>
                <w:b/>
                <w:bCs/>
                <w:sz w:val="24"/>
                <w:lang w:eastAsia="ru-RU"/>
              </w:rPr>
              <w:t>(Торгова назва, виробник,</w:t>
            </w:r>
          </w:p>
          <w:p w:rsidR="004850FF" w:rsidRPr="00BE086B" w:rsidRDefault="004850FF" w:rsidP="009003E4">
            <w:pPr>
              <w:pStyle w:val="af0"/>
              <w:spacing w:line="240" w:lineRule="auto"/>
              <w:jc w:val="center"/>
              <w:rPr>
                <w:b/>
                <w:sz w:val="24"/>
              </w:rPr>
            </w:pPr>
            <w:r w:rsidRPr="00BE086B">
              <w:rPr>
                <w:b/>
                <w:bCs/>
                <w:sz w:val="24"/>
                <w:lang w:eastAsia="ru-RU"/>
              </w:rPr>
              <w:t>№ серії)</w:t>
            </w:r>
          </w:p>
        </w:tc>
        <w:tc>
          <w:tcPr>
            <w:tcW w:w="1417" w:type="dxa"/>
            <w:shd w:val="clear" w:color="auto" w:fill="auto"/>
          </w:tcPr>
          <w:p w:rsidR="004850FF" w:rsidRPr="00BE086B" w:rsidRDefault="004850FF" w:rsidP="009003E4">
            <w:pPr>
              <w:pStyle w:val="af0"/>
              <w:spacing w:line="240" w:lineRule="auto"/>
              <w:jc w:val="center"/>
              <w:rPr>
                <w:b/>
                <w:sz w:val="24"/>
              </w:rPr>
            </w:pPr>
            <w:r w:rsidRPr="00BE086B">
              <w:rPr>
                <w:b/>
                <w:bCs/>
                <w:sz w:val="24"/>
                <w:lang w:eastAsia="ru-RU"/>
              </w:rPr>
              <w:t>Доза препарату</w:t>
            </w:r>
          </w:p>
        </w:tc>
        <w:tc>
          <w:tcPr>
            <w:tcW w:w="1559" w:type="dxa"/>
            <w:shd w:val="clear" w:color="auto" w:fill="auto"/>
          </w:tcPr>
          <w:p w:rsidR="004850FF" w:rsidRPr="00BE086B" w:rsidRDefault="004850FF" w:rsidP="009003E4">
            <w:pPr>
              <w:pStyle w:val="af0"/>
              <w:spacing w:line="240" w:lineRule="auto"/>
              <w:jc w:val="center"/>
              <w:rPr>
                <w:b/>
                <w:sz w:val="24"/>
              </w:rPr>
            </w:pPr>
            <w:r w:rsidRPr="00BE086B">
              <w:rPr>
                <w:b/>
                <w:bCs/>
                <w:sz w:val="24"/>
                <w:lang w:eastAsia="ru-RU"/>
              </w:rPr>
              <w:t>Літературні посилання</w:t>
            </w:r>
          </w:p>
        </w:tc>
        <w:tc>
          <w:tcPr>
            <w:tcW w:w="1209" w:type="dxa"/>
            <w:shd w:val="clear" w:color="auto" w:fill="auto"/>
            <w:vAlign w:val="center"/>
          </w:tcPr>
          <w:p w:rsidR="004850FF" w:rsidRPr="00BE086B" w:rsidRDefault="004850FF" w:rsidP="009003E4">
            <w:pPr>
              <w:pStyle w:val="af0"/>
              <w:spacing w:line="240" w:lineRule="auto"/>
              <w:jc w:val="center"/>
              <w:rPr>
                <w:b/>
                <w:sz w:val="24"/>
              </w:rPr>
            </w:pPr>
            <w:r w:rsidRPr="00BE086B">
              <w:rPr>
                <w:b/>
                <w:bCs/>
                <w:sz w:val="24"/>
                <w:lang w:eastAsia="ru-RU"/>
              </w:rPr>
              <w:t>Форма випуску</w:t>
            </w:r>
          </w:p>
        </w:tc>
      </w:tr>
      <w:tr w:rsidR="004850FF" w:rsidRPr="00BE086B" w:rsidTr="00B53875">
        <w:tc>
          <w:tcPr>
            <w:tcW w:w="2127" w:type="dxa"/>
            <w:shd w:val="clear" w:color="auto" w:fill="auto"/>
          </w:tcPr>
          <w:p w:rsidR="004850FF" w:rsidRPr="00BE086B" w:rsidRDefault="004850FF" w:rsidP="009003E4">
            <w:pPr>
              <w:pStyle w:val="af0"/>
              <w:spacing w:line="240" w:lineRule="auto"/>
              <w:jc w:val="center"/>
              <w:rPr>
                <w:bCs/>
                <w:sz w:val="24"/>
                <w:lang w:eastAsia="ru-RU"/>
              </w:rPr>
            </w:pPr>
            <w:r w:rsidRPr="00BE086B">
              <w:rPr>
                <w:bCs/>
                <w:sz w:val="24"/>
                <w:lang w:eastAsia="ru-RU"/>
              </w:rPr>
              <w:t>1</w:t>
            </w:r>
          </w:p>
        </w:tc>
        <w:tc>
          <w:tcPr>
            <w:tcW w:w="3828" w:type="dxa"/>
            <w:shd w:val="clear" w:color="auto" w:fill="auto"/>
          </w:tcPr>
          <w:p w:rsidR="004850FF" w:rsidRPr="00BE086B" w:rsidRDefault="004850FF" w:rsidP="009003E4">
            <w:pPr>
              <w:pStyle w:val="af0"/>
              <w:spacing w:line="240" w:lineRule="auto"/>
              <w:jc w:val="center"/>
              <w:rPr>
                <w:bCs/>
                <w:sz w:val="24"/>
                <w:lang w:eastAsia="ru-RU"/>
              </w:rPr>
            </w:pPr>
            <w:r w:rsidRPr="00BE086B">
              <w:rPr>
                <w:bCs/>
                <w:sz w:val="24"/>
                <w:lang w:eastAsia="ru-RU"/>
              </w:rPr>
              <w:t>2</w:t>
            </w:r>
          </w:p>
        </w:tc>
        <w:tc>
          <w:tcPr>
            <w:tcW w:w="1417" w:type="dxa"/>
            <w:shd w:val="clear" w:color="auto" w:fill="auto"/>
          </w:tcPr>
          <w:p w:rsidR="004850FF" w:rsidRPr="00BE086B" w:rsidRDefault="004850FF" w:rsidP="009003E4">
            <w:pPr>
              <w:pStyle w:val="af0"/>
              <w:spacing w:line="240" w:lineRule="auto"/>
              <w:jc w:val="center"/>
              <w:rPr>
                <w:bCs/>
                <w:sz w:val="24"/>
                <w:lang w:eastAsia="ru-RU"/>
              </w:rPr>
            </w:pPr>
            <w:r w:rsidRPr="00BE086B">
              <w:rPr>
                <w:bCs/>
                <w:sz w:val="24"/>
                <w:lang w:eastAsia="ru-RU"/>
              </w:rPr>
              <w:t>3</w:t>
            </w:r>
          </w:p>
        </w:tc>
        <w:tc>
          <w:tcPr>
            <w:tcW w:w="1559" w:type="dxa"/>
            <w:shd w:val="clear" w:color="auto" w:fill="auto"/>
          </w:tcPr>
          <w:p w:rsidR="004850FF" w:rsidRPr="00BE086B" w:rsidRDefault="004850FF" w:rsidP="009003E4">
            <w:pPr>
              <w:pStyle w:val="af0"/>
              <w:spacing w:line="240" w:lineRule="auto"/>
              <w:jc w:val="center"/>
              <w:rPr>
                <w:bCs/>
                <w:sz w:val="24"/>
                <w:lang w:eastAsia="ru-RU"/>
              </w:rPr>
            </w:pPr>
            <w:r w:rsidRPr="00BE086B">
              <w:rPr>
                <w:bCs/>
                <w:sz w:val="24"/>
                <w:lang w:eastAsia="ru-RU"/>
              </w:rPr>
              <w:t>4</w:t>
            </w:r>
          </w:p>
        </w:tc>
        <w:tc>
          <w:tcPr>
            <w:tcW w:w="1209" w:type="dxa"/>
            <w:shd w:val="clear" w:color="auto" w:fill="auto"/>
            <w:vAlign w:val="center"/>
          </w:tcPr>
          <w:p w:rsidR="004850FF" w:rsidRPr="00BE086B" w:rsidRDefault="004850FF" w:rsidP="009003E4">
            <w:pPr>
              <w:pStyle w:val="af0"/>
              <w:spacing w:line="240" w:lineRule="auto"/>
              <w:jc w:val="center"/>
              <w:rPr>
                <w:bCs/>
                <w:sz w:val="24"/>
                <w:lang w:eastAsia="ru-RU"/>
              </w:rPr>
            </w:pPr>
            <w:r w:rsidRPr="00BE086B">
              <w:rPr>
                <w:bCs/>
                <w:sz w:val="24"/>
                <w:lang w:eastAsia="ru-RU"/>
              </w:rPr>
              <w:t>5</w:t>
            </w:r>
          </w:p>
        </w:tc>
      </w:tr>
      <w:tr w:rsidR="004850FF" w:rsidRPr="00BE086B" w:rsidTr="00B53875">
        <w:tc>
          <w:tcPr>
            <w:tcW w:w="2127" w:type="dxa"/>
            <w:shd w:val="clear" w:color="auto" w:fill="auto"/>
          </w:tcPr>
          <w:p w:rsidR="004850FF" w:rsidRPr="00BE086B" w:rsidRDefault="004850FF" w:rsidP="009003E4">
            <w:pPr>
              <w:pStyle w:val="af0"/>
              <w:spacing w:line="240" w:lineRule="auto"/>
              <w:jc w:val="center"/>
              <w:rPr>
                <w:sz w:val="24"/>
              </w:rPr>
            </w:pPr>
            <w:r w:rsidRPr="00BE086B">
              <w:rPr>
                <w:sz w:val="24"/>
                <w:lang w:eastAsia="ru-RU"/>
              </w:rPr>
              <w:t>Неопіоїдні анальгетики</w:t>
            </w:r>
          </w:p>
        </w:tc>
        <w:tc>
          <w:tcPr>
            <w:tcW w:w="3828" w:type="dxa"/>
            <w:shd w:val="clear" w:color="auto" w:fill="auto"/>
            <w:vAlign w:val="center"/>
          </w:tcPr>
          <w:p w:rsidR="004850FF" w:rsidRPr="00BE086B" w:rsidRDefault="004850FF" w:rsidP="009003E4">
            <w:pPr>
              <w:pStyle w:val="af0"/>
              <w:spacing w:line="240" w:lineRule="auto"/>
              <w:jc w:val="center"/>
              <w:rPr>
                <w:sz w:val="24"/>
              </w:rPr>
            </w:pPr>
            <w:r w:rsidRPr="00BE086B">
              <w:rPr>
                <w:iCs/>
                <w:sz w:val="24"/>
                <w:lang w:eastAsia="ru-RU"/>
              </w:rPr>
              <w:t>Пара-ацетамінофенол</w:t>
            </w:r>
          </w:p>
          <w:p w:rsidR="004850FF" w:rsidRPr="00BE086B" w:rsidRDefault="004850FF" w:rsidP="009003E4">
            <w:pPr>
              <w:pStyle w:val="af0"/>
              <w:spacing w:line="240" w:lineRule="auto"/>
              <w:jc w:val="center"/>
              <w:rPr>
                <w:sz w:val="24"/>
              </w:rPr>
            </w:pPr>
            <w:r w:rsidRPr="00BE086B">
              <w:rPr>
                <w:iCs/>
                <w:sz w:val="24"/>
                <w:lang w:eastAsia="ru-RU"/>
              </w:rPr>
              <w:t>(</w:t>
            </w:r>
            <w:r w:rsidRPr="00BE086B">
              <w:rPr>
                <w:sz w:val="24"/>
              </w:rPr>
              <w:t xml:space="preserve">препарат </w:t>
            </w:r>
            <w:r w:rsidRPr="00BE086B">
              <w:rPr>
                <w:spacing w:val="6"/>
                <w:sz w:val="24"/>
              </w:rPr>
              <w:t>«</w:t>
            </w:r>
            <w:r w:rsidRPr="00BE086B">
              <w:rPr>
                <w:iCs/>
                <w:sz w:val="24"/>
                <w:lang w:eastAsia="ru-RU"/>
              </w:rPr>
              <w:t>Парацетамол-Дарниця</w:t>
            </w:r>
            <w:r w:rsidRPr="00BE086B">
              <w:rPr>
                <w:sz w:val="24"/>
              </w:rPr>
              <w:t>»</w:t>
            </w:r>
            <w:r w:rsidRPr="00BE086B">
              <w:rPr>
                <w:iCs/>
                <w:sz w:val="24"/>
                <w:lang w:eastAsia="ru-RU"/>
              </w:rPr>
              <w:t xml:space="preserve">, </w:t>
            </w:r>
            <w:r w:rsidRPr="00BE086B">
              <w:rPr>
                <w:sz w:val="24"/>
              </w:rPr>
              <w:t>виробник</w:t>
            </w:r>
            <w:r w:rsidRPr="00BE086B">
              <w:rPr>
                <w:iCs/>
                <w:sz w:val="24"/>
                <w:lang w:eastAsia="ru-RU"/>
              </w:rPr>
              <w:t xml:space="preserve"> ЗАТ «Фармацетивтична фірма «Дарниця», Україна), серія РН270319, код АТС </w:t>
            </w:r>
            <w:r w:rsidRPr="00BE086B">
              <w:rPr>
                <w:iCs/>
                <w:sz w:val="24"/>
                <w:lang w:val="en-US" w:eastAsia="ru-RU"/>
              </w:rPr>
              <w:t>N</w:t>
            </w:r>
            <w:r w:rsidRPr="00BE086B">
              <w:rPr>
                <w:iCs/>
                <w:sz w:val="24"/>
                <w:lang w:eastAsia="ru-RU"/>
              </w:rPr>
              <w:t>02</w:t>
            </w:r>
            <w:r w:rsidRPr="00BE086B">
              <w:rPr>
                <w:iCs/>
                <w:sz w:val="24"/>
                <w:lang w:val="en-US" w:eastAsia="ru-RU"/>
              </w:rPr>
              <w:t>BE</w:t>
            </w:r>
            <w:r w:rsidRPr="00BE086B">
              <w:rPr>
                <w:iCs/>
                <w:sz w:val="24"/>
                <w:lang w:eastAsia="ru-RU"/>
              </w:rPr>
              <w:t>01</w:t>
            </w:r>
          </w:p>
        </w:tc>
        <w:tc>
          <w:tcPr>
            <w:tcW w:w="1417"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150; 300 мг/кг</w:t>
            </w:r>
          </w:p>
        </w:tc>
        <w:tc>
          <w:tcPr>
            <w:tcW w:w="1559" w:type="dxa"/>
            <w:shd w:val="clear" w:color="auto" w:fill="auto"/>
            <w:vAlign w:val="center"/>
          </w:tcPr>
          <w:p w:rsidR="004850FF" w:rsidRPr="00BE086B" w:rsidRDefault="004850FF" w:rsidP="009003E4">
            <w:pPr>
              <w:pStyle w:val="af0"/>
              <w:spacing w:line="240" w:lineRule="auto"/>
              <w:jc w:val="center"/>
              <w:rPr>
                <w:sz w:val="24"/>
              </w:rPr>
            </w:pPr>
            <w:r w:rsidRPr="00BE086B">
              <w:rPr>
                <w:sz w:val="24"/>
                <w:lang w:eastAsia="ru-RU"/>
              </w:rPr>
              <w:t>[</w:t>
            </w:r>
            <w:r w:rsidRPr="00BE086B">
              <w:rPr>
                <w:iCs/>
                <w:sz w:val="24"/>
              </w:rPr>
              <w:t>433- 435</w:t>
            </w:r>
            <w:r w:rsidRPr="00BE086B">
              <w:rPr>
                <w:sz w:val="24"/>
                <w:lang w:eastAsia="ru-RU"/>
              </w:rPr>
              <w:t>]</w:t>
            </w:r>
          </w:p>
        </w:tc>
        <w:tc>
          <w:tcPr>
            <w:tcW w:w="1209"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Таблетки</w:t>
            </w:r>
          </w:p>
          <w:p w:rsidR="004850FF" w:rsidRPr="00BE086B" w:rsidRDefault="004850FF" w:rsidP="009003E4">
            <w:pPr>
              <w:pStyle w:val="af0"/>
              <w:spacing w:line="240" w:lineRule="auto"/>
              <w:jc w:val="center"/>
              <w:rPr>
                <w:sz w:val="24"/>
              </w:rPr>
            </w:pPr>
            <w:r w:rsidRPr="00BE086B">
              <w:rPr>
                <w:bCs/>
                <w:sz w:val="24"/>
                <w:lang w:eastAsia="ru-RU"/>
              </w:rPr>
              <w:t>по 0,2 г</w:t>
            </w:r>
          </w:p>
        </w:tc>
      </w:tr>
      <w:tr w:rsidR="004850FF" w:rsidRPr="00BE086B" w:rsidTr="00B53875">
        <w:tc>
          <w:tcPr>
            <w:tcW w:w="2127" w:type="dxa"/>
            <w:vMerge w:val="restart"/>
            <w:shd w:val="clear" w:color="auto" w:fill="auto"/>
            <w:vAlign w:val="center"/>
          </w:tcPr>
          <w:p w:rsidR="004850FF" w:rsidRPr="00BE086B" w:rsidRDefault="004850FF" w:rsidP="009003E4">
            <w:pPr>
              <w:pStyle w:val="af0"/>
              <w:snapToGrid w:val="0"/>
              <w:spacing w:line="240" w:lineRule="auto"/>
              <w:jc w:val="center"/>
              <w:rPr>
                <w:sz w:val="24"/>
              </w:rPr>
            </w:pPr>
            <w:r w:rsidRPr="00BE086B">
              <w:rPr>
                <w:iCs/>
                <w:sz w:val="24"/>
                <w:lang w:eastAsia="ru-RU"/>
              </w:rPr>
              <w:t>Нестероїдні протизапальні засоби</w:t>
            </w:r>
          </w:p>
        </w:tc>
        <w:tc>
          <w:tcPr>
            <w:tcW w:w="3828" w:type="dxa"/>
            <w:shd w:val="clear" w:color="auto" w:fill="auto"/>
            <w:vAlign w:val="center"/>
          </w:tcPr>
          <w:p w:rsidR="004850FF" w:rsidRPr="00BE086B" w:rsidRDefault="004850FF" w:rsidP="009003E4">
            <w:pPr>
              <w:pStyle w:val="af0"/>
              <w:spacing w:line="240" w:lineRule="auto"/>
              <w:jc w:val="center"/>
              <w:rPr>
                <w:sz w:val="24"/>
              </w:rPr>
            </w:pPr>
            <w:r w:rsidRPr="00BE086B">
              <w:rPr>
                <w:sz w:val="24"/>
                <w:lang w:eastAsia="ru-RU"/>
              </w:rPr>
              <w:t>2-[(2,6-дихлорфеніл)аміно]- фенілацетат натрію</w:t>
            </w:r>
          </w:p>
          <w:p w:rsidR="004850FF" w:rsidRPr="00BE086B" w:rsidRDefault="004850FF" w:rsidP="009003E4">
            <w:pPr>
              <w:pStyle w:val="af0"/>
              <w:spacing w:line="240" w:lineRule="auto"/>
              <w:jc w:val="center"/>
              <w:rPr>
                <w:sz w:val="24"/>
              </w:rPr>
            </w:pPr>
            <w:r w:rsidRPr="00BE086B">
              <w:rPr>
                <w:iCs/>
                <w:sz w:val="24"/>
                <w:lang w:eastAsia="ru-RU"/>
              </w:rPr>
              <w:t>(</w:t>
            </w:r>
            <w:r w:rsidRPr="00BE086B">
              <w:rPr>
                <w:sz w:val="24"/>
              </w:rPr>
              <w:t xml:space="preserve">препарат </w:t>
            </w:r>
            <w:r w:rsidRPr="00BE086B">
              <w:rPr>
                <w:spacing w:val="6"/>
                <w:sz w:val="24"/>
              </w:rPr>
              <w:t>«</w:t>
            </w:r>
            <w:r w:rsidRPr="00BE086B">
              <w:rPr>
                <w:iCs/>
                <w:sz w:val="24"/>
                <w:lang w:eastAsia="ru-RU"/>
              </w:rPr>
              <w:t>Диклофенак</w:t>
            </w:r>
            <w:r w:rsidRPr="00BE086B">
              <w:rPr>
                <w:sz w:val="24"/>
              </w:rPr>
              <w:t>»</w:t>
            </w:r>
            <w:r w:rsidRPr="00BE086B">
              <w:rPr>
                <w:iCs/>
                <w:sz w:val="24"/>
                <w:lang w:eastAsia="ru-RU"/>
              </w:rPr>
              <w:t xml:space="preserve">, </w:t>
            </w:r>
            <w:r w:rsidRPr="00BE086B">
              <w:rPr>
                <w:sz w:val="24"/>
              </w:rPr>
              <w:t xml:space="preserve">виробник </w:t>
            </w:r>
            <w:r w:rsidRPr="00BE086B">
              <w:rPr>
                <w:iCs/>
                <w:sz w:val="24"/>
                <w:lang w:eastAsia="ru-RU"/>
              </w:rPr>
              <w:t xml:space="preserve">ПАТ </w:t>
            </w:r>
            <w:r w:rsidRPr="00BE086B">
              <w:rPr>
                <w:sz w:val="24"/>
              </w:rPr>
              <w:t>«Хімфармзавод «Червона зірка»</w:t>
            </w:r>
            <w:r w:rsidRPr="00BE086B">
              <w:rPr>
                <w:iCs/>
                <w:sz w:val="24"/>
                <w:lang w:eastAsia="ru-RU"/>
              </w:rPr>
              <w:t xml:space="preserve">, Україна), серія 1381214, код АТС </w:t>
            </w:r>
            <w:r w:rsidRPr="00BE086B">
              <w:rPr>
                <w:sz w:val="24"/>
              </w:rPr>
              <w:t>М01АВ05</w:t>
            </w:r>
          </w:p>
        </w:tc>
        <w:tc>
          <w:tcPr>
            <w:tcW w:w="1417"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10; 12 мг/кг</w:t>
            </w:r>
          </w:p>
        </w:tc>
        <w:tc>
          <w:tcPr>
            <w:tcW w:w="1559" w:type="dxa"/>
            <w:shd w:val="clear" w:color="auto" w:fill="auto"/>
            <w:vAlign w:val="center"/>
          </w:tcPr>
          <w:p w:rsidR="004850FF" w:rsidRPr="00BE086B" w:rsidRDefault="004850FF" w:rsidP="009003E4">
            <w:pPr>
              <w:pStyle w:val="af0"/>
              <w:spacing w:line="240" w:lineRule="auto"/>
              <w:jc w:val="center"/>
              <w:rPr>
                <w:sz w:val="24"/>
              </w:rPr>
            </w:pPr>
            <w:r w:rsidRPr="00BE086B">
              <w:rPr>
                <w:sz w:val="24"/>
                <w:lang w:eastAsia="ru-RU"/>
              </w:rPr>
              <w:t>[</w:t>
            </w:r>
            <w:r w:rsidRPr="00BE086B">
              <w:rPr>
                <w:iCs/>
                <w:sz w:val="24"/>
              </w:rPr>
              <w:t>433, 434, 436-438</w:t>
            </w:r>
            <w:r w:rsidRPr="00BE086B">
              <w:rPr>
                <w:sz w:val="24"/>
                <w:lang w:eastAsia="ru-RU"/>
              </w:rPr>
              <w:t>]</w:t>
            </w:r>
          </w:p>
        </w:tc>
        <w:tc>
          <w:tcPr>
            <w:tcW w:w="1209"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Таблетки</w:t>
            </w:r>
          </w:p>
          <w:p w:rsidR="004850FF" w:rsidRPr="00BE086B" w:rsidRDefault="004850FF" w:rsidP="009003E4">
            <w:pPr>
              <w:pStyle w:val="af0"/>
              <w:spacing w:line="240" w:lineRule="auto"/>
              <w:jc w:val="center"/>
              <w:rPr>
                <w:sz w:val="24"/>
              </w:rPr>
            </w:pPr>
            <w:r w:rsidRPr="00BE086B">
              <w:rPr>
                <w:bCs/>
                <w:sz w:val="24"/>
                <w:lang w:eastAsia="ru-RU"/>
              </w:rPr>
              <w:t>по 0,05 г</w:t>
            </w:r>
          </w:p>
        </w:tc>
      </w:tr>
      <w:tr w:rsidR="004850FF" w:rsidRPr="00BE086B" w:rsidTr="00B53875">
        <w:tc>
          <w:tcPr>
            <w:tcW w:w="2127" w:type="dxa"/>
            <w:vMerge/>
            <w:shd w:val="clear" w:color="auto" w:fill="auto"/>
            <w:vAlign w:val="center"/>
          </w:tcPr>
          <w:p w:rsidR="004850FF" w:rsidRPr="00BE086B" w:rsidRDefault="004850FF" w:rsidP="009003E4">
            <w:pPr>
              <w:pStyle w:val="af0"/>
              <w:snapToGrid w:val="0"/>
              <w:spacing w:line="240" w:lineRule="auto"/>
              <w:jc w:val="center"/>
              <w:rPr>
                <w:bCs/>
                <w:sz w:val="24"/>
                <w:shd w:val="clear" w:color="auto" w:fill="FFFFFF"/>
                <w:lang w:eastAsia="ru-RU"/>
              </w:rPr>
            </w:pPr>
          </w:p>
        </w:tc>
        <w:tc>
          <w:tcPr>
            <w:tcW w:w="3828" w:type="dxa"/>
            <w:shd w:val="clear" w:color="auto" w:fill="auto"/>
          </w:tcPr>
          <w:p w:rsidR="004850FF" w:rsidRPr="00BE086B" w:rsidRDefault="004850FF" w:rsidP="009003E4">
            <w:pPr>
              <w:pStyle w:val="2"/>
              <w:shd w:val="clear" w:color="auto" w:fill="FFFFFF"/>
              <w:ind w:left="0" w:right="0"/>
              <w:rPr>
                <w:sz w:val="24"/>
              </w:rPr>
            </w:pPr>
            <w:r w:rsidRPr="00BE086B">
              <w:rPr>
                <w:sz w:val="24"/>
                <w:shd w:val="clear" w:color="auto" w:fill="FFFFFF"/>
                <w:lang w:eastAsia="ru-RU"/>
              </w:rPr>
              <w:t>(RS)-2-(4-ізобутилфеніл) пропіонова кислота</w:t>
            </w:r>
            <w:r w:rsidRPr="00BE086B">
              <w:rPr>
                <w:bCs/>
                <w:sz w:val="24"/>
                <w:lang w:eastAsia="ru-RU"/>
              </w:rPr>
              <w:t xml:space="preserve"> (</w:t>
            </w:r>
            <w:r w:rsidRPr="00BE086B">
              <w:rPr>
                <w:sz w:val="24"/>
              </w:rPr>
              <w:t xml:space="preserve">препарат </w:t>
            </w:r>
            <w:r w:rsidRPr="00BE086B">
              <w:rPr>
                <w:spacing w:val="6"/>
                <w:sz w:val="24"/>
              </w:rPr>
              <w:t>«</w:t>
            </w:r>
            <w:r w:rsidRPr="00BE086B">
              <w:rPr>
                <w:iCs/>
                <w:sz w:val="24"/>
                <w:lang w:eastAsia="ru-RU"/>
              </w:rPr>
              <w:t>Ібупрофен</w:t>
            </w:r>
            <w:r w:rsidRPr="00BE086B">
              <w:rPr>
                <w:sz w:val="24"/>
              </w:rPr>
              <w:t>»</w:t>
            </w:r>
            <w:r w:rsidRPr="00BE086B">
              <w:rPr>
                <w:iCs/>
                <w:sz w:val="24"/>
                <w:lang w:eastAsia="ru-RU"/>
              </w:rPr>
              <w:t xml:space="preserve">, </w:t>
            </w:r>
            <w:r w:rsidRPr="00BE086B">
              <w:rPr>
                <w:sz w:val="24"/>
              </w:rPr>
              <w:t>виробник</w:t>
            </w:r>
            <w:r w:rsidRPr="00BE086B">
              <w:rPr>
                <w:sz w:val="24"/>
                <w:shd w:val="clear" w:color="auto" w:fill="FFFFFF"/>
              </w:rPr>
              <w:t xml:space="preserve"> ПАТ НВЦ «Борщагівський хіміко-фармацевтичний завод», Україна</w:t>
            </w:r>
            <w:r w:rsidRPr="00BE086B">
              <w:rPr>
                <w:iCs/>
                <w:sz w:val="24"/>
                <w:lang w:eastAsia="ru-RU"/>
              </w:rPr>
              <w:t xml:space="preserve">), серія 0931119, код АТС </w:t>
            </w:r>
            <w:r w:rsidRPr="00BE086B">
              <w:rPr>
                <w:bCs/>
                <w:sz w:val="24"/>
              </w:rPr>
              <w:t>M01AE01</w:t>
            </w:r>
          </w:p>
        </w:tc>
        <w:tc>
          <w:tcPr>
            <w:tcW w:w="1417"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5</w:t>
            </w:r>
            <w:r w:rsidRPr="00BE086B">
              <w:rPr>
                <w:bCs/>
                <w:sz w:val="24"/>
                <w:lang w:val="en-US" w:eastAsia="ru-RU"/>
              </w:rPr>
              <w:t>; 7</w:t>
            </w:r>
            <w:r w:rsidRPr="00BE086B">
              <w:rPr>
                <w:bCs/>
                <w:sz w:val="24"/>
                <w:lang w:eastAsia="ru-RU"/>
              </w:rPr>
              <w:t xml:space="preserve"> мг/кг</w:t>
            </w:r>
          </w:p>
        </w:tc>
        <w:tc>
          <w:tcPr>
            <w:tcW w:w="1559" w:type="dxa"/>
            <w:shd w:val="clear" w:color="auto" w:fill="auto"/>
            <w:vAlign w:val="center"/>
          </w:tcPr>
          <w:p w:rsidR="004850FF" w:rsidRPr="00BE086B" w:rsidRDefault="004850FF" w:rsidP="009003E4">
            <w:pPr>
              <w:jc w:val="center"/>
            </w:pPr>
            <w:r w:rsidRPr="00BE086B">
              <w:t>[</w:t>
            </w:r>
            <w:r w:rsidRPr="00BE086B">
              <w:rPr>
                <w:lang w:val="en-US"/>
              </w:rPr>
              <w:t>43</w:t>
            </w:r>
            <w:r w:rsidRPr="00BE086B">
              <w:t>5</w:t>
            </w:r>
            <w:r w:rsidRPr="00BE086B">
              <w:rPr>
                <w:lang w:val="en-US"/>
              </w:rPr>
              <w:t>,</w:t>
            </w:r>
            <w:r w:rsidRPr="00BE086B">
              <w:t xml:space="preserve"> </w:t>
            </w:r>
            <w:r w:rsidRPr="00BE086B">
              <w:rPr>
                <w:lang w:val="en-US"/>
              </w:rPr>
              <w:t>43</w:t>
            </w:r>
            <w:r w:rsidRPr="00BE086B">
              <w:t>9]</w:t>
            </w:r>
          </w:p>
        </w:tc>
        <w:tc>
          <w:tcPr>
            <w:tcW w:w="1209"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Таблетки</w:t>
            </w:r>
          </w:p>
          <w:p w:rsidR="004850FF" w:rsidRPr="00BE086B" w:rsidRDefault="004850FF" w:rsidP="009003E4">
            <w:pPr>
              <w:pStyle w:val="af0"/>
              <w:spacing w:line="240" w:lineRule="auto"/>
              <w:jc w:val="center"/>
              <w:rPr>
                <w:sz w:val="24"/>
              </w:rPr>
            </w:pPr>
            <w:r w:rsidRPr="00BE086B">
              <w:rPr>
                <w:bCs/>
                <w:sz w:val="24"/>
                <w:lang w:eastAsia="ru-RU"/>
              </w:rPr>
              <w:t>по 0,2 г</w:t>
            </w:r>
          </w:p>
        </w:tc>
      </w:tr>
      <w:tr w:rsidR="004850FF" w:rsidRPr="00BE086B" w:rsidTr="00B53875">
        <w:trPr>
          <w:trHeight w:val="902"/>
        </w:trPr>
        <w:tc>
          <w:tcPr>
            <w:tcW w:w="2127" w:type="dxa"/>
            <w:vMerge/>
            <w:shd w:val="clear" w:color="auto" w:fill="auto"/>
            <w:vAlign w:val="center"/>
          </w:tcPr>
          <w:p w:rsidR="004850FF" w:rsidRPr="00BE086B" w:rsidRDefault="004850FF" w:rsidP="009003E4">
            <w:pPr>
              <w:pStyle w:val="af0"/>
              <w:snapToGrid w:val="0"/>
              <w:spacing w:line="240" w:lineRule="auto"/>
              <w:jc w:val="center"/>
              <w:rPr>
                <w:bCs/>
                <w:sz w:val="24"/>
                <w:lang w:eastAsia="ru-RU"/>
              </w:rPr>
            </w:pPr>
          </w:p>
        </w:tc>
        <w:tc>
          <w:tcPr>
            <w:tcW w:w="3828" w:type="dxa"/>
            <w:shd w:val="clear" w:color="auto" w:fill="auto"/>
          </w:tcPr>
          <w:p w:rsidR="004850FF" w:rsidRPr="00BE086B" w:rsidRDefault="004850FF" w:rsidP="009003E4">
            <w:pPr>
              <w:pStyle w:val="af0"/>
              <w:spacing w:line="240" w:lineRule="auto"/>
              <w:jc w:val="center"/>
              <w:rPr>
                <w:sz w:val="24"/>
              </w:rPr>
            </w:pPr>
            <w:r w:rsidRPr="00BE086B">
              <w:rPr>
                <w:sz w:val="24"/>
              </w:rPr>
              <w:t xml:space="preserve">Німесулід (препарат </w:t>
            </w:r>
            <w:r w:rsidRPr="00BE086B">
              <w:rPr>
                <w:spacing w:val="6"/>
                <w:sz w:val="24"/>
              </w:rPr>
              <w:t>«</w:t>
            </w:r>
            <w:r w:rsidRPr="00BE086B">
              <w:rPr>
                <w:sz w:val="24"/>
              </w:rPr>
              <w:t>Німесулід», виробник</w:t>
            </w:r>
            <w:r w:rsidRPr="00BE086B">
              <w:rPr>
                <w:iCs/>
                <w:sz w:val="24"/>
                <w:lang w:eastAsia="ru-RU"/>
              </w:rPr>
              <w:t xml:space="preserve"> ПрАТ </w:t>
            </w:r>
            <w:r w:rsidRPr="00BE086B">
              <w:rPr>
                <w:sz w:val="24"/>
                <w:shd w:val="clear" w:color="auto" w:fill="FFFFFF"/>
              </w:rPr>
              <w:t xml:space="preserve">«Лекхім-Харків», </w:t>
            </w:r>
            <w:r w:rsidRPr="00BE086B">
              <w:rPr>
                <w:iCs/>
                <w:sz w:val="24"/>
                <w:lang w:eastAsia="ru-RU"/>
              </w:rPr>
              <w:t xml:space="preserve">Україна), серія 93026005, код АТС </w:t>
            </w:r>
            <w:r w:rsidRPr="00BE086B">
              <w:rPr>
                <w:sz w:val="24"/>
                <w:shd w:val="clear" w:color="auto" w:fill="FFFFFF"/>
              </w:rPr>
              <w:t>M01AX17</w:t>
            </w:r>
          </w:p>
        </w:tc>
        <w:tc>
          <w:tcPr>
            <w:tcW w:w="1417"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80</w:t>
            </w:r>
            <w:r w:rsidRPr="00BE086B">
              <w:rPr>
                <w:bCs/>
                <w:sz w:val="24"/>
                <w:lang w:val="en-US" w:eastAsia="ru-RU"/>
              </w:rPr>
              <w:t>; 100</w:t>
            </w:r>
            <w:r w:rsidRPr="00BE086B">
              <w:rPr>
                <w:bCs/>
                <w:sz w:val="24"/>
                <w:lang w:eastAsia="ru-RU"/>
              </w:rPr>
              <w:t xml:space="preserve"> мг/кг</w:t>
            </w:r>
          </w:p>
        </w:tc>
        <w:tc>
          <w:tcPr>
            <w:tcW w:w="1559" w:type="dxa"/>
            <w:shd w:val="clear" w:color="auto" w:fill="auto"/>
            <w:vAlign w:val="center"/>
          </w:tcPr>
          <w:p w:rsidR="004850FF" w:rsidRPr="00BE086B" w:rsidRDefault="004850FF" w:rsidP="009003E4">
            <w:pPr>
              <w:jc w:val="center"/>
            </w:pPr>
            <w:r w:rsidRPr="00BE086B">
              <w:t>[</w:t>
            </w:r>
            <w:r w:rsidRPr="00BE086B">
              <w:rPr>
                <w:lang w:val="en-US"/>
              </w:rPr>
              <w:t>4</w:t>
            </w:r>
            <w:r w:rsidRPr="00BE086B">
              <w:t>40</w:t>
            </w:r>
            <w:r w:rsidRPr="00BE086B">
              <w:rPr>
                <w:lang w:val="en-US"/>
              </w:rPr>
              <w:t>-44</w:t>
            </w:r>
            <w:r w:rsidRPr="00BE086B">
              <w:t>3]</w:t>
            </w:r>
          </w:p>
        </w:tc>
        <w:tc>
          <w:tcPr>
            <w:tcW w:w="1209"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Таблетки</w:t>
            </w:r>
          </w:p>
          <w:p w:rsidR="004850FF" w:rsidRPr="00BE086B" w:rsidRDefault="004850FF" w:rsidP="009003E4">
            <w:pPr>
              <w:pStyle w:val="af0"/>
              <w:spacing w:line="240" w:lineRule="auto"/>
              <w:jc w:val="center"/>
              <w:rPr>
                <w:sz w:val="24"/>
              </w:rPr>
            </w:pPr>
            <w:r w:rsidRPr="00BE086B">
              <w:rPr>
                <w:bCs/>
                <w:sz w:val="24"/>
                <w:lang w:eastAsia="ru-RU"/>
              </w:rPr>
              <w:t xml:space="preserve">по </w:t>
            </w:r>
            <w:r w:rsidRPr="00BE086B">
              <w:rPr>
                <w:bCs/>
                <w:sz w:val="24"/>
                <w:lang w:val="en-US" w:eastAsia="ru-RU"/>
              </w:rPr>
              <w:t xml:space="preserve">0.1 </w:t>
            </w:r>
            <w:r w:rsidRPr="00BE086B">
              <w:rPr>
                <w:bCs/>
                <w:sz w:val="24"/>
                <w:lang w:eastAsia="ru-RU"/>
              </w:rPr>
              <w:t>г</w:t>
            </w:r>
          </w:p>
        </w:tc>
      </w:tr>
      <w:tr w:rsidR="004850FF" w:rsidRPr="00BE086B" w:rsidTr="00B53875">
        <w:trPr>
          <w:trHeight w:val="739"/>
        </w:trPr>
        <w:tc>
          <w:tcPr>
            <w:tcW w:w="2127" w:type="dxa"/>
            <w:vMerge/>
            <w:shd w:val="clear" w:color="auto" w:fill="auto"/>
            <w:vAlign w:val="center"/>
          </w:tcPr>
          <w:p w:rsidR="004850FF" w:rsidRPr="00BE086B" w:rsidRDefault="004850FF" w:rsidP="009003E4">
            <w:pPr>
              <w:pStyle w:val="af0"/>
              <w:snapToGrid w:val="0"/>
              <w:spacing w:line="240" w:lineRule="auto"/>
              <w:jc w:val="center"/>
              <w:rPr>
                <w:bCs/>
                <w:sz w:val="24"/>
                <w:lang w:eastAsia="ru-RU"/>
              </w:rPr>
            </w:pPr>
          </w:p>
        </w:tc>
        <w:tc>
          <w:tcPr>
            <w:tcW w:w="3828" w:type="dxa"/>
            <w:shd w:val="clear" w:color="auto" w:fill="auto"/>
          </w:tcPr>
          <w:p w:rsidR="004850FF" w:rsidRPr="00BE086B" w:rsidRDefault="004850FF" w:rsidP="009003E4">
            <w:pPr>
              <w:pStyle w:val="af0"/>
              <w:spacing w:line="240" w:lineRule="auto"/>
              <w:jc w:val="center"/>
              <w:rPr>
                <w:iCs/>
                <w:sz w:val="24"/>
                <w:lang w:eastAsia="ru-RU"/>
              </w:rPr>
            </w:pPr>
            <w:r w:rsidRPr="00BE086B">
              <w:rPr>
                <w:iCs/>
                <w:sz w:val="24"/>
                <w:lang w:eastAsia="ru-RU"/>
              </w:rPr>
              <w:t>Мелоксикам (</w:t>
            </w:r>
            <w:r w:rsidRPr="00BE086B">
              <w:rPr>
                <w:sz w:val="24"/>
              </w:rPr>
              <w:t xml:space="preserve">препарат </w:t>
            </w:r>
            <w:r w:rsidRPr="00BE086B">
              <w:rPr>
                <w:spacing w:val="6"/>
                <w:sz w:val="24"/>
              </w:rPr>
              <w:t>«</w:t>
            </w:r>
            <w:r w:rsidRPr="00BE086B">
              <w:rPr>
                <w:iCs/>
                <w:sz w:val="24"/>
                <w:lang w:eastAsia="ru-RU"/>
              </w:rPr>
              <w:t>Мелоксикам-КВ</w:t>
            </w:r>
            <w:r w:rsidRPr="00BE086B">
              <w:rPr>
                <w:sz w:val="24"/>
              </w:rPr>
              <w:t>», виробник</w:t>
            </w:r>
            <w:r w:rsidRPr="00BE086B">
              <w:rPr>
                <w:iCs/>
                <w:sz w:val="24"/>
                <w:lang w:eastAsia="ru-RU"/>
              </w:rPr>
              <w:t xml:space="preserve"> ПрАТ </w:t>
            </w:r>
            <w:r w:rsidRPr="00BE086B">
              <w:rPr>
                <w:sz w:val="24"/>
                <w:shd w:val="clear" w:color="auto" w:fill="FFFFFF"/>
              </w:rPr>
              <w:t xml:space="preserve">«Лекхім-Харків», </w:t>
            </w:r>
            <w:r w:rsidRPr="00BE086B">
              <w:rPr>
                <w:iCs/>
                <w:sz w:val="24"/>
                <w:lang w:eastAsia="ru-RU"/>
              </w:rPr>
              <w:t>Україна), серія UE100919,</w:t>
            </w:r>
          </w:p>
          <w:p w:rsidR="004850FF" w:rsidRPr="00BE086B" w:rsidRDefault="004850FF" w:rsidP="009003E4">
            <w:pPr>
              <w:pStyle w:val="af0"/>
              <w:spacing w:line="240" w:lineRule="auto"/>
              <w:jc w:val="center"/>
              <w:rPr>
                <w:sz w:val="24"/>
              </w:rPr>
            </w:pPr>
            <w:r w:rsidRPr="00BE086B">
              <w:rPr>
                <w:iCs/>
                <w:sz w:val="24"/>
                <w:lang w:eastAsia="ru-RU"/>
              </w:rPr>
              <w:t xml:space="preserve">код АТС </w:t>
            </w:r>
            <w:r w:rsidRPr="00BE086B">
              <w:rPr>
                <w:sz w:val="24"/>
                <w:shd w:val="clear" w:color="auto" w:fill="FFFFFF"/>
              </w:rPr>
              <w:t>M01AC06</w:t>
            </w:r>
          </w:p>
        </w:tc>
        <w:tc>
          <w:tcPr>
            <w:tcW w:w="1417" w:type="dxa"/>
            <w:shd w:val="clear" w:color="auto" w:fill="auto"/>
            <w:vAlign w:val="center"/>
          </w:tcPr>
          <w:p w:rsidR="004850FF" w:rsidRPr="00BE086B" w:rsidRDefault="004850FF" w:rsidP="009003E4">
            <w:pPr>
              <w:pStyle w:val="af0"/>
              <w:spacing w:line="240" w:lineRule="auto"/>
              <w:jc w:val="center"/>
              <w:rPr>
                <w:sz w:val="24"/>
              </w:rPr>
            </w:pPr>
            <w:r w:rsidRPr="00BE086B">
              <w:rPr>
                <w:sz w:val="24"/>
              </w:rPr>
              <w:t>10</w:t>
            </w:r>
            <w:r w:rsidRPr="00BE086B">
              <w:rPr>
                <w:sz w:val="24"/>
                <w:lang w:val="en-US"/>
              </w:rPr>
              <w:t>; 12</w:t>
            </w:r>
            <w:r w:rsidRPr="00BE086B">
              <w:rPr>
                <w:sz w:val="24"/>
              </w:rPr>
              <w:t xml:space="preserve"> </w:t>
            </w:r>
            <w:r w:rsidRPr="00BE086B">
              <w:rPr>
                <w:bCs/>
                <w:sz w:val="24"/>
                <w:lang w:eastAsia="ru-RU"/>
              </w:rPr>
              <w:t>мг/кг</w:t>
            </w:r>
          </w:p>
        </w:tc>
        <w:tc>
          <w:tcPr>
            <w:tcW w:w="1559" w:type="dxa"/>
            <w:shd w:val="clear" w:color="auto" w:fill="auto"/>
            <w:vAlign w:val="center"/>
          </w:tcPr>
          <w:p w:rsidR="004850FF" w:rsidRPr="00BE086B" w:rsidRDefault="004850FF" w:rsidP="009003E4">
            <w:pPr>
              <w:jc w:val="center"/>
            </w:pPr>
            <w:r w:rsidRPr="00BE086B">
              <w:t>[435, 436, 444, 445]</w:t>
            </w:r>
          </w:p>
        </w:tc>
        <w:tc>
          <w:tcPr>
            <w:tcW w:w="1209"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Таблетки</w:t>
            </w:r>
          </w:p>
          <w:p w:rsidR="004850FF" w:rsidRPr="00BE086B" w:rsidRDefault="004850FF" w:rsidP="009003E4">
            <w:pPr>
              <w:pStyle w:val="af0"/>
              <w:spacing w:line="240" w:lineRule="auto"/>
              <w:jc w:val="center"/>
              <w:rPr>
                <w:sz w:val="24"/>
              </w:rPr>
            </w:pPr>
            <w:r w:rsidRPr="00BE086B">
              <w:rPr>
                <w:bCs/>
                <w:sz w:val="24"/>
                <w:lang w:eastAsia="ru-RU"/>
              </w:rPr>
              <w:t>по 0,015 г</w:t>
            </w:r>
          </w:p>
        </w:tc>
      </w:tr>
      <w:tr w:rsidR="004850FF" w:rsidRPr="00BE086B" w:rsidTr="00B53875">
        <w:trPr>
          <w:trHeight w:val="922"/>
        </w:trPr>
        <w:tc>
          <w:tcPr>
            <w:tcW w:w="2127" w:type="dxa"/>
            <w:vMerge/>
            <w:shd w:val="clear" w:color="auto" w:fill="auto"/>
            <w:vAlign w:val="center"/>
          </w:tcPr>
          <w:p w:rsidR="004850FF" w:rsidRPr="00BE086B" w:rsidRDefault="004850FF" w:rsidP="009003E4">
            <w:pPr>
              <w:pStyle w:val="af0"/>
              <w:snapToGrid w:val="0"/>
              <w:spacing w:line="240" w:lineRule="auto"/>
              <w:jc w:val="center"/>
              <w:rPr>
                <w:bCs/>
                <w:sz w:val="24"/>
                <w:lang w:eastAsia="ru-RU"/>
              </w:rPr>
            </w:pPr>
          </w:p>
        </w:tc>
        <w:tc>
          <w:tcPr>
            <w:tcW w:w="3828" w:type="dxa"/>
            <w:shd w:val="clear" w:color="auto" w:fill="auto"/>
          </w:tcPr>
          <w:p w:rsidR="004850FF" w:rsidRPr="00BE086B" w:rsidRDefault="004850FF" w:rsidP="009003E4">
            <w:pPr>
              <w:pStyle w:val="af0"/>
              <w:spacing w:line="240" w:lineRule="auto"/>
              <w:jc w:val="center"/>
              <w:rPr>
                <w:sz w:val="24"/>
              </w:rPr>
            </w:pPr>
            <w:r w:rsidRPr="00BE086B">
              <w:rPr>
                <w:sz w:val="24"/>
                <w:lang w:eastAsia="ru-RU"/>
              </w:rPr>
              <w:t>Целекоксиб</w:t>
            </w:r>
            <w:r w:rsidRPr="00BE086B">
              <w:rPr>
                <w:iCs/>
                <w:sz w:val="24"/>
                <w:lang w:eastAsia="ru-RU"/>
              </w:rPr>
              <w:t xml:space="preserve"> (</w:t>
            </w:r>
            <w:r w:rsidRPr="00BE086B">
              <w:rPr>
                <w:sz w:val="24"/>
              </w:rPr>
              <w:t xml:space="preserve">препарат </w:t>
            </w:r>
            <w:r w:rsidRPr="00BE086B">
              <w:rPr>
                <w:spacing w:val="6"/>
                <w:sz w:val="24"/>
              </w:rPr>
              <w:t>«</w:t>
            </w:r>
            <w:r w:rsidRPr="00BE086B">
              <w:rPr>
                <w:sz w:val="24"/>
              </w:rPr>
              <w:t>Флогоксиб-</w:t>
            </w:r>
            <w:r w:rsidRPr="00BE086B">
              <w:rPr>
                <w:spacing w:val="6"/>
                <w:sz w:val="24"/>
              </w:rPr>
              <w:t>Здоров'я»,</w:t>
            </w:r>
            <w:r w:rsidRPr="00BE086B">
              <w:rPr>
                <w:sz w:val="24"/>
              </w:rPr>
              <w:t xml:space="preserve"> виробник</w:t>
            </w:r>
            <w:r w:rsidRPr="00BE086B">
              <w:rPr>
                <w:spacing w:val="6"/>
                <w:sz w:val="24"/>
              </w:rPr>
              <w:t xml:space="preserve"> ФК «Здоров'я», Україна</w:t>
            </w:r>
            <w:r w:rsidRPr="00BE086B">
              <w:rPr>
                <w:iCs/>
                <w:sz w:val="24"/>
                <w:lang w:eastAsia="ru-RU"/>
              </w:rPr>
              <w:t>), серія 10118, код АТС</w:t>
            </w:r>
            <w:r w:rsidRPr="00BE086B">
              <w:rPr>
                <w:sz w:val="24"/>
                <w:shd w:val="clear" w:color="auto" w:fill="FFFFFF"/>
              </w:rPr>
              <w:t xml:space="preserve"> М01АН01</w:t>
            </w:r>
          </w:p>
        </w:tc>
        <w:tc>
          <w:tcPr>
            <w:tcW w:w="1417"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50</w:t>
            </w:r>
            <w:r w:rsidRPr="00BE086B">
              <w:rPr>
                <w:bCs/>
                <w:sz w:val="24"/>
                <w:lang w:val="en-US" w:eastAsia="ru-RU"/>
              </w:rPr>
              <w:t>; 60</w:t>
            </w:r>
            <w:r w:rsidRPr="00BE086B">
              <w:rPr>
                <w:bCs/>
                <w:sz w:val="24"/>
                <w:lang w:eastAsia="ru-RU"/>
              </w:rPr>
              <w:t xml:space="preserve"> мг/кг</w:t>
            </w:r>
          </w:p>
        </w:tc>
        <w:tc>
          <w:tcPr>
            <w:tcW w:w="1559" w:type="dxa"/>
            <w:shd w:val="clear" w:color="auto" w:fill="auto"/>
            <w:vAlign w:val="center"/>
          </w:tcPr>
          <w:p w:rsidR="004850FF" w:rsidRPr="00BE086B" w:rsidRDefault="004850FF" w:rsidP="009003E4">
            <w:pPr>
              <w:jc w:val="center"/>
            </w:pPr>
            <w:r w:rsidRPr="00BE086B">
              <w:t>[</w:t>
            </w:r>
            <w:r w:rsidRPr="00BE086B">
              <w:rPr>
                <w:iCs/>
              </w:rPr>
              <w:t>433-435, 440, 442</w:t>
            </w:r>
            <w:r w:rsidRPr="00BE086B">
              <w:rPr>
                <w:iCs/>
                <w:lang w:val="en-US"/>
              </w:rPr>
              <w:t>, 44</w:t>
            </w:r>
            <w:r w:rsidRPr="00BE086B">
              <w:rPr>
                <w:iCs/>
              </w:rPr>
              <w:t>6</w:t>
            </w:r>
            <w:r w:rsidRPr="00BE086B">
              <w:t>]</w:t>
            </w:r>
          </w:p>
        </w:tc>
        <w:tc>
          <w:tcPr>
            <w:tcW w:w="1209"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Капсули</w:t>
            </w:r>
          </w:p>
          <w:p w:rsidR="004850FF" w:rsidRPr="00BE086B" w:rsidRDefault="004850FF" w:rsidP="009003E4">
            <w:pPr>
              <w:pStyle w:val="af0"/>
              <w:spacing w:line="240" w:lineRule="auto"/>
              <w:jc w:val="center"/>
              <w:rPr>
                <w:sz w:val="24"/>
              </w:rPr>
            </w:pPr>
            <w:r w:rsidRPr="00BE086B">
              <w:rPr>
                <w:sz w:val="24"/>
                <w:lang w:eastAsia="ru-RU"/>
              </w:rPr>
              <w:t>по 0,</w:t>
            </w:r>
            <w:r w:rsidRPr="00BE086B">
              <w:rPr>
                <w:bCs/>
                <w:sz w:val="24"/>
                <w:lang w:eastAsia="ru-RU"/>
              </w:rPr>
              <w:t>1</w:t>
            </w:r>
            <w:r w:rsidRPr="00BE086B">
              <w:rPr>
                <w:sz w:val="24"/>
                <w:lang w:eastAsia="ru-RU"/>
              </w:rPr>
              <w:t xml:space="preserve"> г</w:t>
            </w:r>
          </w:p>
        </w:tc>
      </w:tr>
      <w:tr w:rsidR="004850FF" w:rsidRPr="00BE086B" w:rsidTr="00B53875">
        <w:tc>
          <w:tcPr>
            <w:tcW w:w="2127" w:type="dxa"/>
            <w:vMerge w:val="restart"/>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Гормони щитоподібної залози, їх аналоги та антагоністи</w:t>
            </w:r>
          </w:p>
        </w:tc>
        <w:tc>
          <w:tcPr>
            <w:tcW w:w="3828" w:type="dxa"/>
            <w:shd w:val="clear" w:color="auto" w:fill="auto"/>
          </w:tcPr>
          <w:p w:rsidR="004850FF" w:rsidRPr="00BE086B" w:rsidRDefault="004850FF" w:rsidP="009003E4">
            <w:pPr>
              <w:pStyle w:val="af0"/>
              <w:spacing w:line="240" w:lineRule="auto"/>
              <w:jc w:val="center"/>
              <w:rPr>
                <w:iCs/>
                <w:sz w:val="24"/>
                <w:lang w:eastAsia="ru-RU"/>
              </w:rPr>
            </w:pPr>
            <w:r w:rsidRPr="00BE086B">
              <w:rPr>
                <w:sz w:val="24"/>
              </w:rPr>
              <w:t>Левотироксин натрію (препарат «L-тироксин 50 Берлін-Хемі», виробник «</w:t>
            </w:r>
            <w:r w:rsidRPr="00BE086B">
              <w:rPr>
                <w:rStyle w:val="d-none"/>
                <w:bCs/>
                <w:sz w:val="24"/>
              </w:rPr>
              <w:t>Berlin-Сhemie</w:t>
            </w:r>
            <w:r w:rsidRPr="00BE086B">
              <w:rPr>
                <w:bCs/>
                <w:sz w:val="24"/>
              </w:rPr>
              <w:t>»</w:t>
            </w:r>
            <w:r w:rsidRPr="00BE086B">
              <w:rPr>
                <w:rStyle w:val="d-none"/>
                <w:bCs/>
                <w:sz w:val="24"/>
              </w:rPr>
              <w:t>, Німеччина), серія 91004А</w:t>
            </w:r>
            <w:r w:rsidRPr="00BE086B">
              <w:rPr>
                <w:iCs/>
                <w:sz w:val="24"/>
                <w:lang w:eastAsia="ru-RU"/>
              </w:rPr>
              <w:t>,</w:t>
            </w:r>
          </w:p>
          <w:p w:rsidR="004850FF" w:rsidRPr="00BE086B" w:rsidRDefault="004850FF" w:rsidP="009003E4">
            <w:pPr>
              <w:pStyle w:val="af0"/>
              <w:spacing w:line="240" w:lineRule="auto"/>
              <w:jc w:val="center"/>
              <w:rPr>
                <w:sz w:val="24"/>
              </w:rPr>
            </w:pPr>
            <w:r w:rsidRPr="00BE086B">
              <w:rPr>
                <w:iCs/>
                <w:sz w:val="24"/>
                <w:lang w:eastAsia="ru-RU"/>
              </w:rPr>
              <w:t xml:space="preserve">код АТС </w:t>
            </w:r>
            <w:r w:rsidRPr="00BE086B">
              <w:rPr>
                <w:sz w:val="24"/>
                <w:shd w:val="clear" w:color="auto" w:fill="FFFFFF"/>
              </w:rPr>
              <w:t>Н03АА01</w:t>
            </w:r>
          </w:p>
        </w:tc>
        <w:tc>
          <w:tcPr>
            <w:tcW w:w="1417" w:type="dxa"/>
            <w:shd w:val="clear" w:color="auto" w:fill="auto"/>
            <w:vAlign w:val="center"/>
          </w:tcPr>
          <w:p w:rsidR="004850FF" w:rsidRPr="00BE086B" w:rsidRDefault="004850FF" w:rsidP="009003E4">
            <w:pPr>
              <w:pStyle w:val="af0"/>
              <w:spacing w:line="240" w:lineRule="auto"/>
              <w:jc w:val="center"/>
              <w:rPr>
                <w:sz w:val="24"/>
              </w:rPr>
            </w:pPr>
            <w:r w:rsidRPr="00BE086B">
              <w:rPr>
                <w:sz w:val="24"/>
              </w:rPr>
              <w:t xml:space="preserve">0,0015 </w:t>
            </w:r>
            <w:r w:rsidRPr="00BE086B">
              <w:rPr>
                <w:bCs/>
                <w:sz w:val="24"/>
                <w:lang w:eastAsia="ru-RU"/>
              </w:rPr>
              <w:t>мг/кг</w:t>
            </w:r>
          </w:p>
        </w:tc>
        <w:tc>
          <w:tcPr>
            <w:tcW w:w="1559" w:type="dxa"/>
            <w:shd w:val="clear" w:color="auto" w:fill="auto"/>
            <w:vAlign w:val="center"/>
          </w:tcPr>
          <w:p w:rsidR="004850FF" w:rsidRPr="00BE086B" w:rsidRDefault="004850FF" w:rsidP="009003E4">
            <w:pPr>
              <w:jc w:val="center"/>
            </w:pPr>
            <w:r w:rsidRPr="00BE086B">
              <w:t>[447-449]</w:t>
            </w:r>
          </w:p>
        </w:tc>
        <w:tc>
          <w:tcPr>
            <w:tcW w:w="1209"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Таблетки</w:t>
            </w:r>
          </w:p>
          <w:p w:rsidR="004850FF" w:rsidRPr="00BE086B" w:rsidRDefault="004850FF" w:rsidP="009003E4">
            <w:pPr>
              <w:jc w:val="center"/>
            </w:pPr>
            <w:r w:rsidRPr="00BE086B">
              <w:rPr>
                <w:lang w:eastAsia="ru-RU"/>
              </w:rPr>
              <w:t>по 50 мкг</w:t>
            </w:r>
          </w:p>
        </w:tc>
      </w:tr>
      <w:tr w:rsidR="004850FF" w:rsidRPr="00BE086B" w:rsidTr="00B53875">
        <w:tc>
          <w:tcPr>
            <w:tcW w:w="2127" w:type="dxa"/>
            <w:vMerge/>
            <w:shd w:val="clear" w:color="auto" w:fill="auto"/>
            <w:vAlign w:val="center"/>
          </w:tcPr>
          <w:p w:rsidR="004850FF" w:rsidRPr="00BE086B" w:rsidRDefault="004850FF" w:rsidP="009003E4">
            <w:pPr>
              <w:pStyle w:val="af0"/>
              <w:snapToGrid w:val="0"/>
              <w:spacing w:line="240" w:lineRule="auto"/>
              <w:rPr>
                <w:bCs/>
                <w:sz w:val="24"/>
                <w:lang w:eastAsia="ru-RU"/>
              </w:rPr>
            </w:pPr>
          </w:p>
        </w:tc>
        <w:tc>
          <w:tcPr>
            <w:tcW w:w="3828" w:type="dxa"/>
            <w:shd w:val="clear" w:color="auto" w:fill="auto"/>
          </w:tcPr>
          <w:p w:rsidR="004850FF" w:rsidRPr="00BE086B" w:rsidRDefault="004850FF" w:rsidP="009003E4">
            <w:pPr>
              <w:suppressAutoHyphens w:val="0"/>
              <w:jc w:val="center"/>
              <w:rPr>
                <w:iCs/>
                <w:lang w:eastAsia="ru-RU"/>
              </w:rPr>
            </w:pPr>
            <w:r w:rsidRPr="00BE086B">
              <w:t>Карбімазол (препарат «Еспа-карб», виробник</w:t>
            </w:r>
            <w:r w:rsidRPr="00BE086B">
              <w:rPr>
                <w:shd w:val="clear" w:color="auto" w:fill="F9F9F9"/>
              </w:rPr>
              <w:t xml:space="preserve"> </w:t>
            </w:r>
            <w:r w:rsidRPr="00BE086B">
              <w:t>Еспарма ГмбХ, Німеччина), серія 001NВ8</w:t>
            </w:r>
            <w:r w:rsidRPr="00BE086B">
              <w:rPr>
                <w:iCs/>
                <w:lang w:eastAsia="ru-RU"/>
              </w:rPr>
              <w:t>,</w:t>
            </w:r>
          </w:p>
          <w:p w:rsidR="004850FF" w:rsidRPr="00BE086B" w:rsidRDefault="004850FF" w:rsidP="009003E4">
            <w:pPr>
              <w:suppressAutoHyphens w:val="0"/>
              <w:jc w:val="center"/>
            </w:pPr>
            <w:r w:rsidRPr="00BE086B">
              <w:rPr>
                <w:iCs/>
                <w:lang w:eastAsia="ru-RU"/>
              </w:rPr>
              <w:t xml:space="preserve">код АТС </w:t>
            </w:r>
            <w:r w:rsidRPr="00BE086B">
              <w:rPr>
                <w:shd w:val="clear" w:color="auto" w:fill="FFFFFF"/>
              </w:rPr>
              <w:t>H03BB01</w:t>
            </w:r>
          </w:p>
        </w:tc>
        <w:tc>
          <w:tcPr>
            <w:tcW w:w="1417" w:type="dxa"/>
            <w:shd w:val="clear" w:color="auto" w:fill="auto"/>
            <w:vAlign w:val="center"/>
          </w:tcPr>
          <w:p w:rsidR="004850FF" w:rsidRPr="00BE086B" w:rsidRDefault="004850FF" w:rsidP="009003E4">
            <w:pPr>
              <w:pStyle w:val="af0"/>
              <w:spacing w:line="240" w:lineRule="auto"/>
              <w:jc w:val="center"/>
              <w:rPr>
                <w:sz w:val="24"/>
              </w:rPr>
            </w:pPr>
            <w:r w:rsidRPr="00BE086B">
              <w:rPr>
                <w:sz w:val="24"/>
              </w:rPr>
              <w:t>10 мг на 250 мл</w:t>
            </w:r>
          </w:p>
        </w:tc>
        <w:tc>
          <w:tcPr>
            <w:tcW w:w="1559" w:type="dxa"/>
            <w:shd w:val="clear" w:color="auto" w:fill="auto"/>
            <w:vAlign w:val="center"/>
          </w:tcPr>
          <w:p w:rsidR="004850FF" w:rsidRPr="00BE086B" w:rsidRDefault="004850FF" w:rsidP="009003E4">
            <w:pPr>
              <w:snapToGrid w:val="0"/>
              <w:jc w:val="center"/>
            </w:pPr>
            <w:r w:rsidRPr="00BE086B">
              <w:t>[450-452]</w:t>
            </w:r>
          </w:p>
        </w:tc>
        <w:tc>
          <w:tcPr>
            <w:tcW w:w="1209"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Таблетки</w:t>
            </w:r>
          </w:p>
          <w:p w:rsidR="004850FF" w:rsidRPr="00BE086B" w:rsidRDefault="004850FF" w:rsidP="009003E4">
            <w:pPr>
              <w:jc w:val="center"/>
            </w:pPr>
            <w:r w:rsidRPr="00BE086B">
              <w:rPr>
                <w:lang w:eastAsia="ru-RU"/>
              </w:rPr>
              <w:t>по 0,01</w:t>
            </w:r>
            <w:r w:rsidRPr="00BE086B">
              <w:t xml:space="preserve"> </w:t>
            </w:r>
            <w:r w:rsidRPr="00BE086B">
              <w:rPr>
                <w:lang w:eastAsia="ru-RU"/>
              </w:rPr>
              <w:t>г</w:t>
            </w:r>
          </w:p>
        </w:tc>
      </w:tr>
    </w:tbl>
    <w:p w:rsidR="004850FF" w:rsidRPr="00BE086B" w:rsidRDefault="004850FF" w:rsidP="00A07082">
      <w:pPr>
        <w:pStyle w:val="15"/>
        <w:tabs>
          <w:tab w:val="left" w:pos="4395"/>
        </w:tabs>
        <w:spacing w:line="360" w:lineRule="auto"/>
        <w:ind w:firstLine="709"/>
        <w:jc w:val="right"/>
        <w:rPr>
          <w:rFonts w:ascii="Times New Roman" w:hAnsi="Times New Roman" w:cs="Times New Roman"/>
          <w:i/>
          <w:sz w:val="28"/>
          <w:szCs w:val="28"/>
        </w:rPr>
      </w:pPr>
      <w:r w:rsidRPr="00BE086B">
        <w:rPr>
          <w:rFonts w:ascii="Times New Roman" w:hAnsi="Times New Roman" w:cs="Times New Roman"/>
          <w:i/>
          <w:sz w:val="28"/>
          <w:szCs w:val="28"/>
        </w:rPr>
        <w:lastRenderedPageBreak/>
        <w:t>Продовження табл</w:t>
      </w:r>
      <w:r w:rsidR="00831597">
        <w:rPr>
          <w:rFonts w:ascii="Times New Roman" w:hAnsi="Times New Roman" w:cs="Times New Roman"/>
          <w:i/>
          <w:sz w:val="28"/>
          <w:szCs w:val="28"/>
          <w:lang w:val="uk-UA"/>
        </w:rPr>
        <w:t>иці</w:t>
      </w:r>
      <w:r w:rsidRPr="00BE086B">
        <w:rPr>
          <w:rFonts w:ascii="Times New Roman" w:hAnsi="Times New Roman" w:cs="Times New Roman"/>
          <w:i/>
          <w:sz w:val="28"/>
          <w:szCs w:val="28"/>
        </w:rPr>
        <w:t xml:space="preserve"> 2.1</w:t>
      </w:r>
    </w:p>
    <w:tbl>
      <w:tblPr>
        <w:tblW w:w="9931" w:type="dxa"/>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909"/>
        <w:gridCol w:w="1269"/>
        <w:gridCol w:w="1418"/>
        <w:gridCol w:w="1350"/>
      </w:tblGrid>
      <w:tr w:rsidR="004850FF" w:rsidRPr="00BE086B" w:rsidTr="00B53875">
        <w:trPr>
          <w:trHeight w:val="325"/>
        </w:trPr>
        <w:tc>
          <w:tcPr>
            <w:tcW w:w="1985" w:type="dxa"/>
            <w:shd w:val="clear" w:color="auto" w:fill="auto"/>
            <w:vAlign w:val="center"/>
          </w:tcPr>
          <w:p w:rsidR="004850FF" w:rsidRPr="00BE086B" w:rsidRDefault="004850FF" w:rsidP="009003E4">
            <w:pPr>
              <w:pStyle w:val="af0"/>
              <w:snapToGrid w:val="0"/>
              <w:spacing w:line="240" w:lineRule="auto"/>
              <w:jc w:val="center"/>
              <w:rPr>
                <w:bCs/>
                <w:sz w:val="24"/>
                <w:lang w:eastAsia="ru-RU"/>
              </w:rPr>
            </w:pPr>
            <w:r w:rsidRPr="00BE086B">
              <w:rPr>
                <w:bCs/>
                <w:sz w:val="24"/>
                <w:lang w:eastAsia="ru-RU"/>
              </w:rPr>
              <w:t>1</w:t>
            </w:r>
          </w:p>
        </w:tc>
        <w:tc>
          <w:tcPr>
            <w:tcW w:w="3909" w:type="dxa"/>
            <w:shd w:val="clear" w:color="auto" w:fill="auto"/>
            <w:vAlign w:val="center"/>
          </w:tcPr>
          <w:p w:rsidR="004850FF" w:rsidRPr="00BE086B" w:rsidRDefault="004850FF" w:rsidP="009003E4">
            <w:pPr>
              <w:pStyle w:val="af3"/>
              <w:spacing w:before="0" w:after="0"/>
              <w:jc w:val="center"/>
              <w:rPr>
                <w:bCs/>
                <w:lang w:eastAsia="ru-RU"/>
              </w:rPr>
            </w:pPr>
            <w:r w:rsidRPr="00BE086B">
              <w:rPr>
                <w:bCs/>
                <w:lang w:eastAsia="ru-RU"/>
              </w:rPr>
              <w:t>2</w:t>
            </w:r>
          </w:p>
        </w:tc>
        <w:tc>
          <w:tcPr>
            <w:tcW w:w="1269" w:type="dxa"/>
            <w:shd w:val="clear" w:color="auto" w:fill="auto"/>
            <w:vAlign w:val="center"/>
          </w:tcPr>
          <w:p w:rsidR="004850FF" w:rsidRPr="00BE086B" w:rsidRDefault="004850FF" w:rsidP="009003E4">
            <w:pPr>
              <w:pStyle w:val="af0"/>
              <w:spacing w:line="240" w:lineRule="auto"/>
              <w:jc w:val="center"/>
              <w:rPr>
                <w:sz w:val="24"/>
              </w:rPr>
            </w:pPr>
            <w:r w:rsidRPr="00BE086B">
              <w:rPr>
                <w:sz w:val="24"/>
              </w:rPr>
              <w:t>3</w:t>
            </w:r>
          </w:p>
        </w:tc>
        <w:tc>
          <w:tcPr>
            <w:tcW w:w="1418" w:type="dxa"/>
            <w:shd w:val="clear" w:color="auto" w:fill="auto"/>
            <w:vAlign w:val="center"/>
          </w:tcPr>
          <w:p w:rsidR="004850FF" w:rsidRPr="00BE086B" w:rsidRDefault="004850FF" w:rsidP="009003E4">
            <w:pPr>
              <w:snapToGrid w:val="0"/>
              <w:jc w:val="center"/>
            </w:pPr>
            <w:r w:rsidRPr="00BE086B">
              <w:t>4</w:t>
            </w:r>
          </w:p>
        </w:tc>
        <w:tc>
          <w:tcPr>
            <w:tcW w:w="1350" w:type="dxa"/>
            <w:shd w:val="clear" w:color="auto" w:fill="auto"/>
            <w:vAlign w:val="center"/>
          </w:tcPr>
          <w:p w:rsidR="004850FF" w:rsidRPr="00BE086B" w:rsidRDefault="004850FF" w:rsidP="009003E4">
            <w:pPr>
              <w:pStyle w:val="af0"/>
              <w:spacing w:line="240" w:lineRule="auto"/>
              <w:jc w:val="center"/>
              <w:rPr>
                <w:bCs/>
                <w:sz w:val="24"/>
                <w:lang w:eastAsia="ru-RU"/>
              </w:rPr>
            </w:pPr>
            <w:r w:rsidRPr="00BE086B">
              <w:rPr>
                <w:bCs/>
                <w:sz w:val="24"/>
                <w:lang w:eastAsia="ru-RU"/>
              </w:rPr>
              <w:t>5</w:t>
            </w:r>
          </w:p>
        </w:tc>
      </w:tr>
      <w:tr w:rsidR="004850FF" w:rsidRPr="00BE086B" w:rsidTr="00B53875">
        <w:trPr>
          <w:trHeight w:val="557"/>
        </w:trPr>
        <w:tc>
          <w:tcPr>
            <w:tcW w:w="1985" w:type="dxa"/>
            <w:vMerge w:val="restart"/>
            <w:shd w:val="clear" w:color="auto" w:fill="auto"/>
            <w:vAlign w:val="center"/>
          </w:tcPr>
          <w:p w:rsidR="004850FF" w:rsidRPr="00BE086B" w:rsidRDefault="004850FF" w:rsidP="009003E4">
            <w:pPr>
              <w:pStyle w:val="af0"/>
              <w:snapToGrid w:val="0"/>
              <w:spacing w:line="240" w:lineRule="auto"/>
              <w:jc w:val="center"/>
              <w:rPr>
                <w:sz w:val="24"/>
              </w:rPr>
            </w:pPr>
            <w:r w:rsidRPr="00BE086B">
              <w:rPr>
                <w:bCs/>
                <w:sz w:val="24"/>
                <w:lang w:eastAsia="ru-RU"/>
              </w:rPr>
              <w:t>Нестероїдні протизапальні та протиревматичні засоби</w:t>
            </w:r>
          </w:p>
        </w:tc>
        <w:tc>
          <w:tcPr>
            <w:tcW w:w="3909" w:type="dxa"/>
            <w:shd w:val="clear" w:color="auto" w:fill="auto"/>
            <w:vAlign w:val="center"/>
          </w:tcPr>
          <w:p w:rsidR="004850FF" w:rsidRPr="00BE086B" w:rsidRDefault="004850FF" w:rsidP="009003E4">
            <w:pPr>
              <w:pStyle w:val="af3"/>
              <w:spacing w:before="0" w:after="0"/>
              <w:jc w:val="center"/>
            </w:pPr>
            <w:r w:rsidRPr="00BE086B">
              <w:rPr>
                <w:bCs/>
                <w:lang w:eastAsia="ru-RU"/>
              </w:rPr>
              <w:t xml:space="preserve">Хондроітину сульфат (препарат </w:t>
            </w:r>
            <w:r w:rsidRPr="00BE086B">
              <w:t>«</w:t>
            </w:r>
            <w:r w:rsidRPr="00BE086B">
              <w:rPr>
                <w:bCs/>
                <w:lang w:eastAsia="ru-RU"/>
              </w:rPr>
              <w:t>Артеджа ін'єкції</w:t>
            </w:r>
            <w:r w:rsidRPr="00BE086B">
              <w:t>», виробник</w:t>
            </w:r>
            <w:r w:rsidRPr="00BE086B">
              <w:rPr>
                <w:bCs/>
                <w:lang w:eastAsia="ru-RU"/>
              </w:rPr>
              <w:t xml:space="preserve"> ПрАТ «Фітофарм», Україна),</w:t>
            </w:r>
          </w:p>
          <w:p w:rsidR="004850FF" w:rsidRPr="00BE086B" w:rsidRDefault="004850FF" w:rsidP="009003E4">
            <w:pPr>
              <w:suppressAutoHyphens w:val="0"/>
            </w:pPr>
            <w:r w:rsidRPr="00BE086B">
              <w:rPr>
                <w:bCs/>
                <w:lang w:eastAsia="ru-RU"/>
              </w:rPr>
              <w:t xml:space="preserve">серія </w:t>
            </w:r>
            <w:r w:rsidRPr="00BE086B">
              <w:rPr>
                <w:lang w:eastAsia="ru-RU"/>
              </w:rPr>
              <w:t>011015</w:t>
            </w:r>
            <w:r w:rsidRPr="00BE086B">
              <w:rPr>
                <w:iCs/>
                <w:lang w:eastAsia="ru-RU"/>
              </w:rPr>
              <w:t xml:space="preserve">, код АТС </w:t>
            </w:r>
            <w:r w:rsidRPr="00BE086B">
              <w:rPr>
                <w:shd w:val="clear" w:color="auto" w:fill="FFFFFF"/>
              </w:rPr>
              <w:t>M01AX25</w:t>
            </w:r>
          </w:p>
        </w:tc>
        <w:tc>
          <w:tcPr>
            <w:tcW w:w="1269" w:type="dxa"/>
            <w:shd w:val="clear" w:color="auto" w:fill="auto"/>
            <w:vAlign w:val="center"/>
          </w:tcPr>
          <w:p w:rsidR="004850FF" w:rsidRPr="00BE086B" w:rsidRDefault="004850FF" w:rsidP="009003E4">
            <w:pPr>
              <w:pStyle w:val="af0"/>
              <w:spacing w:line="240" w:lineRule="auto"/>
              <w:jc w:val="center"/>
              <w:rPr>
                <w:sz w:val="24"/>
              </w:rPr>
            </w:pPr>
            <w:r w:rsidRPr="00BE086B">
              <w:rPr>
                <w:sz w:val="24"/>
              </w:rPr>
              <w:t>0,24; 5 мл</w:t>
            </w:r>
          </w:p>
        </w:tc>
        <w:tc>
          <w:tcPr>
            <w:tcW w:w="1418" w:type="dxa"/>
            <w:shd w:val="clear" w:color="auto" w:fill="auto"/>
            <w:vAlign w:val="center"/>
          </w:tcPr>
          <w:p w:rsidR="004850FF" w:rsidRPr="00BE086B" w:rsidRDefault="004850FF" w:rsidP="009003E4">
            <w:pPr>
              <w:snapToGrid w:val="0"/>
              <w:jc w:val="center"/>
            </w:pPr>
            <w:r w:rsidRPr="00BE086B">
              <w:t>[</w:t>
            </w:r>
            <w:r w:rsidRPr="00BE086B">
              <w:rPr>
                <w:iCs/>
              </w:rPr>
              <w:t>432, 453, 454</w:t>
            </w:r>
            <w:r w:rsidRPr="00BE086B">
              <w:t>]</w:t>
            </w:r>
          </w:p>
        </w:tc>
        <w:tc>
          <w:tcPr>
            <w:tcW w:w="1350"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Ампули</w:t>
            </w:r>
          </w:p>
          <w:p w:rsidR="004850FF" w:rsidRPr="00BE086B" w:rsidRDefault="004850FF" w:rsidP="009003E4">
            <w:pPr>
              <w:pStyle w:val="af0"/>
              <w:spacing w:line="240" w:lineRule="auto"/>
              <w:jc w:val="center"/>
              <w:rPr>
                <w:sz w:val="24"/>
              </w:rPr>
            </w:pPr>
            <w:r w:rsidRPr="00BE086B">
              <w:rPr>
                <w:bCs/>
                <w:sz w:val="24"/>
                <w:lang w:eastAsia="ru-RU"/>
              </w:rPr>
              <w:t>по 2 мл</w:t>
            </w:r>
          </w:p>
          <w:p w:rsidR="004850FF" w:rsidRPr="00BE086B" w:rsidRDefault="004850FF" w:rsidP="009003E4">
            <w:pPr>
              <w:pStyle w:val="af0"/>
              <w:spacing w:line="240" w:lineRule="auto"/>
              <w:jc w:val="center"/>
              <w:rPr>
                <w:sz w:val="24"/>
              </w:rPr>
            </w:pPr>
            <w:r w:rsidRPr="00BE086B">
              <w:rPr>
                <w:bCs/>
                <w:sz w:val="24"/>
                <w:lang w:eastAsia="ru-RU"/>
              </w:rPr>
              <w:t>(200 мг/2 мл)</w:t>
            </w:r>
          </w:p>
        </w:tc>
      </w:tr>
      <w:tr w:rsidR="004850FF" w:rsidRPr="00BE086B" w:rsidTr="00B53875">
        <w:trPr>
          <w:trHeight w:val="891"/>
        </w:trPr>
        <w:tc>
          <w:tcPr>
            <w:tcW w:w="1985" w:type="dxa"/>
            <w:vMerge/>
            <w:shd w:val="clear" w:color="auto" w:fill="auto"/>
            <w:vAlign w:val="center"/>
          </w:tcPr>
          <w:p w:rsidR="004850FF" w:rsidRPr="00BE086B" w:rsidRDefault="004850FF" w:rsidP="009003E4">
            <w:pPr>
              <w:pStyle w:val="af0"/>
              <w:snapToGrid w:val="0"/>
              <w:spacing w:line="240" w:lineRule="auto"/>
              <w:rPr>
                <w:bCs/>
                <w:sz w:val="24"/>
                <w:lang w:eastAsia="ru-RU"/>
              </w:rPr>
            </w:pPr>
          </w:p>
        </w:tc>
        <w:tc>
          <w:tcPr>
            <w:tcW w:w="3909" w:type="dxa"/>
            <w:shd w:val="clear" w:color="auto" w:fill="auto"/>
            <w:vAlign w:val="center"/>
          </w:tcPr>
          <w:p w:rsidR="004850FF" w:rsidRPr="00BE086B" w:rsidRDefault="004850FF" w:rsidP="009003E4">
            <w:pPr>
              <w:pStyle w:val="western"/>
              <w:spacing w:before="0" w:after="0" w:line="240" w:lineRule="auto"/>
              <w:rPr>
                <w:rFonts w:ascii="Times New Roman" w:hAnsi="Times New Roman" w:cs="Times New Roman"/>
                <w:color w:val="auto"/>
              </w:rPr>
            </w:pPr>
            <w:r w:rsidRPr="00BE086B">
              <w:rPr>
                <w:rFonts w:ascii="Times New Roman" w:hAnsi="Times New Roman" w:cs="Times New Roman"/>
                <w:bCs/>
                <w:color w:val="auto"/>
              </w:rPr>
              <w:t xml:space="preserve">Хондроїтину сульфат (препарат </w:t>
            </w:r>
            <w:r w:rsidRPr="00BE086B">
              <w:rPr>
                <w:rFonts w:ascii="Times New Roman" w:hAnsi="Times New Roman" w:cs="Times New Roman"/>
                <w:color w:val="auto"/>
              </w:rPr>
              <w:t>«Арт</w:t>
            </w:r>
            <w:r w:rsidRPr="00BE086B">
              <w:rPr>
                <w:rFonts w:ascii="Times New Roman" w:hAnsi="Times New Roman" w:cs="Times New Roman"/>
                <w:bCs/>
                <w:color w:val="auto"/>
              </w:rPr>
              <w:t>рида</w:t>
            </w:r>
            <w:r w:rsidRPr="00BE086B">
              <w:rPr>
                <w:rFonts w:ascii="Times New Roman" w:hAnsi="Times New Roman" w:cs="Times New Roman"/>
                <w:color w:val="auto"/>
              </w:rPr>
              <w:t>», виробник</w:t>
            </w:r>
            <w:r w:rsidRPr="00BE086B">
              <w:rPr>
                <w:rFonts w:ascii="Times New Roman" w:hAnsi="Times New Roman" w:cs="Times New Roman"/>
                <w:bCs/>
                <w:color w:val="auto"/>
                <w:shd w:val="clear" w:color="auto" w:fill="FFFFFF"/>
              </w:rPr>
              <w:t xml:space="preserve"> ХАУПТ ФАРМА ЛІВРОН, Франція</w:t>
            </w:r>
            <w:r w:rsidRPr="00BE086B">
              <w:rPr>
                <w:rFonts w:ascii="Times New Roman" w:hAnsi="Times New Roman" w:cs="Times New Roman"/>
                <w:bCs/>
                <w:color w:val="auto"/>
              </w:rPr>
              <w:t>),</w:t>
            </w:r>
          </w:p>
          <w:p w:rsidR="004850FF" w:rsidRPr="00BE086B" w:rsidRDefault="004850FF" w:rsidP="009003E4">
            <w:pPr>
              <w:pStyle w:val="western"/>
              <w:spacing w:before="0" w:after="0" w:line="240" w:lineRule="auto"/>
              <w:rPr>
                <w:rFonts w:ascii="Times New Roman" w:hAnsi="Times New Roman" w:cs="Times New Roman"/>
                <w:color w:val="auto"/>
              </w:rPr>
            </w:pPr>
            <w:r w:rsidRPr="00BE086B">
              <w:rPr>
                <w:rFonts w:ascii="Times New Roman" w:hAnsi="Times New Roman" w:cs="Times New Roman"/>
                <w:bCs/>
                <w:color w:val="auto"/>
              </w:rPr>
              <w:t xml:space="preserve">серія </w:t>
            </w:r>
            <w:r w:rsidRPr="00BE086B">
              <w:rPr>
                <w:rFonts w:ascii="Times New Roman" w:hAnsi="Times New Roman" w:cs="Times New Roman"/>
                <w:color w:val="auto"/>
              </w:rPr>
              <w:t>С009</w:t>
            </w:r>
            <w:r w:rsidRPr="00BE086B">
              <w:rPr>
                <w:rFonts w:ascii="Times New Roman" w:hAnsi="Times New Roman" w:cs="Times New Roman"/>
                <w:iCs/>
                <w:color w:val="auto"/>
                <w:lang w:eastAsia="ru-RU"/>
              </w:rPr>
              <w:t xml:space="preserve">, код АТС </w:t>
            </w:r>
            <w:r w:rsidRPr="00BE086B">
              <w:rPr>
                <w:rFonts w:ascii="Times New Roman" w:hAnsi="Times New Roman" w:cs="Times New Roman"/>
                <w:color w:val="auto"/>
                <w:shd w:val="clear" w:color="auto" w:fill="FFFFFF"/>
              </w:rPr>
              <w:t>M01AX25</w:t>
            </w:r>
          </w:p>
        </w:tc>
        <w:tc>
          <w:tcPr>
            <w:tcW w:w="1269" w:type="dxa"/>
            <w:shd w:val="clear" w:color="auto" w:fill="auto"/>
            <w:vAlign w:val="center"/>
          </w:tcPr>
          <w:p w:rsidR="004850FF" w:rsidRPr="00BE086B" w:rsidRDefault="004850FF" w:rsidP="009003E4">
            <w:pPr>
              <w:pStyle w:val="af0"/>
              <w:spacing w:line="240" w:lineRule="auto"/>
              <w:jc w:val="center"/>
              <w:rPr>
                <w:sz w:val="24"/>
              </w:rPr>
            </w:pPr>
            <w:r w:rsidRPr="00BE086B">
              <w:rPr>
                <w:sz w:val="24"/>
              </w:rPr>
              <w:t>0,24; 5 мл</w:t>
            </w:r>
          </w:p>
        </w:tc>
        <w:tc>
          <w:tcPr>
            <w:tcW w:w="1418" w:type="dxa"/>
            <w:shd w:val="clear" w:color="auto" w:fill="auto"/>
            <w:vAlign w:val="center"/>
          </w:tcPr>
          <w:p w:rsidR="004850FF" w:rsidRPr="00BE086B" w:rsidRDefault="004850FF" w:rsidP="009003E4">
            <w:pPr>
              <w:snapToGrid w:val="0"/>
              <w:jc w:val="center"/>
            </w:pPr>
            <w:r w:rsidRPr="00BE086B">
              <w:t>[</w:t>
            </w:r>
            <w:r w:rsidRPr="00BE086B">
              <w:rPr>
                <w:iCs/>
              </w:rPr>
              <w:t>432, 453, 454</w:t>
            </w:r>
            <w:r w:rsidRPr="00BE086B">
              <w:t>]</w:t>
            </w:r>
          </w:p>
        </w:tc>
        <w:tc>
          <w:tcPr>
            <w:tcW w:w="1350"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Ампули</w:t>
            </w:r>
          </w:p>
          <w:p w:rsidR="004850FF" w:rsidRPr="00BE086B" w:rsidRDefault="004850FF" w:rsidP="009003E4">
            <w:pPr>
              <w:pStyle w:val="af0"/>
              <w:spacing w:line="240" w:lineRule="auto"/>
              <w:jc w:val="center"/>
              <w:rPr>
                <w:sz w:val="24"/>
              </w:rPr>
            </w:pPr>
            <w:r w:rsidRPr="00BE086B">
              <w:rPr>
                <w:bCs/>
                <w:sz w:val="24"/>
                <w:lang w:eastAsia="ru-RU"/>
              </w:rPr>
              <w:t>по 2 мл</w:t>
            </w:r>
          </w:p>
          <w:p w:rsidR="004850FF" w:rsidRPr="00BE086B" w:rsidRDefault="004850FF" w:rsidP="009003E4">
            <w:pPr>
              <w:pStyle w:val="af0"/>
              <w:spacing w:line="240" w:lineRule="auto"/>
              <w:jc w:val="center"/>
              <w:rPr>
                <w:sz w:val="24"/>
              </w:rPr>
            </w:pPr>
            <w:r w:rsidRPr="00BE086B">
              <w:rPr>
                <w:bCs/>
                <w:sz w:val="24"/>
                <w:lang w:eastAsia="ru-RU"/>
              </w:rPr>
              <w:t>(200 мг/2 мл)</w:t>
            </w:r>
          </w:p>
        </w:tc>
      </w:tr>
      <w:tr w:rsidR="004850FF" w:rsidRPr="00BE086B" w:rsidTr="00B53875">
        <w:trPr>
          <w:trHeight w:val="891"/>
        </w:trPr>
        <w:tc>
          <w:tcPr>
            <w:tcW w:w="1985" w:type="dxa"/>
            <w:vMerge/>
            <w:shd w:val="clear" w:color="auto" w:fill="auto"/>
            <w:vAlign w:val="center"/>
          </w:tcPr>
          <w:p w:rsidR="004850FF" w:rsidRPr="00BE086B" w:rsidRDefault="004850FF" w:rsidP="009003E4">
            <w:pPr>
              <w:pStyle w:val="af0"/>
              <w:snapToGrid w:val="0"/>
              <w:spacing w:line="240" w:lineRule="auto"/>
              <w:rPr>
                <w:bCs/>
                <w:sz w:val="24"/>
                <w:lang w:eastAsia="ru-RU"/>
              </w:rPr>
            </w:pPr>
          </w:p>
        </w:tc>
        <w:tc>
          <w:tcPr>
            <w:tcW w:w="3909" w:type="dxa"/>
            <w:shd w:val="clear" w:color="auto" w:fill="auto"/>
            <w:vAlign w:val="center"/>
          </w:tcPr>
          <w:p w:rsidR="004850FF" w:rsidRPr="00BE086B" w:rsidRDefault="004850FF" w:rsidP="009003E4">
            <w:pPr>
              <w:pStyle w:val="af3"/>
              <w:spacing w:before="0" w:after="0"/>
              <w:jc w:val="center"/>
              <w:rPr>
                <w:iCs/>
                <w:lang w:eastAsia="ru-RU"/>
              </w:rPr>
            </w:pPr>
            <w:r w:rsidRPr="00BE086B">
              <w:rPr>
                <w:bCs/>
                <w:lang w:eastAsia="ru-RU"/>
              </w:rPr>
              <w:t xml:space="preserve">Хондроїтину сульфат (препарат </w:t>
            </w:r>
            <w:r w:rsidRPr="00BE086B">
              <w:t>«</w:t>
            </w:r>
            <w:r w:rsidRPr="00BE086B">
              <w:rPr>
                <w:bCs/>
                <w:lang w:eastAsia="ru-RU"/>
              </w:rPr>
              <w:t>Мукосат нео</w:t>
            </w:r>
            <w:r w:rsidRPr="00BE086B">
              <w:t>», виробник</w:t>
            </w:r>
            <w:r w:rsidRPr="00BE086B">
              <w:rPr>
                <w:bCs/>
                <w:lang w:eastAsia="ru-RU"/>
              </w:rPr>
              <w:t xml:space="preserve"> РУП «Белмедпрепарати», Республіка Білорусь), серія </w:t>
            </w:r>
            <w:r w:rsidRPr="00BE086B">
              <w:rPr>
                <w:lang w:eastAsia="ru-RU"/>
              </w:rPr>
              <w:t>871114</w:t>
            </w:r>
            <w:r w:rsidRPr="00BE086B">
              <w:rPr>
                <w:iCs/>
                <w:lang w:eastAsia="ru-RU"/>
              </w:rPr>
              <w:t>,</w:t>
            </w:r>
          </w:p>
          <w:p w:rsidR="004850FF" w:rsidRPr="00BE086B" w:rsidRDefault="004850FF" w:rsidP="009003E4">
            <w:pPr>
              <w:pStyle w:val="af3"/>
              <w:spacing w:before="0" w:after="0"/>
              <w:jc w:val="center"/>
            </w:pPr>
            <w:r w:rsidRPr="00BE086B">
              <w:rPr>
                <w:iCs/>
                <w:lang w:eastAsia="ru-RU"/>
              </w:rPr>
              <w:t xml:space="preserve">код АТС </w:t>
            </w:r>
            <w:r w:rsidRPr="00BE086B">
              <w:rPr>
                <w:shd w:val="clear" w:color="auto" w:fill="FFFFFF"/>
              </w:rPr>
              <w:t>M01AX25</w:t>
            </w:r>
          </w:p>
        </w:tc>
        <w:tc>
          <w:tcPr>
            <w:tcW w:w="1269" w:type="dxa"/>
            <w:shd w:val="clear" w:color="auto" w:fill="auto"/>
            <w:vAlign w:val="center"/>
          </w:tcPr>
          <w:p w:rsidR="004850FF" w:rsidRPr="00BE086B" w:rsidRDefault="004850FF" w:rsidP="009003E4">
            <w:pPr>
              <w:pStyle w:val="af0"/>
              <w:spacing w:line="240" w:lineRule="auto"/>
              <w:jc w:val="center"/>
              <w:rPr>
                <w:sz w:val="24"/>
              </w:rPr>
            </w:pPr>
            <w:r w:rsidRPr="00BE086B">
              <w:rPr>
                <w:sz w:val="24"/>
              </w:rPr>
              <w:t>0,24; 5 мл</w:t>
            </w:r>
          </w:p>
        </w:tc>
        <w:tc>
          <w:tcPr>
            <w:tcW w:w="1418" w:type="dxa"/>
            <w:shd w:val="clear" w:color="auto" w:fill="auto"/>
            <w:vAlign w:val="center"/>
          </w:tcPr>
          <w:p w:rsidR="004850FF" w:rsidRPr="00BE086B" w:rsidRDefault="004850FF" w:rsidP="009003E4">
            <w:pPr>
              <w:jc w:val="center"/>
            </w:pPr>
            <w:r w:rsidRPr="00BE086B">
              <w:t>[</w:t>
            </w:r>
            <w:r w:rsidRPr="00BE086B">
              <w:rPr>
                <w:iCs/>
              </w:rPr>
              <w:t>432, 453, 454</w:t>
            </w:r>
            <w:r w:rsidRPr="00BE086B">
              <w:t>]</w:t>
            </w:r>
          </w:p>
        </w:tc>
        <w:tc>
          <w:tcPr>
            <w:tcW w:w="1350" w:type="dxa"/>
            <w:shd w:val="clear" w:color="auto" w:fill="auto"/>
            <w:vAlign w:val="center"/>
          </w:tcPr>
          <w:p w:rsidR="004850FF" w:rsidRPr="00BE086B" w:rsidRDefault="004850FF" w:rsidP="009003E4">
            <w:pPr>
              <w:pStyle w:val="af0"/>
              <w:spacing w:line="240" w:lineRule="auto"/>
              <w:jc w:val="center"/>
              <w:rPr>
                <w:sz w:val="24"/>
              </w:rPr>
            </w:pPr>
            <w:r w:rsidRPr="00BE086B">
              <w:rPr>
                <w:bCs/>
                <w:sz w:val="24"/>
                <w:lang w:eastAsia="ru-RU"/>
              </w:rPr>
              <w:t>Ампули</w:t>
            </w:r>
          </w:p>
          <w:p w:rsidR="004850FF" w:rsidRPr="00BE086B" w:rsidRDefault="004850FF" w:rsidP="009003E4">
            <w:pPr>
              <w:pStyle w:val="af0"/>
              <w:spacing w:line="240" w:lineRule="auto"/>
              <w:jc w:val="center"/>
              <w:rPr>
                <w:sz w:val="24"/>
              </w:rPr>
            </w:pPr>
            <w:r w:rsidRPr="00BE086B">
              <w:rPr>
                <w:bCs/>
                <w:sz w:val="24"/>
                <w:lang w:eastAsia="ru-RU"/>
              </w:rPr>
              <w:t>по 2 мл</w:t>
            </w:r>
          </w:p>
          <w:p w:rsidR="004850FF" w:rsidRPr="00BE086B" w:rsidRDefault="004850FF" w:rsidP="009003E4">
            <w:pPr>
              <w:pStyle w:val="af0"/>
              <w:spacing w:line="240" w:lineRule="auto"/>
              <w:jc w:val="center"/>
              <w:rPr>
                <w:sz w:val="24"/>
              </w:rPr>
            </w:pPr>
            <w:r w:rsidRPr="00BE086B">
              <w:rPr>
                <w:bCs/>
                <w:sz w:val="24"/>
                <w:lang w:eastAsia="ru-RU"/>
              </w:rPr>
              <w:t>(200 мг/2 мл)</w:t>
            </w:r>
          </w:p>
        </w:tc>
      </w:tr>
    </w:tbl>
    <w:p w:rsidR="004850FF" w:rsidRPr="00BE086B" w:rsidRDefault="004850FF" w:rsidP="00A07082">
      <w:pPr>
        <w:pStyle w:val="15"/>
        <w:tabs>
          <w:tab w:val="left" w:pos="4395"/>
        </w:tabs>
        <w:spacing w:line="360" w:lineRule="auto"/>
        <w:ind w:firstLine="709"/>
        <w:jc w:val="both"/>
        <w:rPr>
          <w:rFonts w:ascii="Times New Roman" w:hAnsi="Times New Roman" w:cs="Times New Roman"/>
          <w:sz w:val="28"/>
          <w:szCs w:val="28"/>
        </w:rPr>
      </w:pPr>
    </w:p>
    <w:p w:rsidR="00324138" w:rsidRPr="00BE086B" w:rsidRDefault="00324138" w:rsidP="00A07082">
      <w:pPr>
        <w:pStyle w:val="15"/>
        <w:tabs>
          <w:tab w:val="left" w:pos="4395"/>
        </w:tabs>
        <w:spacing w:line="360" w:lineRule="auto"/>
        <w:ind w:firstLine="709"/>
        <w:jc w:val="both"/>
        <w:rPr>
          <w:rFonts w:ascii="Times New Roman" w:hAnsi="Times New Roman" w:cs="Times New Roman"/>
          <w:sz w:val="28"/>
          <w:szCs w:val="28"/>
        </w:rPr>
      </w:pPr>
    </w:p>
    <w:p w:rsidR="004850FF" w:rsidRPr="00BE086B" w:rsidRDefault="004850FF" w:rsidP="00A07082">
      <w:pPr>
        <w:pStyle w:val="15"/>
        <w:tabs>
          <w:tab w:val="left" w:pos="4395"/>
        </w:tabs>
        <w:spacing w:line="360" w:lineRule="auto"/>
        <w:ind w:firstLine="709"/>
        <w:jc w:val="both"/>
        <w:rPr>
          <w:rFonts w:ascii="Times New Roman" w:hAnsi="Times New Roman" w:cs="Times New Roman"/>
          <w:b/>
          <w:sz w:val="28"/>
          <w:szCs w:val="28"/>
        </w:rPr>
      </w:pPr>
      <w:r w:rsidRPr="00BE086B">
        <w:rPr>
          <w:rFonts w:ascii="Times New Roman" w:hAnsi="Times New Roman" w:cs="Times New Roman"/>
          <w:b/>
          <w:sz w:val="28"/>
          <w:szCs w:val="28"/>
        </w:rPr>
        <w:t>2.</w:t>
      </w:r>
      <w:r w:rsidRPr="00BE086B">
        <w:rPr>
          <w:rFonts w:ascii="Times New Roman" w:hAnsi="Times New Roman" w:cs="Times New Roman"/>
          <w:b/>
          <w:sz w:val="28"/>
          <w:szCs w:val="28"/>
          <w:lang w:val="en-US"/>
        </w:rPr>
        <w:t>3</w:t>
      </w:r>
      <w:r w:rsidRPr="00BE086B">
        <w:rPr>
          <w:rFonts w:ascii="Times New Roman" w:hAnsi="Times New Roman" w:cs="Times New Roman"/>
          <w:b/>
          <w:sz w:val="28"/>
          <w:szCs w:val="28"/>
        </w:rPr>
        <w:t>. Дизайн дослідження</w:t>
      </w:r>
    </w:p>
    <w:p w:rsidR="004850FF" w:rsidRPr="00BE086B" w:rsidRDefault="004850FF" w:rsidP="00A07082">
      <w:pPr>
        <w:pStyle w:val="15"/>
        <w:tabs>
          <w:tab w:val="left" w:pos="4395"/>
        </w:tabs>
        <w:spacing w:line="360" w:lineRule="auto"/>
        <w:ind w:firstLine="709"/>
        <w:jc w:val="both"/>
        <w:rPr>
          <w:rFonts w:ascii="Times New Roman" w:hAnsi="Times New Roman" w:cs="Times New Roman"/>
          <w:sz w:val="28"/>
          <w:szCs w:val="28"/>
        </w:rPr>
      </w:pPr>
    </w:p>
    <w:p w:rsidR="004850FF" w:rsidRPr="00BE086B" w:rsidRDefault="001823B1" w:rsidP="007737FE">
      <w:pPr>
        <w:pStyle w:val="15"/>
        <w:tabs>
          <w:tab w:val="left" w:pos="4395"/>
        </w:tabs>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657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1.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3657600"/>
                    </a:xfrm>
                    <a:prstGeom prst="rect">
                      <a:avLst/>
                    </a:prstGeom>
                  </pic:spPr>
                </pic:pic>
              </a:graphicData>
            </a:graphic>
          </wp:inline>
        </w:drawing>
      </w:r>
    </w:p>
    <w:p w:rsidR="00791780" w:rsidRPr="00BE086B" w:rsidRDefault="00791780" w:rsidP="00A07082">
      <w:pPr>
        <w:pStyle w:val="15"/>
        <w:tabs>
          <w:tab w:val="left" w:pos="4395"/>
        </w:tabs>
        <w:spacing w:line="360" w:lineRule="auto"/>
        <w:ind w:firstLine="709"/>
        <w:jc w:val="both"/>
        <w:rPr>
          <w:rFonts w:ascii="Times New Roman" w:hAnsi="Times New Roman" w:cs="Times New Roman"/>
          <w:b/>
          <w:sz w:val="28"/>
          <w:szCs w:val="28"/>
        </w:rPr>
      </w:pPr>
    </w:p>
    <w:p w:rsidR="004850FF" w:rsidRPr="00BE086B" w:rsidRDefault="004850FF" w:rsidP="00A07082">
      <w:pPr>
        <w:pStyle w:val="15"/>
        <w:tabs>
          <w:tab w:val="left" w:pos="4395"/>
        </w:tabs>
        <w:spacing w:line="360" w:lineRule="auto"/>
        <w:ind w:firstLine="709"/>
        <w:jc w:val="both"/>
        <w:rPr>
          <w:rFonts w:ascii="Times New Roman" w:hAnsi="Times New Roman" w:cs="Times New Roman"/>
          <w:sz w:val="28"/>
          <w:szCs w:val="28"/>
        </w:rPr>
      </w:pPr>
      <w:r w:rsidRPr="00BE086B">
        <w:rPr>
          <w:rFonts w:ascii="Times New Roman" w:hAnsi="Times New Roman" w:cs="Times New Roman"/>
          <w:b/>
          <w:sz w:val="28"/>
          <w:szCs w:val="28"/>
        </w:rPr>
        <w:t xml:space="preserve">Рис. 2.1. </w:t>
      </w:r>
      <w:r w:rsidRPr="00BE086B">
        <w:rPr>
          <w:rFonts w:ascii="Times New Roman" w:hAnsi="Times New Roman" w:cs="Times New Roman"/>
          <w:sz w:val="28"/>
          <w:szCs w:val="28"/>
        </w:rPr>
        <w:t>Основні етапи експериментального дослідження.</w:t>
      </w:r>
    </w:p>
    <w:p w:rsidR="004850FF" w:rsidRPr="00BE086B" w:rsidRDefault="004850FF" w:rsidP="00A07082">
      <w:pPr>
        <w:pStyle w:val="15"/>
        <w:tabs>
          <w:tab w:val="left" w:pos="4395"/>
        </w:tabs>
        <w:spacing w:line="360" w:lineRule="auto"/>
        <w:ind w:firstLine="709"/>
        <w:jc w:val="both"/>
        <w:rPr>
          <w:rFonts w:ascii="Times New Roman" w:hAnsi="Times New Roman" w:cs="Times New Roman"/>
          <w:sz w:val="28"/>
          <w:szCs w:val="28"/>
        </w:rPr>
      </w:pPr>
    </w:p>
    <w:p w:rsidR="004850FF" w:rsidRPr="00BE086B" w:rsidRDefault="004850FF" w:rsidP="00A07082">
      <w:pPr>
        <w:pStyle w:val="15"/>
        <w:tabs>
          <w:tab w:val="left" w:pos="4395"/>
        </w:tabs>
        <w:spacing w:line="360" w:lineRule="auto"/>
        <w:ind w:firstLine="709"/>
        <w:jc w:val="both"/>
        <w:rPr>
          <w:rFonts w:ascii="Times New Roman" w:hAnsi="Times New Roman" w:cs="Times New Roman"/>
          <w:sz w:val="28"/>
          <w:szCs w:val="28"/>
        </w:rPr>
      </w:pPr>
    </w:p>
    <w:p w:rsidR="004850FF" w:rsidRPr="00BE086B" w:rsidRDefault="004850FF" w:rsidP="00A07082">
      <w:pPr>
        <w:pStyle w:val="15"/>
        <w:tabs>
          <w:tab w:val="left" w:pos="4395"/>
        </w:tabs>
        <w:spacing w:line="360" w:lineRule="auto"/>
        <w:ind w:firstLine="709"/>
        <w:jc w:val="both"/>
        <w:rPr>
          <w:rFonts w:ascii="Times New Roman" w:hAnsi="Times New Roman" w:cs="Times New Roman"/>
          <w:b/>
          <w:sz w:val="28"/>
          <w:szCs w:val="28"/>
        </w:rPr>
      </w:pPr>
      <w:r w:rsidRPr="00BE086B">
        <w:rPr>
          <w:rFonts w:ascii="Times New Roman" w:hAnsi="Times New Roman" w:cs="Times New Roman"/>
          <w:b/>
          <w:sz w:val="28"/>
          <w:szCs w:val="28"/>
        </w:rPr>
        <w:lastRenderedPageBreak/>
        <w:t>2.4. Методи дослідження</w:t>
      </w:r>
    </w:p>
    <w:p w:rsidR="004850FF" w:rsidRPr="00BE086B" w:rsidRDefault="004850FF" w:rsidP="00A07082">
      <w:pPr>
        <w:pStyle w:val="15"/>
        <w:tabs>
          <w:tab w:val="left" w:pos="4395"/>
        </w:tabs>
        <w:spacing w:line="360" w:lineRule="auto"/>
        <w:ind w:firstLine="709"/>
        <w:jc w:val="both"/>
        <w:rPr>
          <w:rFonts w:ascii="Times New Roman" w:hAnsi="Times New Roman" w:cs="Times New Roman"/>
          <w:sz w:val="28"/>
          <w:szCs w:val="28"/>
        </w:rPr>
      </w:pPr>
    </w:p>
    <w:p w:rsidR="004850FF" w:rsidRPr="00BE086B" w:rsidRDefault="004850FF" w:rsidP="00A07082">
      <w:pPr>
        <w:spacing w:line="360" w:lineRule="auto"/>
        <w:ind w:firstLine="709"/>
        <w:jc w:val="both"/>
        <w:rPr>
          <w:iCs/>
          <w:sz w:val="28"/>
          <w:szCs w:val="28"/>
        </w:rPr>
      </w:pPr>
      <w:r w:rsidRPr="00BE086B">
        <w:rPr>
          <w:iCs/>
          <w:sz w:val="28"/>
          <w:szCs w:val="28"/>
        </w:rPr>
        <w:t xml:space="preserve">При виконані роботи були використані фармакологічні, електрофізіологічні, біохімічні, фармакокінетичні, гістоморфологічні та </w:t>
      </w:r>
      <w:r w:rsidRPr="00BE086B">
        <w:rPr>
          <w:bCs/>
          <w:sz w:val="28"/>
          <w:szCs w:val="28"/>
        </w:rPr>
        <w:t>математико-</w:t>
      </w:r>
      <w:r w:rsidRPr="00BE086B">
        <w:rPr>
          <w:iCs/>
          <w:sz w:val="28"/>
          <w:szCs w:val="28"/>
        </w:rPr>
        <w:t>статистичні методи дослідження.</w:t>
      </w:r>
    </w:p>
    <w:p w:rsidR="004850FF" w:rsidRPr="00BE086B" w:rsidRDefault="004850FF" w:rsidP="00A07082">
      <w:pPr>
        <w:spacing w:line="360" w:lineRule="auto"/>
        <w:ind w:firstLine="709"/>
        <w:jc w:val="both"/>
        <w:rPr>
          <w:b/>
          <w:sz w:val="28"/>
          <w:szCs w:val="28"/>
        </w:rPr>
      </w:pPr>
    </w:p>
    <w:p w:rsidR="004850FF" w:rsidRPr="00BE086B" w:rsidRDefault="004850FF" w:rsidP="00A07082">
      <w:pPr>
        <w:spacing w:line="360" w:lineRule="auto"/>
        <w:ind w:firstLine="709"/>
        <w:jc w:val="both"/>
        <w:rPr>
          <w:b/>
          <w:sz w:val="28"/>
          <w:szCs w:val="28"/>
        </w:rPr>
      </w:pPr>
      <w:r w:rsidRPr="00BE086B">
        <w:rPr>
          <w:b/>
          <w:bCs/>
          <w:sz w:val="28"/>
          <w:szCs w:val="28"/>
        </w:rPr>
        <w:t>2.4.1. Модель експериментального остеоартрозу у щурів</w:t>
      </w:r>
    </w:p>
    <w:p w:rsidR="004850FF" w:rsidRPr="00BE086B" w:rsidRDefault="004850FF" w:rsidP="004E6526">
      <w:pPr>
        <w:spacing w:line="360" w:lineRule="auto"/>
        <w:ind w:firstLine="709"/>
        <w:jc w:val="both"/>
        <w:rPr>
          <w:bCs/>
          <w:i/>
          <w:sz w:val="28"/>
          <w:szCs w:val="28"/>
        </w:rPr>
      </w:pPr>
    </w:p>
    <w:p w:rsidR="004850FF" w:rsidRPr="00BE086B" w:rsidRDefault="004850FF" w:rsidP="004E6526">
      <w:pPr>
        <w:pStyle w:val="af0"/>
        <w:ind w:firstLine="709"/>
        <w:jc w:val="both"/>
        <w:rPr>
          <w:sz w:val="28"/>
          <w:szCs w:val="28"/>
        </w:rPr>
      </w:pPr>
      <w:r w:rsidRPr="00BE086B">
        <w:rPr>
          <w:sz w:val="28"/>
          <w:szCs w:val="28"/>
        </w:rPr>
        <w:t xml:space="preserve">В досліджені експериментальний ОА відтворювали на початку експерименту шляхом однократного внутрішньосуглобового введення 0,1 мл розчину МОК (реактив Iodoacetic acid ≥ 98.0 % T, № I4386, виробник </w:t>
      </w:r>
      <w:r w:rsidRPr="00BE086B">
        <w:rPr>
          <w:sz w:val="28"/>
          <w:szCs w:val="28"/>
          <w:shd w:val="clear" w:color="auto" w:fill="FFFFFF"/>
        </w:rPr>
        <w:t xml:space="preserve">Sigma-Aldrich Chemie GmbH, </w:t>
      </w:r>
      <w:r w:rsidRPr="00BE086B">
        <w:rPr>
          <w:sz w:val="28"/>
          <w:szCs w:val="28"/>
          <w:shd w:val="clear" w:color="auto" w:fill="F9F9F9"/>
        </w:rPr>
        <w:t>Німеччина</w:t>
      </w:r>
      <w:r w:rsidRPr="00BE086B">
        <w:rPr>
          <w:sz w:val="28"/>
          <w:szCs w:val="28"/>
        </w:rPr>
        <w:t>) у колінний суглоб, який готували з розрахунку 3 мг реактиву на 50 мкл стерильного фізіологічного розчину [204, 205, 440, 455].</w:t>
      </w:r>
    </w:p>
    <w:p w:rsidR="004850FF" w:rsidRPr="00BE086B" w:rsidRDefault="004850FF" w:rsidP="004E6526">
      <w:pPr>
        <w:pStyle w:val="af0"/>
        <w:ind w:firstLine="709"/>
        <w:jc w:val="both"/>
        <w:rPr>
          <w:sz w:val="28"/>
          <w:szCs w:val="28"/>
        </w:rPr>
      </w:pPr>
      <w:r w:rsidRPr="00BE086B">
        <w:rPr>
          <w:sz w:val="28"/>
          <w:szCs w:val="28"/>
        </w:rPr>
        <w:t>Верифікація адекватного виконання моделі ОА у щурів проводилась за допомогою електронної мікроскопії тканинних комплексів колінних суглобів та змін відповідних біохімічних маркерів сироватки крові [111, 456, 457].</w:t>
      </w:r>
    </w:p>
    <w:p w:rsidR="004850FF" w:rsidRPr="00BE086B" w:rsidRDefault="004850FF" w:rsidP="00A07082">
      <w:pPr>
        <w:pStyle w:val="af0"/>
        <w:ind w:firstLine="709"/>
        <w:rPr>
          <w:b/>
          <w:sz w:val="28"/>
          <w:szCs w:val="28"/>
        </w:rPr>
      </w:pPr>
    </w:p>
    <w:p w:rsidR="004850FF" w:rsidRPr="00BE086B" w:rsidRDefault="004850FF" w:rsidP="00A07082">
      <w:pPr>
        <w:spacing w:line="360" w:lineRule="auto"/>
        <w:ind w:firstLine="709"/>
        <w:jc w:val="both"/>
        <w:rPr>
          <w:b/>
          <w:sz w:val="28"/>
          <w:szCs w:val="28"/>
        </w:rPr>
      </w:pPr>
      <w:r w:rsidRPr="00BE086B">
        <w:rPr>
          <w:b/>
          <w:bCs/>
          <w:sz w:val="28"/>
          <w:szCs w:val="28"/>
        </w:rPr>
        <w:t>2.4.2. Модель експериментального гіпотиреозу у щурів</w:t>
      </w:r>
    </w:p>
    <w:p w:rsidR="004850FF" w:rsidRPr="00BE086B" w:rsidRDefault="004850FF" w:rsidP="00A07082">
      <w:pPr>
        <w:spacing w:line="360" w:lineRule="auto"/>
        <w:ind w:firstLine="709"/>
        <w:jc w:val="both"/>
        <w:rPr>
          <w:bCs/>
          <w:i/>
          <w:sz w:val="28"/>
          <w:szCs w:val="28"/>
        </w:rPr>
      </w:pPr>
    </w:p>
    <w:p w:rsidR="004850FF" w:rsidRPr="00BE086B" w:rsidRDefault="004850FF" w:rsidP="004E6526">
      <w:pPr>
        <w:pStyle w:val="af0"/>
        <w:ind w:firstLine="709"/>
        <w:jc w:val="both"/>
        <w:rPr>
          <w:sz w:val="28"/>
          <w:szCs w:val="28"/>
        </w:rPr>
      </w:pPr>
      <w:r w:rsidRPr="00BE086B">
        <w:rPr>
          <w:sz w:val="28"/>
          <w:szCs w:val="28"/>
        </w:rPr>
        <w:t>В досліджені формування експериментальної моделі ГІТ проводили шляхом ентерального введення 0,02% розчину карбімазолу (препарат «Еспа-карб», виробництва Еспарма ГмбХ, Німеччина; в таблетках по 5 або 10 мг), який готували з розрахунку 5 мг на 250 мл фізіологічного розчину. Свіжо виготовлений розчин призначали у питний раціон експериментальних тварин впродовж 6 тижнів (42 доби) [450-452].</w:t>
      </w:r>
    </w:p>
    <w:p w:rsidR="004850FF" w:rsidRPr="00BE086B" w:rsidRDefault="004850FF" w:rsidP="004E6526">
      <w:pPr>
        <w:pStyle w:val="af0"/>
        <w:ind w:firstLine="709"/>
        <w:jc w:val="both"/>
        <w:rPr>
          <w:sz w:val="28"/>
          <w:szCs w:val="28"/>
        </w:rPr>
      </w:pPr>
      <w:r w:rsidRPr="00BE086B">
        <w:rPr>
          <w:sz w:val="28"/>
          <w:szCs w:val="28"/>
        </w:rPr>
        <w:t>Верифікацію адекватного виконання експериментальної моделі ГІТ підтверджували рівнем ТТГ, Т</w:t>
      </w:r>
      <w:r w:rsidRPr="00BE086B">
        <w:rPr>
          <w:sz w:val="28"/>
          <w:szCs w:val="28"/>
          <w:vertAlign w:val="subscript"/>
        </w:rPr>
        <w:t>3</w:t>
      </w:r>
      <w:r w:rsidRPr="00BE086B">
        <w:rPr>
          <w:sz w:val="28"/>
          <w:szCs w:val="28"/>
        </w:rPr>
        <w:t xml:space="preserve"> та Т</w:t>
      </w:r>
      <w:r w:rsidRPr="00BE086B">
        <w:rPr>
          <w:sz w:val="28"/>
          <w:szCs w:val="28"/>
          <w:vertAlign w:val="subscript"/>
        </w:rPr>
        <w:t>4</w:t>
      </w:r>
      <w:r w:rsidRPr="00BE086B">
        <w:rPr>
          <w:sz w:val="28"/>
          <w:szCs w:val="28"/>
        </w:rPr>
        <w:t xml:space="preserve"> сироватки крові лабораторних тварин та за допомогою електронної мікроскопії гістологічних препаратів колінних суглобів щурів [111, 456, 457].</w:t>
      </w:r>
    </w:p>
    <w:p w:rsidR="004850FF" w:rsidRPr="00BE086B" w:rsidRDefault="004850FF" w:rsidP="00A07082">
      <w:pPr>
        <w:pStyle w:val="af0"/>
        <w:ind w:firstLine="709"/>
        <w:rPr>
          <w:b/>
          <w:sz w:val="28"/>
          <w:szCs w:val="28"/>
        </w:rPr>
      </w:pPr>
      <w:r w:rsidRPr="00BE086B">
        <w:rPr>
          <w:b/>
          <w:bCs/>
          <w:iCs/>
          <w:sz w:val="28"/>
          <w:szCs w:val="28"/>
        </w:rPr>
        <w:lastRenderedPageBreak/>
        <w:t xml:space="preserve">2.4.3. </w:t>
      </w:r>
      <w:r w:rsidRPr="00BE086B">
        <w:rPr>
          <w:b/>
          <w:sz w:val="28"/>
          <w:szCs w:val="28"/>
        </w:rPr>
        <w:t>Оцінка психо-емоційного статусу щурів</w:t>
      </w:r>
    </w:p>
    <w:p w:rsidR="004850FF" w:rsidRPr="00BE086B" w:rsidRDefault="004850FF" w:rsidP="00A07082">
      <w:pPr>
        <w:spacing w:line="360" w:lineRule="auto"/>
        <w:ind w:firstLine="709"/>
        <w:jc w:val="both"/>
        <w:rPr>
          <w:b/>
          <w:sz w:val="28"/>
          <w:szCs w:val="28"/>
        </w:rPr>
      </w:pPr>
    </w:p>
    <w:p w:rsidR="004850FF" w:rsidRPr="00BE086B" w:rsidRDefault="004850FF" w:rsidP="00A07082">
      <w:pPr>
        <w:tabs>
          <w:tab w:val="left" w:pos="4395"/>
        </w:tabs>
        <w:spacing w:line="360" w:lineRule="auto"/>
        <w:ind w:firstLine="709"/>
        <w:jc w:val="both"/>
        <w:rPr>
          <w:bCs/>
          <w:sz w:val="28"/>
          <w:szCs w:val="28"/>
          <w:lang w:eastAsia="en-US"/>
        </w:rPr>
      </w:pPr>
      <w:r w:rsidRPr="00BE086B">
        <w:rPr>
          <w:bCs/>
          <w:sz w:val="28"/>
          <w:szCs w:val="28"/>
        </w:rPr>
        <w:t xml:space="preserve">Для оцінки </w:t>
      </w:r>
      <w:r w:rsidRPr="00BE086B">
        <w:rPr>
          <w:sz w:val="28"/>
          <w:szCs w:val="28"/>
        </w:rPr>
        <w:t>психо-емоційного статусу</w:t>
      </w:r>
      <w:r w:rsidRPr="00BE086B">
        <w:rPr>
          <w:bCs/>
          <w:sz w:val="28"/>
          <w:szCs w:val="28"/>
        </w:rPr>
        <w:t xml:space="preserve"> експериментальних щурів використаний тест «відкрите поле» </w:t>
      </w:r>
      <w:r w:rsidRPr="00BE086B">
        <w:rPr>
          <w:sz w:val="28"/>
          <w:szCs w:val="28"/>
        </w:rPr>
        <w:t>(open field test)</w:t>
      </w:r>
      <w:r w:rsidRPr="00BE086B">
        <w:rPr>
          <w:bCs/>
          <w:sz w:val="28"/>
          <w:szCs w:val="28"/>
        </w:rPr>
        <w:t>, який визначає фізіологічну реакцію на нове середовище та оцінює рухову, дослідницьку та емоційну активність тварин. Дослідження виконували протягом 5 хвилин з фіксацією кількості переміщень,</w:t>
      </w:r>
      <w:r w:rsidRPr="00BE086B">
        <w:rPr>
          <w:sz w:val="28"/>
          <w:szCs w:val="28"/>
        </w:rPr>
        <w:t xml:space="preserve"> підйомів, заглядань у норки, актів грумінгу та болюсів у щурів [227, 433, 435].</w:t>
      </w:r>
    </w:p>
    <w:p w:rsidR="004850FF" w:rsidRPr="00BE086B" w:rsidRDefault="004850FF" w:rsidP="00A07082">
      <w:pPr>
        <w:suppressAutoHyphens w:val="0"/>
        <w:spacing w:line="360" w:lineRule="auto"/>
        <w:ind w:firstLine="709"/>
        <w:jc w:val="both"/>
        <w:rPr>
          <w:sz w:val="28"/>
          <w:szCs w:val="28"/>
        </w:rPr>
      </w:pPr>
      <w:r w:rsidRPr="00BE086B">
        <w:rPr>
          <w:sz w:val="28"/>
          <w:szCs w:val="28"/>
        </w:rPr>
        <w:t>У досліджені емоційний статус щурів оцінювався за критеріями грумингу та кількісті уринацій і дефекацій. Вважалося, що тварини, які менше пересуваються і у яких спостерігається багато дефекацій в умовах відкритого поля є більш емоційнішими, ніж ті, які багато пересувались, але мали низький рівень дефекацій.</w:t>
      </w:r>
    </w:p>
    <w:p w:rsidR="004850FF" w:rsidRPr="00BE086B" w:rsidRDefault="004850FF" w:rsidP="00A07082">
      <w:pPr>
        <w:suppressAutoHyphens w:val="0"/>
        <w:spacing w:line="360" w:lineRule="auto"/>
        <w:ind w:firstLine="709"/>
        <w:jc w:val="both"/>
        <w:rPr>
          <w:sz w:val="28"/>
          <w:szCs w:val="28"/>
        </w:rPr>
      </w:pPr>
      <w:r w:rsidRPr="00BE086B">
        <w:rPr>
          <w:sz w:val="28"/>
          <w:szCs w:val="28"/>
        </w:rPr>
        <w:t>Експериментальна споруда «відкрите поле» представляє собою добре освітлений квадратний майданчик розмірами 100 х 100 см з білими вертикальними стінками висотою 40 см. Полом був лист білого пластику, на якому чорною фарбою нанесені грати, що ділять поле на 25 (5×5) рівних квадратів. Освітлення виконувалось за допомогою лампи 50 Вт, розташованою на висоті 150 см над центром відкритого поля. На всій площині підлоги даної споруди рівномірно були розміщені 16 отворів («норок») діаметром 6 см. Тварин по черзі встановлювали у центрі поверхні споруди та на протязі 5 хвилин відстежували їх поведінку. Цілісну оцінку проводили за кількістю перетнутих квадратів (горизонтальна активність), вертикальних підйомів та заглядань у норки (дослідницька активність) на етапах дослідження [433, 435, 440].</w:t>
      </w:r>
    </w:p>
    <w:p w:rsidR="004850FF" w:rsidRPr="00BE086B" w:rsidRDefault="004850FF" w:rsidP="00A07082">
      <w:pPr>
        <w:suppressAutoHyphens w:val="0"/>
        <w:spacing w:line="360" w:lineRule="auto"/>
        <w:ind w:firstLine="709"/>
        <w:jc w:val="both"/>
        <w:rPr>
          <w:sz w:val="28"/>
          <w:szCs w:val="28"/>
        </w:rPr>
      </w:pPr>
      <w:r w:rsidRPr="00BE086B">
        <w:rPr>
          <w:sz w:val="28"/>
          <w:szCs w:val="28"/>
        </w:rPr>
        <w:t>Після 5 хвилин дослідження тварину повертали у клітину повсякденного утримання, виконували розрахунки дефекацій та підлогу ретельно вимивали після кожної тварини. Тестування повторювали в один і той же час упродовж чотирьох подальших днів.</w:t>
      </w:r>
    </w:p>
    <w:p w:rsidR="004850FF" w:rsidRPr="00BE086B" w:rsidRDefault="004850FF" w:rsidP="00A07082">
      <w:pPr>
        <w:suppressAutoHyphens w:val="0"/>
        <w:spacing w:line="360" w:lineRule="auto"/>
        <w:ind w:firstLine="709"/>
        <w:jc w:val="both"/>
        <w:rPr>
          <w:sz w:val="28"/>
          <w:szCs w:val="28"/>
        </w:rPr>
      </w:pPr>
    </w:p>
    <w:p w:rsidR="004850FF" w:rsidRPr="00BE086B" w:rsidRDefault="004850FF" w:rsidP="00A07082">
      <w:pPr>
        <w:pStyle w:val="15"/>
        <w:spacing w:line="360" w:lineRule="auto"/>
        <w:ind w:firstLine="709"/>
        <w:jc w:val="both"/>
        <w:rPr>
          <w:rFonts w:ascii="Times New Roman" w:hAnsi="Times New Roman" w:cs="Times New Roman"/>
          <w:b/>
          <w:sz w:val="28"/>
          <w:szCs w:val="28"/>
        </w:rPr>
      </w:pPr>
      <w:r w:rsidRPr="00BE086B">
        <w:rPr>
          <w:rFonts w:ascii="Times New Roman" w:hAnsi="Times New Roman" w:cs="Times New Roman"/>
          <w:b/>
          <w:sz w:val="28"/>
          <w:szCs w:val="28"/>
        </w:rPr>
        <w:lastRenderedPageBreak/>
        <w:t xml:space="preserve">2.4.4. </w:t>
      </w:r>
      <w:r w:rsidRPr="00BE086B">
        <w:rPr>
          <w:rFonts w:ascii="Times New Roman" w:hAnsi="Times New Roman" w:cs="Times New Roman"/>
          <w:b/>
          <w:bCs/>
          <w:sz w:val="28"/>
          <w:szCs w:val="28"/>
        </w:rPr>
        <w:t xml:space="preserve">Вивчення антиноцицептивної активності у тесті </w:t>
      </w:r>
      <w:r w:rsidRPr="00BE086B">
        <w:rPr>
          <w:rFonts w:ascii="Times New Roman" w:hAnsi="Times New Roman" w:cs="Times New Roman"/>
          <w:b/>
          <w:sz w:val="28"/>
          <w:szCs w:val="28"/>
        </w:rPr>
        <w:t>електричного подразнення кореня хвоста у щурів</w:t>
      </w:r>
    </w:p>
    <w:p w:rsidR="004850FF" w:rsidRPr="00BE086B" w:rsidRDefault="004850FF" w:rsidP="00A07082">
      <w:pPr>
        <w:pStyle w:val="15"/>
        <w:spacing w:line="360" w:lineRule="auto"/>
        <w:ind w:firstLine="709"/>
        <w:jc w:val="both"/>
        <w:rPr>
          <w:rFonts w:ascii="Times New Roman" w:hAnsi="Times New Roman" w:cs="Times New Roman"/>
          <w:i/>
          <w:sz w:val="28"/>
          <w:szCs w:val="28"/>
        </w:rPr>
      </w:pPr>
    </w:p>
    <w:p w:rsidR="004850FF" w:rsidRPr="00BE086B" w:rsidRDefault="004850FF" w:rsidP="00A07082">
      <w:pPr>
        <w:spacing w:line="360" w:lineRule="auto"/>
        <w:ind w:firstLine="709"/>
        <w:jc w:val="both"/>
        <w:rPr>
          <w:sz w:val="28"/>
          <w:szCs w:val="28"/>
        </w:rPr>
      </w:pPr>
      <w:r w:rsidRPr="00BE086B">
        <w:rPr>
          <w:sz w:val="28"/>
          <w:szCs w:val="28"/>
        </w:rPr>
        <w:t>Для оцінки антиноцицептивної активності досліджуваних засобів використаний метод електричного подразнення кореня хвоста щура. Цей метод дозволяє виділити центральний компонент гальмування ноцицептивної системи, який пов’язаний з пригніченням у ділянці таламусу міжнейронної передачі больових імпульсів та обумовлений залученням коркових механізмів. Відомо, що електричний струм є штучним стимулом, проте перевага використання струму полягає у відтворюваності результатів експерименту та провокації виражених поведінкових ефектів у відповідь на больовий подразник [433-436].</w:t>
      </w:r>
    </w:p>
    <w:p w:rsidR="004850FF" w:rsidRPr="00BE086B" w:rsidRDefault="004850FF" w:rsidP="00A07082">
      <w:pPr>
        <w:spacing w:line="360" w:lineRule="auto"/>
        <w:ind w:firstLine="709"/>
        <w:jc w:val="both"/>
        <w:rPr>
          <w:sz w:val="28"/>
          <w:szCs w:val="28"/>
        </w:rPr>
      </w:pPr>
      <w:r w:rsidRPr="00BE086B">
        <w:rPr>
          <w:sz w:val="28"/>
          <w:szCs w:val="28"/>
        </w:rPr>
        <w:t>Для реалізації тесту залізні голчасті електроди (</w:t>
      </w:r>
      <w:r w:rsidRPr="00BE086B">
        <w:rPr>
          <w:iCs/>
          <w:sz w:val="28"/>
          <w:szCs w:val="28"/>
        </w:rPr>
        <w:t>діаметром 0,5 мм</w:t>
      </w:r>
      <w:r w:rsidRPr="00BE086B">
        <w:rPr>
          <w:sz w:val="28"/>
          <w:szCs w:val="28"/>
        </w:rPr>
        <w:t>) з фіксованою відстанню між електродами (</w:t>
      </w:r>
      <w:r w:rsidRPr="00BE086B">
        <w:rPr>
          <w:iCs/>
          <w:sz w:val="28"/>
          <w:szCs w:val="28"/>
        </w:rPr>
        <w:t>10 мм</w:t>
      </w:r>
      <w:r w:rsidRPr="00BE086B">
        <w:rPr>
          <w:sz w:val="28"/>
          <w:szCs w:val="28"/>
        </w:rPr>
        <w:t xml:space="preserve">) вводились під шкіру дистальніше 1 см від кореня хвоста щура. Оцінку больової чутливості здійснювали через 2-3 хвилини, коли </w:t>
      </w:r>
      <w:r w:rsidRPr="00BE086B">
        <w:rPr>
          <w:iCs/>
          <w:sz w:val="28"/>
          <w:szCs w:val="28"/>
        </w:rPr>
        <w:t>тварина заспокоювалася та на</w:t>
      </w:r>
      <w:r w:rsidRPr="00BE086B">
        <w:rPr>
          <w:sz w:val="28"/>
          <w:szCs w:val="28"/>
        </w:rPr>
        <w:t xml:space="preserve"> 30, 60, 90, 120 та 180 хвилині за проявом голосової реакції (</w:t>
      </w:r>
      <w:r w:rsidRPr="00BE086B">
        <w:rPr>
          <w:iCs/>
          <w:sz w:val="28"/>
          <w:szCs w:val="28"/>
        </w:rPr>
        <w:t>писк/вокалізація</w:t>
      </w:r>
      <w:r w:rsidRPr="00BE086B">
        <w:rPr>
          <w:sz w:val="28"/>
          <w:szCs w:val="28"/>
        </w:rPr>
        <w:t>) у відповідь на поступово зростаюче електричне подразнення від електростимулятора ЕСЛ-2. Тривалість кожного подразника не перевищувала 1 секунду [433-436, 440].</w:t>
      </w:r>
    </w:p>
    <w:p w:rsidR="004850FF" w:rsidRPr="00BE086B" w:rsidRDefault="004850FF" w:rsidP="00A07082">
      <w:pPr>
        <w:pStyle w:val="15"/>
        <w:spacing w:line="360" w:lineRule="auto"/>
        <w:ind w:firstLine="709"/>
        <w:jc w:val="both"/>
        <w:rPr>
          <w:rFonts w:ascii="Times New Roman" w:hAnsi="Times New Roman" w:cs="Times New Roman"/>
          <w:sz w:val="28"/>
          <w:szCs w:val="28"/>
        </w:rPr>
      </w:pPr>
      <w:r w:rsidRPr="00BE086B">
        <w:rPr>
          <w:rFonts w:ascii="Times New Roman" w:hAnsi="Times New Roman" w:cs="Times New Roman"/>
          <w:sz w:val="28"/>
          <w:szCs w:val="28"/>
        </w:rPr>
        <w:t>При виконанні тесту електричного подразнення рецепторної зони кореня хвоста щура враховували, що голосова реакція зумовлена функціюванням не тільки спинальних, але й надсегментарних структур мозку. Відомо, що при використанні таких ноцицептивних тестів, як «</w:t>
      </w:r>
      <w:r w:rsidRPr="00BE086B">
        <w:rPr>
          <w:rFonts w:ascii="Times New Roman" w:hAnsi="Times New Roman" w:cs="Times New Roman"/>
          <w:iCs/>
          <w:sz w:val="28"/>
          <w:szCs w:val="28"/>
        </w:rPr>
        <w:t>hot plate»</w:t>
      </w:r>
      <w:r w:rsidRPr="00BE086B">
        <w:rPr>
          <w:rFonts w:ascii="Times New Roman" w:hAnsi="Times New Roman" w:cs="Times New Roman"/>
          <w:sz w:val="28"/>
          <w:szCs w:val="28"/>
        </w:rPr>
        <w:t xml:space="preserve"> та «</w:t>
      </w:r>
      <w:r w:rsidRPr="00BE086B">
        <w:rPr>
          <w:rFonts w:ascii="Times New Roman" w:hAnsi="Times New Roman" w:cs="Times New Roman"/>
          <w:iCs/>
          <w:sz w:val="28"/>
          <w:szCs w:val="28"/>
        </w:rPr>
        <w:t>tail flick»</w:t>
      </w:r>
      <w:r w:rsidRPr="00BE086B">
        <w:rPr>
          <w:rFonts w:ascii="Times New Roman" w:hAnsi="Times New Roman" w:cs="Times New Roman"/>
          <w:sz w:val="28"/>
          <w:szCs w:val="28"/>
        </w:rPr>
        <w:t xml:space="preserve"> оцінюється тільки відповідна реакція на ноцицептивний вплив, що не завжди дозволяє реально визначити вираженість аналгезії, особливо, при наявності моторного дефіциту у експериментальних щурів [433].</w:t>
      </w:r>
    </w:p>
    <w:p w:rsidR="004850FF" w:rsidRDefault="004850FF" w:rsidP="00A07082">
      <w:pPr>
        <w:spacing w:line="360" w:lineRule="auto"/>
        <w:ind w:firstLine="709"/>
        <w:jc w:val="both"/>
        <w:rPr>
          <w:b/>
          <w:i/>
          <w:sz w:val="28"/>
          <w:szCs w:val="28"/>
        </w:rPr>
      </w:pPr>
    </w:p>
    <w:p w:rsidR="00AF27FE" w:rsidRPr="00BE086B" w:rsidRDefault="00AF27FE" w:rsidP="00A07082">
      <w:pPr>
        <w:spacing w:line="360" w:lineRule="auto"/>
        <w:ind w:firstLine="709"/>
        <w:jc w:val="both"/>
        <w:rPr>
          <w:b/>
          <w:i/>
          <w:sz w:val="28"/>
          <w:szCs w:val="28"/>
        </w:rPr>
      </w:pPr>
    </w:p>
    <w:p w:rsidR="004850FF" w:rsidRPr="00BE086B" w:rsidRDefault="004850FF" w:rsidP="00A07082">
      <w:pPr>
        <w:pStyle w:val="af2"/>
        <w:spacing w:before="0" w:after="0" w:line="360" w:lineRule="auto"/>
        <w:ind w:firstLine="709"/>
        <w:jc w:val="both"/>
        <w:rPr>
          <w:rFonts w:cs="Times New Roman"/>
          <w:b/>
          <w:i w:val="0"/>
          <w:sz w:val="28"/>
          <w:szCs w:val="28"/>
        </w:rPr>
      </w:pPr>
      <w:r w:rsidRPr="00BE086B">
        <w:rPr>
          <w:rFonts w:cs="Times New Roman"/>
          <w:b/>
          <w:i w:val="0"/>
          <w:sz w:val="28"/>
          <w:szCs w:val="28"/>
        </w:rPr>
        <w:lastRenderedPageBreak/>
        <w:t>2.4.5</w:t>
      </w:r>
      <w:r w:rsidRPr="00BE086B">
        <w:rPr>
          <w:rFonts w:cs="Times New Roman"/>
          <w:b/>
          <w:bCs/>
          <w:i w:val="0"/>
          <w:sz w:val="28"/>
          <w:szCs w:val="28"/>
        </w:rPr>
        <w:t>. Вивчення антиноцицептивної активності у тесті термічного подразнення кореня хвоста (теплової імерсії хвоста) у щурів</w:t>
      </w:r>
    </w:p>
    <w:p w:rsidR="004850FF" w:rsidRPr="00BE086B" w:rsidRDefault="004850FF" w:rsidP="00A07082">
      <w:pPr>
        <w:pStyle w:val="af2"/>
        <w:spacing w:before="0" w:after="0" w:line="360" w:lineRule="auto"/>
        <w:ind w:firstLine="709"/>
        <w:jc w:val="both"/>
        <w:rPr>
          <w:rFonts w:cs="Times New Roman"/>
          <w:bCs/>
          <w:i w:val="0"/>
          <w:sz w:val="28"/>
          <w:szCs w:val="28"/>
        </w:rPr>
      </w:pPr>
    </w:p>
    <w:p w:rsidR="004850FF" w:rsidRPr="00BE086B" w:rsidRDefault="004850FF" w:rsidP="00A07082">
      <w:pPr>
        <w:pStyle w:val="af2"/>
        <w:spacing w:before="0" w:after="0" w:line="360" w:lineRule="auto"/>
        <w:ind w:firstLine="709"/>
        <w:jc w:val="both"/>
        <w:rPr>
          <w:rFonts w:cs="Times New Roman"/>
          <w:bCs/>
          <w:i w:val="0"/>
          <w:sz w:val="28"/>
          <w:szCs w:val="28"/>
        </w:rPr>
      </w:pPr>
      <w:r w:rsidRPr="00BE086B">
        <w:rPr>
          <w:rFonts w:cs="Times New Roman"/>
          <w:bCs/>
          <w:i w:val="0"/>
          <w:sz w:val="28"/>
          <w:szCs w:val="28"/>
        </w:rPr>
        <w:t>Тест теплової імерсії хвоста заснований на спінальному флексорному рефлексі, який виникає у відповідь на занурення хвоста щура у гарячу воду. Внаслідок того, що площа подразнення шкіри хвоста велика та нагрівання її поверхні протікає нестримно, то не відбувається активації терморецепторів, а відразу активуються С-волокна полімодальних ноцицепторів, Аδ-волокна полімодальних ноцицепторів, полімодальні ноцицептори та високопорогові механорецептори [433, 435, 440, 458].</w:t>
      </w:r>
    </w:p>
    <w:p w:rsidR="004850FF" w:rsidRPr="00BE086B" w:rsidRDefault="004850FF" w:rsidP="00A07082">
      <w:pPr>
        <w:pStyle w:val="af2"/>
        <w:spacing w:before="0" w:after="0" w:line="360" w:lineRule="auto"/>
        <w:ind w:firstLine="709"/>
        <w:jc w:val="both"/>
        <w:rPr>
          <w:rFonts w:cs="Times New Roman"/>
          <w:i w:val="0"/>
          <w:sz w:val="28"/>
          <w:szCs w:val="28"/>
        </w:rPr>
      </w:pPr>
      <w:r w:rsidRPr="00BE086B">
        <w:rPr>
          <w:rFonts w:cs="Times New Roman"/>
          <w:bCs/>
          <w:i w:val="0"/>
          <w:sz w:val="28"/>
          <w:szCs w:val="28"/>
        </w:rPr>
        <w:t>При виконанні моделі термічного подразнення кореня хвоста щурів в якості больового фактору використовувалась гаряча вода (t=60°С). Постійна температура підтримувалась за допомогою термостату. Щурів фіксували у пеналі та заспокоювали шляхом погладжування. Больове роздратування відтворювали зануренням хвоста у гарячу воду температурою 60°С. В процесі виконання дослідження підраховувався час реакції (латентний період) у секундах (витягування/відсмикування хвоста з води). Для уникнення ушкодження тканин хвоста щура намагалися не нагрівати хвіст більше 30 секунд. Експериментальним тваринам вводили препарати, які досліджуються, у дозах та режимах наведених вище</w:t>
      </w:r>
      <w:r w:rsidRPr="00BE086B">
        <w:rPr>
          <w:rFonts w:cs="Times New Roman"/>
          <w:bCs/>
          <w:i w:val="0"/>
          <w:sz w:val="28"/>
          <w:szCs w:val="28"/>
          <w:vertAlign w:val="subscript"/>
        </w:rPr>
        <w:t xml:space="preserve">, </w:t>
      </w:r>
      <w:r w:rsidRPr="00BE086B">
        <w:rPr>
          <w:rFonts w:cs="Times New Roman"/>
          <w:bCs/>
          <w:i w:val="0"/>
          <w:sz w:val="28"/>
          <w:szCs w:val="28"/>
        </w:rPr>
        <w:t>контрольним – фізіологічний розчин з розрахунку 1 мл/кг. Критерієм аналгетичного ефекту вважали достовірне збільшення латентного періоду реакції щура після введення ЛЗ. Відомо, що аналгетичний ефект речовини найяскравіше виражений через 20 хвилин після введення [433, 435, 440].</w:t>
      </w:r>
    </w:p>
    <w:p w:rsidR="004850FF" w:rsidRPr="00BE086B" w:rsidRDefault="004850FF" w:rsidP="00A07082">
      <w:pPr>
        <w:pStyle w:val="af2"/>
        <w:autoSpaceDE w:val="0"/>
        <w:spacing w:before="0" w:after="0" w:line="360" w:lineRule="auto"/>
        <w:ind w:firstLine="709"/>
        <w:jc w:val="both"/>
        <w:rPr>
          <w:rFonts w:cs="Times New Roman"/>
          <w:i w:val="0"/>
          <w:sz w:val="28"/>
          <w:szCs w:val="28"/>
        </w:rPr>
      </w:pPr>
      <w:r w:rsidRPr="00BE086B">
        <w:rPr>
          <w:rFonts w:cs="Times New Roman"/>
          <w:bCs/>
          <w:i w:val="0"/>
          <w:sz w:val="28"/>
          <w:szCs w:val="28"/>
        </w:rPr>
        <w:t>Реєстрація порогу больової чутливості проводилася на протязі 2 годин через кожні 30 хвилин в дослідних та контрольних групах тварин. Аналгетична активність визначалася за здатністю ЛЗ, які досліджуються, змінювати поріг больової чутливості дослідних тварин у порівнянні з контрольними, що виражалося у відсотках та розраховувалося за стандартною формулою [</w:t>
      </w:r>
      <w:r w:rsidR="0083165F" w:rsidRPr="00BE086B">
        <w:rPr>
          <w:rFonts w:cs="Times New Roman"/>
          <w:bCs/>
          <w:i w:val="0"/>
          <w:sz w:val="28"/>
          <w:szCs w:val="28"/>
          <w:lang w:val="uk-UA"/>
        </w:rPr>
        <w:t xml:space="preserve">360, </w:t>
      </w:r>
      <w:r w:rsidRPr="00BE086B">
        <w:rPr>
          <w:rFonts w:cs="Times New Roman"/>
          <w:bCs/>
          <w:i w:val="0"/>
          <w:sz w:val="28"/>
          <w:szCs w:val="28"/>
        </w:rPr>
        <w:t>433].</w:t>
      </w:r>
    </w:p>
    <w:p w:rsidR="004850FF" w:rsidRPr="00BE086B" w:rsidRDefault="004850FF" w:rsidP="00A07082">
      <w:pPr>
        <w:pStyle w:val="af2"/>
        <w:autoSpaceDE w:val="0"/>
        <w:spacing w:before="0" w:after="0" w:line="360" w:lineRule="auto"/>
        <w:ind w:firstLine="709"/>
        <w:jc w:val="both"/>
        <w:rPr>
          <w:rFonts w:cs="Times New Roman"/>
          <w:b/>
          <w:i w:val="0"/>
          <w:sz w:val="28"/>
          <w:szCs w:val="28"/>
        </w:rPr>
      </w:pPr>
      <w:r w:rsidRPr="00BE086B">
        <w:rPr>
          <w:rFonts w:cs="Times New Roman"/>
          <w:b/>
          <w:bCs/>
          <w:i w:val="0"/>
          <w:sz w:val="28"/>
          <w:szCs w:val="28"/>
        </w:rPr>
        <w:lastRenderedPageBreak/>
        <w:t>2.4.6. Вивчення антиноци</w:t>
      </w:r>
      <w:r w:rsidR="006854B5" w:rsidRPr="00BE086B">
        <w:rPr>
          <w:rFonts w:cs="Times New Roman"/>
          <w:b/>
          <w:bCs/>
          <w:i w:val="0"/>
          <w:sz w:val="28"/>
          <w:szCs w:val="28"/>
        </w:rPr>
        <w:t xml:space="preserve">цептивної активності на моделі </w:t>
      </w:r>
      <w:r w:rsidR="006854B5" w:rsidRPr="00BE086B">
        <w:rPr>
          <w:rFonts w:cs="Times New Roman"/>
          <w:b/>
          <w:bCs/>
          <w:i w:val="0"/>
          <w:sz w:val="28"/>
          <w:szCs w:val="28"/>
          <w:lang w:val="uk-UA"/>
        </w:rPr>
        <w:t>«</w:t>
      </w:r>
      <w:r w:rsidRPr="00BE086B">
        <w:rPr>
          <w:rFonts w:cs="Times New Roman"/>
          <w:b/>
          <w:bCs/>
          <w:i w:val="0"/>
          <w:sz w:val="28"/>
          <w:szCs w:val="28"/>
        </w:rPr>
        <w:t>оцтовокислих корчів</w:t>
      </w:r>
      <w:r w:rsidR="006854B5" w:rsidRPr="00BE086B">
        <w:rPr>
          <w:rFonts w:cs="Times New Roman"/>
          <w:b/>
          <w:bCs/>
          <w:i w:val="0"/>
          <w:sz w:val="28"/>
          <w:szCs w:val="28"/>
          <w:lang w:val="uk-UA"/>
        </w:rPr>
        <w:t>»</w:t>
      </w:r>
      <w:r w:rsidRPr="00BE086B">
        <w:rPr>
          <w:rFonts w:cs="Times New Roman"/>
          <w:b/>
          <w:bCs/>
          <w:i w:val="0"/>
          <w:sz w:val="28"/>
          <w:szCs w:val="28"/>
        </w:rPr>
        <w:t xml:space="preserve"> у щурів</w:t>
      </w:r>
    </w:p>
    <w:p w:rsidR="004850FF" w:rsidRPr="00BE086B" w:rsidRDefault="004850FF" w:rsidP="00A07082">
      <w:pPr>
        <w:pStyle w:val="af2"/>
        <w:autoSpaceDE w:val="0"/>
        <w:spacing w:before="0" w:after="0" w:line="360" w:lineRule="auto"/>
        <w:ind w:firstLine="709"/>
        <w:jc w:val="both"/>
        <w:rPr>
          <w:rFonts w:cs="Times New Roman"/>
          <w:bCs/>
          <w:i w:val="0"/>
          <w:sz w:val="28"/>
          <w:szCs w:val="28"/>
        </w:rPr>
      </w:pPr>
    </w:p>
    <w:p w:rsidR="004850FF" w:rsidRPr="00BE086B" w:rsidRDefault="004850FF" w:rsidP="00A07082">
      <w:pPr>
        <w:shd w:val="clear" w:color="auto" w:fill="FFFFFF"/>
        <w:autoSpaceDE w:val="0"/>
        <w:spacing w:line="360" w:lineRule="auto"/>
        <w:ind w:firstLine="709"/>
        <w:jc w:val="both"/>
        <w:rPr>
          <w:sz w:val="28"/>
          <w:szCs w:val="28"/>
        </w:rPr>
      </w:pPr>
      <w:r w:rsidRPr="00BE086B">
        <w:rPr>
          <w:sz w:val="28"/>
          <w:szCs w:val="28"/>
        </w:rPr>
        <w:t>Ноцицептивну чутливість у щурів досліджували за допомогою тесту «оцтовокислих корчів», який заснований на зміні чутливості С-полімодальних ноцицепторів серозної оболонки очеревини у присутності альгогену [433-436, 440].</w:t>
      </w:r>
    </w:p>
    <w:p w:rsidR="004850FF" w:rsidRPr="00BE086B" w:rsidRDefault="004850FF" w:rsidP="00A07082">
      <w:pPr>
        <w:shd w:val="clear" w:color="auto" w:fill="FFFFFF"/>
        <w:autoSpaceDE w:val="0"/>
        <w:spacing w:line="360" w:lineRule="auto"/>
        <w:ind w:firstLine="709"/>
        <w:jc w:val="both"/>
        <w:rPr>
          <w:sz w:val="28"/>
          <w:szCs w:val="28"/>
        </w:rPr>
      </w:pPr>
      <w:r w:rsidRPr="00BE086B">
        <w:rPr>
          <w:sz w:val="28"/>
          <w:szCs w:val="28"/>
        </w:rPr>
        <w:t>Принцип моделі заснований на тому, що внутрішньоочеревинне введення 0,6% розчину оцтової кислоти об'ємом 0,1 мл на 10 г маси тіла щура, призводить до загальної активації ноцицептивної системи у тварин, місцевому вивільненню гістаміну, брадикиніну, простагландинів, лейкотриєнів та серотоніну, що викликає свавільне скорочен</w:t>
      </w:r>
      <w:r w:rsidR="006854B5" w:rsidRPr="00BE086B">
        <w:rPr>
          <w:sz w:val="28"/>
          <w:szCs w:val="28"/>
        </w:rPr>
        <w:t xml:space="preserve">ня черевних м’язів, так званих </w:t>
      </w:r>
      <w:r w:rsidR="006854B5" w:rsidRPr="00BE086B">
        <w:rPr>
          <w:sz w:val="28"/>
          <w:szCs w:val="28"/>
          <w:lang w:val="uk-UA"/>
        </w:rPr>
        <w:t>«</w:t>
      </w:r>
      <w:r w:rsidR="006854B5" w:rsidRPr="00BE086B">
        <w:rPr>
          <w:sz w:val="28"/>
          <w:szCs w:val="28"/>
        </w:rPr>
        <w:t>корчів</w:t>
      </w:r>
      <w:r w:rsidR="006854B5" w:rsidRPr="00BE086B">
        <w:rPr>
          <w:sz w:val="28"/>
          <w:szCs w:val="28"/>
          <w:lang w:val="uk-UA"/>
        </w:rPr>
        <w:t>»</w:t>
      </w:r>
      <w:r w:rsidRPr="00BE086B">
        <w:rPr>
          <w:sz w:val="28"/>
          <w:szCs w:val="28"/>
        </w:rPr>
        <w:t>, які супроводжуються витягуванням задніх кінцівок та вигинанням спини [433, 440].</w:t>
      </w:r>
    </w:p>
    <w:p w:rsidR="004850FF" w:rsidRPr="00BE086B" w:rsidRDefault="004850FF" w:rsidP="00A07082">
      <w:pPr>
        <w:shd w:val="clear" w:color="auto" w:fill="FFFFFF"/>
        <w:autoSpaceDE w:val="0"/>
        <w:spacing w:line="360" w:lineRule="auto"/>
        <w:ind w:firstLine="709"/>
        <w:jc w:val="both"/>
        <w:rPr>
          <w:sz w:val="28"/>
          <w:szCs w:val="28"/>
        </w:rPr>
      </w:pPr>
      <w:r w:rsidRPr="00BE086B">
        <w:rPr>
          <w:sz w:val="28"/>
          <w:szCs w:val="28"/>
        </w:rPr>
        <w:t>У нашому досліджені корчі викликали 0,6% розчином оцтової кислоти, який готували з розрахунку 0,1 мл на 10 г маси тварини та вводили внутрішньоочеревинно через 30 хвилин після введення препаратів, які досліджувалися. Контрольній групі тварин вводили фізіологічний розчин в еквівалентному об’ємі. За тваринами спостерігали впродовж 20 хвилин та підраховували кількість корчів після введення альгогену [</w:t>
      </w:r>
      <w:r w:rsidR="0083165F" w:rsidRPr="00BE086B">
        <w:rPr>
          <w:sz w:val="28"/>
          <w:szCs w:val="28"/>
          <w:lang w:val="uk-UA"/>
        </w:rPr>
        <w:t xml:space="preserve">360, </w:t>
      </w:r>
      <w:r w:rsidRPr="00BE086B">
        <w:rPr>
          <w:sz w:val="28"/>
          <w:szCs w:val="28"/>
        </w:rPr>
        <w:t>433, 440].</w:t>
      </w:r>
    </w:p>
    <w:p w:rsidR="004850FF" w:rsidRPr="00BE086B" w:rsidRDefault="004850FF" w:rsidP="00A07082">
      <w:pPr>
        <w:shd w:val="clear" w:color="auto" w:fill="FFFFFF"/>
        <w:autoSpaceDE w:val="0"/>
        <w:spacing w:line="360" w:lineRule="auto"/>
        <w:ind w:firstLine="709"/>
        <w:jc w:val="both"/>
        <w:rPr>
          <w:sz w:val="28"/>
          <w:szCs w:val="28"/>
        </w:rPr>
      </w:pPr>
      <w:r w:rsidRPr="00BE086B">
        <w:rPr>
          <w:sz w:val="28"/>
          <w:szCs w:val="28"/>
        </w:rPr>
        <w:t>Аналгетичну активність оцінювали за здатністю препаратів, які досліджувалися, зменшувати кількість корчів в дослідній групі та групі порівняння по відношенню до контрольної групи за формулою:</w:t>
      </w:r>
    </w:p>
    <w:p w:rsidR="004850FF" w:rsidRPr="00BE086B" w:rsidRDefault="004850FF" w:rsidP="00A07082">
      <w:pPr>
        <w:shd w:val="clear" w:color="auto" w:fill="FFFFFF"/>
        <w:autoSpaceDE w:val="0"/>
        <w:spacing w:line="360" w:lineRule="auto"/>
        <w:ind w:firstLine="709"/>
        <w:jc w:val="both"/>
        <w:rPr>
          <w:sz w:val="28"/>
          <w:szCs w:val="28"/>
        </w:rPr>
      </w:pPr>
      <w:r w:rsidRPr="00BE086B">
        <w:rPr>
          <w:sz w:val="28"/>
          <w:szCs w:val="28"/>
        </w:rPr>
        <w:t>АА = (Ск - С0) / Ск * 100%,</w:t>
      </w:r>
    </w:p>
    <w:p w:rsidR="004850FF" w:rsidRPr="00BE086B" w:rsidRDefault="004850FF" w:rsidP="00A07082">
      <w:pPr>
        <w:shd w:val="clear" w:color="auto" w:fill="FFFFFF"/>
        <w:autoSpaceDE w:val="0"/>
        <w:spacing w:line="360" w:lineRule="auto"/>
        <w:ind w:firstLine="709"/>
        <w:jc w:val="both"/>
        <w:rPr>
          <w:sz w:val="28"/>
          <w:szCs w:val="28"/>
        </w:rPr>
      </w:pPr>
      <w:r w:rsidRPr="00BE086B">
        <w:rPr>
          <w:sz w:val="28"/>
          <w:szCs w:val="28"/>
        </w:rPr>
        <w:t>де АА - аналгетична активність;</w:t>
      </w:r>
    </w:p>
    <w:p w:rsidR="004850FF" w:rsidRPr="00BE086B" w:rsidRDefault="004850FF" w:rsidP="00A07082">
      <w:pPr>
        <w:shd w:val="clear" w:color="auto" w:fill="FFFFFF"/>
        <w:autoSpaceDE w:val="0"/>
        <w:spacing w:line="360" w:lineRule="auto"/>
        <w:ind w:firstLine="709"/>
        <w:jc w:val="both"/>
        <w:rPr>
          <w:sz w:val="28"/>
          <w:szCs w:val="28"/>
        </w:rPr>
      </w:pPr>
      <w:r w:rsidRPr="00BE086B">
        <w:rPr>
          <w:sz w:val="28"/>
          <w:szCs w:val="28"/>
        </w:rPr>
        <w:t>Ск - середня кількість корчів у контрольній групі;</w:t>
      </w:r>
    </w:p>
    <w:p w:rsidR="004850FF" w:rsidRPr="00BE086B" w:rsidRDefault="004850FF" w:rsidP="00A07082">
      <w:pPr>
        <w:shd w:val="clear" w:color="auto" w:fill="FFFFFF"/>
        <w:autoSpaceDE w:val="0"/>
        <w:spacing w:line="360" w:lineRule="auto"/>
        <w:ind w:firstLine="709"/>
        <w:jc w:val="both"/>
        <w:rPr>
          <w:sz w:val="28"/>
          <w:szCs w:val="28"/>
        </w:rPr>
      </w:pPr>
      <w:r w:rsidRPr="00BE086B">
        <w:rPr>
          <w:sz w:val="28"/>
          <w:szCs w:val="28"/>
        </w:rPr>
        <w:t>С0 - середня кількість корчів у дослідній групі [433-436, 440].</w:t>
      </w:r>
    </w:p>
    <w:p w:rsidR="004850FF" w:rsidRPr="00BE086B" w:rsidRDefault="004850FF" w:rsidP="00A07082">
      <w:pPr>
        <w:spacing w:line="360" w:lineRule="auto"/>
        <w:ind w:firstLine="709"/>
        <w:jc w:val="both"/>
        <w:rPr>
          <w:sz w:val="28"/>
          <w:szCs w:val="28"/>
        </w:rPr>
      </w:pPr>
    </w:p>
    <w:p w:rsidR="004850FF" w:rsidRPr="00BE086B" w:rsidRDefault="004850FF" w:rsidP="00A07082">
      <w:pPr>
        <w:spacing w:line="360" w:lineRule="auto"/>
        <w:ind w:firstLine="709"/>
        <w:jc w:val="both"/>
        <w:rPr>
          <w:sz w:val="28"/>
          <w:szCs w:val="28"/>
        </w:rPr>
      </w:pPr>
    </w:p>
    <w:p w:rsidR="004850FF" w:rsidRPr="00BE086B" w:rsidRDefault="004850FF" w:rsidP="00A07082">
      <w:pPr>
        <w:spacing w:line="360" w:lineRule="auto"/>
        <w:ind w:firstLine="709"/>
        <w:jc w:val="both"/>
        <w:rPr>
          <w:sz w:val="28"/>
          <w:szCs w:val="28"/>
        </w:rPr>
      </w:pPr>
    </w:p>
    <w:p w:rsidR="004850FF" w:rsidRPr="00BE086B" w:rsidRDefault="004850FF" w:rsidP="00A07082">
      <w:pPr>
        <w:spacing w:line="360" w:lineRule="auto"/>
        <w:ind w:firstLine="709"/>
        <w:jc w:val="both"/>
        <w:rPr>
          <w:b/>
          <w:sz w:val="28"/>
          <w:szCs w:val="28"/>
        </w:rPr>
      </w:pPr>
      <w:r w:rsidRPr="00BE086B">
        <w:rPr>
          <w:b/>
          <w:sz w:val="28"/>
          <w:szCs w:val="28"/>
        </w:rPr>
        <w:lastRenderedPageBreak/>
        <w:t>2.4.7. Морфометрична оцінка розмірів колінних суглобів щурів</w:t>
      </w:r>
    </w:p>
    <w:p w:rsidR="004850FF" w:rsidRPr="00BE086B" w:rsidRDefault="004850FF" w:rsidP="00A07082">
      <w:pPr>
        <w:spacing w:line="360" w:lineRule="auto"/>
        <w:ind w:firstLine="709"/>
        <w:jc w:val="both"/>
        <w:rPr>
          <w:b/>
          <w:i/>
          <w:sz w:val="28"/>
          <w:szCs w:val="28"/>
        </w:rPr>
      </w:pPr>
    </w:p>
    <w:p w:rsidR="004850FF" w:rsidRPr="00BE086B" w:rsidRDefault="004850FF" w:rsidP="00A07082">
      <w:pPr>
        <w:tabs>
          <w:tab w:val="left" w:pos="4395"/>
        </w:tabs>
        <w:spacing w:line="360" w:lineRule="auto"/>
        <w:ind w:firstLine="709"/>
        <w:jc w:val="both"/>
        <w:rPr>
          <w:bCs/>
          <w:sz w:val="28"/>
          <w:szCs w:val="28"/>
          <w:lang w:eastAsia="en-US"/>
        </w:rPr>
      </w:pPr>
      <w:r w:rsidRPr="00BE086B">
        <w:rPr>
          <w:sz w:val="28"/>
          <w:szCs w:val="28"/>
        </w:rPr>
        <w:t xml:space="preserve">Для визначення ступеня протизапальної активності хондроїтину сульфату використана морфометрична оцінка сагітальних (передньо-задніх) розмірів колінних суглобів щурів у динамічному спостережені. Розміри суглобів визначали у вихідному стані, на 42 добу (кінець формування експериментальних патологічних станів) та 70 добу (кінець 28-добового введення </w:t>
      </w:r>
      <w:r w:rsidRPr="00BE086B">
        <w:rPr>
          <w:bCs/>
          <w:sz w:val="28"/>
          <w:szCs w:val="28"/>
        </w:rPr>
        <w:t>хондроїтину сульфату</w:t>
      </w:r>
      <w:r w:rsidRPr="00BE086B">
        <w:rPr>
          <w:sz w:val="28"/>
          <w:szCs w:val="28"/>
        </w:rPr>
        <w:t>) експериментальних досліджень за допомогою мікрометру МК25-1 [</w:t>
      </w:r>
      <w:r w:rsidR="0083165F" w:rsidRPr="00BE086B">
        <w:rPr>
          <w:sz w:val="28"/>
          <w:szCs w:val="28"/>
          <w:lang w:val="uk-UA"/>
        </w:rPr>
        <w:t xml:space="preserve">360, </w:t>
      </w:r>
      <w:r w:rsidRPr="00BE086B">
        <w:rPr>
          <w:sz w:val="28"/>
          <w:szCs w:val="28"/>
        </w:rPr>
        <w:t>440].</w:t>
      </w:r>
    </w:p>
    <w:p w:rsidR="004850FF" w:rsidRPr="00BE086B" w:rsidRDefault="004850FF" w:rsidP="00A07082">
      <w:pPr>
        <w:spacing w:line="360" w:lineRule="auto"/>
        <w:ind w:firstLine="709"/>
        <w:jc w:val="both"/>
        <w:rPr>
          <w:b/>
          <w:i/>
          <w:sz w:val="28"/>
          <w:szCs w:val="28"/>
        </w:rPr>
      </w:pPr>
    </w:p>
    <w:p w:rsidR="004850FF" w:rsidRPr="00BE086B" w:rsidRDefault="004850FF" w:rsidP="00A0708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b/>
          <w:sz w:val="28"/>
          <w:szCs w:val="28"/>
        </w:rPr>
      </w:pPr>
      <w:r w:rsidRPr="00BE086B">
        <w:rPr>
          <w:b/>
          <w:sz w:val="28"/>
          <w:szCs w:val="28"/>
        </w:rPr>
        <w:t xml:space="preserve">2.4.8. Біохімічні дослідження </w:t>
      </w:r>
      <w:r w:rsidRPr="00BE086B">
        <w:rPr>
          <w:b/>
          <w:bCs/>
          <w:sz w:val="28"/>
          <w:szCs w:val="28"/>
        </w:rPr>
        <w:t>у щурів</w:t>
      </w:r>
    </w:p>
    <w:p w:rsidR="004850FF" w:rsidRPr="00BE086B" w:rsidRDefault="004850FF" w:rsidP="00A0708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b/>
          <w:sz w:val="28"/>
          <w:szCs w:val="28"/>
        </w:rPr>
      </w:pPr>
    </w:p>
    <w:p w:rsidR="004850FF" w:rsidRPr="00BE086B" w:rsidRDefault="004850FF" w:rsidP="00A07082">
      <w:pPr>
        <w:pStyle w:val="Default"/>
        <w:spacing w:line="360" w:lineRule="auto"/>
        <w:ind w:firstLine="709"/>
        <w:jc w:val="both"/>
        <w:rPr>
          <w:rFonts w:ascii="Times New Roman" w:hAnsi="Times New Roman" w:cs="Times New Roman"/>
          <w:color w:val="auto"/>
          <w:sz w:val="28"/>
          <w:szCs w:val="28"/>
        </w:rPr>
      </w:pPr>
      <w:r w:rsidRPr="00BE086B">
        <w:rPr>
          <w:rFonts w:ascii="Times New Roman" w:hAnsi="Times New Roman" w:cs="Times New Roman"/>
          <w:bCs/>
          <w:color w:val="auto"/>
          <w:sz w:val="28"/>
          <w:szCs w:val="28"/>
        </w:rPr>
        <w:t xml:space="preserve">Для оцінки протизапальної активності НПЗЗ, парацетамолу, хондроїтину сульфату та </w:t>
      </w:r>
      <w:r w:rsidRPr="00BE086B">
        <w:rPr>
          <w:rFonts w:ascii="Times New Roman" w:hAnsi="Times New Roman" w:cs="Times New Roman"/>
          <w:color w:val="auto"/>
          <w:sz w:val="28"/>
          <w:szCs w:val="28"/>
        </w:rPr>
        <w:t>L-тироксину проведені біохімічні дослідження у сироватці крові та сечі щурів рівня маркерів чотирьох груп:</w:t>
      </w:r>
    </w:p>
    <w:p w:rsidR="004850FF" w:rsidRPr="00BE086B" w:rsidRDefault="004850FF" w:rsidP="00A07082">
      <w:pPr>
        <w:pStyle w:val="Default"/>
        <w:spacing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1. Маркери деструкції кісткової та хрящової тканин: С-телопептид колагену I типу (CTX-I) та С-телопептид колагену II типу (CTX- II) відповідно, оксипролін [124, 125, 136, 139, 148, 440].</w:t>
      </w:r>
    </w:p>
    <w:p w:rsidR="004850FF" w:rsidRPr="00BE086B" w:rsidRDefault="004850FF" w:rsidP="00A07082">
      <w:pPr>
        <w:pStyle w:val="Default"/>
        <w:spacing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2. Маркери ферментів, які руйнують хрящовий матрикс: металлопротеінази (MMП) 3, 9 та 13, глікозаміноглікани [127, 170-174, 440, 459, 460].</w:t>
      </w:r>
    </w:p>
    <w:p w:rsidR="004850FF" w:rsidRPr="00BE086B" w:rsidRDefault="004850FF" w:rsidP="00A07082">
      <w:pPr>
        <w:pStyle w:val="Default"/>
        <w:spacing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3. Маркери утворення кісткової тканини: кісткова лужна фосфатаза, кальцій [196, 197, 440].</w:t>
      </w:r>
    </w:p>
    <w:p w:rsidR="004850FF" w:rsidRPr="00BE086B" w:rsidRDefault="004850FF" w:rsidP="00A07082">
      <w:pPr>
        <w:pStyle w:val="Default"/>
        <w:spacing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4. Неспецифічні маркери запалення (гострофазові білки запалення сироватки крові): С-реактивний протеїн, інтерлейкіни (IL) 1, 6 та 8, фактор некрозу пухлин-альфа (TNF-α), серомукоїди, сіалові кислоти [135, 141, 440, 461].</w:t>
      </w:r>
    </w:p>
    <w:p w:rsidR="004850FF" w:rsidRPr="00BE086B" w:rsidRDefault="004850FF" w:rsidP="00A07082">
      <w:pPr>
        <w:tabs>
          <w:tab w:val="left" w:pos="4395"/>
        </w:tabs>
        <w:spacing w:line="360" w:lineRule="auto"/>
        <w:ind w:firstLine="709"/>
        <w:jc w:val="both"/>
        <w:rPr>
          <w:bCs/>
          <w:sz w:val="28"/>
          <w:szCs w:val="28"/>
        </w:rPr>
      </w:pPr>
      <w:r w:rsidRPr="00BE086B">
        <w:rPr>
          <w:sz w:val="28"/>
          <w:szCs w:val="28"/>
        </w:rPr>
        <w:t xml:space="preserve">Кількісний рівень маркерів сироватки крові щурів та рівень гормонів ТТГ, Т3 а Т4 визначали методом конкурентного імунно-ферментного аналізу (ІФА) in vitro [456, 457] (на 42, 47 та 70 добу експерименту) </w:t>
      </w:r>
      <w:r w:rsidRPr="00BE086B">
        <w:rPr>
          <w:sz w:val="28"/>
          <w:szCs w:val="28"/>
          <w:shd w:val="clear" w:color="auto" w:fill="FFFFFF"/>
        </w:rPr>
        <w:t xml:space="preserve">з використанням </w:t>
      </w:r>
      <w:r w:rsidRPr="00BE086B">
        <w:rPr>
          <w:sz w:val="28"/>
          <w:szCs w:val="28"/>
          <w:shd w:val="clear" w:color="auto" w:fill="FFFFFF"/>
        </w:rPr>
        <w:lastRenderedPageBreak/>
        <w:t>імунноферментних тест-систем фірм-виробників «</w:t>
      </w:r>
      <w:r w:rsidRPr="00BE086B">
        <w:rPr>
          <w:sz w:val="28"/>
          <w:szCs w:val="28"/>
        </w:rPr>
        <w:t>Elabscience Biotechnology Co. Ltd» (Китай) та</w:t>
      </w:r>
      <w:r w:rsidRPr="00BE086B">
        <w:rPr>
          <w:sz w:val="28"/>
          <w:szCs w:val="28"/>
          <w:shd w:val="clear" w:color="auto" w:fill="FAFAFA"/>
        </w:rPr>
        <w:t xml:space="preserve"> </w:t>
      </w:r>
      <w:r w:rsidRPr="00BE086B">
        <w:rPr>
          <w:sz w:val="28"/>
          <w:szCs w:val="28"/>
        </w:rPr>
        <w:t>«MyBioSource, San Diego, CA» (США)</w:t>
      </w:r>
      <w:r w:rsidRPr="00BE086B">
        <w:rPr>
          <w:sz w:val="28"/>
          <w:szCs w:val="28"/>
          <w:shd w:val="clear" w:color="auto" w:fill="FAFAFA"/>
        </w:rPr>
        <w:t xml:space="preserve"> </w:t>
      </w:r>
      <w:r w:rsidRPr="00BE086B">
        <w:rPr>
          <w:sz w:val="28"/>
          <w:szCs w:val="28"/>
          <w:shd w:val="clear" w:color="auto" w:fill="FFFFFF"/>
        </w:rPr>
        <w:t>згідно з методикою виробників, яка була описана в технічній документації</w:t>
      </w:r>
      <w:r w:rsidRPr="00BE086B">
        <w:rPr>
          <w:sz w:val="28"/>
          <w:szCs w:val="28"/>
        </w:rPr>
        <w:t xml:space="preserve">. Чутливість та діапазон визначення дорівнювали показникам, визначеним </w:t>
      </w:r>
      <w:r w:rsidRPr="00BE086B">
        <w:rPr>
          <w:sz w:val="28"/>
          <w:szCs w:val="28"/>
          <w:shd w:val="clear" w:color="auto" w:fill="FFFFFF"/>
        </w:rPr>
        <w:t>в технічній документації</w:t>
      </w:r>
      <w:r w:rsidRPr="00BE086B">
        <w:rPr>
          <w:sz w:val="28"/>
          <w:szCs w:val="28"/>
        </w:rPr>
        <w:t xml:space="preserve"> до відповідних тест-систем. </w:t>
      </w:r>
      <w:r w:rsidRPr="00BE086B">
        <w:rPr>
          <w:bCs/>
          <w:sz w:val="28"/>
          <w:szCs w:val="28"/>
        </w:rPr>
        <w:t xml:space="preserve">За референтний рівень маркерів прийняті значення, отримані в групі інтактних щурів та з відповідних лабораторних довідників </w:t>
      </w:r>
      <w:r w:rsidRPr="00BE086B">
        <w:rPr>
          <w:sz w:val="28"/>
          <w:szCs w:val="28"/>
        </w:rPr>
        <w:t>[456, 457]</w:t>
      </w:r>
      <w:r w:rsidRPr="00BE086B">
        <w:rPr>
          <w:bCs/>
          <w:sz w:val="28"/>
          <w:szCs w:val="28"/>
        </w:rPr>
        <w:t>.</w:t>
      </w:r>
    </w:p>
    <w:p w:rsidR="004850FF" w:rsidRPr="00BE086B" w:rsidRDefault="004850FF" w:rsidP="00A07082">
      <w:pPr>
        <w:tabs>
          <w:tab w:val="left" w:pos="4395"/>
        </w:tabs>
        <w:spacing w:line="360" w:lineRule="auto"/>
        <w:ind w:firstLine="709"/>
        <w:jc w:val="both"/>
        <w:rPr>
          <w:sz w:val="28"/>
          <w:szCs w:val="28"/>
        </w:rPr>
      </w:pPr>
      <w:r w:rsidRPr="00BE086B">
        <w:rPr>
          <w:sz w:val="28"/>
          <w:szCs w:val="28"/>
        </w:rPr>
        <w:t>Зразки крові отримували з хвостової вени щурів після їх голодування протягом 12 годин шляхом пункції за допомогою вакуумної системи або скарифікації на 42, 47 та 70 добу експерименту</w:t>
      </w:r>
      <w:r w:rsidRPr="00BE086B">
        <w:rPr>
          <w:bCs/>
          <w:sz w:val="28"/>
          <w:szCs w:val="28"/>
        </w:rPr>
        <w:t>. Збір сечі проводився в умовах метаболічної камери.</w:t>
      </w:r>
    </w:p>
    <w:p w:rsidR="004850FF" w:rsidRPr="00BE086B" w:rsidRDefault="004850FF" w:rsidP="00A0708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ind w:firstLine="709"/>
        <w:jc w:val="both"/>
        <w:rPr>
          <w:sz w:val="28"/>
          <w:szCs w:val="28"/>
        </w:rPr>
      </w:pPr>
      <w:r w:rsidRPr="00BE086B">
        <w:rPr>
          <w:sz w:val="28"/>
          <w:szCs w:val="28"/>
        </w:rPr>
        <w:t>В дослідженні були використані наступні ІФА тест-системи:</w:t>
      </w:r>
    </w:p>
    <w:p w:rsidR="004850FF" w:rsidRPr="00BE086B" w:rsidRDefault="004E6526" w:rsidP="004E6526">
      <w:pPr>
        <w:pStyle w:val="af3"/>
        <w:suppressAutoHyphens w:val="0"/>
        <w:spacing w:before="0" w:after="0" w:line="360" w:lineRule="auto"/>
        <w:ind w:left="360"/>
        <w:rPr>
          <w:sz w:val="28"/>
          <w:szCs w:val="28"/>
        </w:rPr>
      </w:pPr>
      <w:r w:rsidRPr="00BE086B">
        <w:rPr>
          <w:sz w:val="28"/>
          <w:szCs w:val="28"/>
          <w:lang w:val="uk-UA"/>
        </w:rPr>
        <w:t xml:space="preserve">1. </w:t>
      </w:r>
      <w:r w:rsidR="004850FF" w:rsidRPr="00BE086B">
        <w:rPr>
          <w:sz w:val="28"/>
          <w:szCs w:val="28"/>
        </w:rPr>
        <w:t>ФНП-α (фактор некрозу пухлини альфа)</w:t>
      </w:r>
    </w:p>
    <w:p w:rsidR="004850FF" w:rsidRPr="00BE086B" w:rsidRDefault="004850FF" w:rsidP="004E6526">
      <w:pPr>
        <w:pStyle w:val="af3"/>
        <w:spacing w:before="0" w:after="0" w:line="360" w:lineRule="auto"/>
        <w:ind w:left="360"/>
        <w:rPr>
          <w:sz w:val="28"/>
          <w:szCs w:val="28"/>
          <w:lang w:val="en-US"/>
        </w:rPr>
      </w:pPr>
      <w:r w:rsidRPr="00BE086B">
        <w:rPr>
          <w:sz w:val="28"/>
          <w:szCs w:val="28"/>
          <w:lang w:val="en-US"/>
        </w:rPr>
        <w:t>Rat TNF-</w:t>
      </w:r>
      <w:r w:rsidRPr="00BE086B">
        <w:rPr>
          <w:sz w:val="28"/>
          <w:szCs w:val="28"/>
        </w:rPr>
        <w:t>α</w:t>
      </w:r>
      <w:r w:rsidRPr="00BE086B">
        <w:rPr>
          <w:sz w:val="28"/>
          <w:szCs w:val="28"/>
          <w:lang w:val="en-US"/>
        </w:rPr>
        <w:t xml:space="preserve"> (Tumor Necrosis Factor Alpha) ELISA Kit</w:t>
      </w:r>
    </w:p>
    <w:p w:rsidR="004850FF" w:rsidRPr="00BE086B" w:rsidRDefault="004850FF" w:rsidP="004E6526">
      <w:pPr>
        <w:pStyle w:val="af3"/>
        <w:spacing w:before="0" w:after="0" w:line="360" w:lineRule="auto"/>
        <w:ind w:left="360"/>
        <w:rPr>
          <w:sz w:val="28"/>
          <w:szCs w:val="28"/>
          <w:lang w:val="en-US"/>
        </w:rPr>
      </w:pPr>
      <w:r w:rsidRPr="00BE086B">
        <w:rPr>
          <w:sz w:val="28"/>
          <w:szCs w:val="28"/>
        </w:rPr>
        <w:t>Виробник</w:t>
      </w:r>
      <w:r w:rsidRPr="00BE086B">
        <w:rPr>
          <w:sz w:val="28"/>
          <w:szCs w:val="28"/>
          <w:lang w:val="en-US"/>
        </w:rPr>
        <w:t>: Elabscience Biotechnology Co., Ltd., Wuhan, 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E-EL-R0019</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2,5-300 пг/мл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2. </w:t>
      </w:r>
      <w:r w:rsidR="004850FF" w:rsidRPr="00BE086B">
        <w:rPr>
          <w:sz w:val="28"/>
          <w:szCs w:val="28"/>
        </w:rPr>
        <w:t>ІЛ-1β (інтерлейкін 1 бета)</w:t>
      </w:r>
    </w:p>
    <w:p w:rsidR="004850FF" w:rsidRPr="00AF27FE" w:rsidRDefault="004850FF" w:rsidP="004E6526">
      <w:pPr>
        <w:pStyle w:val="af3"/>
        <w:spacing w:before="0" w:after="0" w:line="360" w:lineRule="auto"/>
        <w:ind w:left="360"/>
        <w:rPr>
          <w:sz w:val="28"/>
          <w:szCs w:val="28"/>
          <w:lang w:val="en-US"/>
        </w:rPr>
      </w:pPr>
      <w:r w:rsidRPr="00BE086B">
        <w:rPr>
          <w:sz w:val="28"/>
          <w:szCs w:val="28"/>
          <w:lang w:val="en-US"/>
        </w:rPr>
        <w:t>Rat</w:t>
      </w:r>
      <w:r w:rsidRPr="00AF27FE">
        <w:rPr>
          <w:sz w:val="28"/>
          <w:szCs w:val="28"/>
          <w:lang w:val="en-US"/>
        </w:rPr>
        <w:t xml:space="preserve"> </w:t>
      </w:r>
      <w:r w:rsidRPr="00BE086B">
        <w:rPr>
          <w:sz w:val="28"/>
          <w:szCs w:val="28"/>
          <w:lang w:val="en-US"/>
        </w:rPr>
        <w:t>IL</w:t>
      </w:r>
      <w:r w:rsidRPr="00AF27FE">
        <w:rPr>
          <w:sz w:val="28"/>
          <w:szCs w:val="28"/>
          <w:lang w:val="en-US"/>
        </w:rPr>
        <w:t>-1</w:t>
      </w:r>
      <w:r w:rsidRPr="00BE086B">
        <w:rPr>
          <w:sz w:val="28"/>
          <w:szCs w:val="28"/>
        </w:rPr>
        <w:t>β</w:t>
      </w:r>
      <w:r w:rsidRPr="00AF27FE">
        <w:rPr>
          <w:sz w:val="28"/>
          <w:szCs w:val="28"/>
          <w:lang w:val="en-US"/>
        </w:rPr>
        <w:t xml:space="preserve"> (</w:t>
      </w:r>
      <w:r w:rsidRPr="00BE086B">
        <w:rPr>
          <w:sz w:val="28"/>
          <w:szCs w:val="28"/>
          <w:lang w:val="en-US"/>
        </w:rPr>
        <w:t>Interleukin</w:t>
      </w:r>
      <w:r w:rsidRPr="00AF27FE">
        <w:rPr>
          <w:sz w:val="28"/>
          <w:szCs w:val="28"/>
          <w:lang w:val="en-US"/>
        </w:rPr>
        <w:t xml:space="preserve"> 1 </w:t>
      </w:r>
      <w:r w:rsidRPr="00BE086B">
        <w:rPr>
          <w:sz w:val="28"/>
          <w:szCs w:val="28"/>
          <w:lang w:val="en-US"/>
        </w:rPr>
        <w:t>Beta</w:t>
      </w:r>
      <w:r w:rsidRPr="00AF27FE">
        <w:rPr>
          <w:sz w:val="28"/>
          <w:szCs w:val="28"/>
          <w:lang w:val="en-US"/>
        </w:rPr>
        <w:t xml:space="preserve">) </w:t>
      </w:r>
      <w:r w:rsidRPr="00BE086B">
        <w:rPr>
          <w:sz w:val="28"/>
          <w:szCs w:val="28"/>
          <w:lang w:val="en-US"/>
        </w:rPr>
        <w:t>ELISA</w:t>
      </w:r>
      <w:r w:rsidRPr="00AF27FE">
        <w:rPr>
          <w:sz w:val="28"/>
          <w:szCs w:val="28"/>
          <w:lang w:val="en-US"/>
        </w:rPr>
        <w:t xml:space="preserve"> </w:t>
      </w:r>
      <w:r w:rsidRPr="00BE086B">
        <w:rPr>
          <w:sz w:val="28"/>
          <w:szCs w:val="28"/>
          <w:lang w:val="en-US"/>
        </w:rPr>
        <w:t>Kit</w:t>
      </w:r>
    </w:p>
    <w:p w:rsidR="004850FF" w:rsidRPr="00AF27FE"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Elabscience</w:t>
      </w:r>
      <w:r w:rsidRPr="00AF27FE">
        <w:rPr>
          <w:sz w:val="28"/>
          <w:szCs w:val="28"/>
          <w:lang w:val="en-US"/>
        </w:rPr>
        <w:t xml:space="preserve"> </w:t>
      </w:r>
      <w:r w:rsidRPr="00BE086B">
        <w:rPr>
          <w:sz w:val="28"/>
          <w:szCs w:val="28"/>
          <w:lang w:val="en-US"/>
        </w:rPr>
        <w:t>Biotechnology</w:t>
      </w:r>
      <w:r w:rsidRPr="00AF27FE">
        <w:rPr>
          <w:sz w:val="28"/>
          <w:szCs w:val="28"/>
          <w:lang w:val="en-US"/>
        </w:rPr>
        <w:t xml:space="preserve"> </w:t>
      </w:r>
      <w:r w:rsidRPr="00BE086B">
        <w:rPr>
          <w:sz w:val="28"/>
          <w:szCs w:val="28"/>
          <w:lang w:val="en-US"/>
        </w:rPr>
        <w:t>Co</w:t>
      </w:r>
      <w:r w:rsidRPr="00AF27FE">
        <w:rPr>
          <w:sz w:val="28"/>
          <w:szCs w:val="28"/>
          <w:lang w:val="en-US"/>
        </w:rPr>
        <w:t xml:space="preserve">., </w:t>
      </w:r>
      <w:r w:rsidRPr="00BE086B">
        <w:rPr>
          <w:sz w:val="28"/>
          <w:szCs w:val="28"/>
          <w:lang w:val="en-US"/>
        </w:rPr>
        <w:t>Ltd</w:t>
      </w:r>
      <w:r w:rsidRPr="00AF27FE">
        <w:rPr>
          <w:sz w:val="28"/>
          <w:szCs w:val="28"/>
          <w:lang w:val="en-US"/>
        </w:rPr>
        <w:t xml:space="preserve">., </w:t>
      </w:r>
      <w:r w:rsidRPr="00BE086B">
        <w:rPr>
          <w:sz w:val="28"/>
          <w:szCs w:val="28"/>
          <w:lang w:val="en-US"/>
        </w:rPr>
        <w:t>Wuhan</w:t>
      </w:r>
      <w:r w:rsidRPr="00AF27FE">
        <w:rPr>
          <w:sz w:val="28"/>
          <w:szCs w:val="28"/>
          <w:lang w:val="en-US"/>
        </w:rPr>
        <w:t xml:space="preserve">, </w:t>
      </w:r>
      <w:r w:rsidRPr="00BE086B">
        <w:rPr>
          <w:sz w:val="28"/>
          <w:szCs w:val="28"/>
          <w:lang w:val="en-US"/>
        </w:rPr>
        <w:t>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E-EL-R0012</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11,6-1000 пг/мл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3. </w:t>
      </w:r>
      <w:r w:rsidR="004850FF" w:rsidRPr="00BE086B">
        <w:rPr>
          <w:sz w:val="28"/>
          <w:szCs w:val="28"/>
        </w:rPr>
        <w:t>ІЛ-6 (інтерлейкін 6)</w:t>
      </w:r>
    </w:p>
    <w:p w:rsidR="004850FF" w:rsidRPr="00AF27FE" w:rsidRDefault="004850FF" w:rsidP="004E6526">
      <w:pPr>
        <w:pStyle w:val="af3"/>
        <w:spacing w:before="0" w:after="0" w:line="360" w:lineRule="auto"/>
        <w:ind w:left="360"/>
        <w:rPr>
          <w:sz w:val="28"/>
          <w:szCs w:val="28"/>
          <w:lang w:val="en-US"/>
        </w:rPr>
      </w:pPr>
      <w:r w:rsidRPr="00AF27FE">
        <w:rPr>
          <w:sz w:val="28"/>
          <w:szCs w:val="28"/>
          <w:lang w:val="en-US"/>
        </w:rPr>
        <w:t>Rat IL-6 (Interleukin 6) ELISA Kit</w:t>
      </w:r>
    </w:p>
    <w:p w:rsidR="004850FF" w:rsidRPr="00AF27FE"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Elabscience</w:t>
      </w:r>
      <w:r w:rsidRPr="00AF27FE">
        <w:rPr>
          <w:sz w:val="28"/>
          <w:szCs w:val="28"/>
          <w:lang w:val="en-US"/>
        </w:rPr>
        <w:t xml:space="preserve"> </w:t>
      </w:r>
      <w:r w:rsidRPr="00BE086B">
        <w:rPr>
          <w:sz w:val="28"/>
          <w:szCs w:val="28"/>
          <w:lang w:val="en-US"/>
        </w:rPr>
        <w:t>Biotechnology</w:t>
      </w:r>
      <w:r w:rsidRPr="00AF27FE">
        <w:rPr>
          <w:sz w:val="28"/>
          <w:szCs w:val="28"/>
          <w:lang w:val="en-US"/>
        </w:rPr>
        <w:t xml:space="preserve"> </w:t>
      </w:r>
      <w:r w:rsidRPr="00BE086B">
        <w:rPr>
          <w:sz w:val="28"/>
          <w:szCs w:val="28"/>
          <w:lang w:val="en-US"/>
        </w:rPr>
        <w:t>Co</w:t>
      </w:r>
      <w:r w:rsidRPr="00AF27FE">
        <w:rPr>
          <w:sz w:val="28"/>
          <w:szCs w:val="28"/>
          <w:lang w:val="en-US"/>
        </w:rPr>
        <w:t xml:space="preserve">., </w:t>
      </w:r>
      <w:r w:rsidRPr="00BE086B">
        <w:rPr>
          <w:sz w:val="28"/>
          <w:szCs w:val="28"/>
          <w:lang w:val="en-US"/>
        </w:rPr>
        <w:t>Ltd</w:t>
      </w:r>
      <w:r w:rsidRPr="00AF27FE">
        <w:rPr>
          <w:sz w:val="28"/>
          <w:szCs w:val="28"/>
          <w:lang w:val="en-US"/>
        </w:rPr>
        <w:t xml:space="preserve">., </w:t>
      </w:r>
      <w:r w:rsidRPr="00BE086B">
        <w:rPr>
          <w:sz w:val="28"/>
          <w:szCs w:val="28"/>
          <w:lang w:val="en-US"/>
        </w:rPr>
        <w:t>Wuhan</w:t>
      </w:r>
      <w:r w:rsidRPr="00AF27FE">
        <w:rPr>
          <w:sz w:val="28"/>
          <w:szCs w:val="28"/>
          <w:lang w:val="en-US"/>
        </w:rPr>
        <w:t xml:space="preserve">, </w:t>
      </w:r>
      <w:r w:rsidRPr="00BE086B">
        <w:rPr>
          <w:sz w:val="28"/>
          <w:szCs w:val="28"/>
          <w:lang w:val="en-US"/>
        </w:rPr>
        <w:t>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E-EL-R0015</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12,5-800 пг/мл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4. </w:t>
      </w:r>
      <w:r w:rsidR="004850FF" w:rsidRPr="00BE086B">
        <w:rPr>
          <w:sz w:val="28"/>
          <w:szCs w:val="28"/>
        </w:rPr>
        <w:t>ІЛ-8 (інтерлейкін 8)</w:t>
      </w:r>
    </w:p>
    <w:p w:rsidR="004850FF" w:rsidRPr="00AF27FE" w:rsidRDefault="004850FF" w:rsidP="004E6526">
      <w:pPr>
        <w:spacing w:line="360" w:lineRule="auto"/>
        <w:ind w:left="360"/>
        <w:rPr>
          <w:sz w:val="28"/>
          <w:szCs w:val="28"/>
          <w:lang w:val="en-US"/>
        </w:rPr>
      </w:pPr>
      <w:r w:rsidRPr="00BE086B">
        <w:rPr>
          <w:sz w:val="28"/>
          <w:szCs w:val="28"/>
          <w:lang w:val="en-US"/>
        </w:rPr>
        <w:t>Rat</w:t>
      </w:r>
      <w:r w:rsidRPr="00AF27FE">
        <w:rPr>
          <w:sz w:val="28"/>
          <w:szCs w:val="28"/>
          <w:lang w:val="en-US"/>
        </w:rPr>
        <w:t xml:space="preserve"> </w:t>
      </w:r>
      <w:r w:rsidRPr="00BE086B">
        <w:rPr>
          <w:sz w:val="28"/>
          <w:szCs w:val="28"/>
          <w:lang w:val="en-US"/>
        </w:rPr>
        <w:t>Interleukin</w:t>
      </w:r>
      <w:r w:rsidRPr="00AF27FE">
        <w:rPr>
          <w:sz w:val="28"/>
          <w:szCs w:val="28"/>
          <w:lang w:val="en-US"/>
        </w:rPr>
        <w:t xml:space="preserve"> 8 </w:t>
      </w:r>
      <w:r w:rsidRPr="00BE086B">
        <w:rPr>
          <w:sz w:val="28"/>
          <w:szCs w:val="28"/>
          <w:lang w:val="en-US"/>
        </w:rPr>
        <w:t>Receptor</w:t>
      </w:r>
      <w:r w:rsidRPr="00AF27FE">
        <w:rPr>
          <w:sz w:val="28"/>
          <w:szCs w:val="28"/>
          <w:lang w:val="en-US"/>
        </w:rPr>
        <w:t xml:space="preserve"> </w:t>
      </w:r>
      <w:r w:rsidRPr="00BE086B">
        <w:rPr>
          <w:sz w:val="28"/>
          <w:szCs w:val="28"/>
          <w:lang w:val="en-US"/>
        </w:rPr>
        <w:t>Alpha</w:t>
      </w:r>
      <w:r w:rsidRPr="00AF27FE">
        <w:rPr>
          <w:sz w:val="28"/>
          <w:szCs w:val="28"/>
          <w:lang w:val="en-US"/>
        </w:rPr>
        <w:t xml:space="preserve"> (</w:t>
      </w:r>
      <w:r w:rsidRPr="00BE086B">
        <w:rPr>
          <w:sz w:val="28"/>
          <w:szCs w:val="28"/>
          <w:lang w:val="en-US"/>
        </w:rPr>
        <w:t>IL</w:t>
      </w:r>
      <w:r w:rsidRPr="00AF27FE">
        <w:rPr>
          <w:sz w:val="28"/>
          <w:szCs w:val="28"/>
          <w:lang w:val="en-US"/>
        </w:rPr>
        <w:t>8</w:t>
      </w:r>
      <w:r w:rsidRPr="00BE086B">
        <w:rPr>
          <w:sz w:val="28"/>
          <w:szCs w:val="28"/>
          <w:lang w:val="en-US"/>
        </w:rPr>
        <w:t>RA</w:t>
      </w:r>
      <w:r w:rsidRPr="00AF27FE">
        <w:rPr>
          <w:sz w:val="28"/>
          <w:szCs w:val="28"/>
          <w:lang w:val="en-US"/>
        </w:rPr>
        <w:t xml:space="preserve">) </w:t>
      </w:r>
      <w:r w:rsidRPr="00BE086B">
        <w:rPr>
          <w:sz w:val="28"/>
          <w:szCs w:val="28"/>
          <w:lang w:val="en-US"/>
        </w:rPr>
        <w:t>ELISA</w:t>
      </w:r>
      <w:r w:rsidRPr="00AF27FE">
        <w:rPr>
          <w:sz w:val="28"/>
          <w:szCs w:val="28"/>
          <w:lang w:val="en-US"/>
        </w:rPr>
        <w:t xml:space="preserve"> </w:t>
      </w:r>
      <w:r w:rsidRPr="00BE086B">
        <w:rPr>
          <w:sz w:val="28"/>
          <w:szCs w:val="28"/>
          <w:lang w:val="en-US"/>
        </w:rPr>
        <w:t>Kit</w:t>
      </w:r>
    </w:p>
    <w:p w:rsidR="004850FF" w:rsidRPr="00AF27FE"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MyBioSource</w:t>
      </w:r>
      <w:r w:rsidRPr="00AF27FE">
        <w:rPr>
          <w:sz w:val="28"/>
          <w:szCs w:val="28"/>
          <w:lang w:val="en-US"/>
        </w:rPr>
        <w:t xml:space="preserve">, </w:t>
      </w:r>
      <w:r w:rsidRPr="00BE086B">
        <w:rPr>
          <w:sz w:val="28"/>
          <w:szCs w:val="28"/>
          <w:lang w:val="en-US"/>
        </w:rPr>
        <w:t>San</w:t>
      </w:r>
      <w:r w:rsidRPr="00AF27FE">
        <w:rPr>
          <w:sz w:val="28"/>
          <w:szCs w:val="28"/>
          <w:lang w:val="en-US"/>
        </w:rPr>
        <w:t xml:space="preserve"> </w:t>
      </w:r>
      <w:r w:rsidRPr="00BE086B">
        <w:rPr>
          <w:sz w:val="28"/>
          <w:szCs w:val="28"/>
          <w:lang w:val="en-US"/>
        </w:rPr>
        <w:t>Diego</w:t>
      </w:r>
      <w:r w:rsidRPr="00AF27FE">
        <w:rPr>
          <w:sz w:val="28"/>
          <w:szCs w:val="28"/>
          <w:lang w:val="en-US"/>
        </w:rPr>
        <w:t xml:space="preserve">, </w:t>
      </w:r>
      <w:r w:rsidRPr="00BE086B">
        <w:rPr>
          <w:sz w:val="28"/>
          <w:szCs w:val="28"/>
          <w:lang w:val="en-US"/>
        </w:rPr>
        <w:t>CA</w:t>
      </w:r>
      <w:r w:rsidRPr="00AF27FE">
        <w:rPr>
          <w:sz w:val="28"/>
          <w:szCs w:val="28"/>
          <w:lang w:val="en-US"/>
        </w:rPr>
        <w:t xml:space="preserve">, </w:t>
      </w:r>
      <w:r w:rsidRPr="00BE086B">
        <w:rPr>
          <w:sz w:val="28"/>
          <w:szCs w:val="28"/>
          <w:lang w:val="en-US"/>
        </w:rPr>
        <w:t>USA</w:t>
      </w:r>
    </w:p>
    <w:p w:rsidR="004850FF" w:rsidRPr="00BE086B" w:rsidRDefault="004850FF" w:rsidP="004E6526">
      <w:pPr>
        <w:pStyle w:val="af3"/>
        <w:spacing w:before="0" w:after="0" w:line="360" w:lineRule="auto"/>
        <w:ind w:left="360"/>
        <w:rPr>
          <w:sz w:val="28"/>
          <w:szCs w:val="28"/>
        </w:rPr>
      </w:pPr>
      <w:r w:rsidRPr="00BE086B">
        <w:rPr>
          <w:sz w:val="28"/>
          <w:szCs w:val="28"/>
        </w:rPr>
        <w:lastRenderedPageBreak/>
        <w:t>Номер за каталогом: MBS104483</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62,5-2000 пг/мл</w:t>
      </w:r>
    </w:p>
    <w:p w:rsidR="004850FF" w:rsidRPr="00AF27FE" w:rsidRDefault="00751AFF" w:rsidP="004E6526">
      <w:pPr>
        <w:pStyle w:val="af3"/>
        <w:suppressAutoHyphens w:val="0"/>
        <w:spacing w:before="0" w:after="0" w:line="360" w:lineRule="auto"/>
        <w:ind w:left="360"/>
        <w:rPr>
          <w:sz w:val="28"/>
          <w:szCs w:val="28"/>
          <w:lang w:val="en-US"/>
        </w:rPr>
      </w:pPr>
      <w:r w:rsidRPr="00BE086B">
        <w:rPr>
          <w:sz w:val="28"/>
          <w:szCs w:val="28"/>
          <w:lang w:val="uk-UA"/>
        </w:rPr>
        <w:t xml:space="preserve">5. </w:t>
      </w:r>
      <w:r w:rsidR="004850FF" w:rsidRPr="00BE086B">
        <w:rPr>
          <w:sz w:val="28"/>
          <w:szCs w:val="28"/>
        </w:rPr>
        <w:t>СРБ</w:t>
      </w:r>
      <w:r w:rsidR="004850FF" w:rsidRPr="00AF27FE">
        <w:rPr>
          <w:sz w:val="28"/>
          <w:szCs w:val="28"/>
          <w:lang w:val="en-US"/>
        </w:rPr>
        <w:t xml:space="preserve"> (</w:t>
      </w:r>
      <w:r w:rsidR="004850FF" w:rsidRPr="00BE086B">
        <w:rPr>
          <w:sz w:val="28"/>
          <w:szCs w:val="28"/>
        </w:rPr>
        <w:t>С</w:t>
      </w:r>
      <w:r w:rsidR="004850FF" w:rsidRPr="00AF27FE">
        <w:rPr>
          <w:sz w:val="28"/>
          <w:szCs w:val="28"/>
          <w:lang w:val="en-US"/>
        </w:rPr>
        <w:t>-</w:t>
      </w:r>
      <w:r w:rsidR="004850FF" w:rsidRPr="00BE086B">
        <w:rPr>
          <w:sz w:val="28"/>
          <w:szCs w:val="28"/>
        </w:rPr>
        <w:t>реактивний</w:t>
      </w:r>
      <w:r w:rsidR="004850FF" w:rsidRPr="00AF27FE">
        <w:rPr>
          <w:sz w:val="28"/>
          <w:szCs w:val="28"/>
          <w:lang w:val="en-US"/>
        </w:rPr>
        <w:t xml:space="preserve"> </w:t>
      </w:r>
      <w:r w:rsidR="004850FF" w:rsidRPr="00BE086B">
        <w:rPr>
          <w:sz w:val="28"/>
          <w:szCs w:val="28"/>
        </w:rPr>
        <w:t>білок</w:t>
      </w:r>
      <w:r w:rsidR="004850FF" w:rsidRPr="00AF27FE">
        <w:rPr>
          <w:sz w:val="28"/>
          <w:szCs w:val="28"/>
          <w:lang w:val="en-US"/>
        </w:rPr>
        <w:t>)</w:t>
      </w:r>
    </w:p>
    <w:p w:rsidR="004850FF" w:rsidRPr="00AF27FE" w:rsidRDefault="004850FF" w:rsidP="004E6526">
      <w:pPr>
        <w:spacing w:line="360" w:lineRule="auto"/>
        <w:ind w:left="360"/>
        <w:rPr>
          <w:sz w:val="28"/>
          <w:szCs w:val="28"/>
          <w:lang w:val="en-US"/>
        </w:rPr>
      </w:pPr>
      <w:r w:rsidRPr="00BE086B">
        <w:rPr>
          <w:sz w:val="28"/>
          <w:szCs w:val="28"/>
          <w:lang w:val="en-US"/>
        </w:rPr>
        <w:t>Rat</w:t>
      </w:r>
      <w:r w:rsidRPr="00AF27FE">
        <w:rPr>
          <w:sz w:val="28"/>
          <w:szCs w:val="28"/>
          <w:lang w:val="en-US"/>
        </w:rPr>
        <w:t xml:space="preserve"> </w:t>
      </w:r>
      <w:r w:rsidRPr="00BE086B">
        <w:rPr>
          <w:sz w:val="28"/>
          <w:szCs w:val="28"/>
          <w:lang w:val="en-US"/>
        </w:rPr>
        <w:t>CRP</w:t>
      </w:r>
      <w:r w:rsidRPr="00AF27FE">
        <w:rPr>
          <w:sz w:val="28"/>
          <w:szCs w:val="28"/>
          <w:lang w:val="en-US"/>
        </w:rPr>
        <w:t xml:space="preserve"> (</w:t>
      </w:r>
      <w:r w:rsidRPr="00BE086B">
        <w:rPr>
          <w:sz w:val="28"/>
          <w:szCs w:val="28"/>
          <w:lang w:val="en-US"/>
        </w:rPr>
        <w:t>C</w:t>
      </w:r>
      <w:r w:rsidRPr="00AF27FE">
        <w:rPr>
          <w:sz w:val="28"/>
          <w:szCs w:val="28"/>
          <w:lang w:val="en-US"/>
        </w:rPr>
        <w:t>-</w:t>
      </w:r>
      <w:r w:rsidRPr="00BE086B">
        <w:rPr>
          <w:sz w:val="28"/>
          <w:szCs w:val="28"/>
          <w:lang w:val="en-US"/>
        </w:rPr>
        <w:t>Reactive</w:t>
      </w:r>
      <w:r w:rsidRPr="00AF27FE">
        <w:rPr>
          <w:sz w:val="28"/>
          <w:szCs w:val="28"/>
          <w:lang w:val="en-US"/>
        </w:rPr>
        <w:t xml:space="preserve"> </w:t>
      </w:r>
      <w:r w:rsidRPr="00BE086B">
        <w:rPr>
          <w:sz w:val="28"/>
          <w:szCs w:val="28"/>
          <w:lang w:val="en-US"/>
        </w:rPr>
        <w:t>Protein</w:t>
      </w:r>
      <w:r w:rsidRPr="00AF27FE">
        <w:rPr>
          <w:sz w:val="28"/>
          <w:szCs w:val="28"/>
          <w:lang w:val="en-US"/>
        </w:rPr>
        <w:t xml:space="preserve">) </w:t>
      </w:r>
      <w:r w:rsidRPr="00BE086B">
        <w:rPr>
          <w:sz w:val="28"/>
          <w:szCs w:val="28"/>
          <w:lang w:val="en-US"/>
        </w:rPr>
        <w:t>ELISA</w:t>
      </w:r>
      <w:r w:rsidRPr="00AF27FE">
        <w:rPr>
          <w:sz w:val="28"/>
          <w:szCs w:val="28"/>
          <w:lang w:val="en-US"/>
        </w:rPr>
        <w:t xml:space="preserve"> </w:t>
      </w:r>
      <w:r w:rsidRPr="00BE086B">
        <w:rPr>
          <w:sz w:val="28"/>
          <w:szCs w:val="28"/>
          <w:lang w:val="en-US"/>
        </w:rPr>
        <w:t>Kit</w:t>
      </w:r>
    </w:p>
    <w:p w:rsidR="004850FF" w:rsidRPr="00AF27FE"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Elabscience</w:t>
      </w:r>
      <w:r w:rsidRPr="00AF27FE">
        <w:rPr>
          <w:sz w:val="28"/>
          <w:szCs w:val="28"/>
          <w:lang w:val="en-US"/>
        </w:rPr>
        <w:t xml:space="preserve"> </w:t>
      </w:r>
      <w:r w:rsidRPr="00BE086B">
        <w:rPr>
          <w:sz w:val="28"/>
          <w:szCs w:val="28"/>
          <w:lang w:val="en-US"/>
        </w:rPr>
        <w:t>Biotechnology</w:t>
      </w:r>
      <w:r w:rsidRPr="00AF27FE">
        <w:rPr>
          <w:sz w:val="28"/>
          <w:szCs w:val="28"/>
          <w:lang w:val="en-US"/>
        </w:rPr>
        <w:t xml:space="preserve"> </w:t>
      </w:r>
      <w:r w:rsidRPr="00BE086B">
        <w:rPr>
          <w:sz w:val="28"/>
          <w:szCs w:val="28"/>
          <w:lang w:val="en-US"/>
        </w:rPr>
        <w:t>Co</w:t>
      </w:r>
      <w:r w:rsidRPr="00AF27FE">
        <w:rPr>
          <w:sz w:val="28"/>
          <w:szCs w:val="28"/>
          <w:lang w:val="en-US"/>
        </w:rPr>
        <w:t xml:space="preserve">., </w:t>
      </w:r>
      <w:r w:rsidRPr="00BE086B">
        <w:rPr>
          <w:sz w:val="28"/>
          <w:szCs w:val="28"/>
          <w:lang w:val="en-US"/>
        </w:rPr>
        <w:t>Ltd</w:t>
      </w:r>
      <w:r w:rsidRPr="00AF27FE">
        <w:rPr>
          <w:sz w:val="28"/>
          <w:szCs w:val="28"/>
          <w:lang w:val="en-US"/>
        </w:rPr>
        <w:t xml:space="preserve">., </w:t>
      </w:r>
      <w:r w:rsidRPr="00BE086B">
        <w:rPr>
          <w:sz w:val="28"/>
          <w:szCs w:val="28"/>
          <w:lang w:val="en-US"/>
        </w:rPr>
        <w:t>Wuhan</w:t>
      </w:r>
      <w:r w:rsidRPr="00AF27FE">
        <w:rPr>
          <w:sz w:val="28"/>
          <w:szCs w:val="28"/>
          <w:lang w:val="en-US"/>
        </w:rPr>
        <w:t xml:space="preserve">, </w:t>
      </w:r>
      <w:r w:rsidRPr="00BE086B">
        <w:rPr>
          <w:sz w:val="28"/>
          <w:szCs w:val="28"/>
          <w:lang w:val="en-US"/>
        </w:rPr>
        <w:t>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E-EL-R0506</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0,1-100 мг/л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6. </w:t>
      </w:r>
      <w:r w:rsidR="004850FF" w:rsidRPr="00BE086B">
        <w:rPr>
          <w:sz w:val="28"/>
          <w:szCs w:val="28"/>
        </w:rPr>
        <w:t>ММП-13 (матриксна металопротеїназа 13)</w:t>
      </w:r>
    </w:p>
    <w:p w:rsidR="004850FF" w:rsidRPr="00AF27FE" w:rsidRDefault="004850FF" w:rsidP="004E6526">
      <w:pPr>
        <w:pStyle w:val="af3"/>
        <w:spacing w:before="0" w:after="0" w:line="360" w:lineRule="auto"/>
        <w:ind w:left="360"/>
        <w:rPr>
          <w:sz w:val="28"/>
          <w:szCs w:val="28"/>
          <w:lang w:val="en-US"/>
        </w:rPr>
      </w:pPr>
      <w:r w:rsidRPr="00BE086B">
        <w:rPr>
          <w:sz w:val="28"/>
          <w:szCs w:val="28"/>
          <w:lang w:val="en-US"/>
        </w:rPr>
        <w:t>Rat</w:t>
      </w:r>
      <w:r w:rsidRPr="00AF27FE">
        <w:rPr>
          <w:sz w:val="28"/>
          <w:szCs w:val="28"/>
          <w:lang w:val="en-US"/>
        </w:rPr>
        <w:t xml:space="preserve"> </w:t>
      </w:r>
      <w:r w:rsidRPr="00BE086B">
        <w:rPr>
          <w:sz w:val="28"/>
          <w:szCs w:val="28"/>
          <w:lang w:val="en-US"/>
        </w:rPr>
        <w:t>MMP</w:t>
      </w:r>
      <w:r w:rsidRPr="00AF27FE">
        <w:rPr>
          <w:sz w:val="28"/>
          <w:szCs w:val="28"/>
          <w:lang w:val="en-US"/>
        </w:rPr>
        <w:t>-13 (</w:t>
      </w:r>
      <w:r w:rsidRPr="00BE086B">
        <w:rPr>
          <w:sz w:val="28"/>
          <w:szCs w:val="28"/>
          <w:lang w:val="en-US"/>
        </w:rPr>
        <w:t>Matrix</w:t>
      </w:r>
      <w:r w:rsidRPr="00AF27FE">
        <w:rPr>
          <w:sz w:val="28"/>
          <w:szCs w:val="28"/>
          <w:lang w:val="en-US"/>
        </w:rPr>
        <w:t xml:space="preserve"> </w:t>
      </w:r>
      <w:r w:rsidRPr="00BE086B">
        <w:rPr>
          <w:sz w:val="28"/>
          <w:szCs w:val="28"/>
          <w:lang w:val="en-US"/>
        </w:rPr>
        <w:t>Metalloproteinase</w:t>
      </w:r>
      <w:r w:rsidRPr="00AF27FE">
        <w:rPr>
          <w:sz w:val="28"/>
          <w:szCs w:val="28"/>
          <w:lang w:val="en-US"/>
        </w:rPr>
        <w:t xml:space="preserve"> 13) </w:t>
      </w:r>
      <w:r w:rsidRPr="00BE086B">
        <w:rPr>
          <w:sz w:val="28"/>
          <w:szCs w:val="28"/>
          <w:lang w:val="en-US"/>
        </w:rPr>
        <w:t>ELISA</w:t>
      </w:r>
      <w:r w:rsidRPr="00AF27FE">
        <w:rPr>
          <w:sz w:val="28"/>
          <w:szCs w:val="28"/>
          <w:lang w:val="en-US"/>
        </w:rPr>
        <w:t xml:space="preserve"> </w:t>
      </w:r>
      <w:r w:rsidRPr="00BE086B">
        <w:rPr>
          <w:sz w:val="28"/>
          <w:szCs w:val="28"/>
          <w:lang w:val="en-US"/>
        </w:rPr>
        <w:t>Kit</w:t>
      </w:r>
    </w:p>
    <w:p w:rsidR="004850FF" w:rsidRPr="00AF27FE"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Elabscience</w:t>
      </w:r>
      <w:r w:rsidRPr="00AF27FE">
        <w:rPr>
          <w:sz w:val="28"/>
          <w:szCs w:val="28"/>
          <w:lang w:val="en-US"/>
        </w:rPr>
        <w:t xml:space="preserve"> </w:t>
      </w:r>
      <w:r w:rsidRPr="00BE086B">
        <w:rPr>
          <w:sz w:val="28"/>
          <w:szCs w:val="28"/>
          <w:lang w:val="en-US"/>
        </w:rPr>
        <w:t>Biotechnology</w:t>
      </w:r>
      <w:r w:rsidRPr="00AF27FE">
        <w:rPr>
          <w:sz w:val="28"/>
          <w:szCs w:val="28"/>
          <w:lang w:val="en-US"/>
        </w:rPr>
        <w:t xml:space="preserve"> </w:t>
      </w:r>
      <w:r w:rsidRPr="00BE086B">
        <w:rPr>
          <w:sz w:val="28"/>
          <w:szCs w:val="28"/>
          <w:lang w:val="en-US"/>
        </w:rPr>
        <w:t>Co</w:t>
      </w:r>
      <w:r w:rsidRPr="00AF27FE">
        <w:rPr>
          <w:sz w:val="28"/>
          <w:szCs w:val="28"/>
          <w:lang w:val="en-US"/>
        </w:rPr>
        <w:t xml:space="preserve">., </w:t>
      </w:r>
      <w:r w:rsidRPr="00BE086B">
        <w:rPr>
          <w:sz w:val="28"/>
          <w:szCs w:val="28"/>
          <w:lang w:val="en-US"/>
        </w:rPr>
        <w:t>Ltd</w:t>
      </w:r>
      <w:r w:rsidRPr="00AF27FE">
        <w:rPr>
          <w:sz w:val="28"/>
          <w:szCs w:val="28"/>
          <w:lang w:val="en-US"/>
        </w:rPr>
        <w:t xml:space="preserve">., </w:t>
      </w:r>
      <w:r w:rsidRPr="00BE086B">
        <w:rPr>
          <w:sz w:val="28"/>
          <w:szCs w:val="28"/>
          <w:lang w:val="en-US"/>
        </w:rPr>
        <w:t>Wuhan</w:t>
      </w:r>
      <w:r w:rsidRPr="00AF27FE">
        <w:rPr>
          <w:sz w:val="28"/>
          <w:szCs w:val="28"/>
          <w:lang w:val="en-US"/>
        </w:rPr>
        <w:t xml:space="preserve">, </w:t>
      </w:r>
      <w:r w:rsidRPr="00BE086B">
        <w:rPr>
          <w:sz w:val="28"/>
          <w:szCs w:val="28"/>
          <w:lang w:val="en-US"/>
        </w:rPr>
        <w:t>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E-EL-R0045</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0,31-100 нг/мл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7. </w:t>
      </w:r>
      <w:r w:rsidR="004850FF" w:rsidRPr="00BE086B">
        <w:rPr>
          <w:sz w:val="28"/>
          <w:szCs w:val="28"/>
        </w:rPr>
        <w:t>ММП-3 (матриксна металопротеїназа 3)</w:t>
      </w:r>
    </w:p>
    <w:p w:rsidR="004850FF" w:rsidRPr="00AF27FE" w:rsidRDefault="004850FF" w:rsidP="004E6526">
      <w:pPr>
        <w:pStyle w:val="af3"/>
        <w:spacing w:before="0" w:after="0" w:line="360" w:lineRule="auto"/>
        <w:ind w:left="360"/>
        <w:rPr>
          <w:sz w:val="28"/>
          <w:szCs w:val="28"/>
          <w:lang w:val="en-US"/>
        </w:rPr>
      </w:pPr>
      <w:r w:rsidRPr="00BE086B">
        <w:rPr>
          <w:sz w:val="28"/>
          <w:szCs w:val="28"/>
          <w:lang w:val="en-US"/>
        </w:rPr>
        <w:t>Rat</w:t>
      </w:r>
      <w:r w:rsidRPr="00AF27FE">
        <w:rPr>
          <w:sz w:val="28"/>
          <w:szCs w:val="28"/>
          <w:lang w:val="en-US"/>
        </w:rPr>
        <w:t xml:space="preserve"> </w:t>
      </w:r>
      <w:r w:rsidRPr="00BE086B">
        <w:rPr>
          <w:sz w:val="28"/>
          <w:szCs w:val="28"/>
          <w:lang w:val="en-US"/>
        </w:rPr>
        <w:t>MMP</w:t>
      </w:r>
      <w:r w:rsidRPr="00AF27FE">
        <w:rPr>
          <w:sz w:val="28"/>
          <w:szCs w:val="28"/>
          <w:lang w:val="en-US"/>
        </w:rPr>
        <w:t>-3 (</w:t>
      </w:r>
      <w:r w:rsidRPr="00BE086B">
        <w:rPr>
          <w:sz w:val="28"/>
          <w:szCs w:val="28"/>
          <w:lang w:val="en-US"/>
        </w:rPr>
        <w:t>Matrix</w:t>
      </w:r>
      <w:r w:rsidRPr="00AF27FE">
        <w:rPr>
          <w:sz w:val="28"/>
          <w:szCs w:val="28"/>
          <w:lang w:val="en-US"/>
        </w:rPr>
        <w:t xml:space="preserve"> </w:t>
      </w:r>
      <w:r w:rsidRPr="00BE086B">
        <w:rPr>
          <w:sz w:val="28"/>
          <w:szCs w:val="28"/>
          <w:lang w:val="en-US"/>
        </w:rPr>
        <w:t>Metalloproteinase</w:t>
      </w:r>
      <w:r w:rsidRPr="00AF27FE">
        <w:rPr>
          <w:sz w:val="28"/>
          <w:szCs w:val="28"/>
          <w:lang w:val="en-US"/>
        </w:rPr>
        <w:t xml:space="preserve"> 3) </w:t>
      </w:r>
      <w:r w:rsidRPr="00BE086B">
        <w:rPr>
          <w:sz w:val="28"/>
          <w:szCs w:val="28"/>
          <w:lang w:val="en-US"/>
        </w:rPr>
        <w:t>ELISA</w:t>
      </w:r>
      <w:r w:rsidRPr="00AF27FE">
        <w:rPr>
          <w:sz w:val="28"/>
          <w:szCs w:val="28"/>
          <w:lang w:val="en-US"/>
        </w:rPr>
        <w:t xml:space="preserve"> </w:t>
      </w:r>
      <w:r w:rsidRPr="00BE086B">
        <w:rPr>
          <w:sz w:val="28"/>
          <w:szCs w:val="28"/>
          <w:lang w:val="en-US"/>
        </w:rPr>
        <w:t>Kit</w:t>
      </w:r>
    </w:p>
    <w:p w:rsidR="004850FF" w:rsidRPr="00AF27FE"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MyBioSource</w:t>
      </w:r>
      <w:r w:rsidRPr="00AF27FE">
        <w:rPr>
          <w:sz w:val="28"/>
          <w:szCs w:val="28"/>
          <w:lang w:val="en-US"/>
        </w:rPr>
        <w:t xml:space="preserve">, </w:t>
      </w:r>
      <w:r w:rsidRPr="00BE086B">
        <w:rPr>
          <w:sz w:val="28"/>
          <w:szCs w:val="28"/>
          <w:lang w:val="en-US"/>
        </w:rPr>
        <w:t>San</w:t>
      </w:r>
      <w:r w:rsidRPr="00AF27FE">
        <w:rPr>
          <w:sz w:val="28"/>
          <w:szCs w:val="28"/>
          <w:lang w:val="en-US"/>
        </w:rPr>
        <w:t xml:space="preserve"> </w:t>
      </w:r>
      <w:r w:rsidRPr="00BE086B">
        <w:rPr>
          <w:sz w:val="28"/>
          <w:szCs w:val="28"/>
          <w:lang w:val="en-US"/>
        </w:rPr>
        <w:t>Diego</w:t>
      </w:r>
      <w:r w:rsidRPr="00AF27FE">
        <w:rPr>
          <w:sz w:val="28"/>
          <w:szCs w:val="28"/>
          <w:lang w:val="en-US"/>
        </w:rPr>
        <w:t xml:space="preserve">, </w:t>
      </w:r>
      <w:r w:rsidRPr="00BE086B">
        <w:rPr>
          <w:sz w:val="28"/>
          <w:szCs w:val="28"/>
          <w:lang w:val="en-US"/>
        </w:rPr>
        <w:t>CA</w:t>
      </w:r>
      <w:r w:rsidRPr="00AF27FE">
        <w:rPr>
          <w:sz w:val="28"/>
          <w:szCs w:val="28"/>
          <w:lang w:val="en-US"/>
        </w:rPr>
        <w:t xml:space="preserve">, </w:t>
      </w:r>
      <w:r w:rsidRPr="00BE086B">
        <w:rPr>
          <w:sz w:val="28"/>
          <w:szCs w:val="28"/>
          <w:lang w:val="en-US"/>
        </w:rPr>
        <w:t>USA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MBS729026</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0,156-100 нг/мл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8. </w:t>
      </w:r>
      <w:r w:rsidR="004850FF" w:rsidRPr="00BE086B">
        <w:rPr>
          <w:sz w:val="28"/>
          <w:szCs w:val="28"/>
        </w:rPr>
        <w:t>ММП-9 (матриксна металопротеїназа 9)</w:t>
      </w:r>
    </w:p>
    <w:p w:rsidR="004850FF" w:rsidRPr="00BE086B" w:rsidRDefault="004850FF" w:rsidP="004E6526">
      <w:pPr>
        <w:pStyle w:val="af3"/>
        <w:spacing w:before="0" w:after="0" w:line="360" w:lineRule="auto"/>
        <w:ind w:left="360"/>
        <w:rPr>
          <w:sz w:val="28"/>
          <w:szCs w:val="28"/>
        </w:rPr>
      </w:pPr>
      <w:r w:rsidRPr="00BE086B">
        <w:rPr>
          <w:sz w:val="28"/>
          <w:szCs w:val="28"/>
          <w:lang w:val="en-US"/>
        </w:rPr>
        <w:t>Rat</w:t>
      </w:r>
      <w:r w:rsidRPr="00BE086B">
        <w:rPr>
          <w:sz w:val="28"/>
          <w:szCs w:val="28"/>
        </w:rPr>
        <w:t xml:space="preserve"> </w:t>
      </w:r>
      <w:r w:rsidRPr="00BE086B">
        <w:rPr>
          <w:sz w:val="28"/>
          <w:szCs w:val="28"/>
          <w:lang w:val="en-US"/>
        </w:rPr>
        <w:t>MMP</w:t>
      </w:r>
      <w:r w:rsidRPr="00BE086B">
        <w:rPr>
          <w:sz w:val="28"/>
          <w:szCs w:val="28"/>
        </w:rPr>
        <w:t>-9 (</w:t>
      </w:r>
      <w:r w:rsidRPr="00BE086B">
        <w:rPr>
          <w:sz w:val="28"/>
          <w:szCs w:val="28"/>
          <w:lang w:val="en-US"/>
        </w:rPr>
        <w:t>Matrix</w:t>
      </w:r>
      <w:r w:rsidRPr="00BE086B">
        <w:rPr>
          <w:sz w:val="28"/>
          <w:szCs w:val="28"/>
        </w:rPr>
        <w:t xml:space="preserve"> </w:t>
      </w:r>
      <w:r w:rsidRPr="00BE086B">
        <w:rPr>
          <w:sz w:val="28"/>
          <w:szCs w:val="28"/>
          <w:lang w:val="en-US"/>
        </w:rPr>
        <w:t>Metalloproteinase</w:t>
      </w:r>
      <w:r w:rsidRPr="00BE086B">
        <w:rPr>
          <w:sz w:val="28"/>
          <w:szCs w:val="28"/>
        </w:rPr>
        <w:t xml:space="preserve"> 9) </w:t>
      </w:r>
      <w:r w:rsidRPr="00BE086B">
        <w:rPr>
          <w:sz w:val="28"/>
          <w:szCs w:val="28"/>
          <w:lang w:val="en-US"/>
        </w:rPr>
        <w:t>ELISA</w:t>
      </w:r>
      <w:r w:rsidRPr="00BE086B">
        <w:rPr>
          <w:sz w:val="28"/>
          <w:szCs w:val="28"/>
        </w:rPr>
        <w:t xml:space="preserve"> </w:t>
      </w:r>
      <w:r w:rsidRPr="00BE086B">
        <w:rPr>
          <w:sz w:val="28"/>
          <w:szCs w:val="28"/>
          <w:lang w:val="en-US"/>
        </w:rPr>
        <w:t>Kit</w:t>
      </w:r>
    </w:p>
    <w:p w:rsidR="004850FF" w:rsidRPr="00AF27FE"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MyBioSource</w:t>
      </w:r>
      <w:r w:rsidRPr="00AF27FE">
        <w:rPr>
          <w:sz w:val="28"/>
          <w:szCs w:val="28"/>
          <w:lang w:val="en-US"/>
        </w:rPr>
        <w:t xml:space="preserve">, </w:t>
      </w:r>
      <w:r w:rsidRPr="00BE086B">
        <w:rPr>
          <w:sz w:val="28"/>
          <w:szCs w:val="28"/>
          <w:lang w:val="en-US"/>
        </w:rPr>
        <w:t>San</w:t>
      </w:r>
      <w:r w:rsidRPr="00AF27FE">
        <w:rPr>
          <w:sz w:val="28"/>
          <w:szCs w:val="28"/>
          <w:lang w:val="en-US"/>
        </w:rPr>
        <w:t xml:space="preserve"> </w:t>
      </w:r>
      <w:r w:rsidRPr="00BE086B">
        <w:rPr>
          <w:sz w:val="28"/>
          <w:szCs w:val="28"/>
          <w:lang w:val="en-US"/>
        </w:rPr>
        <w:t>Diego</w:t>
      </w:r>
      <w:r w:rsidRPr="00AF27FE">
        <w:rPr>
          <w:sz w:val="28"/>
          <w:szCs w:val="28"/>
          <w:lang w:val="en-US"/>
        </w:rPr>
        <w:t xml:space="preserve">, </w:t>
      </w:r>
      <w:r w:rsidRPr="00BE086B">
        <w:rPr>
          <w:sz w:val="28"/>
          <w:szCs w:val="28"/>
          <w:lang w:val="en-US"/>
        </w:rPr>
        <w:t>CA</w:t>
      </w:r>
      <w:r w:rsidRPr="00AF27FE">
        <w:rPr>
          <w:sz w:val="28"/>
          <w:szCs w:val="28"/>
          <w:lang w:val="en-US"/>
        </w:rPr>
        <w:t xml:space="preserve">, </w:t>
      </w:r>
      <w:r w:rsidRPr="00BE086B">
        <w:rPr>
          <w:sz w:val="28"/>
          <w:szCs w:val="28"/>
          <w:lang w:val="en-US"/>
        </w:rPr>
        <w:t>USA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MBS722532</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0,16-100 нг/мл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9. </w:t>
      </w:r>
      <w:r w:rsidR="004850FF" w:rsidRPr="00BE086B">
        <w:rPr>
          <w:sz w:val="28"/>
          <w:szCs w:val="28"/>
        </w:rPr>
        <w:t>CTX-I (зшитий С-телопептид колагену I типу)</w:t>
      </w:r>
    </w:p>
    <w:p w:rsidR="004850FF" w:rsidRPr="00BE086B" w:rsidRDefault="004850FF" w:rsidP="004E6526">
      <w:pPr>
        <w:pStyle w:val="af3"/>
        <w:spacing w:before="0" w:after="0" w:line="360" w:lineRule="auto"/>
        <w:ind w:left="360"/>
        <w:rPr>
          <w:sz w:val="28"/>
          <w:szCs w:val="28"/>
          <w:lang w:val="en-US"/>
        </w:rPr>
      </w:pPr>
      <w:r w:rsidRPr="00BE086B">
        <w:rPr>
          <w:sz w:val="28"/>
          <w:szCs w:val="28"/>
          <w:lang w:val="en-US"/>
        </w:rPr>
        <w:t>Rat CTX-I (Cross Linked C-telopeptide of Type I Collagen) ELISA Kit</w:t>
      </w:r>
    </w:p>
    <w:p w:rsidR="004850FF" w:rsidRPr="00BE086B" w:rsidRDefault="004850FF" w:rsidP="004E6526">
      <w:pPr>
        <w:pStyle w:val="af3"/>
        <w:spacing w:before="0" w:after="0" w:line="360" w:lineRule="auto"/>
        <w:ind w:left="360"/>
        <w:rPr>
          <w:sz w:val="28"/>
          <w:szCs w:val="28"/>
          <w:lang w:val="en-US"/>
        </w:rPr>
      </w:pPr>
      <w:r w:rsidRPr="00BE086B">
        <w:rPr>
          <w:sz w:val="28"/>
          <w:szCs w:val="28"/>
        </w:rPr>
        <w:t>Виробник</w:t>
      </w:r>
      <w:r w:rsidRPr="00BE086B">
        <w:rPr>
          <w:sz w:val="28"/>
          <w:szCs w:val="28"/>
          <w:lang w:val="en-US"/>
        </w:rPr>
        <w:t>: Elabscience Biotechnology Co., Ltd., Wuhan, 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E-EL-R1456</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123.5-10000 пг/мл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10. </w:t>
      </w:r>
      <w:r w:rsidR="004850FF" w:rsidRPr="00BE086B">
        <w:rPr>
          <w:sz w:val="28"/>
          <w:szCs w:val="28"/>
        </w:rPr>
        <w:t>CTX-II (зшитий С-телопептид колагену II типу)</w:t>
      </w:r>
    </w:p>
    <w:p w:rsidR="004850FF" w:rsidRPr="00AF27FE" w:rsidRDefault="004850FF" w:rsidP="004E6526">
      <w:pPr>
        <w:pStyle w:val="af3"/>
        <w:spacing w:before="0" w:after="0" w:line="360" w:lineRule="auto"/>
        <w:ind w:left="360"/>
        <w:rPr>
          <w:sz w:val="28"/>
          <w:szCs w:val="28"/>
          <w:lang w:val="en-US"/>
        </w:rPr>
      </w:pPr>
      <w:r w:rsidRPr="00BE086B">
        <w:rPr>
          <w:sz w:val="28"/>
          <w:szCs w:val="28"/>
          <w:lang w:val="en-US"/>
        </w:rPr>
        <w:t>Rat</w:t>
      </w:r>
      <w:r w:rsidRPr="00AF27FE">
        <w:rPr>
          <w:sz w:val="28"/>
          <w:szCs w:val="28"/>
          <w:lang w:val="en-US"/>
        </w:rPr>
        <w:t xml:space="preserve"> </w:t>
      </w:r>
      <w:r w:rsidRPr="00BE086B">
        <w:rPr>
          <w:sz w:val="28"/>
          <w:szCs w:val="28"/>
          <w:lang w:val="en-US"/>
        </w:rPr>
        <w:t>CTX</w:t>
      </w:r>
      <w:r w:rsidRPr="00AF27FE">
        <w:rPr>
          <w:sz w:val="28"/>
          <w:szCs w:val="28"/>
          <w:lang w:val="en-US"/>
        </w:rPr>
        <w:t>-</w:t>
      </w:r>
      <w:r w:rsidRPr="00BE086B">
        <w:rPr>
          <w:sz w:val="28"/>
          <w:szCs w:val="28"/>
          <w:lang w:val="en-US"/>
        </w:rPr>
        <w:t>II</w:t>
      </w:r>
      <w:r w:rsidRPr="00AF27FE">
        <w:rPr>
          <w:sz w:val="28"/>
          <w:szCs w:val="28"/>
          <w:lang w:val="en-US"/>
        </w:rPr>
        <w:t xml:space="preserve"> (</w:t>
      </w:r>
      <w:r w:rsidRPr="00BE086B">
        <w:rPr>
          <w:sz w:val="28"/>
          <w:szCs w:val="28"/>
          <w:lang w:val="en-US"/>
        </w:rPr>
        <w:t>Cross</w:t>
      </w:r>
      <w:r w:rsidRPr="00AF27FE">
        <w:rPr>
          <w:sz w:val="28"/>
          <w:szCs w:val="28"/>
          <w:lang w:val="en-US"/>
        </w:rPr>
        <w:t xml:space="preserve"> </w:t>
      </w:r>
      <w:r w:rsidRPr="00BE086B">
        <w:rPr>
          <w:sz w:val="28"/>
          <w:szCs w:val="28"/>
          <w:lang w:val="en-US"/>
        </w:rPr>
        <w:t>Linked</w:t>
      </w:r>
      <w:r w:rsidRPr="00AF27FE">
        <w:rPr>
          <w:sz w:val="28"/>
          <w:szCs w:val="28"/>
          <w:lang w:val="en-US"/>
        </w:rPr>
        <w:t xml:space="preserve"> </w:t>
      </w:r>
      <w:r w:rsidRPr="00BE086B">
        <w:rPr>
          <w:sz w:val="28"/>
          <w:szCs w:val="28"/>
          <w:lang w:val="en-US"/>
        </w:rPr>
        <w:t>C</w:t>
      </w:r>
      <w:r w:rsidRPr="00AF27FE">
        <w:rPr>
          <w:sz w:val="28"/>
          <w:szCs w:val="28"/>
          <w:lang w:val="en-US"/>
        </w:rPr>
        <w:t>-</w:t>
      </w:r>
      <w:r w:rsidRPr="00BE086B">
        <w:rPr>
          <w:sz w:val="28"/>
          <w:szCs w:val="28"/>
          <w:lang w:val="en-US"/>
        </w:rPr>
        <w:t>telopeptide</w:t>
      </w:r>
      <w:r w:rsidRPr="00AF27FE">
        <w:rPr>
          <w:sz w:val="28"/>
          <w:szCs w:val="28"/>
          <w:lang w:val="en-US"/>
        </w:rPr>
        <w:t xml:space="preserve"> </w:t>
      </w:r>
      <w:r w:rsidRPr="00BE086B">
        <w:rPr>
          <w:sz w:val="28"/>
          <w:szCs w:val="28"/>
          <w:lang w:val="en-US"/>
        </w:rPr>
        <w:t>of</w:t>
      </w:r>
      <w:r w:rsidRPr="00AF27FE">
        <w:rPr>
          <w:sz w:val="28"/>
          <w:szCs w:val="28"/>
          <w:lang w:val="en-US"/>
        </w:rPr>
        <w:t xml:space="preserve"> </w:t>
      </w:r>
      <w:r w:rsidRPr="00BE086B">
        <w:rPr>
          <w:sz w:val="28"/>
          <w:szCs w:val="28"/>
          <w:lang w:val="en-US"/>
        </w:rPr>
        <w:t>Type</w:t>
      </w:r>
      <w:r w:rsidRPr="00AF27FE">
        <w:rPr>
          <w:sz w:val="28"/>
          <w:szCs w:val="28"/>
          <w:lang w:val="en-US"/>
        </w:rPr>
        <w:t xml:space="preserve"> </w:t>
      </w:r>
      <w:r w:rsidRPr="00BE086B">
        <w:rPr>
          <w:sz w:val="28"/>
          <w:szCs w:val="28"/>
          <w:lang w:val="en-US"/>
        </w:rPr>
        <w:t>II</w:t>
      </w:r>
      <w:r w:rsidRPr="00AF27FE">
        <w:rPr>
          <w:sz w:val="28"/>
          <w:szCs w:val="28"/>
          <w:lang w:val="en-US"/>
        </w:rPr>
        <w:t xml:space="preserve"> </w:t>
      </w:r>
      <w:r w:rsidRPr="00BE086B">
        <w:rPr>
          <w:sz w:val="28"/>
          <w:szCs w:val="28"/>
          <w:lang w:val="en-US"/>
        </w:rPr>
        <w:t>Collagen</w:t>
      </w:r>
      <w:r w:rsidRPr="00AF27FE">
        <w:rPr>
          <w:sz w:val="28"/>
          <w:szCs w:val="28"/>
          <w:lang w:val="en-US"/>
        </w:rPr>
        <w:t xml:space="preserve">) </w:t>
      </w:r>
      <w:r w:rsidRPr="00BE086B">
        <w:rPr>
          <w:sz w:val="28"/>
          <w:szCs w:val="28"/>
          <w:lang w:val="en-US"/>
        </w:rPr>
        <w:t>ELISA</w:t>
      </w:r>
      <w:r w:rsidRPr="00AF27FE">
        <w:rPr>
          <w:sz w:val="28"/>
          <w:szCs w:val="28"/>
          <w:lang w:val="en-US"/>
        </w:rPr>
        <w:t xml:space="preserve"> </w:t>
      </w:r>
      <w:r w:rsidRPr="00BE086B">
        <w:rPr>
          <w:sz w:val="28"/>
          <w:szCs w:val="28"/>
          <w:lang w:val="en-US"/>
        </w:rPr>
        <w:t>Kit</w:t>
      </w:r>
    </w:p>
    <w:p w:rsidR="004850FF" w:rsidRPr="00BE086B"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Elabscience</w:t>
      </w:r>
      <w:r w:rsidRPr="00AF27FE">
        <w:rPr>
          <w:sz w:val="28"/>
          <w:szCs w:val="28"/>
          <w:lang w:val="en-US"/>
        </w:rPr>
        <w:t xml:space="preserve"> </w:t>
      </w:r>
      <w:r w:rsidRPr="00BE086B">
        <w:rPr>
          <w:sz w:val="28"/>
          <w:szCs w:val="28"/>
          <w:lang w:val="en-US"/>
        </w:rPr>
        <w:t>Biotechnology</w:t>
      </w:r>
      <w:r w:rsidRPr="00AF27FE">
        <w:rPr>
          <w:sz w:val="28"/>
          <w:szCs w:val="28"/>
          <w:lang w:val="en-US"/>
        </w:rPr>
        <w:t xml:space="preserve"> </w:t>
      </w:r>
      <w:r w:rsidRPr="00BE086B">
        <w:rPr>
          <w:sz w:val="28"/>
          <w:szCs w:val="28"/>
          <w:lang w:val="en-US"/>
        </w:rPr>
        <w:t>Co</w:t>
      </w:r>
      <w:r w:rsidRPr="00AF27FE">
        <w:rPr>
          <w:sz w:val="28"/>
          <w:szCs w:val="28"/>
          <w:lang w:val="en-US"/>
        </w:rPr>
        <w:t xml:space="preserve">., </w:t>
      </w:r>
      <w:r w:rsidRPr="00BE086B">
        <w:rPr>
          <w:sz w:val="28"/>
          <w:szCs w:val="28"/>
          <w:lang w:val="en-US"/>
        </w:rPr>
        <w:t>Ltd</w:t>
      </w:r>
      <w:r w:rsidRPr="00AF27FE">
        <w:rPr>
          <w:sz w:val="28"/>
          <w:szCs w:val="28"/>
          <w:lang w:val="en-US"/>
        </w:rPr>
        <w:t xml:space="preserve">., </w:t>
      </w:r>
      <w:r w:rsidRPr="00BE086B">
        <w:rPr>
          <w:sz w:val="28"/>
          <w:szCs w:val="28"/>
          <w:lang w:val="en-US"/>
        </w:rPr>
        <w:t>Wuhan</w:t>
      </w:r>
      <w:r w:rsidRPr="00AF27FE">
        <w:rPr>
          <w:sz w:val="28"/>
          <w:szCs w:val="28"/>
          <w:lang w:val="en-US"/>
        </w:rPr>
        <w:t xml:space="preserve">, </w:t>
      </w:r>
      <w:r w:rsidRPr="00BE086B">
        <w:rPr>
          <w:sz w:val="28"/>
          <w:szCs w:val="28"/>
          <w:lang w:val="en-US"/>
        </w:rPr>
        <w:t>China</w:t>
      </w:r>
    </w:p>
    <w:p w:rsidR="004850FF" w:rsidRPr="00BE086B" w:rsidRDefault="004850FF" w:rsidP="004E6526">
      <w:pPr>
        <w:pStyle w:val="af3"/>
        <w:spacing w:before="0" w:after="0" w:line="360" w:lineRule="auto"/>
        <w:ind w:left="360"/>
        <w:rPr>
          <w:sz w:val="28"/>
          <w:szCs w:val="28"/>
        </w:rPr>
      </w:pPr>
      <w:r w:rsidRPr="00BE086B">
        <w:rPr>
          <w:sz w:val="28"/>
          <w:szCs w:val="28"/>
        </w:rPr>
        <w:lastRenderedPageBreak/>
        <w:t>Номер за каталогом: E-EL-R2554</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35,2-1000 пг/мл</w:t>
      </w:r>
    </w:p>
    <w:p w:rsidR="004850FF" w:rsidRPr="00BE086B" w:rsidRDefault="00751AFF" w:rsidP="004E6526">
      <w:pPr>
        <w:pStyle w:val="af3"/>
        <w:suppressAutoHyphens w:val="0"/>
        <w:spacing w:before="0" w:after="0" w:line="360" w:lineRule="auto"/>
        <w:ind w:left="360"/>
        <w:rPr>
          <w:sz w:val="28"/>
          <w:szCs w:val="28"/>
        </w:rPr>
      </w:pPr>
      <w:r w:rsidRPr="00BE086B">
        <w:rPr>
          <w:sz w:val="28"/>
          <w:szCs w:val="28"/>
          <w:lang w:val="uk-UA"/>
        </w:rPr>
        <w:t xml:space="preserve">11. </w:t>
      </w:r>
      <w:r w:rsidR="004850FF" w:rsidRPr="00BE086B">
        <w:rPr>
          <w:sz w:val="28"/>
          <w:szCs w:val="28"/>
        </w:rPr>
        <w:t>КЛФ (кісткова лужна фосфатаза)</w:t>
      </w:r>
    </w:p>
    <w:p w:rsidR="004850FF" w:rsidRPr="00AF27FE" w:rsidRDefault="004850FF" w:rsidP="004E6526">
      <w:pPr>
        <w:pStyle w:val="af3"/>
        <w:spacing w:before="0" w:after="0" w:line="360" w:lineRule="auto"/>
        <w:ind w:left="360"/>
        <w:rPr>
          <w:sz w:val="28"/>
          <w:szCs w:val="28"/>
          <w:lang w:val="en-US"/>
        </w:rPr>
      </w:pPr>
      <w:r w:rsidRPr="00BE086B">
        <w:rPr>
          <w:sz w:val="28"/>
          <w:szCs w:val="28"/>
          <w:lang w:val="en-US"/>
        </w:rPr>
        <w:t>Rat</w:t>
      </w:r>
      <w:r w:rsidRPr="00AF27FE">
        <w:rPr>
          <w:sz w:val="28"/>
          <w:szCs w:val="28"/>
          <w:lang w:val="en-US"/>
        </w:rPr>
        <w:t xml:space="preserve"> </w:t>
      </w:r>
      <w:r w:rsidRPr="00BE086B">
        <w:rPr>
          <w:sz w:val="28"/>
          <w:szCs w:val="28"/>
          <w:lang w:val="en-US"/>
        </w:rPr>
        <w:t>ALPL</w:t>
      </w:r>
      <w:r w:rsidRPr="00AF27FE">
        <w:rPr>
          <w:sz w:val="28"/>
          <w:szCs w:val="28"/>
          <w:lang w:val="en-US"/>
        </w:rPr>
        <w:t xml:space="preserve"> (</w:t>
      </w:r>
      <w:r w:rsidRPr="00BE086B">
        <w:rPr>
          <w:sz w:val="28"/>
          <w:szCs w:val="28"/>
          <w:lang w:val="en-US"/>
        </w:rPr>
        <w:t>Alkaline</w:t>
      </w:r>
      <w:r w:rsidRPr="00AF27FE">
        <w:rPr>
          <w:sz w:val="28"/>
          <w:szCs w:val="28"/>
          <w:lang w:val="en-US"/>
        </w:rPr>
        <w:t xml:space="preserve"> </w:t>
      </w:r>
      <w:r w:rsidRPr="00BE086B">
        <w:rPr>
          <w:sz w:val="28"/>
          <w:szCs w:val="28"/>
          <w:lang w:val="en-US"/>
        </w:rPr>
        <w:t>Phosphatase</w:t>
      </w:r>
      <w:r w:rsidRPr="00AF27FE">
        <w:rPr>
          <w:sz w:val="28"/>
          <w:szCs w:val="28"/>
          <w:lang w:val="en-US"/>
        </w:rPr>
        <w:t xml:space="preserve">, </w:t>
      </w:r>
      <w:r w:rsidRPr="00BE086B">
        <w:rPr>
          <w:sz w:val="28"/>
          <w:szCs w:val="28"/>
          <w:lang w:val="en-US"/>
        </w:rPr>
        <w:t>Liver</w:t>
      </w:r>
      <w:r w:rsidRPr="00AF27FE">
        <w:rPr>
          <w:sz w:val="28"/>
          <w:szCs w:val="28"/>
          <w:lang w:val="en-US"/>
        </w:rPr>
        <w:t>/</w:t>
      </w:r>
      <w:r w:rsidRPr="00BE086B">
        <w:rPr>
          <w:sz w:val="28"/>
          <w:szCs w:val="28"/>
          <w:lang w:val="en-US"/>
        </w:rPr>
        <w:t>Bone</w:t>
      </w:r>
      <w:r w:rsidRPr="00AF27FE">
        <w:rPr>
          <w:sz w:val="28"/>
          <w:szCs w:val="28"/>
          <w:lang w:val="en-US"/>
        </w:rPr>
        <w:t>/</w:t>
      </w:r>
      <w:r w:rsidRPr="00BE086B">
        <w:rPr>
          <w:sz w:val="28"/>
          <w:szCs w:val="28"/>
          <w:lang w:val="en-US"/>
        </w:rPr>
        <w:t>Kidney</w:t>
      </w:r>
      <w:r w:rsidRPr="00AF27FE">
        <w:rPr>
          <w:sz w:val="28"/>
          <w:szCs w:val="28"/>
          <w:lang w:val="en-US"/>
        </w:rPr>
        <w:t xml:space="preserve">) </w:t>
      </w:r>
      <w:r w:rsidRPr="00BE086B">
        <w:rPr>
          <w:sz w:val="28"/>
          <w:szCs w:val="28"/>
          <w:lang w:val="en-US"/>
        </w:rPr>
        <w:t>ELISA</w:t>
      </w:r>
      <w:r w:rsidRPr="00AF27FE">
        <w:rPr>
          <w:sz w:val="28"/>
          <w:szCs w:val="28"/>
          <w:lang w:val="en-US"/>
        </w:rPr>
        <w:t xml:space="preserve"> </w:t>
      </w:r>
      <w:r w:rsidRPr="00BE086B">
        <w:rPr>
          <w:sz w:val="28"/>
          <w:szCs w:val="28"/>
          <w:lang w:val="en-US"/>
        </w:rPr>
        <w:t>Kit</w:t>
      </w:r>
    </w:p>
    <w:p w:rsidR="004850FF" w:rsidRPr="00AF27FE" w:rsidRDefault="004850FF" w:rsidP="004E6526">
      <w:pPr>
        <w:pStyle w:val="af3"/>
        <w:spacing w:before="0" w:after="0" w:line="360" w:lineRule="auto"/>
        <w:ind w:left="360"/>
        <w:rPr>
          <w:sz w:val="28"/>
          <w:szCs w:val="28"/>
          <w:lang w:val="en-US"/>
        </w:rPr>
      </w:pPr>
      <w:r w:rsidRPr="00BE086B">
        <w:rPr>
          <w:sz w:val="28"/>
          <w:szCs w:val="28"/>
        </w:rPr>
        <w:t>Виробник</w:t>
      </w:r>
      <w:r w:rsidRPr="00AF27FE">
        <w:rPr>
          <w:sz w:val="28"/>
          <w:szCs w:val="28"/>
          <w:lang w:val="en-US"/>
        </w:rPr>
        <w:t xml:space="preserve">: </w:t>
      </w:r>
      <w:r w:rsidRPr="00BE086B">
        <w:rPr>
          <w:sz w:val="28"/>
          <w:szCs w:val="28"/>
          <w:lang w:val="en-US"/>
        </w:rPr>
        <w:t>Elabscience</w:t>
      </w:r>
      <w:r w:rsidRPr="00AF27FE">
        <w:rPr>
          <w:sz w:val="28"/>
          <w:szCs w:val="28"/>
          <w:lang w:val="en-US"/>
        </w:rPr>
        <w:t xml:space="preserve"> </w:t>
      </w:r>
      <w:r w:rsidRPr="00BE086B">
        <w:rPr>
          <w:sz w:val="28"/>
          <w:szCs w:val="28"/>
          <w:lang w:val="en-US"/>
        </w:rPr>
        <w:t>Biotechnology</w:t>
      </w:r>
      <w:r w:rsidRPr="00AF27FE">
        <w:rPr>
          <w:sz w:val="28"/>
          <w:szCs w:val="28"/>
          <w:lang w:val="en-US"/>
        </w:rPr>
        <w:t xml:space="preserve"> </w:t>
      </w:r>
      <w:r w:rsidRPr="00BE086B">
        <w:rPr>
          <w:sz w:val="28"/>
          <w:szCs w:val="28"/>
          <w:lang w:val="en-US"/>
        </w:rPr>
        <w:t>Co</w:t>
      </w:r>
      <w:r w:rsidRPr="00AF27FE">
        <w:rPr>
          <w:sz w:val="28"/>
          <w:szCs w:val="28"/>
          <w:lang w:val="en-US"/>
        </w:rPr>
        <w:t xml:space="preserve">., </w:t>
      </w:r>
      <w:r w:rsidRPr="00BE086B">
        <w:rPr>
          <w:sz w:val="28"/>
          <w:szCs w:val="28"/>
          <w:lang w:val="en-US"/>
        </w:rPr>
        <w:t>Ltd</w:t>
      </w:r>
      <w:r w:rsidRPr="00AF27FE">
        <w:rPr>
          <w:sz w:val="28"/>
          <w:szCs w:val="28"/>
          <w:lang w:val="en-US"/>
        </w:rPr>
        <w:t xml:space="preserve">., </w:t>
      </w:r>
      <w:r w:rsidRPr="00BE086B">
        <w:rPr>
          <w:sz w:val="28"/>
          <w:szCs w:val="28"/>
          <w:lang w:val="en-US"/>
        </w:rPr>
        <w:t>Wuhan</w:t>
      </w:r>
      <w:r w:rsidRPr="00AF27FE">
        <w:rPr>
          <w:sz w:val="28"/>
          <w:szCs w:val="28"/>
          <w:lang w:val="en-US"/>
        </w:rPr>
        <w:t xml:space="preserve">, </w:t>
      </w:r>
      <w:r w:rsidRPr="00BE086B">
        <w:rPr>
          <w:sz w:val="28"/>
          <w:szCs w:val="28"/>
          <w:lang w:val="en-US"/>
        </w:rPr>
        <w:t>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E-EL-R1109</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0,63-100 нг/мл</w:t>
      </w:r>
    </w:p>
    <w:p w:rsidR="004850FF" w:rsidRPr="00BE086B" w:rsidRDefault="004850FF" w:rsidP="004E6526">
      <w:pPr>
        <w:pStyle w:val="af3"/>
        <w:spacing w:before="0" w:after="0" w:line="360" w:lineRule="auto"/>
        <w:ind w:left="360"/>
        <w:rPr>
          <w:sz w:val="28"/>
          <w:szCs w:val="28"/>
        </w:rPr>
      </w:pPr>
      <w:r w:rsidRPr="00BE086B">
        <w:rPr>
          <w:sz w:val="28"/>
          <w:szCs w:val="28"/>
        </w:rPr>
        <w:t>12. Т3 (вільний трийодтиронин)</w:t>
      </w:r>
    </w:p>
    <w:p w:rsidR="004850FF" w:rsidRPr="00BE086B" w:rsidRDefault="004850FF" w:rsidP="004E6526">
      <w:pPr>
        <w:pStyle w:val="af3"/>
        <w:spacing w:before="0" w:after="0" w:line="360" w:lineRule="auto"/>
        <w:ind w:left="360"/>
        <w:rPr>
          <w:sz w:val="28"/>
          <w:szCs w:val="28"/>
          <w:lang w:val="en-US"/>
        </w:rPr>
      </w:pPr>
      <w:r w:rsidRPr="00BE086B">
        <w:rPr>
          <w:sz w:val="28"/>
          <w:szCs w:val="28"/>
          <w:lang w:val="en-US"/>
        </w:rPr>
        <w:t>fT3 (Free Triiodothyronine) ELISA Kit</w:t>
      </w:r>
    </w:p>
    <w:p w:rsidR="004850FF" w:rsidRPr="00BE086B" w:rsidRDefault="004850FF" w:rsidP="004E6526">
      <w:pPr>
        <w:pStyle w:val="af3"/>
        <w:spacing w:before="0" w:after="0" w:line="360" w:lineRule="auto"/>
        <w:ind w:left="360"/>
        <w:rPr>
          <w:sz w:val="28"/>
          <w:szCs w:val="28"/>
          <w:lang w:val="en-US"/>
        </w:rPr>
      </w:pPr>
      <w:r w:rsidRPr="00BE086B">
        <w:rPr>
          <w:sz w:val="28"/>
          <w:szCs w:val="28"/>
        </w:rPr>
        <w:t>Виробник</w:t>
      </w:r>
      <w:r w:rsidRPr="00BE086B">
        <w:rPr>
          <w:sz w:val="28"/>
          <w:szCs w:val="28"/>
          <w:lang w:val="en-US"/>
        </w:rPr>
        <w:t>: Elabscience Biotechnology Co., Ltd., Wuhan, China</w:t>
      </w:r>
    </w:p>
    <w:p w:rsidR="004850FF" w:rsidRPr="00BE086B" w:rsidRDefault="004850FF" w:rsidP="004E6526">
      <w:pPr>
        <w:spacing w:line="360" w:lineRule="auto"/>
        <w:ind w:left="360"/>
        <w:rPr>
          <w:sz w:val="28"/>
          <w:szCs w:val="28"/>
        </w:rPr>
      </w:pPr>
      <w:r w:rsidRPr="00BE086B">
        <w:rPr>
          <w:sz w:val="28"/>
          <w:szCs w:val="28"/>
        </w:rPr>
        <w:t>Номер за каталогом:</w:t>
      </w:r>
      <w:r w:rsidR="00DF24B4" w:rsidRPr="00BE086B">
        <w:rPr>
          <w:sz w:val="28"/>
          <w:szCs w:val="28"/>
          <w:lang w:val="uk-UA"/>
        </w:rPr>
        <w:t xml:space="preserve"> </w:t>
      </w:r>
      <w:r w:rsidRPr="00BE086B">
        <w:rPr>
          <w:sz w:val="28"/>
          <w:szCs w:val="28"/>
        </w:rPr>
        <w:t>E-EL-0079</w:t>
      </w:r>
    </w:p>
    <w:p w:rsidR="004850FF" w:rsidRPr="00BE086B" w:rsidRDefault="004850FF" w:rsidP="004E6526">
      <w:pPr>
        <w:spacing w:line="360" w:lineRule="auto"/>
        <w:ind w:left="360"/>
        <w:rPr>
          <w:sz w:val="28"/>
          <w:szCs w:val="28"/>
        </w:rPr>
      </w:pPr>
      <w:r w:rsidRPr="00BE086B">
        <w:rPr>
          <w:sz w:val="28"/>
          <w:szCs w:val="28"/>
        </w:rPr>
        <w:t>Діапазон виявлення: 1.56-100 пг/мл</w:t>
      </w:r>
    </w:p>
    <w:p w:rsidR="004850FF" w:rsidRPr="00BE086B" w:rsidRDefault="004850FF" w:rsidP="004E6526">
      <w:pPr>
        <w:spacing w:line="360" w:lineRule="auto"/>
        <w:ind w:left="360"/>
        <w:rPr>
          <w:sz w:val="28"/>
          <w:szCs w:val="28"/>
        </w:rPr>
      </w:pPr>
      <w:r w:rsidRPr="00BE086B">
        <w:rPr>
          <w:sz w:val="28"/>
          <w:szCs w:val="28"/>
        </w:rPr>
        <w:t>13. Т4 (вільний тироксин)</w:t>
      </w:r>
    </w:p>
    <w:p w:rsidR="004850FF" w:rsidRPr="00BE086B" w:rsidRDefault="004850FF" w:rsidP="004E6526">
      <w:pPr>
        <w:spacing w:line="360" w:lineRule="auto"/>
        <w:ind w:left="360"/>
        <w:rPr>
          <w:sz w:val="28"/>
          <w:szCs w:val="28"/>
          <w:lang w:val="en-US"/>
        </w:rPr>
      </w:pPr>
      <w:r w:rsidRPr="00BE086B">
        <w:rPr>
          <w:sz w:val="28"/>
          <w:szCs w:val="28"/>
          <w:lang w:val="en-US"/>
        </w:rPr>
        <w:t>fT4 (Free Thyroxine) ELISA Kit</w:t>
      </w:r>
    </w:p>
    <w:p w:rsidR="004850FF" w:rsidRPr="00BE086B" w:rsidRDefault="004850FF" w:rsidP="004E6526">
      <w:pPr>
        <w:pStyle w:val="af3"/>
        <w:spacing w:before="0" w:after="0" w:line="360" w:lineRule="auto"/>
        <w:ind w:left="360"/>
        <w:rPr>
          <w:sz w:val="28"/>
          <w:szCs w:val="28"/>
          <w:lang w:val="en-US"/>
        </w:rPr>
      </w:pPr>
      <w:r w:rsidRPr="00BE086B">
        <w:rPr>
          <w:sz w:val="28"/>
          <w:szCs w:val="28"/>
        </w:rPr>
        <w:t>Виробник</w:t>
      </w:r>
      <w:r w:rsidRPr="00BE086B">
        <w:rPr>
          <w:sz w:val="28"/>
          <w:szCs w:val="28"/>
          <w:lang w:val="en-US"/>
        </w:rPr>
        <w:t>: Elabscience Biotechnology Co., Ltd., Wuhan, 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E-EL-0122</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1.56-100 пг/мл</w:t>
      </w:r>
    </w:p>
    <w:p w:rsidR="004850FF" w:rsidRPr="00BE086B" w:rsidRDefault="004850FF" w:rsidP="004E6526">
      <w:pPr>
        <w:pStyle w:val="af3"/>
        <w:spacing w:before="0" w:after="0" w:line="360" w:lineRule="auto"/>
        <w:ind w:left="360"/>
        <w:rPr>
          <w:sz w:val="28"/>
          <w:szCs w:val="28"/>
        </w:rPr>
      </w:pPr>
      <w:r w:rsidRPr="00BE086B">
        <w:rPr>
          <w:sz w:val="28"/>
          <w:szCs w:val="28"/>
        </w:rPr>
        <w:t>14. ТТГ (тиреотропин/тиреотропний гормон гіпофізу або гормон, стимулюючий щитоподібну залозу)</w:t>
      </w:r>
    </w:p>
    <w:p w:rsidR="004850FF" w:rsidRPr="00BE086B" w:rsidRDefault="004850FF" w:rsidP="004E6526">
      <w:pPr>
        <w:pStyle w:val="1"/>
        <w:numPr>
          <w:ilvl w:val="0"/>
          <w:numId w:val="0"/>
        </w:numPr>
        <w:spacing w:line="360" w:lineRule="auto"/>
        <w:ind w:left="360" w:right="0"/>
        <w:jc w:val="both"/>
        <w:rPr>
          <w:szCs w:val="28"/>
        </w:rPr>
      </w:pPr>
      <w:r w:rsidRPr="00BE086B">
        <w:rPr>
          <w:bCs/>
          <w:szCs w:val="28"/>
        </w:rPr>
        <w:t>Rat TSH (Thyroid Stimulating Hormone) ELISA Kit</w:t>
      </w:r>
    </w:p>
    <w:p w:rsidR="004850FF" w:rsidRPr="00BE086B" w:rsidRDefault="004850FF" w:rsidP="004E6526">
      <w:pPr>
        <w:pStyle w:val="af3"/>
        <w:spacing w:before="0" w:after="0" w:line="360" w:lineRule="auto"/>
        <w:ind w:left="360"/>
        <w:rPr>
          <w:sz w:val="28"/>
          <w:szCs w:val="28"/>
          <w:lang w:val="en-US"/>
        </w:rPr>
      </w:pPr>
      <w:r w:rsidRPr="00BE086B">
        <w:rPr>
          <w:sz w:val="28"/>
          <w:szCs w:val="28"/>
        </w:rPr>
        <w:t>Виробник</w:t>
      </w:r>
      <w:r w:rsidRPr="00BE086B">
        <w:rPr>
          <w:sz w:val="28"/>
          <w:szCs w:val="28"/>
          <w:lang w:val="en-US"/>
        </w:rPr>
        <w:t>: Elabscience Biotechnology Co., Ltd., Wuhan, China</w:t>
      </w:r>
    </w:p>
    <w:p w:rsidR="004850FF" w:rsidRPr="00BE086B" w:rsidRDefault="004850FF" w:rsidP="004E6526">
      <w:pPr>
        <w:pStyle w:val="af3"/>
        <w:spacing w:before="0" w:after="0" w:line="360" w:lineRule="auto"/>
        <w:ind w:left="360"/>
        <w:rPr>
          <w:sz w:val="28"/>
          <w:szCs w:val="28"/>
        </w:rPr>
      </w:pPr>
      <w:r w:rsidRPr="00BE086B">
        <w:rPr>
          <w:sz w:val="28"/>
          <w:szCs w:val="28"/>
        </w:rPr>
        <w:t>Номер за каталогом: E-EL-R0976</w:t>
      </w:r>
    </w:p>
    <w:p w:rsidR="004850FF" w:rsidRPr="00BE086B" w:rsidRDefault="004850FF" w:rsidP="004E6526">
      <w:pPr>
        <w:pStyle w:val="af3"/>
        <w:spacing w:before="0" w:after="0" w:line="360" w:lineRule="auto"/>
        <w:ind w:left="360"/>
        <w:rPr>
          <w:sz w:val="28"/>
          <w:szCs w:val="28"/>
        </w:rPr>
      </w:pPr>
      <w:r w:rsidRPr="00BE086B">
        <w:rPr>
          <w:sz w:val="28"/>
          <w:szCs w:val="28"/>
        </w:rPr>
        <w:t>Діапазон виявлення: 1,25-80 нг/мл</w:t>
      </w:r>
    </w:p>
    <w:p w:rsidR="004850FF" w:rsidRPr="00BE086B" w:rsidRDefault="004850FF" w:rsidP="00A07082">
      <w:pPr>
        <w:pStyle w:val="af3"/>
        <w:spacing w:before="0" w:after="0" w:line="360" w:lineRule="auto"/>
        <w:ind w:firstLine="709"/>
        <w:jc w:val="both"/>
        <w:rPr>
          <w:sz w:val="28"/>
          <w:szCs w:val="28"/>
        </w:rPr>
      </w:pPr>
    </w:p>
    <w:p w:rsidR="004850FF" w:rsidRPr="00BE086B" w:rsidRDefault="004850FF" w:rsidP="00A07082">
      <w:pPr>
        <w:pStyle w:val="af3"/>
        <w:spacing w:before="0" w:after="0" w:line="360" w:lineRule="auto"/>
        <w:ind w:firstLine="709"/>
        <w:jc w:val="both"/>
        <w:rPr>
          <w:sz w:val="28"/>
          <w:szCs w:val="28"/>
        </w:rPr>
      </w:pPr>
      <w:r w:rsidRPr="00BE086B">
        <w:rPr>
          <w:sz w:val="28"/>
          <w:szCs w:val="28"/>
        </w:rPr>
        <w:t xml:space="preserve">Процедура дослідження включала наступні етапи. До кожної лунки планшети додавали розчин стандарту або зразок сироватки (100 мкл), планшет накривали та інкубували протягом 2 годин при 37°С. Потім рідину з кожної лунки видаляли і додавали робочий розчин біотінільованого антитіла (100 мкл), специфічного до відповідного маркеру, вміст якого досліджується в сироватці крові тварин. Планшет накривали та інкубували протягом 1 години </w:t>
      </w:r>
      <w:r w:rsidRPr="00BE086B">
        <w:rPr>
          <w:sz w:val="28"/>
          <w:szCs w:val="28"/>
        </w:rPr>
        <w:lastRenderedPageBreak/>
        <w:t>при 37°С. Лунки тричі промивали промивним буфером (350 мкл), до кожної лунки додавали кон’югат авідину з пероксидазою хрону (100 мкл), планшет накривали та інкубували протягом 30 хвилин при 37°С. Лунки п'ять разів промивали промивним буфером (350 мкл), до кожної лунки додавали розчин субстрату тетраметилбензидину (90 мкл) та планшет інкубували в темряві протягом 15-30 хвилин при 37°С. Згодом до кожної лунки додавали стоп-розчин (50 мкл).</w:t>
      </w:r>
    </w:p>
    <w:p w:rsidR="004850FF" w:rsidRPr="00BE086B" w:rsidRDefault="004850FF" w:rsidP="00A07082">
      <w:pPr>
        <w:pStyle w:val="af3"/>
        <w:spacing w:before="0" w:after="0" w:line="360" w:lineRule="auto"/>
        <w:ind w:firstLine="709"/>
        <w:jc w:val="both"/>
        <w:rPr>
          <w:sz w:val="28"/>
          <w:szCs w:val="28"/>
        </w:rPr>
      </w:pPr>
      <w:r w:rsidRPr="00BE086B">
        <w:rPr>
          <w:sz w:val="28"/>
          <w:szCs w:val="28"/>
        </w:rPr>
        <w:t>Оптичну щільність кожної лунки визначали за допомогою мікропланшетного рідера Rayto RT-2100C (Rayto Life and Analytical Sciences Co., Ltd., China) при 450 нм. Концентрацію досліджуваного маркеру розраховували шляхом порівняння оптичної щільності кожного зразка зі стандартною 4-параметричною логістичною кривою, побудованою за допомогою програми AssayFit Pro 1.31. Кожен зразок був протестований двічі відповідно до інструкції виробника тест-системи [456, 457].</w:t>
      </w:r>
    </w:p>
    <w:p w:rsidR="004850FF" w:rsidRPr="00BE086B" w:rsidRDefault="004850FF" w:rsidP="00A07082">
      <w:pPr>
        <w:spacing w:line="360" w:lineRule="auto"/>
        <w:ind w:firstLine="709"/>
        <w:jc w:val="both"/>
        <w:rPr>
          <w:sz w:val="28"/>
          <w:szCs w:val="28"/>
        </w:rPr>
      </w:pPr>
    </w:p>
    <w:p w:rsidR="004850FF" w:rsidRPr="00BE086B" w:rsidRDefault="004850FF" w:rsidP="00A07082">
      <w:pPr>
        <w:pStyle w:val="31"/>
        <w:spacing w:line="360" w:lineRule="auto"/>
        <w:ind w:firstLine="709"/>
        <w:jc w:val="both"/>
        <w:rPr>
          <w:b/>
          <w:szCs w:val="28"/>
        </w:rPr>
      </w:pPr>
      <w:r w:rsidRPr="00BE086B">
        <w:rPr>
          <w:b/>
          <w:bCs/>
          <w:szCs w:val="28"/>
        </w:rPr>
        <w:t xml:space="preserve">2.4.9. </w:t>
      </w:r>
      <w:r w:rsidRPr="00BE086B">
        <w:rPr>
          <w:rStyle w:val="translation-chunk"/>
          <w:b/>
          <w:bCs/>
          <w:szCs w:val="28"/>
        </w:rPr>
        <w:t xml:space="preserve">Біофармацевтичний аналіз взаємодії </w:t>
      </w:r>
      <w:r w:rsidRPr="00BE086B">
        <w:rPr>
          <w:b/>
          <w:szCs w:val="28"/>
          <w:lang w:eastAsia="ru-RU"/>
        </w:rPr>
        <w:t>комбінації лікарських засобів</w:t>
      </w:r>
    </w:p>
    <w:p w:rsidR="004850FF" w:rsidRPr="00BE086B" w:rsidRDefault="004850FF" w:rsidP="00A07082">
      <w:pPr>
        <w:pStyle w:val="31"/>
        <w:spacing w:line="360" w:lineRule="auto"/>
        <w:ind w:firstLine="709"/>
        <w:jc w:val="both"/>
        <w:rPr>
          <w:bCs/>
          <w:szCs w:val="28"/>
        </w:rPr>
      </w:pPr>
    </w:p>
    <w:p w:rsidR="004850FF" w:rsidRPr="00BE086B" w:rsidRDefault="004850FF" w:rsidP="00F11D60">
      <w:pPr>
        <w:pStyle w:val="31"/>
        <w:spacing w:line="360" w:lineRule="auto"/>
        <w:ind w:firstLine="709"/>
        <w:jc w:val="both"/>
        <w:rPr>
          <w:szCs w:val="28"/>
        </w:rPr>
      </w:pPr>
      <w:r w:rsidRPr="00BE086B">
        <w:rPr>
          <w:szCs w:val="28"/>
          <w:lang w:eastAsia="ru-RU"/>
        </w:rPr>
        <w:t xml:space="preserve">За допомогою програми </w:t>
      </w:r>
      <w:r w:rsidRPr="00BE086B">
        <w:rPr>
          <w:bCs/>
          <w:szCs w:val="28"/>
        </w:rPr>
        <w:t xml:space="preserve">ACD/pKa DB для вирішення поставлених завдань дослідження у роботі проведене вивчення </w:t>
      </w:r>
      <w:r w:rsidRPr="00BE086B">
        <w:rPr>
          <w:szCs w:val="28"/>
        </w:rPr>
        <w:t>біофармацевтичної взаємодії</w:t>
      </w:r>
      <w:r w:rsidRPr="00BE086B">
        <w:rPr>
          <w:bCs/>
          <w:szCs w:val="28"/>
        </w:rPr>
        <w:t xml:space="preserve"> при комбінованому використанні </w:t>
      </w:r>
      <w:r w:rsidRPr="00BE086B">
        <w:rPr>
          <w:szCs w:val="28"/>
          <w:lang w:eastAsia="ru-RU"/>
        </w:rPr>
        <w:t>трьох лікарських засобів – L-тироксину (левотироксину), хондроїтину-4 сульфату та диклофенаку натрію.</w:t>
      </w:r>
      <w:r w:rsidR="00F11D60" w:rsidRPr="00BE086B">
        <w:rPr>
          <w:szCs w:val="28"/>
          <w:lang w:eastAsia="ru-RU"/>
        </w:rPr>
        <w:t xml:space="preserve"> </w:t>
      </w:r>
      <w:r w:rsidR="00F11D60" w:rsidRPr="00BE086B">
        <w:rPr>
          <w:szCs w:val="28"/>
        </w:rPr>
        <w:t xml:space="preserve">Комп’ютерне моделювання біофармацевтичної взаємодії досліджуваних препаратів проведені за </w:t>
      </w:r>
      <w:r w:rsidR="00F11D60" w:rsidRPr="00BE086B">
        <w:rPr>
          <w:szCs w:val="28"/>
          <w:lang w:eastAsia="ru-RU"/>
        </w:rPr>
        <w:t xml:space="preserve">допомогою програми </w:t>
      </w:r>
      <w:r w:rsidR="00F11D60" w:rsidRPr="00BE086B">
        <w:rPr>
          <w:bCs/>
          <w:szCs w:val="28"/>
        </w:rPr>
        <w:t>ACD/pKa DB</w:t>
      </w:r>
      <w:r w:rsidR="00E70226" w:rsidRPr="00BE086B">
        <w:rPr>
          <w:bCs/>
          <w:szCs w:val="28"/>
        </w:rPr>
        <w:t xml:space="preserve"> </w:t>
      </w:r>
      <w:r w:rsidR="00E70226" w:rsidRPr="00BE086B">
        <w:rPr>
          <w:szCs w:val="28"/>
        </w:rPr>
        <w:t>[462].</w:t>
      </w:r>
    </w:p>
    <w:p w:rsidR="004850FF" w:rsidRPr="00BE086B" w:rsidRDefault="004850FF" w:rsidP="00A07082">
      <w:pPr>
        <w:pStyle w:val="31"/>
        <w:spacing w:line="360" w:lineRule="auto"/>
        <w:ind w:firstLine="709"/>
        <w:jc w:val="both"/>
        <w:rPr>
          <w:szCs w:val="28"/>
        </w:rPr>
      </w:pPr>
      <w:r w:rsidRPr="00BE086B">
        <w:rPr>
          <w:bCs/>
          <w:szCs w:val="28"/>
        </w:rPr>
        <w:t xml:space="preserve">При виконанні дослідження за допомогою програми ACD/pKa DB </w:t>
      </w:r>
      <w:r w:rsidRPr="00BE086B">
        <w:rPr>
          <w:szCs w:val="28"/>
        </w:rPr>
        <w:t xml:space="preserve">проведений послідовний аналіз потенційних взаємних впливів на різних рівнях – фізичному, хімічному та фізико-хімічному, оцінена фармакокінетична та фармакологічна сумісність компонентів, досліджені фізико-хімічні властивості сполук, вивчені ймовірні хімічні реакції у які можуть вступати зазначені сполуки завдяки наявності відповідних </w:t>
      </w:r>
      <w:r w:rsidRPr="00BE086B">
        <w:rPr>
          <w:szCs w:val="28"/>
        </w:rPr>
        <w:lastRenderedPageBreak/>
        <w:t>функціональних груп, вивчені фармакокінетичні та фармакологічні взаємодії, що реалізуються переважно через вплив на однакові чи пов’язані між собою біохімічні, рецепторні та функціональні системи.</w:t>
      </w:r>
    </w:p>
    <w:p w:rsidR="004850FF" w:rsidRPr="00BE086B" w:rsidRDefault="004850FF" w:rsidP="00A07082">
      <w:pPr>
        <w:pStyle w:val="31"/>
        <w:spacing w:line="360" w:lineRule="auto"/>
        <w:ind w:firstLine="709"/>
        <w:jc w:val="both"/>
        <w:rPr>
          <w:szCs w:val="28"/>
        </w:rPr>
      </w:pPr>
      <w:r w:rsidRPr="00BE086B">
        <w:rPr>
          <w:bCs/>
          <w:szCs w:val="28"/>
        </w:rPr>
        <w:t xml:space="preserve">Типи біологічних мішеней (рецептори, ферменти, транспортери) були визначені з використанням відповідних літературних джерел </w:t>
      </w:r>
      <w:r w:rsidRPr="00BE086B">
        <w:rPr>
          <w:szCs w:val="28"/>
        </w:rPr>
        <w:t>[275, 462]</w:t>
      </w:r>
      <w:r w:rsidRPr="00BE086B">
        <w:rPr>
          <w:bCs/>
          <w:szCs w:val="28"/>
        </w:rPr>
        <w:t>.</w:t>
      </w:r>
    </w:p>
    <w:p w:rsidR="004850FF" w:rsidRPr="00BE086B" w:rsidRDefault="004850FF" w:rsidP="00A07082">
      <w:pPr>
        <w:pStyle w:val="31"/>
        <w:spacing w:line="360" w:lineRule="auto"/>
        <w:ind w:firstLine="709"/>
        <w:jc w:val="both"/>
        <w:rPr>
          <w:szCs w:val="28"/>
        </w:rPr>
      </w:pPr>
    </w:p>
    <w:p w:rsidR="004850FF" w:rsidRPr="00BE086B" w:rsidRDefault="004850FF" w:rsidP="00A07082">
      <w:pPr>
        <w:pStyle w:val="31"/>
        <w:spacing w:line="360" w:lineRule="auto"/>
        <w:ind w:firstLine="709"/>
        <w:jc w:val="both"/>
        <w:rPr>
          <w:b/>
          <w:szCs w:val="28"/>
        </w:rPr>
      </w:pPr>
      <w:r w:rsidRPr="00BE086B">
        <w:rPr>
          <w:b/>
          <w:bCs/>
          <w:szCs w:val="28"/>
        </w:rPr>
        <w:t>2.</w:t>
      </w:r>
      <w:r w:rsidRPr="00BE086B">
        <w:rPr>
          <w:b/>
          <w:bCs/>
          <w:szCs w:val="28"/>
          <w:lang w:val="ru-RU"/>
        </w:rPr>
        <w:t>4</w:t>
      </w:r>
      <w:r w:rsidRPr="00BE086B">
        <w:rPr>
          <w:b/>
          <w:bCs/>
          <w:szCs w:val="28"/>
        </w:rPr>
        <w:t xml:space="preserve">.10. Дослідження </w:t>
      </w:r>
      <w:r w:rsidRPr="00BE086B">
        <w:rPr>
          <w:b/>
          <w:szCs w:val="28"/>
        </w:rPr>
        <w:t>морфофункціонального стану кісткової та хрящової тканин щурів</w:t>
      </w:r>
    </w:p>
    <w:p w:rsidR="004850FF" w:rsidRPr="00BE086B" w:rsidRDefault="004850FF" w:rsidP="00A07082">
      <w:pPr>
        <w:pStyle w:val="31"/>
        <w:spacing w:line="360" w:lineRule="auto"/>
        <w:ind w:firstLine="709"/>
        <w:jc w:val="both"/>
        <w:rPr>
          <w:bCs/>
          <w:szCs w:val="28"/>
        </w:rPr>
      </w:pPr>
    </w:p>
    <w:p w:rsidR="004850FF" w:rsidRPr="00BE086B" w:rsidRDefault="004850FF" w:rsidP="00A07082">
      <w:pPr>
        <w:pStyle w:val="af0"/>
        <w:ind w:firstLine="709"/>
        <w:jc w:val="both"/>
        <w:rPr>
          <w:sz w:val="28"/>
          <w:szCs w:val="28"/>
          <w:lang w:val="uk-UA" w:eastAsia="ru-RU"/>
        </w:rPr>
      </w:pPr>
      <w:r w:rsidRPr="00BE086B">
        <w:rPr>
          <w:sz w:val="28"/>
          <w:szCs w:val="28"/>
          <w:lang w:val="uk-UA"/>
        </w:rPr>
        <w:t xml:space="preserve">Для вивчення морфофункціонального стану кісткової та хрящової тканин використовували тканинний комплекс колінних суглобів щурів (дистальний відділ стегнової кістки та проксимальний відділ великогомілкової кістки), який обробляли відповідно етапам: фіксація тканин; дегідратація (зневоднення зразків) та заливання у парафін; приготування зрізів; фарбування препаратів (гематоксилін та еозин, Шифф-йодною кислотою); мікрофотографування гістологічних препаратів. </w:t>
      </w:r>
      <w:r w:rsidRPr="00BE086B">
        <w:rPr>
          <w:sz w:val="28"/>
          <w:szCs w:val="28"/>
          <w:lang w:val="uk-UA" w:eastAsia="ru-RU"/>
        </w:rPr>
        <w:t xml:space="preserve">Гістологічні зрізи робили завтовшки 3-4 мкм за допомогою ротаційного мікротому </w:t>
      </w:r>
      <w:r w:rsidRPr="00BE086B">
        <w:rPr>
          <w:sz w:val="28"/>
          <w:szCs w:val="28"/>
          <w:lang w:eastAsia="ru-RU"/>
        </w:rPr>
        <w:t>HM</w:t>
      </w:r>
      <w:r w:rsidRPr="00BE086B">
        <w:rPr>
          <w:sz w:val="28"/>
          <w:szCs w:val="28"/>
          <w:lang w:val="uk-UA" w:eastAsia="ru-RU"/>
        </w:rPr>
        <w:t>340</w:t>
      </w:r>
      <w:r w:rsidRPr="00BE086B">
        <w:rPr>
          <w:sz w:val="28"/>
          <w:szCs w:val="28"/>
          <w:lang w:eastAsia="ru-RU"/>
        </w:rPr>
        <w:t>E</w:t>
      </w:r>
      <w:r w:rsidRPr="00BE086B">
        <w:rPr>
          <w:sz w:val="28"/>
          <w:szCs w:val="28"/>
          <w:lang w:val="uk-UA" w:eastAsia="ru-RU"/>
        </w:rPr>
        <w:t xml:space="preserve"> (</w:t>
      </w:r>
      <w:r w:rsidRPr="00BE086B">
        <w:rPr>
          <w:sz w:val="28"/>
          <w:szCs w:val="28"/>
          <w:lang w:eastAsia="ru-RU"/>
        </w:rPr>
        <w:t>Thermo</w:t>
      </w:r>
      <w:r w:rsidRPr="00BE086B">
        <w:rPr>
          <w:sz w:val="28"/>
          <w:szCs w:val="28"/>
          <w:lang w:val="uk-UA" w:eastAsia="ru-RU"/>
        </w:rPr>
        <w:t xml:space="preserve"> </w:t>
      </w:r>
      <w:r w:rsidRPr="00BE086B">
        <w:rPr>
          <w:sz w:val="28"/>
          <w:szCs w:val="28"/>
          <w:lang w:eastAsia="ru-RU"/>
        </w:rPr>
        <w:t>Scientific</w:t>
      </w:r>
      <w:r w:rsidRPr="00BE086B">
        <w:rPr>
          <w:sz w:val="28"/>
          <w:szCs w:val="28"/>
          <w:lang w:val="uk-UA" w:eastAsia="ru-RU"/>
        </w:rPr>
        <w:t>, Німеччина). Мікроскопічне вивчення зразків проводили з використанням тринокулярного світлооптичного мікроскопу «</w:t>
      </w:r>
      <w:r w:rsidRPr="00BE086B">
        <w:rPr>
          <w:sz w:val="28"/>
          <w:szCs w:val="28"/>
          <w:lang w:eastAsia="ru-RU"/>
        </w:rPr>
        <w:t>Primo</w:t>
      </w:r>
      <w:r w:rsidRPr="00BE086B">
        <w:rPr>
          <w:sz w:val="28"/>
          <w:szCs w:val="28"/>
          <w:lang w:val="uk-UA" w:eastAsia="ru-RU"/>
        </w:rPr>
        <w:t xml:space="preserve"> </w:t>
      </w:r>
      <w:r w:rsidRPr="00BE086B">
        <w:rPr>
          <w:sz w:val="28"/>
          <w:szCs w:val="28"/>
          <w:lang w:eastAsia="ru-RU"/>
        </w:rPr>
        <w:t>Star</w:t>
      </w:r>
      <w:r w:rsidRPr="00BE086B">
        <w:rPr>
          <w:sz w:val="28"/>
          <w:szCs w:val="28"/>
          <w:lang w:val="uk-UA" w:eastAsia="ru-RU"/>
        </w:rPr>
        <w:t xml:space="preserve"> </w:t>
      </w:r>
      <w:r w:rsidRPr="00BE086B">
        <w:rPr>
          <w:sz w:val="28"/>
          <w:szCs w:val="28"/>
          <w:lang w:eastAsia="ru-RU"/>
        </w:rPr>
        <w:t>Carl</w:t>
      </w:r>
      <w:r w:rsidRPr="00BE086B">
        <w:rPr>
          <w:sz w:val="28"/>
          <w:szCs w:val="28"/>
          <w:lang w:val="uk-UA" w:eastAsia="ru-RU"/>
        </w:rPr>
        <w:t xml:space="preserve"> </w:t>
      </w:r>
      <w:r w:rsidRPr="00BE086B">
        <w:rPr>
          <w:sz w:val="28"/>
          <w:szCs w:val="28"/>
          <w:lang w:eastAsia="ru-RU"/>
        </w:rPr>
        <w:t>Zeiss</w:t>
      </w:r>
      <w:r w:rsidRPr="00BE086B">
        <w:rPr>
          <w:sz w:val="28"/>
          <w:szCs w:val="28"/>
          <w:lang w:val="uk-UA" w:eastAsia="ru-RU"/>
        </w:rPr>
        <w:t>» з фотовихідом та використанням об’єктивів ×10, ×40, ×100</w:t>
      </w:r>
      <w:r w:rsidR="00880408" w:rsidRPr="00BE086B">
        <w:rPr>
          <w:sz w:val="28"/>
          <w:szCs w:val="28"/>
          <w:lang w:val="uk-UA" w:eastAsia="ru-RU"/>
        </w:rPr>
        <w:t>, ×400</w:t>
      </w:r>
      <w:r w:rsidRPr="00BE086B">
        <w:rPr>
          <w:sz w:val="28"/>
          <w:szCs w:val="28"/>
          <w:lang w:val="uk-UA" w:eastAsia="ru-RU"/>
        </w:rPr>
        <w:t xml:space="preserve"> </w:t>
      </w:r>
      <w:r w:rsidRPr="00BE086B">
        <w:rPr>
          <w:sz w:val="28"/>
          <w:szCs w:val="28"/>
          <w:lang w:val="uk-UA"/>
        </w:rPr>
        <w:t>[108-111]</w:t>
      </w:r>
      <w:r w:rsidRPr="00BE086B">
        <w:rPr>
          <w:sz w:val="28"/>
          <w:szCs w:val="28"/>
          <w:lang w:val="uk-UA" w:eastAsia="ru-RU"/>
        </w:rPr>
        <w:t>.</w:t>
      </w:r>
    </w:p>
    <w:p w:rsidR="004850FF" w:rsidRPr="00BE086B" w:rsidRDefault="004850FF" w:rsidP="00A07082">
      <w:pPr>
        <w:spacing w:line="360" w:lineRule="auto"/>
        <w:ind w:firstLine="709"/>
        <w:jc w:val="both"/>
        <w:rPr>
          <w:bCs/>
          <w:sz w:val="28"/>
          <w:szCs w:val="28"/>
          <w:lang w:val="uk-UA" w:eastAsia="ru-RU"/>
        </w:rPr>
      </w:pPr>
    </w:p>
    <w:p w:rsidR="004850FF" w:rsidRPr="00BE086B" w:rsidRDefault="004850FF" w:rsidP="00A07082">
      <w:pPr>
        <w:spacing w:line="360" w:lineRule="auto"/>
        <w:ind w:firstLine="709"/>
        <w:jc w:val="both"/>
        <w:rPr>
          <w:b/>
          <w:sz w:val="28"/>
          <w:szCs w:val="28"/>
        </w:rPr>
      </w:pPr>
      <w:r w:rsidRPr="00BE086B">
        <w:rPr>
          <w:b/>
          <w:sz w:val="28"/>
          <w:szCs w:val="28"/>
        </w:rPr>
        <w:t>2.5. Статистична обробка результатів</w:t>
      </w:r>
    </w:p>
    <w:p w:rsidR="004850FF" w:rsidRPr="00BE086B" w:rsidRDefault="004850FF" w:rsidP="00A07082">
      <w:pPr>
        <w:spacing w:line="360" w:lineRule="auto"/>
        <w:ind w:firstLine="709"/>
        <w:jc w:val="both"/>
        <w:rPr>
          <w:sz w:val="28"/>
          <w:szCs w:val="28"/>
        </w:rPr>
      </w:pPr>
    </w:p>
    <w:p w:rsidR="004850FF" w:rsidRPr="00BE086B" w:rsidRDefault="004850FF" w:rsidP="00A07082">
      <w:pPr>
        <w:pStyle w:val="31"/>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Cs w:val="28"/>
          <w:lang w:val="ru-RU"/>
        </w:rPr>
      </w:pPr>
      <w:r w:rsidRPr="00BE086B">
        <w:rPr>
          <w:szCs w:val="28"/>
        </w:rPr>
        <w:t>Статистична обробка результатів проведених досліджень виконана з використанням пакету програм STATISTICA 6.1 (StatSoftInc., серійний номер AGAR 909E415822FA)</w:t>
      </w:r>
      <w:r w:rsidRPr="00BE086B">
        <w:rPr>
          <w:szCs w:val="28"/>
          <w:lang w:val="ru-RU"/>
        </w:rPr>
        <w:t>.</w:t>
      </w:r>
    </w:p>
    <w:p w:rsidR="004850FF" w:rsidRPr="00BE086B" w:rsidRDefault="004850FF" w:rsidP="00A07082">
      <w:pPr>
        <w:pStyle w:val="31"/>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Cs w:val="28"/>
        </w:rPr>
      </w:pPr>
      <w:r w:rsidRPr="00BE086B">
        <w:rPr>
          <w:szCs w:val="28"/>
        </w:rPr>
        <w:t>Описова статистика для кожного показника включала розрахунки середнього арифметичного значення (М)</w:t>
      </w:r>
      <w:r w:rsidRPr="00BE086B">
        <w:rPr>
          <w:szCs w:val="28"/>
          <w:lang w:val="ru-RU"/>
        </w:rPr>
        <w:t xml:space="preserve">, </w:t>
      </w:r>
      <w:r w:rsidRPr="00BE086B">
        <w:rPr>
          <w:szCs w:val="28"/>
        </w:rPr>
        <w:t>стандартного відхилення (</w:t>
      </w:r>
      <w:r w:rsidRPr="00BE086B">
        <w:rPr>
          <w:szCs w:val="28"/>
          <w:lang w:val="en-US"/>
        </w:rPr>
        <w:t>SD</w:t>
      </w:r>
      <w:r w:rsidRPr="00BE086B">
        <w:rPr>
          <w:szCs w:val="28"/>
          <w:lang w:val="ru-RU"/>
        </w:rPr>
        <w:t xml:space="preserve">) і </w:t>
      </w:r>
      <w:r w:rsidRPr="00BE086B">
        <w:rPr>
          <w:szCs w:val="28"/>
        </w:rPr>
        <w:t>стандартної похибки середнього (m).</w:t>
      </w:r>
    </w:p>
    <w:p w:rsidR="004850FF" w:rsidRPr="00BE086B" w:rsidRDefault="004850FF" w:rsidP="00A07082">
      <w:pPr>
        <w:pStyle w:val="31"/>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iCs/>
          <w:szCs w:val="28"/>
        </w:rPr>
      </w:pPr>
      <w:r w:rsidRPr="00BE086B">
        <w:rPr>
          <w:szCs w:val="28"/>
        </w:rPr>
        <w:lastRenderedPageBreak/>
        <w:t>Перед застосуванням статистичних критеріїв проводилася перевірка гіпотези про нормальний закон розподілу випадкових величин (за критерієм Шапіро-Уілка). За умов нормального розподілу оцінка достовірності міжгрупових та внутрішньогрупових відмінностей показників проводилась за допомогою параметричних критеріїв Стьюдента (</w:t>
      </w:r>
      <w:r w:rsidRPr="00BE086B">
        <w:rPr>
          <w:i/>
          <w:szCs w:val="28"/>
        </w:rPr>
        <w:t>t, Т</w:t>
      </w:r>
      <w:r w:rsidRPr="00BE086B">
        <w:rPr>
          <w:szCs w:val="28"/>
        </w:rPr>
        <w:t>), в інших випадках – за непараметричними критеріями Мана-Уітні (</w:t>
      </w:r>
      <w:r w:rsidRPr="00BE086B">
        <w:rPr>
          <w:i/>
          <w:iCs/>
          <w:szCs w:val="28"/>
        </w:rPr>
        <w:t xml:space="preserve">U) </w:t>
      </w:r>
      <w:r w:rsidRPr="00BE086B">
        <w:rPr>
          <w:iCs/>
          <w:szCs w:val="28"/>
        </w:rPr>
        <w:t>і Вілкоксона (</w:t>
      </w:r>
      <w:r w:rsidRPr="00BE086B">
        <w:rPr>
          <w:i/>
          <w:iCs/>
          <w:szCs w:val="28"/>
          <w:lang w:val="en-US"/>
        </w:rPr>
        <w:t>W</w:t>
      </w:r>
      <w:r w:rsidRPr="00BE086B">
        <w:rPr>
          <w:iCs/>
          <w:szCs w:val="28"/>
        </w:rPr>
        <w:t>).</w:t>
      </w:r>
    </w:p>
    <w:p w:rsidR="004850FF" w:rsidRPr="00BE086B" w:rsidRDefault="004850FF" w:rsidP="00A07082">
      <w:pPr>
        <w:pStyle w:val="31"/>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Cs w:val="28"/>
          <w:lang w:eastAsia="en-US"/>
        </w:rPr>
      </w:pPr>
      <w:r w:rsidRPr="00BE086B">
        <w:rPr>
          <w:szCs w:val="28"/>
        </w:rPr>
        <w:t>Для множинного порівняльного аналізу використовувались критерії Даннета (у випадку порівняння з контрольною групою) та Дункана (міжгрупове порівняння). Критичний рівень статистичної значимості (p) приймався ≤ 5 % (р≤0,05) [463-467].</w:t>
      </w:r>
    </w:p>
    <w:p w:rsidR="004850FF" w:rsidRPr="00BE086B" w:rsidRDefault="004850FF" w:rsidP="00A07082">
      <w:pPr>
        <w:pStyle w:val="31"/>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Cs w:val="28"/>
        </w:rPr>
      </w:pPr>
      <w:r w:rsidRPr="00BE086B">
        <w:rPr>
          <w:szCs w:val="28"/>
        </w:rPr>
        <w:t>Усі використані при виконанні даної роботи одиниці вимірювання та параметри наведені у відповідності до міжнародної системи одиниць [453, 463, 464, 467].</w:t>
      </w:r>
    </w:p>
    <w:p w:rsidR="004850FF" w:rsidRPr="00BE086B" w:rsidRDefault="004850FF"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07082">
      <w:pPr>
        <w:pStyle w:val="af0"/>
        <w:ind w:firstLine="709"/>
        <w:jc w:val="both"/>
        <w:rPr>
          <w:sz w:val="28"/>
          <w:szCs w:val="28"/>
          <w:lang w:val="uk-UA"/>
        </w:rPr>
      </w:pPr>
    </w:p>
    <w:p w:rsidR="00A50896" w:rsidRPr="00BE086B" w:rsidRDefault="00A50896" w:rsidP="00A50896">
      <w:pPr>
        <w:pStyle w:val="15"/>
        <w:spacing w:line="360" w:lineRule="auto"/>
        <w:jc w:val="center"/>
        <w:rPr>
          <w:rFonts w:ascii="Times New Roman" w:hAnsi="Times New Roman" w:cs="Times New Roman"/>
          <w:sz w:val="28"/>
          <w:szCs w:val="28"/>
        </w:rPr>
      </w:pPr>
      <w:r w:rsidRPr="00BE086B">
        <w:rPr>
          <w:rFonts w:ascii="Times New Roman" w:hAnsi="Times New Roman" w:cs="Times New Roman"/>
          <w:b/>
          <w:bCs/>
          <w:caps/>
          <w:sz w:val="28"/>
          <w:szCs w:val="28"/>
        </w:rPr>
        <w:lastRenderedPageBreak/>
        <w:t>Розділ 3</w:t>
      </w:r>
    </w:p>
    <w:p w:rsidR="00A50896" w:rsidRPr="00BE086B" w:rsidRDefault="00A50896" w:rsidP="00A50896">
      <w:pPr>
        <w:pStyle w:val="15"/>
        <w:spacing w:line="360" w:lineRule="auto"/>
        <w:jc w:val="center"/>
        <w:rPr>
          <w:rFonts w:ascii="Times New Roman" w:hAnsi="Times New Roman" w:cs="Times New Roman"/>
          <w:b/>
          <w:bCs/>
          <w:caps/>
          <w:sz w:val="28"/>
          <w:szCs w:val="28"/>
        </w:rPr>
      </w:pPr>
    </w:p>
    <w:p w:rsidR="00A50896" w:rsidRPr="00BE086B" w:rsidRDefault="00A50896" w:rsidP="00A50896">
      <w:pPr>
        <w:spacing w:line="360" w:lineRule="auto"/>
        <w:jc w:val="center"/>
        <w:rPr>
          <w:sz w:val="28"/>
          <w:szCs w:val="28"/>
        </w:rPr>
      </w:pPr>
      <w:r w:rsidRPr="00BE086B">
        <w:rPr>
          <w:b/>
          <w:sz w:val="28"/>
          <w:szCs w:val="28"/>
        </w:rPr>
        <w:t>АНАЛГЕТИЧНА АКТИВНІСТЬ НПЗЗ ТА ПАРАЦЕТАМОЛУ ПРИ ЕКСПЕРИМЕНТАЛЬНОМУ ОСТЕОАРТРОЗІ ТА ГІПОТИРЕОЗІ</w:t>
      </w:r>
    </w:p>
    <w:p w:rsidR="00A50896" w:rsidRPr="00BE086B" w:rsidRDefault="00A50896" w:rsidP="00A50896">
      <w:pPr>
        <w:pStyle w:val="15"/>
        <w:spacing w:line="360" w:lineRule="auto"/>
        <w:jc w:val="center"/>
        <w:rPr>
          <w:rFonts w:ascii="Times New Roman" w:hAnsi="Times New Roman" w:cs="Times New Roman"/>
          <w:bCs/>
          <w:sz w:val="28"/>
          <w:szCs w:val="28"/>
        </w:rPr>
      </w:pPr>
    </w:p>
    <w:p w:rsidR="00A50896" w:rsidRPr="00BE086B" w:rsidRDefault="00A50896" w:rsidP="00A50896">
      <w:pPr>
        <w:spacing w:line="360" w:lineRule="auto"/>
        <w:ind w:firstLine="709"/>
        <w:jc w:val="both"/>
      </w:pPr>
      <w:r w:rsidRPr="00BE086B">
        <w:rPr>
          <w:sz w:val="28"/>
          <w:szCs w:val="28"/>
          <w:lang w:eastAsia="ru-RU"/>
        </w:rPr>
        <w:t xml:space="preserve">В розділі описані результати власних досліджень, які відображають порівняльний аналіз впливу експериментальних патологій (остеоартроз та гіпотиреоз) на стан ноцицептивної системи та впливу призначення НПЗЗ і парацетамолу на антиноцицептивні механізми у експериментальних щурів </w:t>
      </w:r>
      <w:r w:rsidRPr="00BE086B">
        <w:rPr>
          <w:sz w:val="28"/>
          <w:szCs w:val="28"/>
        </w:rPr>
        <w:t>[433-436, 440]</w:t>
      </w:r>
      <w:r w:rsidRPr="00BE086B">
        <w:rPr>
          <w:sz w:val="28"/>
          <w:szCs w:val="28"/>
          <w:lang w:eastAsia="ru-RU"/>
        </w:rPr>
        <w:t>.</w:t>
      </w:r>
    </w:p>
    <w:p w:rsidR="00A50896" w:rsidRPr="00BE086B" w:rsidRDefault="00A50896" w:rsidP="00A50896">
      <w:pPr>
        <w:spacing w:line="360" w:lineRule="auto"/>
        <w:ind w:firstLine="709"/>
        <w:jc w:val="both"/>
      </w:pPr>
      <w:r w:rsidRPr="00BE086B">
        <w:rPr>
          <w:sz w:val="28"/>
          <w:szCs w:val="28"/>
        </w:rPr>
        <w:t>Оцінку аналгетичного потенціалу препаратів, які досліджувалися, проводили шляхом вивчення їх антиноцицептивної активності за впливом на больовий поріг щурів при одноразовому введенні НПЗЗ та парацетамолу та на фоні 5-добового призначення L-тироксину</w:t>
      </w:r>
      <w:r w:rsidRPr="00BE086B">
        <w:rPr>
          <w:rStyle w:val="af"/>
          <w:b w:val="0"/>
          <w:sz w:val="28"/>
          <w:szCs w:val="28"/>
          <w:shd w:val="clear" w:color="auto" w:fill="FFFFFF"/>
        </w:rPr>
        <w:t xml:space="preserve"> за методом </w:t>
      </w:r>
      <w:r w:rsidRPr="00BE086B">
        <w:rPr>
          <w:sz w:val="28"/>
          <w:szCs w:val="28"/>
          <w:lang w:eastAsia="uk-UA"/>
        </w:rPr>
        <w:t>електричного подразнення кореня хвоста щурів</w:t>
      </w:r>
      <w:r w:rsidRPr="00BE086B">
        <w:rPr>
          <w:sz w:val="28"/>
          <w:szCs w:val="28"/>
        </w:rPr>
        <w:t xml:space="preserve"> та реєстрації ноцицептивної відповіді (реакція вокалізації)</w:t>
      </w:r>
      <w:r w:rsidRPr="00BE086B">
        <w:rPr>
          <w:rStyle w:val="af"/>
          <w:b w:val="0"/>
          <w:sz w:val="28"/>
          <w:szCs w:val="28"/>
          <w:shd w:val="clear" w:color="auto" w:fill="FFFFFF"/>
        </w:rPr>
        <w:t xml:space="preserve"> </w:t>
      </w:r>
      <w:r w:rsidRPr="00BE086B">
        <w:rPr>
          <w:sz w:val="28"/>
          <w:szCs w:val="28"/>
        </w:rPr>
        <w:t>за умов [</w:t>
      </w:r>
      <w:r w:rsidR="0083165F" w:rsidRPr="00BE086B">
        <w:rPr>
          <w:sz w:val="28"/>
          <w:szCs w:val="28"/>
          <w:lang w:val="uk-UA"/>
        </w:rPr>
        <w:t xml:space="preserve">360, </w:t>
      </w:r>
      <w:r w:rsidRPr="00BE086B">
        <w:rPr>
          <w:sz w:val="28"/>
          <w:szCs w:val="28"/>
        </w:rPr>
        <w:t>433-436]:</w:t>
      </w:r>
    </w:p>
    <w:p w:rsidR="00A50896" w:rsidRPr="00BE086B" w:rsidRDefault="00A50896" w:rsidP="00A50896">
      <w:pPr>
        <w:spacing w:line="360" w:lineRule="auto"/>
        <w:ind w:firstLine="709"/>
        <w:jc w:val="both"/>
      </w:pPr>
      <w:r w:rsidRPr="00BE086B">
        <w:rPr>
          <w:sz w:val="28"/>
          <w:szCs w:val="28"/>
        </w:rPr>
        <w:t>1. Експериментального остеоартрозу (ЕОА);</w:t>
      </w:r>
    </w:p>
    <w:p w:rsidR="00A50896" w:rsidRPr="00BE086B" w:rsidRDefault="00A50896" w:rsidP="00A50896">
      <w:pPr>
        <w:spacing w:line="360" w:lineRule="auto"/>
        <w:ind w:firstLine="709"/>
        <w:jc w:val="both"/>
      </w:pPr>
      <w:r w:rsidRPr="00BE086B">
        <w:rPr>
          <w:sz w:val="28"/>
          <w:szCs w:val="28"/>
        </w:rPr>
        <w:t>2. Коморбідної патології (експериментальний остеоартроз та експериментальний гіпотиреоз – ЕОА + ЕГ);</w:t>
      </w:r>
    </w:p>
    <w:p w:rsidR="00A50896" w:rsidRPr="00BE086B" w:rsidRDefault="00A50896" w:rsidP="00A50896">
      <w:pPr>
        <w:spacing w:line="360" w:lineRule="auto"/>
        <w:ind w:firstLine="709"/>
        <w:jc w:val="both"/>
      </w:pPr>
      <w:r w:rsidRPr="00BE086B">
        <w:rPr>
          <w:sz w:val="28"/>
          <w:szCs w:val="28"/>
        </w:rPr>
        <w:t>3. Коморбідної патології на фоні замісної 5-добової гормональної терапії L-тироксином (експериментальний остеоартроз та експериментальний гіпотиреоз з L-тироксином – ЕОА + ЕГ + L-тироксин) [433, 435, 440].</w:t>
      </w:r>
    </w:p>
    <w:p w:rsidR="00A50896" w:rsidRPr="00BE086B" w:rsidRDefault="00A50896" w:rsidP="00A50896">
      <w:pPr>
        <w:spacing w:line="360" w:lineRule="auto"/>
        <w:ind w:firstLine="708"/>
        <w:jc w:val="both"/>
      </w:pPr>
      <w:r w:rsidRPr="00BE086B">
        <w:rPr>
          <w:sz w:val="28"/>
          <w:szCs w:val="28"/>
        </w:rPr>
        <w:t>Першим етапом даного дослідження було розподіл піддослідних щурів способом випадкової вибірки на експериментальні групи по 10 тварин, яким одно</w:t>
      </w:r>
      <w:r w:rsidRPr="00BE086B">
        <w:rPr>
          <w:rStyle w:val="translation-chunk"/>
          <w:sz w:val="28"/>
          <w:szCs w:val="28"/>
        </w:rPr>
        <w:t>разово внутрішньошлунково</w:t>
      </w:r>
      <w:r w:rsidRPr="00BE086B">
        <w:rPr>
          <w:sz w:val="28"/>
        </w:rPr>
        <w:t xml:space="preserve"> </w:t>
      </w:r>
      <w:r w:rsidRPr="00BE086B">
        <w:rPr>
          <w:rStyle w:val="translation-chunk"/>
          <w:sz w:val="28"/>
          <w:szCs w:val="28"/>
        </w:rPr>
        <w:t>вводили досліджувані лікарські препарати у нижче зазначених дозах</w:t>
      </w:r>
      <w:r w:rsidRPr="00BE086B">
        <w:rPr>
          <w:sz w:val="28"/>
        </w:rPr>
        <w:t>: група – пасивний контроль (інтактні щури); I група – активний контроль, III група – диклофенак натрію (Д) (10 мг/кг); ІV група – ібупрофен (І) (5 мг/кг); V група — мелоксикам (М) (10 мг/кг); VІ група – німесулід (Н) (80 мг/кг); VІІ група – целекоксиб (Ц) (50 мг/кг); VІІІ група – парацетамол (П) (150 мг/кг).</w:t>
      </w:r>
    </w:p>
    <w:p w:rsidR="00A50896" w:rsidRPr="00BE086B" w:rsidRDefault="00A50896" w:rsidP="00A50896">
      <w:pPr>
        <w:spacing w:line="360" w:lineRule="auto"/>
        <w:ind w:firstLine="708"/>
        <w:jc w:val="both"/>
      </w:pPr>
      <w:r w:rsidRPr="00BE086B">
        <w:rPr>
          <w:sz w:val="28"/>
          <w:szCs w:val="28"/>
        </w:rPr>
        <w:lastRenderedPageBreak/>
        <w:t>В дослідженні виконані 3 серії дослідів з 8 групами тварин, в кожній з яких була своя група активного контролю. Так, у першій серії групою активного контролю була група експериментального остеоартрозу (ЕОА), у другій серії - група експериментального остеоартрозу та гіпотиреозу (ЕОА + ЕГ) та у третій - група експериментального остеоартрозу та гіпотиреозу на фоні введення L-тироксину (ЕОА + ЕГ + L-тироксин).</w:t>
      </w:r>
    </w:p>
    <w:p w:rsidR="00A50896" w:rsidRPr="00BE086B" w:rsidRDefault="00A50896" w:rsidP="00A50896">
      <w:pPr>
        <w:spacing w:line="360" w:lineRule="auto"/>
        <w:ind w:firstLine="708"/>
        <w:jc w:val="both"/>
      </w:pPr>
      <w:r w:rsidRPr="00BE086B">
        <w:rPr>
          <w:sz w:val="28"/>
          <w:szCs w:val="28"/>
        </w:rPr>
        <w:t>У 3 серії дослідів - група експериментального остеоартрозу та гіпотиреозу на фоні введення L-тироксину (ЕОА + ЕГ + L-тироксин) – одноразове введення НПЗЗ та парацетамолу відбувалося на фоні 5-добового призначення L-тироксину.</w:t>
      </w:r>
    </w:p>
    <w:p w:rsidR="00A50896" w:rsidRPr="00BE086B" w:rsidRDefault="00A50896" w:rsidP="00A50896">
      <w:pPr>
        <w:spacing w:line="360" w:lineRule="auto"/>
        <w:ind w:firstLine="708"/>
        <w:jc w:val="both"/>
        <w:rPr>
          <w:sz w:val="28"/>
          <w:szCs w:val="28"/>
        </w:rPr>
      </w:pPr>
    </w:p>
    <w:p w:rsidR="00A50896" w:rsidRPr="00BE086B" w:rsidRDefault="00A50896" w:rsidP="00A50896">
      <w:pPr>
        <w:spacing w:line="360" w:lineRule="auto"/>
        <w:ind w:firstLine="709"/>
        <w:jc w:val="both"/>
      </w:pPr>
      <w:r w:rsidRPr="00BE086B">
        <w:rPr>
          <w:b/>
          <w:bCs/>
          <w:sz w:val="28"/>
          <w:szCs w:val="28"/>
        </w:rPr>
        <w:t>3.1 Вплив НПЗЗ та парацетамолу на больовий поріг за умов експериментального остеоартрозу</w:t>
      </w:r>
    </w:p>
    <w:p w:rsidR="00A50896" w:rsidRPr="00BE086B" w:rsidRDefault="00A50896" w:rsidP="00A50896">
      <w:pPr>
        <w:spacing w:line="360" w:lineRule="auto"/>
        <w:ind w:firstLine="709"/>
        <w:jc w:val="both"/>
        <w:rPr>
          <w:bCs/>
          <w:sz w:val="28"/>
          <w:szCs w:val="28"/>
        </w:rPr>
      </w:pPr>
    </w:p>
    <w:p w:rsidR="00A50896" w:rsidRPr="00BE086B" w:rsidRDefault="00A50896" w:rsidP="00A50896">
      <w:pPr>
        <w:spacing w:line="360" w:lineRule="auto"/>
        <w:ind w:firstLine="709"/>
        <w:jc w:val="both"/>
        <w:rPr>
          <w:bCs/>
          <w:sz w:val="28"/>
          <w:szCs w:val="28"/>
        </w:rPr>
      </w:pPr>
      <w:r w:rsidRPr="00BE086B">
        <w:rPr>
          <w:bCs/>
          <w:sz w:val="28"/>
          <w:szCs w:val="28"/>
        </w:rPr>
        <w:t xml:space="preserve">В даному підрозділі описані результати дослідження антиноцицептивної активності </w:t>
      </w:r>
      <w:r w:rsidRPr="00BE086B">
        <w:rPr>
          <w:sz w:val="28"/>
          <w:szCs w:val="28"/>
        </w:rPr>
        <w:t xml:space="preserve">НПЗЗ та </w:t>
      </w:r>
      <w:r w:rsidRPr="00BE086B">
        <w:rPr>
          <w:bCs/>
          <w:sz w:val="28"/>
          <w:szCs w:val="28"/>
        </w:rPr>
        <w:t xml:space="preserve">парацетамолу у тесті </w:t>
      </w:r>
      <w:r w:rsidRPr="00BE086B">
        <w:rPr>
          <w:sz w:val="28"/>
          <w:szCs w:val="28"/>
        </w:rPr>
        <w:t>електричного подразнення кореня хвоста у щурів</w:t>
      </w:r>
      <w:r w:rsidRPr="00BE086B">
        <w:rPr>
          <w:bCs/>
          <w:sz w:val="28"/>
          <w:szCs w:val="28"/>
        </w:rPr>
        <w:t xml:space="preserve"> на фоні експериментального остеоартрозу.</w:t>
      </w:r>
    </w:p>
    <w:p w:rsidR="00A50896" w:rsidRPr="00BE086B" w:rsidRDefault="00A50896" w:rsidP="00A50896">
      <w:pPr>
        <w:spacing w:line="360" w:lineRule="auto"/>
        <w:ind w:firstLine="709"/>
        <w:jc w:val="both"/>
      </w:pPr>
      <w:r w:rsidRPr="00BE086B">
        <w:rPr>
          <w:rFonts w:eastAsia="Calibri"/>
          <w:iCs/>
          <w:sz w:val="28"/>
          <w:szCs w:val="28"/>
          <w:lang w:eastAsia="en-US"/>
        </w:rPr>
        <w:t>При виконанні експериментального дослідження було встановлено, що експериментальна модель остеоартрозу (І група ЕОА - активний контроль) призводить до зниження порогу больової чутливості у порівнянні з групою інтактних щурів на 24% (р &lt; 0,05) (табл. 3.1, рис. 3.1).</w:t>
      </w:r>
    </w:p>
    <w:p w:rsidR="00A50896" w:rsidRDefault="00A50896" w:rsidP="00A50896">
      <w:pPr>
        <w:spacing w:line="360" w:lineRule="auto"/>
        <w:ind w:firstLine="709"/>
        <w:jc w:val="both"/>
        <w:rPr>
          <w:rFonts w:eastAsia="Calibri"/>
          <w:sz w:val="28"/>
          <w:szCs w:val="28"/>
          <w:lang w:eastAsia="en-US"/>
        </w:rPr>
      </w:pPr>
      <w:r w:rsidRPr="00BE086B">
        <w:rPr>
          <w:bCs/>
          <w:sz w:val="28"/>
          <w:szCs w:val="28"/>
        </w:rPr>
        <w:t>При вивченні в</w:t>
      </w:r>
      <w:r w:rsidRPr="00BE086B">
        <w:rPr>
          <w:rFonts w:eastAsia="Calibri"/>
          <w:sz w:val="28"/>
          <w:szCs w:val="28"/>
          <w:lang w:eastAsia="en-US"/>
        </w:rPr>
        <w:t>пливу внутрішньошлункового введення НПЗЗ та парацетамолу на рівень больового порогу (В) при електричному подразненні кореня хвоста тварин за умов</w:t>
      </w:r>
      <w:r w:rsidRPr="00BE086B">
        <w:rPr>
          <w:sz w:val="28"/>
          <w:szCs w:val="28"/>
        </w:rPr>
        <w:t xml:space="preserve"> експериментального остеоартрозу встановлено, що середні показники больового порогу у вихідному стані (ВС) реєструвались в межах від 1,27±0,04 мА (група ІV) і 1,27±0,05 мА (група VІІI) до </w:t>
      </w:r>
      <w:r w:rsidRPr="00BE086B">
        <w:rPr>
          <w:bCs/>
          <w:sz w:val="28"/>
          <w:szCs w:val="28"/>
          <w:lang w:eastAsia="ru-RU"/>
        </w:rPr>
        <w:t>1,63</w:t>
      </w:r>
      <w:r w:rsidRPr="00BE086B">
        <w:rPr>
          <w:sz w:val="28"/>
          <w:szCs w:val="28"/>
        </w:rPr>
        <w:t xml:space="preserve">±0,12 мА (група VІ). При цьому на фоні введення всіх досліджуваних препаратів максимальний розвиток знеболюючої дії спостерігався на 90 хвилині (пік розвитку знеболюючої активності препаратів), а на 120 хвилині спостерігалось поступове зниження знеболюючої активності препаратів. </w:t>
      </w:r>
      <w:r w:rsidRPr="00BE086B">
        <w:rPr>
          <w:rFonts w:eastAsia="Calibri"/>
          <w:sz w:val="28"/>
          <w:szCs w:val="28"/>
          <w:lang w:eastAsia="en-US"/>
        </w:rPr>
        <w:t xml:space="preserve">Найвищий </w:t>
      </w:r>
      <w:r w:rsidRPr="00BE086B">
        <w:rPr>
          <w:rFonts w:eastAsia="Calibri"/>
          <w:sz w:val="28"/>
          <w:szCs w:val="28"/>
          <w:lang w:eastAsia="en-US"/>
        </w:rPr>
        <w:lastRenderedPageBreak/>
        <w:t xml:space="preserve">аналгетичний потенціал на 90 хвилині експерименту спостерігався у ІІІ групі при призначенні диклофенаку натрію (3,97±0,16 мА) та у </w:t>
      </w:r>
      <w:r w:rsidRPr="00BE086B">
        <w:rPr>
          <w:sz w:val="28"/>
          <w:szCs w:val="28"/>
        </w:rPr>
        <w:t>VI групі</w:t>
      </w:r>
      <w:r w:rsidRPr="00BE086B">
        <w:rPr>
          <w:rFonts w:eastAsia="Calibri"/>
          <w:sz w:val="28"/>
          <w:szCs w:val="28"/>
          <w:lang w:eastAsia="en-US"/>
        </w:rPr>
        <w:t xml:space="preserve"> при призначенні німесуліду (3,59±0,21 мА), а найнижчий – у </w:t>
      </w:r>
      <w:r w:rsidRPr="00BE086B">
        <w:rPr>
          <w:sz w:val="28"/>
          <w:szCs w:val="28"/>
        </w:rPr>
        <w:t>VІІI та VІІ групах при застосуванні парацетамолу (2,29±0,11 мА) та целекоксибу (2,57±0,19 мА) відповідно (табл. 3.1, рис. 3.1 - 3.2)</w:t>
      </w:r>
      <w:r w:rsidRPr="00BE086B">
        <w:rPr>
          <w:rFonts w:eastAsia="Calibri"/>
          <w:sz w:val="28"/>
          <w:szCs w:val="28"/>
          <w:lang w:eastAsia="en-US"/>
        </w:rPr>
        <w:t xml:space="preserve">. Відмічено, що на 120 хвилині експерименту найвищий аналгетичний потенціал також зберігався у </w:t>
      </w:r>
      <w:r w:rsidRPr="00BE086B">
        <w:rPr>
          <w:sz w:val="28"/>
          <w:szCs w:val="28"/>
        </w:rPr>
        <w:t>VI</w:t>
      </w:r>
      <w:r w:rsidRPr="00BE086B">
        <w:rPr>
          <w:rFonts w:eastAsia="Calibri"/>
          <w:sz w:val="28"/>
          <w:szCs w:val="28"/>
          <w:lang w:eastAsia="en-US"/>
        </w:rPr>
        <w:t xml:space="preserve"> та ІІІ групах при призначенні німесуліду та диклофенаку натрію відповідно, а найнижчий – у </w:t>
      </w:r>
      <w:r w:rsidRPr="00BE086B">
        <w:rPr>
          <w:sz w:val="28"/>
          <w:szCs w:val="28"/>
        </w:rPr>
        <w:t>VІІI та VІІ групах відповідно</w:t>
      </w:r>
      <w:r w:rsidRPr="00BE086B">
        <w:rPr>
          <w:rFonts w:eastAsia="Calibri"/>
          <w:sz w:val="28"/>
          <w:szCs w:val="28"/>
          <w:lang w:eastAsia="en-US"/>
        </w:rPr>
        <w:t>.</w:t>
      </w:r>
    </w:p>
    <w:p w:rsidR="00AF27FE" w:rsidRPr="00BE086B" w:rsidRDefault="00AF27FE" w:rsidP="00A50896">
      <w:pPr>
        <w:spacing w:line="360" w:lineRule="auto"/>
        <w:ind w:firstLine="709"/>
        <w:jc w:val="both"/>
        <w:rPr>
          <w:rFonts w:eastAsia="Calibri"/>
          <w:sz w:val="28"/>
          <w:szCs w:val="28"/>
          <w:lang w:eastAsia="en-US"/>
        </w:rPr>
      </w:pPr>
    </w:p>
    <w:p w:rsidR="00A50896" w:rsidRPr="00BE086B" w:rsidRDefault="00A50896" w:rsidP="00A50896">
      <w:pPr>
        <w:suppressAutoHyphens w:val="0"/>
        <w:spacing w:line="360" w:lineRule="auto"/>
        <w:ind w:firstLine="709"/>
        <w:jc w:val="right"/>
      </w:pPr>
      <w:r w:rsidRPr="00BE086B">
        <w:rPr>
          <w:rFonts w:eastAsia="Calibri"/>
          <w:i/>
          <w:iCs/>
          <w:sz w:val="28"/>
          <w:szCs w:val="28"/>
          <w:lang w:eastAsia="en-US"/>
        </w:rPr>
        <w:t>Таблиця 3.1</w:t>
      </w:r>
    </w:p>
    <w:p w:rsidR="00A50896" w:rsidRPr="00BE086B" w:rsidRDefault="00A50896" w:rsidP="00A50896">
      <w:pPr>
        <w:suppressAutoHyphens w:val="0"/>
        <w:spacing w:line="360" w:lineRule="auto"/>
        <w:jc w:val="center"/>
      </w:pPr>
      <w:r w:rsidRPr="00BE086B">
        <w:rPr>
          <w:rFonts w:eastAsia="Calibri"/>
          <w:b/>
          <w:bCs/>
          <w:sz w:val="28"/>
          <w:szCs w:val="28"/>
          <w:lang w:eastAsia="en-US"/>
        </w:rPr>
        <w:t xml:space="preserve">Поріг больової чутливості (В) щурів при електричному подразненні кореня хвоста за умов </w:t>
      </w:r>
      <w:r w:rsidRPr="00BE086B">
        <w:rPr>
          <w:b/>
          <w:bCs/>
          <w:sz w:val="28"/>
          <w:szCs w:val="28"/>
        </w:rPr>
        <w:t>експериментального остеоартрозу</w:t>
      </w:r>
      <w:r w:rsidRPr="00BE086B">
        <w:rPr>
          <w:rFonts w:eastAsia="Calibri"/>
          <w:b/>
          <w:bCs/>
          <w:sz w:val="28"/>
          <w:szCs w:val="28"/>
          <w:lang w:eastAsia="en-US"/>
        </w:rPr>
        <w:t xml:space="preserve"> та внутрішньошлункового введення НПЗЗ і парацетамолу (n=10)</w:t>
      </w:r>
    </w:p>
    <w:tbl>
      <w:tblPr>
        <w:tblW w:w="9605" w:type="dxa"/>
        <w:tblInd w:w="98" w:type="dxa"/>
        <w:tblLayout w:type="fixed"/>
        <w:tblCellMar>
          <w:left w:w="98" w:type="dxa"/>
        </w:tblCellMar>
        <w:tblLook w:val="0000" w:firstRow="0" w:lastRow="0" w:firstColumn="0" w:lastColumn="0" w:noHBand="0" w:noVBand="0"/>
      </w:tblPr>
      <w:tblGrid>
        <w:gridCol w:w="4374"/>
        <w:gridCol w:w="986"/>
        <w:gridCol w:w="1059"/>
        <w:gridCol w:w="1058"/>
        <w:gridCol w:w="1059"/>
        <w:gridCol w:w="1069"/>
      </w:tblGrid>
      <w:tr w:rsidR="00A50896" w:rsidRPr="00BE086B" w:rsidTr="00A7341E">
        <w:tc>
          <w:tcPr>
            <w:tcW w:w="4374" w:type="dxa"/>
            <w:vMerge w:val="restart"/>
            <w:tcBorders>
              <w:top w:val="single" w:sz="4" w:space="0" w:color="000001"/>
              <w:left w:val="single" w:sz="4" w:space="0" w:color="000001"/>
              <w:bottom w:val="none" w:sz="0" w:space="0" w:color="000000"/>
            </w:tcBorders>
            <w:shd w:val="clear" w:color="auto" w:fill="auto"/>
            <w:vAlign w:val="center"/>
          </w:tcPr>
          <w:p w:rsidR="00A50896" w:rsidRPr="00BE086B" w:rsidRDefault="00A50896" w:rsidP="00C67283">
            <w:pPr>
              <w:pStyle w:val="af3"/>
              <w:spacing w:before="0" w:after="0"/>
              <w:jc w:val="center"/>
            </w:pPr>
            <w:r w:rsidRPr="00BE086B">
              <w:rPr>
                <w:b/>
                <w:sz w:val="28"/>
                <w:szCs w:val="28"/>
              </w:rPr>
              <w:t>Група, препарат</w:t>
            </w:r>
          </w:p>
          <w:p w:rsidR="00A50896" w:rsidRPr="00BE086B" w:rsidRDefault="00A50896" w:rsidP="00C67283">
            <w:pPr>
              <w:pStyle w:val="af3"/>
              <w:spacing w:before="0" w:after="0"/>
              <w:jc w:val="center"/>
            </w:pPr>
            <w:r w:rsidRPr="00BE086B">
              <w:rPr>
                <w:b/>
                <w:sz w:val="28"/>
                <w:szCs w:val="28"/>
              </w:rPr>
              <w:t>та його доза</w:t>
            </w:r>
          </w:p>
        </w:tc>
        <w:tc>
          <w:tcPr>
            <w:tcW w:w="5231" w:type="dxa"/>
            <w:gridSpan w:val="5"/>
            <w:tcBorders>
              <w:top w:val="single" w:sz="4" w:space="0" w:color="000001"/>
              <w:left w:val="single" w:sz="4" w:space="0" w:color="000001"/>
              <w:bottom w:val="single" w:sz="4" w:space="0" w:color="000001"/>
              <w:right w:val="single" w:sz="4" w:space="0" w:color="000001"/>
            </w:tcBorders>
            <w:shd w:val="clear" w:color="auto" w:fill="auto"/>
          </w:tcPr>
          <w:p w:rsidR="00A50896" w:rsidRPr="00BE086B" w:rsidRDefault="00A50896" w:rsidP="00C67283">
            <w:pPr>
              <w:pStyle w:val="af3"/>
              <w:spacing w:before="0" w:after="0"/>
              <w:jc w:val="center"/>
            </w:pPr>
            <w:r w:rsidRPr="00BE086B">
              <w:rPr>
                <w:b/>
                <w:bCs/>
                <w:sz w:val="28"/>
                <w:szCs w:val="28"/>
              </w:rPr>
              <w:t xml:space="preserve">Величина больового порогу (мА), </w:t>
            </w:r>
            <w:r w:rsidRPr="00BE086B">
              <w:rPr>
                <w:b/>
                <w:bCs/>
                <w:sz w:val="28"/>
                <w:szCs w:val="28"/>
                <w:lang w:val="en-US"/>
              </w:rPr>
              <w:t>M</w:t>
            </w:r>
            <w:r w:rsidRPr="00BE086B">
              <w:rPr>
                <w:b/>
                <w:bCs/>
                <w:sz w:val="28"/>
                <w:szCs w:val="28"/>
              </w:rPr>
              <w:t>±</w:t>
            </w:r>
            <w:r w:rsidRPr="00BE086B">
              <w:rPr>
                <w:b/>
                <w:bCs/>
                <w:sz w:val="28"/>
                <w:szCs w:val="28"/>
                <w:lang w:val="en-US"/>
              </w:rPr>
              <w:t>m</w:t>
            </w:r>
          </w:p>
        </w:tc>
      </w:tr>
      <w:tr w:rsidR="00A50896" w:rsidRPr="00BE086B" w:rsidTr="00A7341E">
        <w:tc>
          <w:tcPr>
            <w:tcW w:w="4374" w:type="dxa"/>
            <w:vMerge/>
            <w:tcBorders>
              <w:top w:val="single" w:sz="4" w:space="0" w:color="000001"/>
              <w:left w:val="single" w:sz="4" w:space="0" w:color="000001"/>
              <w:bottom w:val="none" w:sz="0" w:space="0" w:color="000000"/>
            </w:tcBorders>
            <w:shd w:val="clear" w:color="auto" w:fill="auto"/>
            <w:vAlign w:val="center"/>
          </w:tcPr>
          <w:p w:rsidR="00A50896" w:rsidRPr="00BE086B" w:rsidRDefault="00A50896" w:rsidP="00C67283">
            <w:pPr>
              <w:suppressAutoHyphens w:val="0"/>
              <w:snapToGrid w:val="0"/>
              <w:rPr>
                <w:sz w:val="28"/>
                <w:szCs w:val="28"/>
                <w:lang w:eastAsia="ru-RU"/>
              </w:rPr>
            </w:pPr>
          </w:p>
        </w:tc>
        <w:tc>
          <w:tcPr>
            <w:tcW w:w="986" w:type="dxa"/>
            <w:tcBorders>
              <w:top w:val="single" w:sz="4" w:space="0" w:color="000001"/>
              <w:left w:val="single" w:sz="4" w:space="0" w:color="000001"/>
              <w:bottom w:val="single" w:sz="4" w:space="0" w:color="000001"/>
            </w:tcBorders>
            <w:shd w:val="clear" w:color="auto" w:fill="auto"/>
          </w:tcPr>
          <w:p w:rsidR="00A50896" w:rsidRPr="00BE086B" w:rsidRDefault="00A50896" w:rsidP="00C67283">
            <w:pPr>
              <w:jc w:val="center"/>
            </w:pPr>
            <w:r w:rsidRPr="00BE086B">
              <w:rPr>
                <w:bCs/>
                <w:sz w:val="28"/>
                <w:szCs w:val="28"/>
              </w:rPr>
              <w:t>ВС</w:t>
            </w:r>
          </w:p>
        </w:tc>
        <w:tc>
          <w:tcPr>
            <w:tcW w:w="1059" w:type="dxa"/>
            <w:tcBorders>
              <w:top w:val="single" w:sz="4" w:space="0" w:color="000001"/>
              <w:left w:val="single" w:sz="4" w:space="0" w:color="000001"/>
              <w:bottom w:val="single" w:sz="4" w:space="0" w:color="000001"/>
            </w:tcBorders>
            <w:shd w:val="clear" w:color="auto" w:fill="auto"/>
          </w:tcPr>
          <w:p w:rsidR="00A50896" w:rsidRPr="00BE086B" w:rsidRDefault="00A50896" w:rsidP="00C67283">
            <w:pPr>
              <w:jc w:val="center"/>
            </w:pPr>
            <w:r w:rsidRPr="00BE086B">
              <w:rPr>
                <w:bCs/>
                <w:sz w:val="28"/>
                <w:szCs w:val="28"/>
              </w:rPr>
              <w:t>30 хв</w:t>
            </w:r>
          </w:p>
        </w:tc>
        <w:tc>
          <w:tcPr>
            <w:tcW w:w="1058" w:type="dxa"/>
            <w:tcBorders>
              <w:top w:val="single" w:sz="4" w:space="0" w:color="000001"/>
              <w:left w:val="single" w:sz="4" w:space="0" w:color="000001"/>
              <w:bottom w:val="single" w:sz="4" w:space="0" w:color="000001"/>
            </w:tcBorders>
            <w:shd w:val="clear" w:color="auto" w:fill="auto"/>
          </w:tcPr>
          <w:p w:rsidR="00A50896" w:rsidRPr="00BE086B" w:rsidRDefault="00A50896" w:rsidP="00C67283">
            <w:pPr>
              <w:jc w:val="center"/>
            </w:pPr>
            <w:r w:rsidRPr="00BE086B">
              <w:rPr>
                <w:bCs/>
                <w:sz w:val="28"/>
                <w:szCs w:val="28"/>
              </w:rPr>
              <w:t>60 хв</w:t>
            </w:r>
          </w:p>
        </w:tc>
        <w:tc>
          <w:tcPr>
            <w:tcW w:w="1059" w:type="dxa"/>
            <w:tcBorders>
              <w:top w:val="single" w:sz="4" w:space="0" w:color="000001"/>
              <w:left w:val="single" w:sz="4" w:space="0" w:color="000001"/>
              <w:bottom w:val="single" w:sz="4" w:space="0" w:color="000001"/>
            </w:tcBorders>
            <w:shd w:val="clear" w:color="auto" w:fill="auto"/>
          </w:tcPr>
          <w:p w:rsidR="00A50896" w:rsidRPr="00BE086B" w:rsidRDefault="00A50896" w:rsidP="00C67283">
            <w:pPr>
              <w:jc w:val="center"/>
            </w:pPr>
            <w:r w:rsidRPr="00BE086B">
              <w:rPr>
                <w:bCs/>
                <w:sz w:val="28"/>
                <w:szCs w:val="28"/>
              </w:rPr>
              <w:t>90 хв</w:t>
            </w:r>
          </w:p>
        </w:tc>
        <w:tc>
          <w:tcPr>
            <w:tcW w:w="1069" w:type="dxa"/>
            <w:tcBorders>
              <w:top w:val="single" w:sz="4" w:space="0" w:color="000001"/>
              <w:left w:val="single" w:sz="4" w:space="0" w:color="000001"/>
              <w:bottom w:val="single" w:sz="4" w:space="0" w:color="000001"/>
              <w:right w:val="single" w:sz="4" w:space="0" w:color="000001"/>
            </w:tcBorders>
            <w:shd w:val="clear" w:color="auto" w:fill="auto"/>
          </w:tcPr>
          <w:p w:rsidR="00A50896" w:rsidRPr="00BE086B" w:rsidRDefault="00A50896" w:rsidP="00C67283">
            <w:pPr>
              <w:jc w:val="center"/>
            </w:pPr>
            <w:r w:rsidRPr="00BE086B">
              <w:rPr>
                <w:bCs/>
                <w:sz w:val="28"/>
                <w:szCs w:val="28"/>
              </w:rPr>
              <w:t>120 хв</w:t>
            </w:r>
          </w:p>
        </w:tc>
      </w:tr>
      <w:tr w:rsidR="00A50896" w:rsidRPr="00BE086B" w:rsidTr="00A7341E">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pStyle w:val="WW-"/>
              <w:spacing w:after="0" w:line="240" w:lineRule="auto"/>
              <w:jc w:val="center"/>
              <w:rPr>
                <w:rFonts w:ascii="Times New Roman" w:hAnsi="Times New Roman" w:cs="Times New Roman"/>
                <w:color w:val="auto"/>
                <w:sz w:val="28"/>
                <w:szCs w:val="28"/>
              </w:rPr>
            </w:pPr>
            <w:r w:rsidRPr="00BE086B">
              <w:rPr>
                <w:rFonts w:ascii="Times New Roman" w:hAnsi="Times New Roman" w:cs="Times New Roman"/>
                <w:color w:val="auto"/>
                <w:sz w:val="28"/>
                <w:szCs w:val="28"/>
              </w:rPr>
              <w:t>1</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rPr>
                <w:rFonts w:eastAsia="Calibri"/>
                <w:sz w:val="28"/>
                <w:szCs w:val="28"/>
                <w:lang w:eastAsia="en-US"/>
              </w:rPr>
            </w:pPr>
            <w:r w:rsidRPr="00BE086B">
              <w:rPr>
                <w:rFonts w:eastAsia="Calibri"/>
                <w:sz w:val="28"/>
                <w:szCs w:val="28"/>
                <w:lang w:eastAsia="en-US"/>
              </w:rPr>
              <w:t>2</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rPr>
                <w:rFonts w:eastAsia="Calibri"/>
                <w:sz w:val="28"/>
                <w:szCs w:val="28"/>
                <w:lang w:eastAsia="en-US"/>
              </w:rPr>
            </w:pPr>
            <w:r w:rsidRPr="00BE086B">
              <w:rPr>
                <w:rFonts w:eastAsia="Calibri"/>
                <w:sz w:val="28"/>
                <w:szCs w:val="28"/>
                <w:lang w:eastAsia="en-US"/>
              </w:rPr>
              <w:t>3</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rPr>
                <w:rFonts w:eastAsia="Calibri"/>
                <w:sz w:val="28"/>
                <w:szCs w:val="28"/>
                <w:lang w:eastAsia="en-US"/>
              </w:rPr>
            </w:pPr>
            <w:r w:rsidRPr="00BE086B">
              <w:rPr>
                <w:rFonts w:eastAsia="Calibri"/>
                <w:sz w:val="28"/>
                <w:szCs w:val="28"/>
                <w:lang w:eastAsia="en-US"/>
              </w:rPr>
              <w:t>4</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rPr>
                <w:rFonts w:eastAsia="Calibri"/>
                <w:sz w:val="28"/>
                <w:szCs w:val="28"/>
                <w:lang w:eastAsia="en-US"/>
              </w:rPr>
            </w:pPr>
            <w:r w:rsidRPr="00BE086B">
              <w:rPr>
                <w:rFonts w:eastAsia="Calibri"/>
                <w:sz w:val="28"/>
                <w:szCs w:val="28"/>
                <w:lang w:eastAsia="en-US"/>
              </w:rPr>
              <w:t>5</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C67283">
            <w:pPr>
              <w:suppressAutoHyphens w:val="0"/>
              <w:jc w:val="center"/>
              <w:rPr>
                <w:rFonts w:eastAsia="Calibri"/>
                <w:sz w:val="28"/>
                <w:szCs w:val="28"/>
                <w:lang w:eastAsia="en-US"/>
              </w:rPr>
            </w:pPr>
            <w:r w:rsidRPr="00BE086B">
              <w:rPr>
                <w:rFonts w:eastAsia="Calibri"/>
                <w:sz w:val="28"/>
                <w:szCs w:val="28"/>
                <w:lang w:eastAsia="en-US"/>
              </w:rPr>
              <w:t>6</w:t>
            </w:r>
          </w:p>
        </w:tc>
      </w:tr>
      <w:tr w:rsidR="00A50896" w:rsidRPr="00BE086B" w:rsidTr="00A7341E">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Інтактні щури (ІЩ)</w:t>
            </w:r>
          </w:p>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(n=10)</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1,86</w:t>
            </w:r>
          </w:p>
          <w:p w:rsidR="00A50896" w:rsidRPr="00BE086B" w:rsidRDefault="00A50896" w:rsidP="00C67283">
            <w:pPr>
              <w:suppressAutoHyphens w:val="0"/>
              <w:jc w:val="center"/>
            </w:pPr>
            <w:r w:rsidRPr="00BE086B">
              <w:rPr>
                <w:rFonts w:eastAsia="Calibri"/>
                <w:sz w:val="28"/>
                <w:szCs w:val="28"/>
                <w:lang w:eastAsia="en-US"/>
              </w:rPr>
              <w:t>±0,08</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1,92</w:t>
            </w:r>
          </w:p>
          <w:p w:rsidR="00A50896" w:rsidRPr="00BE086B" w:rsidRDefault="00A50896" w:rsidP="00C67283">
            <w:pPr>
              <w:suppressAutoHyphens w:val="0"/>
              <w:jc w:val="center"/>
            </w:pPr>
            <w:r w:rsidRPr="00BE086B">
              <w:rPr>
                <w:rFonts w:eastAsia="Calibri"/>
                <w:sz w:val="28"/>
                <w:szCs w:val="28"/>
                <w:lang w:eastAsia="en-US"/>
              </w:rPr>
              <w:t>±0,08</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1,75</w:t>
            </w:r>
          </w:p>
          <w:p w:rsidR="00A50896" w:rsidRPr="00BE086B" w:rsidRDefault="00A50896" w:rsidP="00C67283">
            <w:pPr>
              <w:suppressAutoHyphens w:val="0"/>
              <w:jc w:val="center"/>
            </w:pPr>
            <w:r w:rsidRPr="00BE086B">
              <w:rPr>
                <w:rFonts w:eastAsia="Calibri"/>
                <w:sz w:val="28"/>
                <w:szCs w:val="28"/>
                <w:lang w:eastAsia="en-US"/>
              </w:rPr>
              <w:t>±0,10</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1,80</w:t>
            </w:r>
          </w:p>
          <w:p w:rsidR="00A50896" w:rsidRPr="00BE086B" w:rsidRDefault="00A50896" w:rsidP="00C67283">
            <w:pPr>
              <w:suppressAutoHyphens w:val="0"/>
              <w:jc w:val="center"/>
            </w:pPr>
            <w:r w:rsidRPr="00BE086B">
              <w:rPr>
                <w:rFonts w:eastAsia="Calibri"/>
                <w:sz w:val="28"/>
                <w:szCs w:val="28"/>
                <w:lang w:eastAsia="en-US"/>
              </w:rPr>
              <w:t>±0,07</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1,65</w:t>
            </w:r>
          </w:p>
          <w:p w:rsidR="00A50896" w:rsidRPr="00BE086B" w:rsidRDefault="00A50896" w:rsidP="00C67283">
            <w:pPr>
              <w:suppressAutoHyphens w:val="0"/>
              <w:jc w:val="center"/>
            </w:pPr>
            <w:r w:rsidRPr="00BE086B">
              <w:rPr>
                <w:rFonts w:eastAsia="Calibri"/>
                <w:sz w:val="28"/>
                <w:szCs w:val="28"/>
                <w:lang w:eastAsia="en-US"/>
              </w:rPr>
              <w:t>±0,10</w:t>
            </w:r>
          </w:p>
        </w:tc>
      </w:tr>
      <w:tr w:rsidR="00A50896" w:rsidRPr="00BE086B" w:rsidTr="00A7341E">
        <w:tc>
          <w:tcPr>
            <w:tcW w:w="4374"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І група ЕОА</w:t>
            </w:r>
          </w:p>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(n=10)</w:t>
            </w:r>
          </w:p>
        </w:tc>
        <w:tc>
          <w:tcPr>
            <w:tcW w:w="986"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C67283">
            <w:pPr>
              <w:pStyle w:val="af3"/>
              <w:snapToGrid w:val="0"/>
              <w:spacing w:before="0" w:after="0"/>
              <w:jc w:val="center"/>
            </w:pPr>
            <w:r w:rsidRPr="00BE086B">
              <w:rPr>
                <w:sz w:val="28"/>
                <w:szCs w:val="28"/>
              </w:rPr>
              <w:t>1,42</w:t>
            </w:r>
            <w:r w:rsidRPr="00BE086B">
              <w:rPr>
                <w:sz w:val="28"/>
                <w:szCs w:val="28"/>
                <w:lang w:val="en-US"/>
              </w:rPr>
              <w:t>#</w:t>
            </w:r>
          </w:p>
          <w:p w:rsidR="00A50896" w:rsidRPr="00BE086B" w:rsidRDefault="00A50896" w:rsidP="00C67283">
            <w:pPr>
              <w:pStyle w:val="af3"/>
              <w:snapToGrid w:val="0"/>
              <w:spacing w:before="0" w:after="0"/>
              <w:jc w:val="center"/>
            </w:pPr>
            <w:r w:rsidRPr="00BE086B">
              <w:rPr>
                <w:rFonts w:eastAsia="Calibri"/>
                <w:sz w:val="28"/>
                <w:szCs w:val="28"/>
                <w:lang w:eastAsia="en-US"/>
              </w:rPr>
              <w:t>±</w:t>
            </w:r>
            <w:r w:rsidRPr="00BE086B">
              <w:rPr>
                <w:sz w:val="28"/>
                <w:szCs w:val="28"/>
              </w:rPr>
              <w:t>0,13</w:t>
            </w:r>
          </w:p>
        </w:tc>
        <w:tc>
          <w:tcPr>
            <w:tcW w:w="1059"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C67283">
            <w:pPr>
              <w:pStyle w:val="af3"/>
              <w:snapToGrid w:val="0"/>
              <w:spacing w:before="0" w:after="0"/>
              <w:jc w:val="center"/>
            </w:pPr>
            <w:r w:rsidRPr="00BE086B">
              <w:rPr>
                <w:sz w:val="28"/>
                <w:szCs w:val="28"/>
              </w:rPr>
              <w:t>1,38</w:t>
            </w:r>
            <w:r w:rsidRPr="00BE086B">
              <w:rPr>
                <w:sz w:val="28"/>
                <w:szCs w:val="28"/>
                <w:lang w:val="en-US"/>
              </w:rPr>
              <w:t>#</w:t>
            </w:r>
          </w:p>
          <w:p w:rsidR="00A50896" w:rsidRPr="00BE086B" w:rsidRDefault="00A50896" w:rsidP="00C67283">
            <w:pPr>
              <w:pStyle w:val="af3"/>
              <w:snapToGrid w:val="0"/>
              <w:spacing w:before="0" w:after="0"/>
              <w:jc w:val="center"/>
            </w:pPr>
            <w:r w:rsidRPr="00BE086B">
              <w:rPr>
                <w:bCs/>
                <w:sz w:val="28"/>
                <w:szCs w:val="28"/>
                <w:lang w:eastAsia="ru-RU"/>
              </w:rPr>
              <w:t>±0,09</w:t>
            </w:r>
          </w:p>
        </w:tc>
        <w:tc>
          <w:tcPr>
            <w:tcW w:w="1058"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sz w:val="28"/>
                <w:szCs w:val="28"/>
              </w:rPr>
              <w:t>1,31</w:t>
            </w:r>
            <w:r w:rsidRPr="00BE086B">
              <w:rPr>
                <w:sz w:val="28"/>
                <w:szCs w:val="28"/>
                <w:lang w:val="en-US"/>
              </w:rPr>
              <w:t>#</w:t>
            </w:r>
          </w:p>
          <w:p w:rsidR="00A50896" w:rsidRPr="00BE086B" w:rsidRDefault="00A50896" w:rsidP="00C67283">
            <w:pPr>
              <w:suppressAutoHyphens w:val="0"/>
              <w:jc w:val="center"/>
            </w:pPr>
            <w:r w:rsidRPr="00BE086B">
              <w:rPr>
                <w:rFonts w:eastAsia="Calibri"/>
                <w:sz w:val="28"/>
                <w:szCs w:val="28"/>
                <w:lang w:eastAsia="en-US"/>
              </w:rPr>
              <w:t>±</w:t>
            </w:r>
            <w:r w:rsidRPr="00BE086B">
              <w:rPr>
                <w:sz w:val="28"/>
                <w:szCs w:val="28"/>
              </w:rPr>
              <w:t>0,08</w:t>
            </w:r>
          </w:p>
        </w:tc>
        <w:tc>
          <w:tcPr>
            <w:tcW w:w="1059"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C67283">
            <w:pPr>
              <w:pStyle w:val="af3"/>
              <w:snapToGrid w:val="0"/>
              <w:spacing w:before="0" w:after="0"/>
              <w:jc w:val="center"/>
            </w:pPr>
            <w:r w:rsidRPr="00BE086B">
              <w:rPr>
                <w:sz w:val="28"/>
                <w:szCs w:val="28"/>
              </w:rPr>
              <w:t>1,40</w:t>
            </w:r>
            <w:r w:rsidRPr="00BE086B">
              <w:rPr>
                <w:sz w:val="28"/>
                <w:szCs w:val="28"/>
                <w:lang w:val="en-US"/>
              </w:rPr>
              <w:t>#</w:t>
            </w:r>
          </w:p>
          <w:p w:rsidR="00A50896" w:rsidRPr="00BE086B" w:rsidRDefault="00A50896" w:rsidP="00C67283">
            <w:pPr>
              <w:pStyle w:val="af3"/>
              <w:snapToGrid w:val="0"/>
              <w:spacing w:before="0" w:after="0"/>
              <w:jc w:val="center"/>
            </w:pPr>
            <w:r w:rsidRPr="00BE086B">
              <w:rPr>
                <w:rFonts w:eastAsia="Calibri"/>
                <w:sz w:val="28"/>
                <w:szCs w:val="28"/>
                <w:lang w:eastAsia="en-US"/>
              </w:rPr>
              <w:t>±</w:t>
            </w:r>
            <w:r w:rsidRPr="00BE086B">
              <w:rPr>
                <w:sz w:val="28"/>
                <w:szCs w:val="28"/>
              </w:rPr>
              <w:t>0,09</w:t>
            </w:r>
          </w:p>
        </w:tc>
        <w:tc>
          <w:tcPr>
            <w:tcW w:w="1069" w:type="dxa"/>
            <w:tcBorders>
              <w:top w:val="none" w:sz="0" w:space="0" w:color="000000"/>
              <w:left w:val="single" w:sz="4" w:space="0" w:color="000001"/>
              <w:bottom w:val="single" w:sz="4" w:space="0" w:color="000001"/>
              <w:right w:val="single" w:sz="4" w:space="0" w:color="000001"/>
            </w:tcBorders>
            <w:shd w:val="clear" w:color="auto" w:fill="auto"/>
            <w:vAlign w:val="center"/>
          </w:tcPr>
          <w:p w:rsidR="00A50896" w:rsidRPr="00BE086B" w:rsidRDefault="00A50896" w:rsidP="00C67283">
            <w:pPr>
              <w:pStyle w:val="af3"/>
              <w:snapToGrid w:val="0"/>
              <w:spacing w:before="0" w:after="0"/>
              <w:jc w:val="center"/>
            </w:pPr>
            <w:r w:rsidRPr="00BE086B">
              <w:rPr>
                <w:sz w:val="28"/>
                <w:szCs w:val="28"/>
              </w:rPr>
              <w:t>1,27</w:t>
            </w:r>
          </w:p>
          <w:p w:rsidR="00A50896" w:rsidRPr="00BE086B" w:rsidRDefault="00A50896" w:rsidP="00C67283">
            <w:pPr>
              <w:pStyle w:val="af3"/>
              <w:snapToGrid w:val="0"/>
              <w:spacing w:before="0" w:after="0"/>
              <w:jc w:val="center"/>
            </w:pPr>
            <w:r w:rsidRPr="00BE086B">
              <w:rPr>
                <w:rFonts w:eastAsia="Calibri"/>
                <w:sz w:val="28"/>
                <w:szCs w:val="28"/>
                <w:lang w:eastAsia="en-US"/>
              </w:rPr>
              <w:t>±</w:t>
            </w:r>
            <w:r w:rsidRPr="00BE086B">
              <w:rPr>
                <w:sz w:val="28"/>
                <w:szCs w:val="28"/>
              </w:rPr>
              <w:t>0,18</w:t>
            </w:r>
          </w:p>
        </w:tc>
      </w:tr>
      <w:tr w:rsidR="00A50896" w:rsidRPr="00BE086B" w:rsidTr="00A7341E">
        <w:trPr>
          <w:trHeight w:val="80"/>
        </w:trPr>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ІІІ група</w:t>
            </w:r>
          </w:p>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ЕОА + Диклофенак натрію</w:t>
            </w:r>
          </w:p>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10 мг/кг (n=10)</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bCs/>
                <w:sz w:val="28"/>
                <w:szCs w:val="28"/>
                <w:lang w:eastAsia="uk-UA"/>
              </w:rPr>
              <w:t>1,37</w:t>
            </w:r>
          </w:p>
          <w:p w:rsidR="00A50896" w:rsidRPr="00BE086B" w:rsidRDefault="00A50896" w:rsidP="00C67283">
            <w:pPr>
              <w:suppressAutoHyphens w:val="0"/>
              <w:jc w:val="center"/>
            </w:pPr>
            <w:r w:rsidRPr="00BE086B">
              <w:rPr>
                <w:bCs/>
                <w:sz w:val="28"/>
                <w:szCs w:val="28"/>
                <w:lang w:eastAsia="uk-UA"/>
              </w:rPr>
              <w:t>±</w:t>
            </w:r>
            <w:r w:rsidRPr="00BE086B">
              <w:rPr>
                <w:rFonts w:eastAsia="Calibri"/>
                <w:sz w:val="28"/>
                <w:szCs w:val="28"/>
                <w:lang w:eastAsia="uk-UA"/>
              </w:rPr>
              <w:t>0,08</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bCs/>
                <w:sz w:val="28"/>
                <w:szCs w:val="28"/>
                <w:lang w:eastAsia="ru-RU"/>
              </w:rPr>
              <w:t>2,37</w:t>
            </w:r>
            <w:r w:rsidRPr="00BE086B">
              <w:rPr>
                <w:sz w:val="28"/>
                <w:szCs w:val="28"/>
              </w:rPr>
              <w:t>*</w:t>
            </w:r>
            <w:r w:rsidRPr="00BE086B">
              <w:rPr>
                <w:bCs/>
                <w:i/>
                <w:sz w:val="28"/>
                <w:szCs w:val="28"/>
                <w:vertAlign w:val="superscript"/>
                <w:lang w:eastAsia="ru-RU"/>
              </w:rPr>
              <w:t xml:space="preserve">¤ </w:t>
            </w:r>
          </w:p>
          <w:p w:rsidR="00A50896" w:rsidRPr="00BE086B" w:rsidRDefault="00A50896" w:rsidP="00C67283">
            <w:pPr>
              <w:suppressAutoHyphens w:val="0"/>
              <w:jc w:val="center"/>
            </w:pPr>
            <w:r w:rsidRPr="00BE086B">
              <w:rPr>
                <w:bCs/>
                <w:sz w:val="28"/>
                <w:szCs w:val="28"/>
                <w:lang w:eastAsia="ru-RU"/>
              </w:rPr>
              <w:t>±</w:t>
            </w:r>
            <w:r w:rsidRPr="00BE086B">
              <w:rPr>
                <w:rFonts w:eastAsia="Calibri"/>
                <w:sz w:val="28"/>
                <w:szCs w:val="28"/>
                <w:lang w:eastAsia="ru-RU"/>
              </w:rPr>
              <w:t>0,11</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bCs/>
                <w:sz w:val="28"/>
                <w:szCs w:val="28"/>
                <w:lang w:eastAsia="ru-RU"/>
              </w:rPr>
              <w:t>3,18*</w:t>
            </w:r>
            <w:r w:rsidRPr="00BE086B">
              <w:rPr>
                <w:bCs/>
                <w:i/>
                <w:sz w:val="28"/>
                <w:szCs w:val="28"/>
                <w:vertAlign w:val="superscript"/>
                <w:lang w:eastAsia="ru-RU"/>
              </w:rPr>
              <w:t xml:space="preserve">¤ </w:t>
            </w:r>
          </w:p>
          <w:p w:rsidR="00A50896" w:rsidRPr="00BE086B" w:rsidRDefault="00A50896" w:rsidP="00C67283">
            <w:pPr>
              <w:suppressAutoHyphens w:val="0"/>
              <w:jc w:val="center"/>
            </w:pPr>
            <w:r w:rsidRPr="00BE086B">
              <w:rPr>
                <w:bCs/>
                <w:sz w:val="28"/>
                <w:szCs w:val="28"/>
                <w:lang w:eastAsia="ru-RU"/>
              </w:rPr>
              <w:t>±</w:t>
            </w:r>
            <w:r w:rsidRPr="00BE086B">
              <w:rPr>
                <w:rFonts w:eastAsia="Calibri"/>
                <w:sz w:val="28"/>
                <w:szCs w:val="28"/>
                <w:lang w:eastAsia="ru-RU"/>
              </w:rPr>
              <w:t>0,12</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bCs/>
                <w:sz w:val="28"/>
                <w:szCs w:val="28"/>
                <w:lang w:eastAsia="ru-RU"/>
              </w:rPr>
              <w:t>3,97*</w:t>
            </w:r>
            <w:r w:rsidRPr="00BE086B">
              <w:rPr>
                <w:bCs/>
                <w:i/>
                <w:sz w:val="28"/>
                <w:szCs w:val="28"/>
                <w:vertAlign w:val="superscript"/>
                <w:lang w:eastAsia="ru-RU"/>
              </w:rPr>
              <w:t xml:space="preserve">¤ </w:t>
            </w:r>
          </w:p>
          <w:p w:rsidR="00A50896" w:rsidRPr="00BE086B" w:rsidRDefault="00A50896" w:rsidP="00C67283">
            <w:pPr>
              <w:suppressAutoHyphens w:val="0"/>
              <w:jc w:val="center"/>
            </w:pPr>
            <w:r w:rsidRPr="00BE086B">
              <w:rPr>
                <w:bCs/>
                <w:sz w:val="28"/>
                <w:szCs w:val="28"/>
                <w:lang w:eastAsia="ru-RU"/>
              </w:rPr>
              <w:t>±</w:t>
            </w:r>
            <w:r w:rsidRPr="00BE086B">
              <w:rPr>
                <w:rFonts w:eastAsia="Calibri"/>
                <w:sz w:val="28"/>
                <w:szCs w:val="28"/>
                <w:lang w:eastAsia="ru-RU"/>
              </w:rPr>
              <w:t>0,16</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C67283">
            <w:pPr>
              <w:suppressAutoHyphens w:val="0"/>
              <w:jc w:val="center"/>
            </w:pPr>
            <w:r w:rsidRPr="00BE086B">
              <w:rPr>
                <w:bCs/>
                <w:sz w:val="28"/>
                <w:szCs w:val="28"/>
                <w:lang w:eastAsia="ru-RU"/>
              </w:rPr>
              <w:t>3,01*</w:t>
            </w:r>
            <w:r w:rsidRPr="00BE086B">
              <w:rPr>
                <w:bCs/>
                <w:i/>
                <w:sz w:val="28"/>
                <w:szCs w:val="28"/>
                <w:vertAlign w:val="superscript"/>
                <w:lang w:eastAsia="ru-RU"/>
              </w:rPr>
              <w:t xml:space="preserve">¤ </w:t>
            </w:r>
          </w:p>
          <w:p w:rsidR="00A50896" w:rsidRPr="00BE086B" w:rsidRDefault="00A50896" w:rsidP="00C67283">
            <w:pPr>
              <w:suppressAutoHyphens w:val="0"/>
              <w:jc w:val="center"/>
            </w:pPr>
            <w:r w:rsidRPr="00BE086B">
              <w:rPr>
                <w:bCs/>
                <w:sz w:val="28"/>
                <w:szCs w:val="28"/>
                <w:lang w:eastAsia="ru-RU"/>
              </w:rPr>
              <w:t>±</w:t>
            </w:r>
            <w:r w:rsidRPr="00BE086B">
              <w:rPr>
                <w:rFonts w:eastAsia="Calibri"/>
                <w:sz w:val="28"/>
                <w:szCs w:val="28"/>
                <w:lang w:eastAsia="ru-RU"/>
              </w:rPr>
              <w:t>0,10</w:t>
            </w:r>
          </w:p>
        </w:tc>
      </w:tr>
      <w:tr w:rsidR="00A50896" w:rsidRPr="00BE086B" w:rsidTr="00A7341E">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ІV група</w:t>
            </w:r>
          </w:p>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ЕОА + Ібупрофен 5 мг/кг (n=10)</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pPr>
            <w:r w:rsidRPr="00BE086B">
              <w:rPr>
                <w:sz w:val="28"/>
                <w:szCs w:val="28"/>
              </w:rPr>
              <w:t>1,27</w:t>
            </w:r>
          </w:p>
          <w:p w:rsidR="00A50896" w:rsidRPr="00BE086B" w:rsidRDefault="00A50896" w:rsidP="00C67283">
            <w:pPr>
              <w:pStyle w:val="af3"/>
              <w:snapToGrid w:val="0"/>
              <w:spacing w:before="0" w:after="0"/>
              <w:jc w:val="center"/>
            </w:pPr>
            <w:r w:rsidRPr="00BE086B">
              <w:rPr>
                <w:sz w:val="28"/>
                <w:szCs w:val="28"/>
              </w:rPr>
              <w:t>±0,04</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pPr>
            <w:r w:rsidRPr="00BE086B">
              <w:rPr>
                <w:sz w:val="28"/>
                <w:szCs w:val="28"/>
              </w:rPr>
              <w:t>2,27*</w:t>
            </w:r>
            <w:r w:rsidRPr="00BE086B">
              <w:rPr>
                <w:bCs/>
                <w:i/>
                <w:sz w:val="28"/>
                <w:szCs w:val="28"/>
                <w:vertAlign w:val="superscript"/>
                <w:lang w:eastAsia="ru-RU"/>
              </w:rPr>
              <w:t>¤</w:t>
            </w:r>
          </w:p>
          <w:p w:rsidR="00A50896" w:rsidRPr="00BE086B" w:rsidRDefault="00A50896" w:rsidP="00C67283">
            <w:pPr>
              <w:jc w:val="center"/>
            </w:pPr>
            <w:r w:rsidRPr="00BE086B">
              <w:rPr>
                <w:sz w:val="28"/>
                <w:szCs w:val="28"/>
              </w:rPr>
              <w:t>±0,16</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pPr>
            <w:r w:rsidRPr="00BE086B">
              <w:rPr>
                <w:sz w:val="28"/>
                <w:szCs w:val="28"/>
              </w:rPr>
              <w:t>2,9*</w:t>
            </w:r>
            <w:r w:rsidRPr="00BE086B">
              <w:rPr>
                <w:bCs/>
                <w:i/>
                <w:sz w:val="28"/>
                <w:szCs w:val="28"/>
                <w:vertAlign w:val="superscript"/>
                <w:lang w:eastAsia="ru-RU"/>
              </w:rPr>
              <w:t>¤</w:t>
            </w:r>
          </w:p>
          <w:p w:rsidR="00A50896" w:rsidRPr="00BE086B" w:rsidRDefault="00A50896" w:rsidP="00C67283">
            <w:pPr>
              <w:jc w:val="center"/>
            </w:pPr>
            <w:r w:rsidRPr="00BE086B">
              <w:rPr>
                <w:sz w:val="28"/>
                <w:szCs w:val="28"/>
              </w:rPr>
              <w:t>±0,09</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pPr>
            <w:r w:rsidRPr="00BE086B">
              <w:rPr>
                <w:sz w:val="28"/>
                <w:szCs w:val="28"/>
              </w:rPr>
              <w:t>2,98*</w:t>
            </w:r>
            <w:r w:rsidRPr="00BE086B">
              <w:rPr>
                <w:bCs/>
                <w:i/>
                <w:sz w:val="28"/>
                <w:szCs w:val="28"/>
                <w:vertAlign w:val="superscript"/>
                <w:lang w:eastAsia="ru-RU"/>
              </w:rPr>
              <w:t>¤</w:t>
            </w:r>
          </w:p>
          <w:p w:rsidR="00A50896" w:rsidRPr="00BE086B" w:rsidRDefault="00A50896" w:rsidP="00C67283">
            <w:pPr>
              <w:jc w:val="center"/>
            </w:pPr>
            <w:r w:rsidRPr="00BE086B">
              <w:rPr>
                <w:sz w:val="28"/>
                <w:szCs w:val="28"/>
              </w:rPr>
              <w:t>±0,12</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C67283">
            <w:pPr>
              <w:jc w:val="center"/>
            </w:pPr>
            <w:r w:rsidRPr="00BE086B">
              <w:rPr>
                <w:sz w:val="28"/>
                <w:szCs w:val="28"/>
              </w:rPr>
              <w:t>2,67*</w:t>
            </w:r>
            <w:r w:rsidRPr="00BE086B">
              <w:rPr>
                <w:bCs/>
                <w:i/>
                <w:sz w:val="28"/>
                <w:szCs w:val="28"/>
                <w:vertAlign w:val="superscript"/>
                <w:lang w:eastAsia="ru-RU"/>
              </w:rPr>
              <w:t>¤</w:t>
            </w:r>
          </w:p>
          <w:p w:rsidR="00A50896" w:rsidRPr="00BE086B" w:rsidRDefault="00A50896" w:rsidP="00C67283">
            <w:pPr>
              <w:jc w:val="center"/>
            </w:pPr>
            <w:r w:rsidRPr="00BE086B">
              <w:rPr>
                <w:sz w:val="28"/>
                <w:szCs w:val="28"/>
              </w:rPr>
              <w:t>±0,08</w:t>
            </w:r>
          </w:p>
        </w:tc>
      </w:tr>
      <w:tr w:rsidR="00A50896" w:rsidRPr="00BE086B" w:rsidTr="00A7341E">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V група</w:t>
            </w:r>
          </w:p>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ЕОА + Мелоксикам 10 мг/кг (n=10)</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1,58</w:t>
            </w:r>
          </w:p>
          <w:p w:rsidR="00A50896" w:rsidRPr="00BE086B" w:rsidRDefault="00A50896" w:rsidP="00C67283">
            <w:pPr>
              <w:suppressAutoHyphens w:val="0"/>
              <w:jc w:val="center"/>
            </w:pPr>
            <w:r w:rsidRPr="00BE086B">
              <w:rPr>
                <w:rFonts w:eastAsia="Calibri"/>
                <w:sz w:val="28"/>
                <w:szCs w:val="28"/>
                <w:lang w:eastAsia="en-US"/>
              </w:rPr>
              <w:t>±0,11</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2,42</w:t>
            </w:r>
            <w:r w:rsidRPr="00BE086B">
              <w:rPr>
                <w:sz w:val="28"/>
                <w:szCs w:val="28"/>
              </w:rPr>
              <w:t>*</w:t>
            </w:r>
            <w:r w:rsidRPr="00BE086B">
              <w:rPr>
                <w:rFonts w:eastAsia="Calibri"/>
                <w:i/>
                <w:sz w:val="28"/>
                <w:szCs w:val="28"/>
                <w:vertAlign w:val="superscript"/>
                <w:lang w:eastAsia="en-US"/>
              </w:rPr>
              <w:t xml:space="preserve">¤ </w:t>
            </w:r>
          </w:p>
          <w:p w:rsidR="00A50896" w:rsidRPr="00BE086B" w:rsidRDefault="00A50896" w:rsidP="00C67283">
            <w:pPr>
              <w:suppressAutoHyphens w:val="0"/>
              <w:jc w:val="center"/>
            </w:pPr>
            <w:r w:rsidRPr="00BE086B">
              <w:rPr>
                <w:rFonts w:eastAsia="Calibri"/>
                <w:sz w:val="28"/>
                <w:szCs w:val="28"/>
                <w:lang w:eastAsia="en-US"/>
              </w:rPr>
              <w:t>±0,17</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2,73*</w:t>
            </w:r>
            <w:r w:rsidRPr="00BE086B">
              <w:rPr>
                <w:rFonts w:eastAsia="Calibri"/>
                <w:i/>
                <w:sz w:val="28"/>
                <w:szCs w:val="28"/>
                <w:vertAlign w:val="superscript"/>
                <w:lang w:eastAsia="en-US"/>
              </w:rPr>
              <w:t>¤</w:t>
            </w:r>
          </w:p>
          <w:p w:rsidR="00A50896" w:rsidRPr="00BE086B" w:rsidRDefault="00A50896" w:rsidP="00C67283">
            <w:pPr>
              <w:suppressAutoHyphens w:val="0"/>
              <w:jc w:val="center"/>
            </w:pPr>
            <w:r w:rsidRPr="00BE086B">
              <w:rPr>
                <w:rFonts w:eastAsia="Calibri"/>
                <w:sz w:val="28"/>
                <w:szCs w:val="28"/>
                <w:lang w:eastAsia="en-US"/>
              </w:rPr>
              <w:t>±0,18</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3,48*</w:t>
            </w:r>
            <w:r w:rsidRPr="00BE086B">
              <w:rPr>
                <w:rFonts w:eastAsia="Calibri"/>
                <w:i/>
                <w:sz w:val="28"/>
                <w:szCs w:val="28"/>
                <w:vertAlign w:val="superscript"/>
                <w:lang w:eastAsia="en-US"/>
              </w:rPr>
              <w:t>¤</w:t>
            </w:r>
          </w:p>
          <w:p w:rsidR="00A50896" w:rsidRPr="00BE086B" w:rsidRDefault="00A50896" w:rsidP="00C67283">
            <w:pPr>
              <w:suppressAutoHyphens w:val="0"/>
              <w:jc w:val="center"/>
            </w:pPr>
            <w:r w:rsidRPr="00BE086B">
              <w:rPr>
                <w:rFonts w:eastAsia="Calibri"/>
                <w:sz w:val="28"/>
                <w:szCs w:val="28"/>
                <w:lang w:eastAsia="en-US"/>
              </w:rPr>
              <w:t>±0,19</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C67283">
            <w:pPr>
              <w:suppressAutoHyphens w:val="0"/>
              <w:jc w:val="center"/>
            </w:pPr>
            <w:r w:rsidRPr="00BE086B">
              <w:rPr>
                <w:rFonts w:eastAsia="Calibri"/>
                <w:sz w:val="28"/>
                <w:szCs w:val="28"/>
                <w:lang w:eastAsia="en-US"/>
              </w:rPr>
              <w:t>2,92*</w:t>
            </w:r>
            <w:r w:rsidRPr="00BE086B">
              <w:rPr>
                <w:rFonts w:eastAsia="Calibri"/>
                <w:i/>
                <w:sz w:val="28"/>
                <w:szCs w:val="28"/>
                <w:vertAlign w:val="superscript"/>
                <w:lang w:eastAsia="en-US"/>
              </w:rPr>
              <w:t>¤</w:t>
            </w:r>
          </w:p>
          <w:p w:rsidR="00A50896" w:rsidRPr="00BE086B" w:rsidRDefault="00A50896" w:rsidP="00C67283">
            <w:pPr>
              <w:suppressAutoHyphens w:val="0"/>
              <w:jc w:val="center"/>
            </w:pPr>
            <w:r w:rsidRPr="00BE086B">
              <w:rPr>
                <w:rFonts w:eastAsia="Calibri"/>
                <w:sz w:val="28"/>
                <w:szCs w:val="28"/>
                <w:lang w:eastAsia="en-US"/>
              </w:rPr>
              <w:t>±0,17</w:t>
            </w:r>
          </w:p>
        </w:tc>
      </w:tr>
      <w:tr w:rsidR="00A50896" w:rsidRPr="00BE086B" w:rsidTr="00A7341E">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VI група</w:t>
            </w:r>
          </w:p>
          <w:p w:rsidR="00A50896" w:rsidRPr="00BE086B" w:rsidRDefault="00A50896" w:rsidP="00C67283">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ЕОА + Німесулід 80 мг/кг (n=10)</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pPr>
            <w:r w:rsidRPr="00BE086B">
              <w:rPr>
                <w:sz w:val="28"/>
                <w:szCs w:val="28"/>
              </w:rPr>
              <w:t>1,63</w:t>
            </w:r>
          </w:p>
          <w:p w:rsidR="00A50896" w:rsidRPr="00BE086B" w:rsidRDefault="00A50896" w:rsidP="00C67283">
            <w:pPr>
              <w:pStyle w:val="af3"/>
              <w:snapToGrid w:val="0"/>
              <w:spacing w:before="0" w:after="0"/>
              <w:jc w:val="center"/>
            </w:pPr>
            <w:r w:rsidRPr="00BE086B">
              <w:rPr>
                <w:rFonts w:eastAsia="Calibri"/>
                <w:sz w:val="28"/>
                <w:szCs w:val="28"/>
                <w:lang w:eastAsia="en-US"/>
              </w:rPr>
              <w:t>±</w:t>
            </w:r>
            <w:r w:rsidRPr="00BE086B">
              <w:rPr>
                <w:sz w:val="28"/>
                <w:szCs w:val="28"/>
              </w:rPr>
              <w:t>0,12</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pPr>
            <w:r w:rsidRPr="00BE086B">
              <w:rPr>
                <w:sz w:val="28"/>
                <w:szCs w:val="28"/>
              </w:rPr>
              <w:t>2,45*</w:t>
            </w:r>
            <w:r w:rsidRPr="00BE086B">
              <w:rPr>
                <w:rFonts w:eastAsia="Calibri"/>
                <w:i/>
                <w:sz w:val="28"/>
                <w:szCs w:val="28"/>
                <w:vertAlign w:val="superscript"/>
                <w:lang w:eastAsia="en-US"/>
              </w:rPr>
              <w:t>¤</w:t>
            </w:r>
          </w:p>
          <w:p w:rsidR="00A50896" w:rsidRPr="00BE086B" w:rsidRDefault="00A50896" w:rsidP="00C67283">
            <w:pPr>
              <w:jc w:val="center"/>
            </w:pPr>
            <w:r w:rsidRPr="00BE086B">
              <w:rPr>
                <w:rFonts w:eastAsia="Calibri"/>
                <w:sz w:val="28"/>
                <w:szCs w:val="28"/>
                <w:lang w:eastAsia="en-US"/>
              </w:rPr>
              <w:t>±</w:t>
            </w:r>
            <w:r w:rsidRPr="00BE086B">
              <w:rPr>
                <w:sz w:val="28"/>
                <w:szCs w:val="28"/>
              </w:rPr>
              <w:t>0,09</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pPr>
            <w:r w:rsidRPr="00BE086B">
              <w:rPr>
                <w:sz w:val="28"/>
                <w:szCs w:val="28"/>
              </w:rPr>
              <w:t>2,82*</w:t>
            </w:r>
            <w:r w:rsidRPr="00BE086B">
              <w:rPr>
                <w:rFonts w:eastAsia="Calibri"/>
                <w:i/>
                <w:sz w:val="28"/>
                <w:szCs w:val="28"/>
                <w:vertAlign w:val="superscript"/>
                <w:lang w:eastAsia="en-US"/>
              </w:rPr>
              <w:t>¤</w:t>
            </w:r>
          </w:p>
          <w:p w:rsidR="00A50896" w:rsidRPr="00BE086B" w:rsidRDefault="00A50896" w:rsidP="00C67283">
            <w:pPr>
              <w:jc w:val="center"/>
            </w:pPr>
            <w:r w:rsidRPr="00BE086B">
              <w:rPr>
                <w:rFonts w:eastAsia="Calibri"/>
                <w:sz w:val="28"/>
                <w:szCs w:val="28"/>
                <w:lang w:eastAsia="en-US"/>
              </w:rPr>
              <w:t>±</w:t>
            </w:r>
            <w:r w:rsidRPr="00BE086B">
              <w:rPr>
                <w:sz w:val="28"/>
                <w:szCs w:val="28"/>
              </w:rPr>
              <w:t>0,11</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pPr>
            <w:r w:rsidRPr="00BE086B">
              <w:rPr>
                <w:sz w:val="28"/>
                <w:szCs w:val="28"/>
              </w:rPr>
              <w:t>3,59*</w:t>
            </w:r>
            <w:r w:rsidRPr="00BE086B">
              <w:rPr>
                <w:rFonts w:eastAsia="Calibri"/>
                <w:i/>
                <w:sz w:val="28"/>
                <w:szCs w:val="28"/>
                <w:vertAlign w:val="superscript"/>
                <w:lang w:eastAsia="en-US"/>
              </w:rPr>
              <w:t>¤</w:t>
            </w:r>
          </w:p>
          <w:p w:rsidR="00A50896" w:rsidRPr="00BE086B" w:rsidRDefault="00A50896" w:rsidP="00C67283">
            <w:pPr>
              <w:jc w:val="center"/>
            </w:pPr>
            <w:r w:rsidRPr="00BE086B">
              <w:rPr>
                <w:rFonts w:eastAsia="Calibri"/>
                <w:sz w:val="28"/>
                <w:szCs w:val="28"/>
                <w:lang w:eastAsia="en-US"/>
              </w:rPr>
              <w:t>±</w:t>
            </w:r>
            <w:r w:rsidRPr="00BE086B">
              <w:rPr>
                <w:sz w:val="28"/>
                <w:szCs w:val="28"/>
              </w:rPr>
              <w:t>0,21</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C67283">
            <w:pPr>
              <w:jc w:val="center"/>
            </w:pPr>
            <w:r w:rsidRPr="00BE086B">
              <w:rPr>
                <w:sz w:val="28"/>
                <w:szCs w:val="28"/>
              </w:rPr>
              <w:t>3,02*</w:t>
            </w:r>
            <w:r w:rsidRPr="00BE086B">
              <w:rPr>
                <w:rFonts w:eastAsia="Calibri"/>
                <w:i/>
                <w:sz w:val="28"/>
                <w:szCs w:val="28"/>
                <w:vertAlign w:val="superscript"/>
                <w:lang w:eastAsia="en-US"/>
              </w:rPr>
              <w:t>¤</w:t>
            </w:r>
          </w:p>
          <w:p w:rsidR="00A50896" w:rsidRPr="00BE086B" w:rsidRDefault="00A50896" w:rsidP="00C67283">
            <w:pPr>
              <w:jc w:val="center"/>
            </w:pPr>
            <w:r w:rsidRPr="00BE086B">
              <w:rPr>
                <w:rFonts w:eastAsia="Calibri"/>
                <w:sz w:val="28"/>
                <w:szCs w:val="28"/>
                <w:lang w:eastAsia="en-US"/>
              </w:rPr>
              <w:t>±</w:t>
            </w:r>
            <w:r w:rsidRPr="00BE086B">
              <w:rPr>
                <w:sz w:val="28"/>
                <w:szCs w:val="28"/>
              </w:rPr>
              <w:t>0,07</w:t>
            </w:r>
          </w:p>
        </w:tc>
      </w:tr>
      <w:tr w:rsidR="00A50896" w:rsidRPr="00BE086B" w:rsidTr="00A7341E">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pStyle w:val="WW-"/>
              <w:spacing w:after="0" w:line="240" w:lineRule="auto"/>
              <w:jc w:val="center"/>
              <w:rPr>
                <w:rFonts w:ascii="Times New Roman" w:hAnsi="Times New Roman" w:cs="Times New Roman"/>
                <w:color w:val="auto"/>
                <w:sz w:val="28"/>
                <w:szCs w:val="28"/>
              </w:rPr>
            </w:pPr>
            <w:r w:rsidRPr="00BE086B">
              <w:rPr>
                <w:rFonts w:ascii="Times New Roman" w:hAnsi="Times New Roman" w:cs="Times New Roman"/>
                <w:color w:val="auto"/>
                <w:sz w:val="28"/>
                <w:szCs w:val="28"/>
              </w:rPr>
              <w:t>VІI група</w:t>
            </w:r>
          </w:p>
          <w:p w:rsidR="00A50896" w:rsidRPr="00BE086B" w:rsidRDefault="00A50896" w:rsidP="00C67283">
            <w:pPr>
              <w:pStyle w:val="WW-"/>
              <w:spacing w:after="0" w:line="240" w:lineRule="auto"/>
              <w:jc w:val="center"/>
              <w:rPr>
                <w:rFonts w:ascii="Times New Roman" w:hAnsi="Times New Roman" w:cs="Times New Roman"/>
                <w:color w:val="auto"/>
                <w:sz w:val="28"/>
                <w:szCs w:val="28"/>
              </w:rPr>
            </w:pPr>
            <w:r w:rsidRPr="00BE086B">
              <w:rPr>
                <w:rFonts w:ascii="Times New Roman" w:hAnsi="Times New Roman" w:cs="Times New Roman"/>
                <w:color w:val="auto"/>
                <w:sz w:val="28"/>
                <w:szCs w:val="28"/>
              </w:rPr>
              <w:t>ЕОА + Целекоксиб 50 мг/кг (n=10)</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rPr>
                <w:sz w:val="28"/>
                <w:szCs w:val="28"/>
              </w:rPr>
            </w:pPr>
            <w:r w:rsidRPr="00BE086B">
              <w:rPr>
                <w:sz w:val="28"/>
                <w:szCs w:val="28"/>
              </w:rPr>
              <w:t>1,34</w:t>
            </w:r>
          </w:p>
          <w:p w:rsidR="00A50896" w:rsidRPr="00BE086B" w:rsidRDefault="00A50896" w:rsidP="00C67283">
            <w:pPr>
              <w:jc w:val="center"/>
              <w:rPr>
                <w:sz w:val="28"/>
                <w:szCs w:val="28"/>
              </w:rPr>
            </w:pPr>
            <w:r w:rsidRPr="00BE086B">
              <w:rPr>
                <w:sz w:val="28"/>
                <w:szCs w:val="28"/>
              </w:rPr>
              <w:t>±0,08</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rPr>
                <w:sz w:val="28"/>
                <w:szCs w:val="28"/>
              </w:rPr>
            </w:pPr>
            <w:r w:rsidRPr="00BE086B">
              <w:rPr>
                <w:sz w:val="28"/>
                <w:szCs w:val="28"/>
              </w:rPr>
              <w:t>2,01*¤</w:t>
            </w:r>
          </w:p>
          <w:p w:rsidR="00A50896" w:rsidRPr="00BE086B" w:rsidRDefault="00A50896" w:rsidP="00C67283">
            <w:pPr>
              <w:jc w:val="center"/>
              <w:rPr>
                <w:sz w:val="28"/>
                <w:szCs w:val="28"/>
              </w:rPr>
            </w:pPr>
            <w:r w:rsidRPr="00BE086B">
              <w:rPr>
                <w:sz w:val="28"/>
                <w:szCs w:val="28"/>
              </w:rPr>
              <w:t xml:space="preserve"> ±0,09</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rPr>
                <w:sz w:val="28"/>
                <w:szCs w:val="28"/>
              </w:rPr>
            </w:pPr>
            <w:r w:rsidRPr="00BE086B">
              <w:rPr>
                <w:sz w:val="28"/>
                <w:szCs w:val="28"/>
              </w:rPr>
              <w:t>2,32*¤</w:t>
            </w:r>
          </w:p>
          <w:p w:rsidR="00A50896" w:rsidRPr="00BE086B" w:rsidRDefault="00A50896" w:rsidP="00C67283">
            <w:pPr>
              <w:jc w:val="center"/>
              <w:rPr>
                <w:sz w:val="28"/>
                <w:szCs w:val="28"/>
              </w:rPr>
            </w:pPr>
            <w:r w:rsidRPr="00BE086B">
              <w:rPr>
                <w:sz w:val="28"/>
                <w:szCs w:val="28"/>
              </w:rPr>
              <w:t>±0,21</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C67283">
            <w:pPr>
              <w:jc w:val="center"/>
              <w:rPr>
                <w:sz w:val="28"/>
                <w:szCs w:val="28"/>
              </w:rPr>
            </w:pPr>
            <w:r w:rsidRPr="00BE086B">
              <w:rPr>
                <w:sz w:val="28"/>
                <w:szCs w:val="28"/>
              </w:rPr>
              <w:t>2,57*¤</w:t>
            </w:r>
          </w:p>
          <w:p w:rsidR="00A50896" w:rsidRPr="00BE086B" w:rsidRDefault="00A50896" w:rsidP="00C67283">
            <w:pPr>
              <w:jc w:val="center"/>
              <w:rPr>
                <w:sz w:val="28"/>
                <w:szCs w:val="28"/>
              </w:rPr>
            </w:pPr>
            <w:r w:rsidRPr="00BE086B">
              <w:rPr>
                <w:sz w:val="28"/>
                <w:szCs w:val="28"/>
              </w:rPr>
              <w:t>±0,19</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C67283">
            <w:pPr>
              <w:jc w:val="center"/>
              <w:rPr>
                <w:sz w:val="28"/>
                <w:szCs w:val="28"/>
              </w:rPr>
            </w:pPr>
            <w:r w:rsidRPr="00BE086B">
              <w:rPr>
                <w:sz w:val="28"/>
                <w:szCs w:val="28"/>
              </w:rPr>
              <w:t>2,3*¤</w:t>
            </w:r>
          </w:p>
          <w:p w:rsidR="00A50896" w:rsidRPr="00BE086B" w:rsidRDefault="00A50896" w:rsidP="00C67283">
            <w:pPr>
              <w:jc w:val="center"/>
              <w:rPr>
                <w:sz w:val="28"/>
                <w:szCs w:val="28"/>
              </w:rPr>
            </w:pPr>
            <w:r w:rsidRPr="00BE086B">
              <w:rPr>
                <w:sz w:val="28"/>
                <w:szCs w:val="28"/>
              </w:rPr>
              <w:t>±0,11</w:t>
            </w:r>
          </w:p>
        </w:tc>
      </w:tr>
    </w:tbl>
    <w:p w:rsidR="00A50896" w:rsidRDefault="00A50896" w:rsidP="00A50896">
      <w:pPr>
        <w:pStyle w:val="af0"/>
      </w:pPr>
    </w:p>
    <w:p w:rsidR="00AF27FE" w:rsidRDefault="00AF27FE" w:rsidP="00A50896">
      <w:pPr>
        <w:pStyle w:val="af0"/>
      </w:pPr>
    </w:p>
    <w:p w:rsidR="00AF27FE" w:rsidRDefault="00AF27FE" w:rsidP="00A50896">
      <w:pPr>
        <w:pStyle w:val="af0"/>
      </w:pPr>
    </w:p>
    <w:p w:rsidR="00AF27FE" w:rsidRDefault="00AF27FE" w:rsidP="00A50896">
      <w:pPr>
        <w:pStyle w:val="af0"/>
      </w:pPr>
    </w:p>
    <w:p w:rsidR="00A50896" w:rsidRPr="00BE086B" w:rsidRDefault="00A50896" w:rsidP="00A50896">
      <w:pPr>
        <w:pStyle w:val="af0"/>
        <w:spacing w:line="240" w:lineRule="auto"/>
        <w:jc w:val="right"/>
        <w:rPr>
          <w:i/>
          <w:sz w:val="28"/>
          <w:szCs w:val="28"/>
        </w:rPr>
      </w:pPr>
      <w:r w:rsidRPr="00BE086B">
        <w:rPr>
          <w:i/>
          <w:sz w:val="28"/>
          <w:szCs w:val="28"/>
        </w:rPr>
        <w:lastRenderedPageBreak/>
        <w:t>Продовження табл</w:t>
      </w:r>
      <w:r w:rsidR="00831597">
        <w:rPr>
          <w:i/>
          <w:sz w:val="28"/>
          <w:szCs w:val="28"/>
          <w:lang w:val="uk-UA"/>
        </w:rPr>
        <w:t>иці</w:t>
      </w:r>
      <w:r w:rsidRPr="00BE086B">
        <w:rPr>
          <w:i/>
          <w:sz w:val="28"/>
          <w:szCs w:val="28"/>
        </w:rPr>
        <w:t xml:space="preserve"> 3.1</w:t>
      </w:r>
    </w:p>
    <w:tbl>
      <w:tblPr>
        <w:tblW w:w="9605" w:type="dxa"/>
        <w:tblInd w:w="98" w:type="dxa"/>
        <w:tblLayout w:type="fixed"/>
        <w:tblCellMar>
          <w:left w:w="98" w:type="dxa"/>
        </w:tblCellMar>
        <w:tblLook w:val="0000" w:firstRow="0" w:lastRow="0" w:firstColumn="0" w:lastColumn="0" w:noHBand="0" w:noVBand="0"/>
      </w:tblPr>
      <w:tblGrid>
        <w:gridCol w:w="4374"/>
        <w:gridCol w:w="986"/>
        <w:gridCol w:w="1059"/>
        <w:gridCol w:w="1058"/>
        <w:gridCol w:w="1059"/>
        <w:gridCol w:w="1069"/>
      </w:tblGrid>
      <w:tr w:rsidR="00A50896" w:rsidRPr="00BE086B" w:rsidTr="00A7341E">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sz w:val="28"/>
                <w:szCs w:val="28"/>
              </w:rPr>
            </w:pPr>
            <w:r w:rsidRPr="00BE086B">
              <w:rPr>
                <w:rFonts w:ascii="Times New Roman" w:hAnsi="Times New Roman" w:cs="Times New Roman"/>
                <w:color w:val="auto"/>
                <w:sz w:val="28"/>
                <w:szCs w:val="28"/>
              </w:rPr>
              <w:t>1</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rPr>
                <w:rFonts w:eastAsia="Calibri"/>
                <w:sz w:val="28"/>
                <w:szCs w:val="28"/>
                <w:lang w:eastAsia="en-US"/>
              </w:rPr>
            </w:pPr>
            <w:r w:rsidRPr="00BE086B">
              <w:rPr>
                <w:rFonts w:eastAsia="Calibri"/>
                <w:sz w:val="28"/>
                <w:szCs w:val="28"/>
                <w:lang w:eastAsia="en-US"/>
              </w:rPr>
              <w:t>2</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rPr>
                <w:rFonts w:eastAsia="Calibri"/>
                <w:sz w:val="28"/>
                <w:szCs w:val="28"/>
                <w:lang w:eastAsia="en-US"/>
              </w:rPr>
            </w:pPr>
            <w:r w:rsidRPr="00BE086B">
              <w:rPr>
                <w:rFonts w:eastAsia="Calibri"/>
                <w:sz w:val="28"/>
                <w:szCs w:val="28"/>
                <w:lang w:eastAsia="en-US"/>
              </w:rPr>
              <w:t>3</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rPr>
                <w:rFonts w:eastAsia="Calibri"/>
                <w:sz w:val="28"/>
                <w:szCs w:val="28"/>
                <w:lang w:eastAsia="en-US"/>
              </w:rPr>
            </w:pPr>
            <w:r w:rsidRPr="00BE086B">
              <w:rPr>
                <w:rFonts w:eastAsia="Calibri"/>
                <w:sz w:val="28"/>
                <w:szCs w:val="28"/>
                <w:lang w:eastAsia="en-US"/>
              </w:rPr>
              <w:t>4</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rPr>
                <w:rFonts w:eastAsia="Calibri"/>
                <w:sz w:val="28"/>
                <w:szCs w:val="28"/>
                <w:lang w:eastAsia="en-US"/>
              </w:rPr>
            </w:pPr>
            <w:r w:rsidRPr="00BE086B">
              <w:rPr>
                <w:rFonts w:eastAsia="Calibri"/>
                <w:sz w:val="28"/>
                <w:szCs w:val="28"/>
                <w:lang w:eastAsia="en-US"/>
              </w:rPr>
              <w:t>5</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suppressAutoHyphens w:val="0"/>
              <w:jc w:val="center"/>
              <w:rPr>
                <w:rFonts w:eastAsia="Calibri"/>
                <w:sz w:val="28"/>
                <w:szCs w:val="28"/>
                <w:lang w:eastAsia="en-US"/>
              </w:rPr>
            </w:pPr>
            <w:r w:rsidRPr="00BE086B">
              <w:rPr>
                <w:rFonts w:eastAsia="Calibri"/>
                <w:sz w:val="28"/>
                <w:szCs w:val="28"/>
                <w:lang w:eastAsia="en-US"/>
              </w:rPr>
              <w:t>6</w:t>
            </w:r>
          </w:p>
        </w:tc>
      </w:tr>
      <w:tr w:rsidR="00A50896" w:rsidRPr="00BE086B" w:rsidTr="00A7341E">
        <w:trPr>
          <w:trHeight w:val="58"/>
        </w:trPr>
        <w:tc>
          <w:tcPr>
            <w:tcW w:w="4374"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VІІ</w:t>
            </w:r>
            <w:r w:rsidRPr="00BE086B">
              <w:rPr>
                <w:rFonts w:ascii="Times New Roman" w:hAnsi="Times New Roman" w:cs="Times New Roman"/>
                <w:color w:val="auto"/>
                <w:sz w:val="28"/>
                <w:szCs w:val="28"/>
                <w:lang w:val="en-US"/>
              </w:rPr>
              <w:t>I</w:t>
            </w:r>
            <w:r w:rsidRPr="00BE086B">
              <w:rPr>
                <w:rFonts w:ascii="Times New Roman" w:hAnsi="Times New Roman" w:cs="Times New Roman"/>
                <w:color w:val="auto"/>
                <w:sz w:val="28"/>
                <w:szCs w:val="28"/>
              </w:rPr>
              <w:t xml:space="preserve"> група</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Парацетамол 150 мг/кг (n=10)</w:t>
            </w:r>
          </w:p>
        </w:tc>
        <w:tc>
          <w:tcPr>
            <w:tcW w:w="986"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1,27</w:t>
            </w:r>
          </w:p>
          <w:p w:rsidR="00A50896" w:rsidRPr="00BE086B" w:rsidRDefault="00A50896" w:rsidP="00A7341E">
            <w:pPr>
              <w:pStyle w:val="af3"/>
              <w:snapToGrid w:val="0"/>
              <w:spacing w:before="0"/>
              <w:jc w:val="center"/>
            </w:pPr>
            <w:r w:rsidRPr="00BE086B">
              <w:rPr>
                <w:rFonts w:eastAsia="Calibri"/>
                <w:sz w:val="28"/>
                <w:szCs w:val="28"/>
                <w:lang w:eastAsia="en-US"/>
              </w:rPr>
              <w:t>±</w:t>
            </w:r>
            <w:r w:rsidRPr="00BE086B">
              <w:rPr>
                <w:sz w:val="28"/>
                <w:szCs w:val="28"/>
              </w:rPr>
              <w:t>0,05</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1,73*</w:t>
            </w:r>
          </w:p>
          <w:p w:rsidR="00A50896" w:rsidRPr="00BE086B" w:rsidRDefault="00A50896" w:rsidP="00A7341E">
            <w:pPr>
              <w:jc w:val="center"/>
            </w:pPr>
            <w:r w:rsidRPr="00BE086B">
              <w:rPr>
                <w:rFonts w:eastAsia="Calibri"/>
                <w:sz w:val="28"/>
                <w:szCs w:val="28"/>
                <w:lang w:eastAsia="en-US"/>
              </w:rPr>
              <w:t>±</w:t>
            </w:r>
            <w:r w:rsidRPr="00BE086B">
              <w:rPr>
                <w:sz w:val="28"/>
                <w:szCs w:val="28"/>
              </w:rPr>
              <w:t>0,12</w:t>
            </w:r>
          </w:p>
        </w:tc>
        <w:tc>
          <w:tcPr>
            <w:tcW w:w="1058"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2,01*</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0,15</w:t>
            </w:r>
          </w:p>
        </w:tc>
        <w:tc>
          <w:tcPr>
            <w:tcW w:w="1059"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2,29*</w:t>
            </w:r>
            <w:r w:rsidRPr="00BE086B">
              <w:rPr>
                <w:bCs/>
                <w:i/>
                <w:sz w:val="28"/>
                <w:szCs w:val="28"/>
                <w:vertAlign w:val="superscript"/>
                <w:lang w:eastAsia="ru-RU"/>
              </w:rPr>
              <w:t>¤</w:t>
            </w:r>
          </w:p>
          <w:p w:rsidR="00A50896" w:rsidRPr="00BE086B" w:rsidRDefault="00A50896" w:rsidP="00A7341E">
            <w:pPr>
              <w:jc w:val="center"/>
            </w:pPr>
            <w:r w:rsidRPr="00BE086B">
              <w:rPr>
                <w:rFonts w:eastAsia="Calibri"/>
                <w:sz w:val="28"/>
                <w:szCs w:val="28"/>
                <w:lang w:eastAsia="en-US"/>
              </w:rPr>
              <w:t>±</w:t>
            </w:r>
            <w:r w:rsidRPr="00BE086B">
              <w:rPr>
                <w:sz w:val="28"/>
                <w:szCs w:val="28"/>
              </w:rPr>
              <w:t>0,11</w:t>
            </w:r>
          </w:p>
        </w:tc>
        <w:tc>
          <w:tcPr>
            <w:tcW w:w="10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jc w:val="center"/>
            </w:pPr>
            <w:r w:rsidRPr="00BE086B">
              <w:rPr>
                <w:sz w:val="28"/>
                <w:szCs w:val="28"/>
              </w:rPr>
              <w:t>2,15*</w:t>
            </w:r>
            <w:r w:rsidRPr="00BE086B">
              <w:rPr>
                <w:bCs/>
                <w:i/>
                <w:sz w:val="28"/>
                <w:szCs w:val="28"/>
                <w:vertAlign w:val="superscript"/>
                <w:lang w:eastAsia="ru-RU"/>
              </w:rPr>
              <w:t>¤</w:t>
            </w:r>
          </w:p>
          <w:p w:rsidR="00A50896" w:rsidRPr="00BE086B" w:rsidRDefault="00A50896" w:rsidP="00A7341E">
            <w:pPr>
              <w:jc w:val="center"/>
            </w:pPr>
            <w:r w:rsidRPr="00BE086B">
              <w:rPr>
                <w:rFonts w:eastAsia="Calibri"/>
                <w:sz w:val="28"/>
                <w:szCs w:val="28"/>
                <w:lang w:eastAsia="en-US"/>
              </w:rPr>
              <w:t>±</w:t>
            </w:r>
            <w:r w:rsidRPr="00BE086B">
              <w:rPr>
                <w:sz w:val="28"/>
                <w:szCs w:val="28"/>
              </w:rPr>
              <w:t>0,09</w:t>
            </w:r>
          </w:p>
        </w:tc>
      </w:tr>
    </w:tbl>
    <w:p w:rsidR="00A50896" w:rsidRPr="00BE086B" w:rsidRDefault="00A50896" w:rsidP="00A50896">
      <w:pPr>
        <w:suppressAutoHyphens w:val="0"/>
        <w:spacing w:line="360" w:lineRule="auto"/>
        <w:ind w:firstLine="709"/>
        <w:jc w:val="both"/>
      </w:pPr>
      <w:r w:rsidRPr="00BE086B">
        <w:rPr>
          <w:b/>
          <w:bCs/>
          <w:iCs/>
          <w:sz w:val="28"/>
          <w:szCs w:val="28"/>
        </w:rPr>
        <w:t>Примітки:</w:t>
      </w:r>
      <w:r w:rsidRPr="00BE086B">
        <w:rPr>
          <w:iCs/>
          <w:sz w:val="28"/>
          <w:szCs w:val="28"/>
        </w:rPr>
        <w:t xml:space="preserve"> * - р </w:t>
      </w:r>
      <w:r w:rsidRPr="00BE086B">
        <w:rPr>
          <w:rFonts w:eastAsia="Calibri"/>
          <w:iCs/>
          <w:sz w:val="28"/>
          <w:szCs w:val="28"/>
          <w:lang w:eastAsia="en-US"/>
        </w:rPr>
        <w:t>&lt; </w:t>
      </w:r>
      <w:r w:rsidRPr="00BE086B">
        <w:rPr>
          <w:iCs/>
          <w:sz w:val="28"/>
          <w:szCs w:val="28"/>
        </w:rPr>
        <w:t xml:space="preserve">0,05 по відношенню до початкової больової чутливості (ПБЧ) у вихідному стані (ВС); </w:t>
      </w:r>
      <w:r w:rsidRPr="00BE086B">
        <w:rPr>
          <w:bCs/>
          <w:i/>
          <w:sz w:val="28"/>
          <w:szCs w:val="28"/>
          <w:vertAlign w:val="superscript"/>
          <w:lang w:eastAsia="ru-RU"/>
        </w:rPr>
        <w:t>¤</w:t>
      </w:r>
      <w:r w:rsidRPr="00BE086B">
        <w:rPr>
          <w:rFonts w:eastAsia="Calibri"/>
          <w:iCs/>
          <w:sz w:val="28"/>
          <w:szCs w:val="28"/>
          <w:lang w:eastAsia="en-US"/>
        </w:rPr>
        <w:t xml:space="preserve"> - р &lt; 0,05 у порівнянні з показниками групи активного контролю (</w:t>
      </w:r>
      <w:r w:rsidRPr="00BE086B">
        <w:rPr>
          <w:sz w:val="28"/>
          <w:szCs w:val="28"/>
        </w:rPr>
        <w:t xml:space="preserve">І група ЕОА); # - </w:t>
      </w:r>
      <w:r w:rsidRPr="00BE086B">
        <w:rPr>
          <w:rFonts w:eastAsia="Calibri"/>
          <w:iCs/>
          <w:sz w:val="28"/>
          <w:szCs w:val="28"/>
          <w:lang w:eastAsia="en-US"/>
        </w:rPr>
        <w:t>р &lt; 0,05 у порівнянні з показниками групи пасивного контролю (інтактні щури).</w:t>
      </w:r>
    </w:p>
    <w:p w:rsidR="00A50896" w:rsidRPr="00BE086B" w:rsidRDefault="00E16976" w:rsidP="00A50896">
      <w:pPr>
        <w:spacing w:line="360" w:lineRule="auto"/>
        <w:ind w:firstLine="709"/>
        <w:jc w:val="center"/>
        <w:rPr>
          <w:b/>
          <w:bCs/>
          <w:sz w:val="28"/>
          <w:szCs w:val="28"/>
        </w:rPr>
      </w:pPr>
      <w:r>
        <w:rPr>
          <w:b/>
          <w:bCs/>
          <w:noProof/>
          <w:sz w:val="28"/>
          <w:szCs w:val="28"/>
          <w:lang w:eastAsia="ru-RU"/>
        </w:rPr>
        <w:drawing>
          <wp:inline distT="0" distB="0" distL="0" distR="0">
            <wp:extent cx="4831200" cy="271440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1.jpg"/>
                    <pic:cNvPicPr/>
                  </pic:nvPicPr>
                  <pic:blipFill>
                    <a:blip r:embed="rId11">
                      <a:extLst>
                        <a:ext uri="{28A0092B-C50C-407E-A947-70E740481C1C}">
                          <a14:useLocalDpi xmlns:a14="http://schemas.microsoft.com/office/drawing/2010/main" val="0"/>
                        </a:ext>
                      </a:extLst>
                    </a:blip>
                    <a:stretch>
                      <a:fillRect/>
                    </a:stretch>
                  </pic:blipFill>
                  <pic:spPr>
                    <a:xfrm>
                      <a:off x="0" y="0"/>
                      <a:ext cx="4831200" cy="2714400"/>
                    </a:xfrm>
                    <a:prstGeom prst="rect">
                      <a:avLst/>
                    </a:prstGeom>
                  </pic:spPr>
                </pic:pic>
              </a:graphicData>
            </a:graphic>
          </wp:inline>
        </w:drawing>
      </w:r>
    </w:p>
    <w:p w:rsidR="00A50896" w:rsidRPr="00BE086B" w:rsidRDefault="00A50896" w:rsidP="00A50896">
      <w:pPr>
        <w:spacing w:line="360" w:lineRule="auto"/>
        <w:ind w:firstLine="709"/>
        <w:jc w:val="both"/>
      </w:pPr>
      <w:r w:rsidRPr="00BE086B">
        <w:rPr>
          <w:b/>
          <w:bCs/>
          <w:sz w:val="28"/>
          <w:szCs w:val="28"/>
        </w:rPr>
        <w:t>Рис. 3.1.</w:t>
      </w:r>
      <w:r w:rsidRPr="00BE086B">
        <w:rPr>
          <w:bCs/>
          <w:sz w:val="28"/>
          <w:szCs w:val="28"/>
        </w:rPr>
        <w:t xml:space="preserve"> Показники антиноцицептивного потенціалу НПЗЗ та парацетамолу за умов експериментального остеоартрозу відносно групи активного контролю </w:t>
      </w:r>
      <w:r w:rsidRPr="00BE086B">
        <w:rPr>
          <w:rFonts w:eastAsia="Calibri"/>
          <w:iCs/>
          <w:sz w:val="28"/>
          <w:szCs w:val="28"/>
          <w:lang w:eastAsia="en-US"/>
        </w:rPr>
        <w:t>(</w:t>
      </w:r>
      <w:r w:rsidRPr="00BE086B">
        <w:rPr>
          <w:sz w:val="28"/>
          <w:szCs w:val="28"/>
        </w:rPr>
        <w:t>І група ЕОА)</w:t>
      </w:r>
      <w:r w:rsidRPr="00BE086B">
        <w:rPr>
          <w:bCs/>
          <w:sz w:val="28"/>
          <w:szCs w:val="28"/>
        </w:rPr>
        <w:t xml:space="preserve"> (90 хвилина).</w:t>
      </w:r>
    </w:p>
    <w:p w:rsidR="00A50896" w:rsidRPr="00BE086B" w:rsidRDefault="00A50896" w:rsidP="00A50896">
      <w:pPr>
        <w:suppressAutoHyphens w:val="0"/>
        <w:spacing w:line="360" w:lineRule="auto"/>
        <w:ind w:firstLine="709"/>
        <w:jc w:val="both"/>
        <w:rPr>
          <w:rFonts w:eastAsia="Calibri"/>
          <w:bCs/>
          <w:iCs/>
          <w:sz w:val="28"/>
          <w:szCs w:val="28"/>
          <w:lang w:eastAsia="en-US"/>
        </w:rPr>
      </w:pPr>
      <w:r w:rsidRPr="00BE086B">
        <w:rPr>
          <w:rFonts w:eastAsia="Calibri"/>
          <w:b/>
          <w:bCs/>
          <w:iCs/>
          <w:sz w:val="28"/>
          <w:szCs w:val="28"/>
          <w:lang w:eastAsia="en-US"/>
        </w:rPr>
        <w:t xml:space="preserve">Примітки: </w:t>
      </w:r>
      <w:r w:rsidRPr="00BE086B">
        <w:rPr>
          <w:rFonts w:eastAsia="Calibri"/>
          <w:iCs/>
          <w:sz w:val="28"/>
          <w:szCs w:val="28"/>
          <w:lang w:eastAsia="en-US"/>
        </w:rPr>
        <w:t>* - р &lt; 0,001; ** - р &lt; 0,05 по відношенню до показників больового порогу тварин групи активного контролю (</w:t>
      </w:r>
      <w:r w:rsidRPr="00BE086B">
        <w:rPr>
          <w:sz w:val="28"/>
          <w:szCs w:val="28"/>
        </w:rPr>
        <w:t>ЕОА</w:t>
      </w:r>
      <w:r w:rsidRPr="00BE086B">
        <w:rPr>
          <w:rFonts w:eastAsia="Calibri"/>
          <w:iCs/>
          <w:sz w:val="28"/>
          <w:szCs w:val="28"/>
          <w:lang w:eastAsia="en-US"/>
        </w:rPr>
        <w:t xml:space="preserve">), критерій Даннета; </w:t>
      </w:r>
      <w:r w:rsidRPr="00BE086B">
        <w:rPr>
          <w:rFonts w:eastAsia="Calibri"/>
          <w:bCs/>
          <w:iCs/>
          <w:sz w:val="28"/>
          <w:szCs w:val="28"/>
          <w:lang w:eastAsia="en-US"/>
        </w:rPr>
        <w:t xml:space="preserve"># - </w:t>
      </w:r>
      <w:r w:rsidRPr="00BE086B">
        <w:rPr>
          <w:rFonts w:eastAsia="Calibri"/>
          <w:iCs/>
          <w:sz w:val="28"/>
          <w:szCs w:val="28"/>
          <w:lang w:eastAsia="en-US"/>
        </w:rPr>
        <w:t xml:space="preserve">р &lt; 0,05 по відношенню до показників груп </w:t>
      </w:r>
      <w:r w:rsidRPr="00BE086B">
        <w:rPr>
          <w:rFonts w:eastAsia="Calibri"/>
          <w:iCs/>
          <w:sz w:val="28"/>
          <w:szCs w:val="28"/>
          <w:lang w:val="en-US" w:eastAsia="en-US"/>
        </w:rPr>
        <w:t>VII</w:t>
      </w:r>
      <w:r w:rsidRPr="00BE086B">
        <w:rPr>
          <w:rFonts w:eastAsia="Calibri"/>
          <w:iCs/>
          <w:sz w:val="28"/>
          <w:szCs w:val="28"/>
          <w:lang w:eastAsia="en-US"/>
        </w:rPr>
        <w:t xml:space="preserve">, </w:t>
      </w:r>
      <w:r w:rsidRPr="00BE086B">
        <w:rPr>
          <w:rFonts w:eastAsia="Calibri"/>
          <w:iCs/>
          <w:sz w:val="28"/>
          <w:szCs w:val="28"/>
          <w:lang w:val="en-US" w:eastAsia="en-US"/>
        </w:rPr>
        <w:t>VIII</w:t>
      </w:r>
      <w:r w:rsidRPr="00BE086B">
        <w:rPr>
          <w:rFonts w:eastAsia="Calibri"/>
          <w:iCs/>
          <w:sz w:val="28"/>
          <w:szCs w:val="28"/>
          <w:lang w:eastAsia="en-US"/>
        </w:rPr>
        <w:t xml:space="preserve"> та інтактних тварин, </w:t>
      </w:r>
      <w:r w:rsidRPr="00BE086B">
        <w:rPr>
          <w:rFonts w:eastAsia="Calibri"/>
          <w:bCs/>
          <w:iCs/>
          <w:sz w:val="28"/>
          <w:szCs w:val="28"/>
          <w:lang w:eastAsia="en-US"/>
        </w:rPr>
        <w:t>критерій Дункана.</w:t>
      </w:r>
    </w:p>
    <w:p w:rsidR="00A50896" w:rsidRPr="00BE086B" w:rsidRDefault="00A50896" w:rsidP="00A50896">
      <w:pPr>
        <w:suppressAutoHyphens w:val="0"/>
        <w:spacing w:line="360" w:lineRule="auto"/>
        <w:ind w:firstLine="709"/>
        <w:jc w:val="both"/>
        <w:rPr>
          <w:rFonts w:eastAsia="Calibri"/>
          <w:bCs/>
          <w:iCs/>
          <w:sz w:val="28"/>
          <w:szCs w:val="28"/>
          <w:lang w:eastAsia="en-US"/>
        </w:rPr>
      </w:pPr>
    </w:p>
    <w:p w:rsidR="00A50896" w:rsidRPr="00BE086B" w:rsidRDefault="00A50896" w:rsidP="00A50896">
      <w:pPr>
        <w:suppressAutoHyphens w:val="0"/>
        <w:spacing w:line="360" w:lineRule="auto"/>
        <w:ind w:firstLine="709"/>
        <w:jc w:val="both"/>
        <w:rPr>
          <w:sz w:val="28"/>
          <w:szCs w:val="28"/>
        </w:rPr>
      </w:pPr>
      <w:r w:rsidRPr="00BE086B">
        <w:rPr>
          <w:rFonts w:eastAsia="Calibri"/>
          <w:iCs/>
          <w:sz w:val="28"/>
          <w:szCs w:val="28"/>
          <w:lang w:eastAsia="en-US"/>
        </w:rPr>
        <w:t xml:space="preserve">Як видно з рис. 3.1, </w:t>
      </w:r>
      <w:r w:rsidRPr="00BE086B">
        <w:rPr>
          <w:sz w:val="28"/>
          <w:szCs w:val="28"/>
        </w:rPr>
        <w:t xml:space="preserve">на 90 хвилині (пік розвитку знеболюючої активності препаратів) відносно відповідного показника (90 хвилина) групи активного контролю </w:t>
      </w:r>
      <w:r w:rsidRPr="00BE086B">
        <w:rPr>
          <w:rFonts w:eastAsia="Calibri"/>
          <w:iCs/>
          <w:sz w:val="28"/>
          <w:szCs w:val="28"/>
          <w:lang w:eastAsia="en-US"/>
        </w:rPr>
        <w:t>(</w:t>
      </w:r>
      <w:r w:rsidRPr="00BE086B">
        <w:rPr>
          <w:sz w:val="28"/>
          <w:szCs w:val="28"/>
        </w:rPr>
        <w:t xml:space="preserve">І група ЕОА) поріг больової чутливості у щурів вірогідно збільшився у 2,84 рази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в ІІІ групі при призначенні диклофенаку натрію, у 2,13 рази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в ІV групі при застосуванні ібупрофену, у 2,49 </w:t>
      </w:r>
      <w:r w:rsidRPr="00BE086B">
        <w:rPr>
          <w:sz w:val="28"/>
          <w:szCs w:val="28"/>
        </w:rPr>
        <w:lastRenderedPageBreak/>
        <w:t xml:space="preserve">рази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в V групі при призначенні мелоксикаму, у 2,56 рази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в VІ групі при призначенні німесуліду, у 1,84 рази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в VІІ групі при призначенні целекоксибу та у 1,64 рази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0,001) в VІІІ групі при призначенні парацетамолу.</w:t>
      </w:r>
    </w:p>
    <w:p w:rsidR="003E10C6" w:rsidRPr="00BE086B" w:rsidRDefault="00E16976" w:rsidP="00130E59">
      <w:pPr>
        <w:suppressAutoHyphens w:val="0"/>
        <w:spacing w:line="360" w:lineRule="auto"/>
        <w:jc w:val="center"/>
        <w:rPr>
          <w:b/>
          <w:bCs/>
          <w:sz w:val="28"/>
          <w:szCs w:val="28"/>
        </w:rPr>
      </w:pPr>
      <w:bookmarkStart w:id="1" w:name="_1678400759"/>
      <w:bookmarkEnd w:id="1"/>
      <w:r>
        <w:rPr>
          <w:b/>
          <w:bCs/>
          <w:noProof/>
          <w:sz w:val="28"/>
          <w:szCs w:val="28"/>
          <w:lang w:eastAsia="ru-RU"/>
        </w:rPr>
        <w:drawing>
          <wp:inline distT="0" distB="0" distL="0" distR="0">
            <wp:extent cx="5943600" cy="3524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2.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3524400"/>
                    </a:xfrm>
                    <a:prstGeom prst="rect">
                      <a:avLst/>
                    </a:prstGeom>
                  </pic:spPr>
                </pic:pic>
              </a:graphicData>
            </a:graphic>
          </wp:inline>
        </w:drawing>
      </w:r>
    </w:p>
    <w:p w:rsidR="003E10C6" w:rsidRPr="00BE086B" w:rsidRDefault="003E10C6" w:rsidP="00A50896">
      <w:pPr>
        <w:suppressAutoHyphens w:val="0"/>
        <w:spacing w:line="360" w:lineRule="auto"/>
        <w:ind w:firstLine="709"/>
        <w:jc w:val="both"/>
        <w:rPr>
          <w:b/>
          <w:bCs/>
          <w:sz w:val="28"/>
          <w:szCs w:val="28"/>
        </w:rPr>
      </w:pPr>
    </w:p>
    <w:p w:rsidR="00A50896" w:rsidRPr="00BE086B" w:rsidRDefault="00A50896" w:rsidP="00A50896">
      <w:pPr>
        <w:suppressAutoHyphens w:val="0"/>
        <w:spacing w:line="360" w:lineRule="auto"/>
        <w:ind w:firstLine="709"/>
        <w:jc w:val="both"/>
      </w:pPr>
      <w:r w:rsidRPr="00BE086B">
        <w:rPr>
          <w:b/>
          <w:bCs/>
          <w:sz w:val="28"/>
          <w:szCs w:val="28"/>
        </w:rPr>
        <w:t xml:space="preserve">Рис. 3.2. </w:t>
      </w:r>
      <w:r w:rsidRPr="00BE086B">
        <w:rPr>
          <w:bCs/>
          <w:sz w:val="28"/>
          <w:szCs w:val="28"/>
        </w:rPr>
        <w:t>Динаміка з</w:t>
      </w:r>
      <w:r w:rsidRPr="00BE086B">
        <w:rPr>
          <w:sz w:val="28"/>
          <w:szCs w:val="28"/>
          <w:lang w:eastAsia="ru-RU"/>
        </w:rPr>
        <w:t xml:space="preserve">мін знеболюючого потенціалу НПЗЗ та парацетамолу </w:t>
      </w:r>
      <w:r w:rsidRPr="00BE086B">
        <w:rPr>
          <w:bCs/>
          <w:sz w:val="28"/>
          <w:szCs w:val="28"/>
        </w:rPr>
        <w:t>за умов експериментального остеоартрозу</w:t>
      </w:r>
      <w:r w:rsidRPr="00BE086B">
        <w:rPr>
          <w:sz w:val="28"/>
          <w:szCs w:val="28"/>
        </w:rPr>
        <w:t xml:space="preserve"> (у % до вихідного стану).</w:t>
      </w:r>
    </w:p>
    <w:p w:rsidR="00A50896" w:rsidRPr="00BE086B" w:rsidRDefault="00A50896" w:rsidP="00A50896">
      <w:pPr>
        <w:spacing w:line="360" w:lineRule="auto"/>
        <w:ind w:firstLine="709"/>
        <w:jc w:val="both"/>
      </w:pPr>
      <w:r w:rsidRPr="00BE086B">
        <w:rPr>
          <w:b/>
          <w:bCs/>
          <w:sz w:val="28"/>
          <w:szCs w:val="28"/>
          <w:lang w:eastAsia="ru-RU"/>
        </w:rPr>
        <w:t>Примітка.</w:t>
      </w:r>
      <w:r w:rsidRPr="00BE086B">
        <w:rPr>
          <w:sz w:val="28"/>
          <w:szCs w:val="28"/>
          <w:lang w:eastAsia="ru-RU"/>
        </w:rPr>
        <w:t xml:space="preserve"> * - р </w:t>
      </w:r>
      <w:r w:rsidRPr="00BE086B">
        <w:rPr>
          <w:rFonts w:eastAsia="Calibri"/>
          <w:iCs/>
          <w:sz w:val="28"/>
          <w:szCs w:val="28"/>
          <w:lang w:eastAsia="en-US"/>
        </w:rPr>
        <w:t>&lt; </w:t>
      </w:r>
      <w:r w:rsidRPr="00BE086B">
        <w:rPr>
          <w:sz w:val="28"/>
          <w:szCs w:val="28"/>
          <w:lang w:eastAsia="ru-RU"/>
        </w:rPr>
        <w:t>0,05 по відношенню до показників вихідного стану</w:t>
      </w:r>
    </w:p>
    <w:p w:rsidR="00A50896" w:rsidRPr="00BE086B" w:rsidRDefault="00A50896" w:rsidP="00A50896">
      <w:pPr>
        <w:spacing w:line="360" w:lineRule="auto"/>
        <w:ind w:firstLine="709"/>
        <w:jc w:val="both"/>
        <w:rPr>
          <w:rFonts w:eastAsia="Calibri"/>
          <w:iCs/>
          <w:sz w:val="28"/>
          <w:szCs w:val="28"/>
          <w:lang w:eastAsia="en-US"/>
        </w:rPr>
      </w:pPr>
    </w:p>
    <w:p w:rsidR="00A50896" w:rsidRPr="00BE086B" w:rsidRDefault="00A50896" w:rsidP="00A50896">
      <w:pPr>
        <w:spacing w:line="360" w:lineRule="auto"/>
        <w:ind w:firstLine="709"/>
        <w:jc w:val="both"/>
      </w:pPr>
      <w:r w:rsidRPr="00BE086B">
        <w:rPr>
          <w:rFonts w:eastAsia="Calibri"/>
          <w:iCs/>
          <w:sz w:val="28"/>
          <w:szCs w:val="28"/>
          <w:lang w:eastAsia="en-US"/>
        </w:rPr>
        <w:t>Як видно з табл. 3.1 та рис. 3.1, відповідно до здатності блокувати проходження електричного подразнення у щурів з остеоартрозом на піку розвитку знеболюючої дії (90 хвилина тестування) НПЗЗ (у порівнянні з активним контролем (</w:t>
      </w:r>
      <w:r w:rsidRPr="00BE086B">
        <w:rPr>
          <w:sz w:val="28"/>
          <w:szCs w:val="28"/>
        </w:rPr>
        <w:t>ЕОА))</w:t>
      </w:r>
      <w:r w:rsidRPr="00BE086B">
        <w:rPr>
          <w:rFonts w:eastAsia="Calibri"/>
          <w:iCs/>
          <w:sz w:val="28"/>
          <w:szCs w:val="28"/>
          <w:lang w:eastAsia="en-US"/>
        </w:rPr>
        <w:t xml:space="preserve"> розташувалися у наступному порядку: диклофенак натрію (+184%)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w:t>
      </w:r>
      <w:r w:rsidRPr="00BE086B">
        <w:rPr>
          <w:rFonts w:eastAsia="Calibri"/>
          <w:iCs/>
          <w:sz w:val="28"/>
          <w:szCs w:val="28"/>
          <w:lang w:eastAsia="en-US"/>
        </w:rPr>
        <w:t xml:space="preserve">≥ німесулід (+156%)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w:t>
      </w:r>
      <w:r w:rsidRPr="00BE086B">
        <w:rPr>
          <w:rFonts w:eastAsia="Calibri"/>
          <w:iCs/>
          <w:sz w:val="28"/>
          <w:szCs w:val="28"/>
          <w:lang w:eastAsia="en-US"/>
        </w:rPr>
        <w:t xml:space="preserve">≥ мелоксикам (+149%)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0,001)</w:t>
      </w:r>
      <w:r w:rsidRPr="00BE086B">
        <w:rPr>
          <w:rFonts w:eastAsia="Calibri"/>
          <w:iCs/>
          <w:sz w:val="28"/>
          <w:szCs w:val="28"/>
          <w:lang w:eastAsia="en-US"/>
        </w:rPr>
        <w:t xml:space="preserve"> ≥ ібупрофен (+113%)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w:t>
      </w:r>
      <w:r w:rsidRPr="00BE086B">
        <w:rPr>
          <w:rFonts w:eastAsia="Calibri"/>
          <w:iCs/>
          <w:sz w:val="28"/>
          <w:szCs w:val="28"/>
          <w:lang w:eastAsia="en-US"/>
        </w:rPr>
        <w:t xml:space="preserve">≥ целекоксиб (+84%)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 xml:space="preserve">0,001) </w:t>
      </w:r>
      <w:r w:rsidRPr="00BE086B">
        <w:rPr>
          <w:rFonts w:eastAsia="Calibri"/>
          <w:iCs/>
          <w:sz w:val="28"/>
          <w:szCs w:val="28"/>
          <w:lang w:eastAsia="en-US"/>
        </w:rPr>
        <w:t xml:space="preserve">≥ парацетамол (+64%) </w:t>
      </w:r>
      <w:r w:rsidRPr="00BE086B">
        <w:rPr>
          <w:rFonts w:eastAsia="Calibri"/>
          <w:iCs/>
          <w:sz w:val="28"/>
          <w:szCs w:val="28"/>
        </w:rPr>
        <w:t>(</w:t>
      </w:r>
      <w:r w:rsidRPr="00BE086B">
        <w:rPr>
          <w:sz w:val="28"/>
          <w:szCs w:val="28"/>
        </w:rPr>
        <w:t>р</w:t>
      </w:r>
      <w:r w:rsidRPr="00BE086B">
        <w:rPr>
          <w:rFonts w:eastAsia="Calibri"/>
          <w:iCs/>
          <w:sz w:val="28"/>
          <w:szCs w:val="28"/>
          <w:lang w:eastAsia="en-US"/>
        </w:rPr>
        <w:t>&lt;</w:t>
      </w:r>
      <w:r w:rsidRPr="00BE086B">
        <w:rPr>
          <w:sz w:val="28"/>
          <w:szCs w:val="28"/>
        </w:rPr>
        <w:t>0,001)</w:t>
      </w:r>
      <w:r w:rsidRPr="00BE086B">
        <w:rPr>
          <w:rFonts w:eastAsia="Calibri"/>
          <w:iCs/>
          <w:sz w:val="28"/>
          <w:szCs w:val="28"/>
          <w:lang w:eastAsia="en-US"/>
        </w:rPr>
        <w:t>.</w:t>
      </w:r>
    </w:p>
    <w:p w:rsidR="00A50896" w:rsidRPr="00BE086B" w:rsidRDefault="00A50896" w:rsidP="00A50896">
      <w:pPr>
        <w:suppressAutoHyphens w:val="0"/>
        <w:spacing w:line="360" w:lineRule="auto"/>
        <w:ind w:firstLine="709"/>
        <w:jc w:val="both"/>
      </w:pPr>
      <w:r w:rsidRPr="00BE086B">
        <w:rPr>
          <w:rFonts w:eastAsia="Calibri"/>
          <w:iCs/>
          <w:sz w:val="28"/>
          <w:szCs w:val="28"/>
          <w:lang w:eastAsia="en-US"/>
        </w:rPr>
        <w:lastRenderedPageBreak/>
        <w:t>Таким чином, на підставі проведеного дослідження встановлено, що на фоні експериментальної моделі остеоартрозу відбувається зниження порогу больової чутливості у щурів на 24% (р &lt; 0,05) та визначена здатність НПЗЗ та парацетамолу впливати на поріг больової чутливості за умов одноразового внутрішньошлункового їх введення при експериментальному остеоартрозі. Встановлено, що найменший аналгетичний потенціал мали парацетамол та целекоксиб.</w:t>
      </w:r>
    </w:p>
    <w:p w:rsidR="00A50896" w:rsidRPr="00BE086B" w:rsidRDefault="00A50896" w:rsidP="00A50896">
      <w:pPr>
        <w:spacing w:line="360" w:lineRule="auto"/>
        <w:ind w:firstLine="709"/>
        <w:jc w:val="right"/>
        <w:rPr>
          <w:sz w:val="28"/>
          <w:szCs w:val="28"/>
        </w:rPr>
      </w:pPr>
    </w:p>
    <w:p w:rsidR="00A50896" w:rsidRPr="00BE086B" w:rsidRDefault="00A50896" w:rsidP="00A50896">
      <w:pPr>
        <w:spacing w:line="360" w:lineRule="auto"/>
        <w:ind w:firstLine="709"/>
        <w:jc w:val="both"/>
      </w:pPr>
      <w:r w:rsidRPr="00BE086B">
        <w:rPr>
          <w:b/>
          <w:bCs/>
          <w:sz w:val="28"/>
          <w:szCs w:val="28"/>
        </w:rPr>
        <w:t xml:space="preserve">3.2 Вплив НПЗЗ та парацетамолу на </w:t>
      </w:r>
      <w:r w:rsidRPr="00BE086B">
        <w:rPr>
          <w:b/>
          <w:sz w:val="28"/>
          <w:szCs w:val="28"/>
        </w:rPr>
        <w:t>больовий поріг</w:t>
      </w:r>
      <w:r w:rsidRPr="00BE086B">
        <w:rPr>
          <w:b/>
          <w:bCs/>
          <w:sz w:val="28"/>
          <w:szCs w:val="28"/>
        </w:rPr>
        <w:t xml:space="preserve"> за умов експериментального остеоартрозу та гіпотиреозу</w:t>
      </w:r>
    </w:p>
    <w:p w:rsidR="00A50896" w:rsidRPr="00BE086B" w:rsidRDefault="00A50896" w:rsidP="00A50896">
      <w:pPr>
        <w:spacing w:line="360" w:lineRule="auto"/>
        <w:ind w:firstLine="709"/>
        <w:jc w:val="both"/>
        <w:rPr>
          <w:bCs/>
          <w:sz w:val="28"/>
          <w:szCs w:val="28"/>
        </w:rPr>
      </w:pPr>
    </w:p>
    <w:p w:rsidR="00A50896" w:rsidRPr="00BE086B" w:rsidRDefault="00A50896" w:rsidP="00A50896">
      <w:pPr>
        <w:spacing w:line="360" w:lineRule="auto"/>
        <w:ind w:firstLine="709"/>
        <w:jc w:val="both"/>
        <w:rPr>
          <w:bCs/>
          <w:sz w:val="28"/>
          <w:szCs w:val="28"/>
        </w:rPr>
      </w:pPr>
      <w:r w:rsidRPr="00BE086B">
        <w:rPr>
          <w:bCs/>
          <w:sz w:val="28"/>
          <w:szCs w:val="28"/>
        </w:rPr>
        <w:t xml:space="preserve">В даному підрозділі описані результати дослідження антиноцицептивної активності </w:t>
      </w:r>
      <w:r w:rsidRPr="00BE086B">
        <w:rPr>
          <w:sz w:val="28"/>
          <w:szCs w:val="28"/>
        </w:rPr>
        <w:t xml:space="preserve">НПЗЗ та </w:t>
      </w:r>
      <w:r w:rsidRPr="00BE086B">
        <w:rPr>
          <w:bCs/>
          <w:sz w:val="28"/>
          <w:szCs w:val="28"/>
        </w:rPr>
        <w:t xml:space="preserve">парацетамолу у тесті </w:t>
      </w:r>
      <w:r w:rsidRPr="00BE086B">
        <w:rPr>
          <w:sz w:val="28"/>
          <w:szCs w:val="28"/>
        </w:rPr>
        <w:t>електричного подразнення кореня хвоста у щурів</w:t>
      </w:r>
      <w:r w:rsidRPr="00BE086B">
        <w:rPr>
          <w:bCs/>
          <w:sz w:val="28"/>
          <w:szCs w:val="28"/>
        </w:rPr>
        <w:t xml:space="preserve"> на фоні експериментального остеоартрозу </w:t>
      </w:r>
      <w:r w:rsidRPr="00BE086B">
        <w:rPr>
          <w:rStyle w:val="Default20Paragraph20Font"/>
          <w:bCs/>
          <w:sz w:val="28"/>
          <w:szCs w:val="28"/>
        </w:rPr>
        <w:t>та гіпотиреозу та вплив експериментальних моделей остеоартрозу та гіпотиреозу</w:t>
      </w:r>
      <w:r w:rsidRPr="00BE086B">
        <w:rPr>
          <w:bCs/>
          <w:sz w:val="28"/>
          <w:szCs w:val="28"/>
        </w:rPr>
        <w:t xml:space="preserve"> на больовий поріг у щурів.</w:t>
      </w:r>
    </w:p>
    <w:p w:rsidR="00A50896" w:rsidRPr="00BE086B" w:rsidRDefault="00A50896" w:rsidP="00A50896">
      <w:pPr>
        <w:spacing w:line="360" w:lineRule="auto"/>
        <w:ind w:firstLine="709"/>
        <w:jc w:val="both"/>
      </w:pPr>
      <w:r w:rsidRPr="00BE086B">
        <w:rPr>
          <w:rFonts w:eastAsia="Calibri"/>
          <w:iCs/>
          <w:sz w:val="28"/>
          <w:szCs w:val="28"/>
          <w:lang w:eastAsia="en-US"/>
        </w:rPr>
        <w:t>При виконанні експериментального дослідження було встановлено, що експериментальна модель коморбідної патології остеоартрозу та гіпотиреозу (І група ЕОА + ЕГ – активний контроль) призводить до зниження порогу больової чутливості на 17% (р &lt; 0,05) у порівнянні з групою інтактних щурів. Проте, встановлені зміни порогу больової чутливості не настільки виразні, як у групі експериментальних тварин з остеоартрозом, що дозволяє стверджувати про помірну виразність больового синдрому, яка притаманна “чистому” остеоартрозу на фоні гіпотиреозу (</w:t>
      </w:r>
      <w:r w:rsidRPr="00BE086B">
        <w:rPr>
          <w:rFonts w:eastAsia="Calibri"/>
          <w:sz w:val="28"/>
          <w:szCs w:val="28"/>
          <w:lang w:eastAsia="en-US"/>
        </w:rPr>
        <w:t>рис. 3.3)</w:t>
      </w:r>
      <w:r w:rsidRPr="00BE086B">
        <w:rPr>
          <w:rFonts w:eastAsia="Calibri"/>
          <w:iCs/>
          <w:sz w:val="28"/>
          <w:szCs w:val="28"/>
          <w:lang w:eastAsia="en-US"/>
        </w:rPr>
        <w:t>.</w:t>
      </w:r>
    </w:p>
    <w:p w:rsidR="00A50896" w:rsidRPr="00BE086B" w:rsidRDefault="00A50896" w:rsidP="00A50896">
      <w:pPr>
        <w:suppressAutoHyphens w:val="0"/>
        <w:spacing w:line="360" w:lineRule="auto"/>
        <w:ind w:firstLine="709"/>
        <w:jc w:val="both"/>
      </w:pPr>
      <w:r w:rsidRPr="00BE086B">
        <w:rPr>
          <w:rFonts w:eastAsia="Calibri"/>
          <w:bCs/>
          <w:sz w:val="28"/>
          <w:szCs w:val="28"/>
          <w:lang w:eastAsia="en-US"/>
        </w:rPr>
        <w:t>При вивченні в</w:t>
      </w:r>
      <w:r w:rsidRPr="00BE086B">
        <w:rPr>
          <w:rFonts w:eastAsia="Calibri"/>
          <w:sz w:val="28"/>
          <w:szCs w:val="28"/>
          <w:lang w:eastAsia="en-US"/>
        </w:rPr>
        <w:t>пливу одноразового внутрішньошлункового введення НПЗЗ та парацетамолу на рівень больового порогу (В) при електричному подразненні кореня хвоста тварин за умов експериментального остеоартрозу та гіпотиреозу встановлено, що середні показники больового порогу у вихідному стані (ВС) реєструвались в межах від 1,70</w:t>
      </w:r>
      <w:r w:rsidRPr="00BE086B">
        <w:rPr>
          <w:bCs/>
          <w:sz w:val="28"/>
          <w:szCs w:val="28"/>
          <w:lang w:eastAsia="ru-RU"/>
        </w:rPr>
        <w:t>±</w:t>
      </w:r>
      <w:r w:rsidRPr="00BE086B">
        <w:rPr>
          <w:rFonts w:eastAsia="Calibri"/>
          <w:sz w:val="28"/>
          <w:szCs w:val="28"/>
          <w:lang w:eastAsia="en-US"/>
        </w:rPr>
        <w:t xml:space="preserve">0,09 </w:t>
      </w:r>
      <w:r w:rsidRPr="00BE086B">
        <w:rPr>
          <w:bCs/>
          <w:sz w:val="28"/>
          <w:szCs w:val="28"/>
        </w:rPr>
        <w:t>мА</w:t>
      </w:r>
      <w:r w:rsidRPr="00BE086B">
        <w:rPr>
          <w:rFonts w:eastAsia="Calibri"/>
          <w:sz w:val="28"/>
          <w:szCs w:val="28"/>
          <w:lang w:eastAsia="en-US"/>
        </w:rPr>
        <w:t xml:space="preserve"> (група </w:t>
      </w:r>
      <w:r w:rsidRPr="00BE086B">
        <w:rPr>
          <w:sz w:val="28"/>
          <w:szCs w:val="28"/>
        </w:rPr>
        <w:t>ІV</w:t>
      </w:r>
      <w:r w:rsidRPr="00BE086B">
        <w:rPr>
          <w:rFonts w:eastAsia="Calibri"/>
          <w:sz w:val="28"/>
          <w:szCs w:val="28"/>
          <w:lang w:eastAsia="en-US"/>
        </w:rPr>
        <w:t xml:space="preserve">) до </w:t>
      </w:r>
      <w:r w:rsidRPr="00BE086B">
        <w:rPr>
          <w:bCs/>
          <w:sz w:val="28"/>
          <w:szCs w:val="28"/>
          <w:lang w:eastAsia="ru-RU"/>
        </w:rPr>
        <w:t>1,99</w:t>
      </w:r>
      <w:r w:rsidRPr="00BE086B">
        <w:rPr>
          <w:rFonts w:eastAsia="Calibri"/>
          <w:sz w:val="28"/>
          <w:szCs w:val="28"/>
          <w:lang w:eastAsia="en-US"/>
        </w:rPr>
        <w:t xml:space="preserve">±0,07 мА (група ІІІ) і 1,99±0,05 (група </w:t>
      </w:r>
      <w:r w:rsidRPr="00BE086B">
        <w:rPr>
          <w:sz w:val="28"/>
          <w:szCs w:val="28"/>
        </w:rPr>
        <w:t>VІI)</w:t>
      </w:r>
      <w:r w:rsidRPr="00BE086B">
        <w:rPr>
          <w:rFonts w:eastAsia="Calibri"/>
          <w:sz w:val="28"/>
          <w:szCs w:val="28"/>
          <w:lang w:eastAsia="en-US"/>
        </w:rPr>
        <w:t xml:space="preserve">. Максимальний ефект </w:t>
      </w:r>
      <w:r w:rsidRPr="00BE086B">
        <w:rPr>
          <w:rFonts w:eastAsia="Calibri"/>
          <w:sz w:val="28"/>
          <w:szCs w:val="28"/>
          <w:lang w:eastAsia="en-US"/>
        </w:rPr>
        <w:lastRenderedPageBreak/>
        <w:t xml:space="preserve">антиноцицептивної дії препаратів спостерігався на 90 хвилині експерименту з поступовим зниженням аналгетичного ефекту на 120 хвилині (табл. 3.2, рис. 3.3 – 3.4). Найвищий аналгетичний потенціал на 90 хвилині експерименту спостерігався у ІІІ групі при призначенні диклофенаку натрію та у </w:t>
      </w:r>
      <w:r w:rsidRPr="00BE086B">
        <w:rPr>
          <w:sz w:val="28"/>
          <w:szCs w:val="28"/>
        </w:rPr>
        <w:t>VI групі</w:t>
      </w:r>
      <w:r w:rsidRPr="00BE086B">
        <w:rPr>
          <w:rFonts w:eastAsia="Calibri"/>
          <w:sz w:val="28"/>
          <w:szCs w:val="28"/>
          <w:lang w:eastAsia="en-US"/>
        </w:rPr>
        <w:t xml:space="preserve"> при призначенні німесуліду, а найнижчий – у </w:t>
      </w:r>
      <w:r w:rsidRPr="00BE086B">
        <w:rPr>
          <w:sz w:val="28"/>
          <w:szCs w:val="28"/>
        </w:rPr>
        <w:t>VІІI та VІІ групах при призначенні парацетамолу та целекоксибу відповідно</w:t>
      </w:r>
      <w:r w:rsidRPr="00BE086B">
        <w:rPr>
          <w:rFonts w:eastAsia="Calibri"/>
          <w:sz w:val="28"/>
          <w:szCs w:val="28"/>
          <w:lang w:eastAsia="en-US"/>
        </w:rPr>
        <w:t xml:space="preserve">. Відмічено, що на 120 хвилині експерименту найвищий аналгетичний потенціал також зберігався у ІІІ та </w:t>
      </w:r>
      <w:r w:rsidRPr="00BE086B">
        <w:rPr>
          <w:sz w:val="28"/>
          <w:szCs w:val="28"/>
        </w:rPr>
        <w:t xml:space="preserve">VI </w:t>
      </w:r>
      <w:r w:rsidRPr="00BE086B">
        <w:rPr>
          <w:rFonts w:eastAsia="Calibri"/>
          <w:sz w:val="28"/>
          <w:szCs w:val="28"/>
          <w:lang w:eastAsia="en-US"/>
        </w:rPr>
        <w:t xml:space="preserve">групах при призначенні диклофенаку натрію та німесуліду відповідно, а найнижчий був у </w:t>
      </w:r>
      <w:r w:rsidRPr="00BE086B">
        <w:rPr>
          <w:sz w:val="28"/>
          <w:szCs w:val="28"/>
        </w:rPr>
        <w:t>VІІI та IV при призначенні парацетамолу та ібупрофену відповідно</w:t>
      </w:r>
      <w:r w:rsidRPr="00BE086B">
        <w:rPr>
          <w:rFonts w:eastAsia="Calibri"/>
          <w:sz w:val="28"/>
          <w:szCs w:val="28"/>
          <w:lang w:eastAsia="en-US"/>
        </w:rPr>
        <w:t>. Тобто, найвищий аналгетичний потенціал протягом експерименту мав диклофенак натрію (</w:t>
      </w:r>
      <w:r w:rsidRPr="00BE086B">
        <w:rPr>
          <w:sz w:val="28"/>
          <w:szCs w:val="28"/>
        </w:rPr>
        <w:t>ІІІ група)</w:t>
      </w:r>
      <w:r w:rsidRPr="00BE086B">
        <w:rPr>
          <w:rFonts w:eastAsia="Calibri"/>
          <w:sz w:val="28"/>
          <w:szCs w:val="28"/>
          <w:lang w:eastAsia="en-US"/>
        </w:rPr>
        <w:t>, а найменший – парацетамол (</w:t>
      </w:r>
      <w:r w:rsidRPr="00BE086B">
        <w:rPr>
          <w:sz w:val="28"/>
          <w:szCs w:val="28"/>
        </w:rPr>
        <w:t>VІІI група)</w:t>
      </w:r>
      <w:r w:rsidRPr="00BE086B">
        <w:rPr>
          <w:rFonts w:eastAsia="Calibri"/>
          <w:sz w:val="28"/>
          <w:szCs w:val="28"/>
          <w:lang w:eastAsia="en-US"/>
        </w:rPr>
        <w:t>.</w:t>
      </w:r>
    </w:p>
    <w:p w:rsidR="00A50896" w:rsidRPr="00BE086B" w:rsidRDefault="00E16976" w:rsidP="00AE4B18">
      <w:pPr>
        <w:suppressAutoHyphens w:val="0"/>
        <w:spacing w:line="360" w:lineRule="auto"/>
        <w:ind w:firstLine="709"/>
        <w:jc w:val="center"/>
        <w:rPr>
          <w:b/>
          <w:bCs/>
          <w:sz w:val="28"/>
          <w:szCs w:val="28"/>
        </w:rPr>
      </w:pPr>
      <w:r>
        <w:rPr>
          <w:b/>
          <w:bCs/>
          <w:noProof/>
          <w:sz w:val="28"/>
          <w:szCs w:val="28"/>
          <w:lang w:eastAsia="ru-RU"/>
        </w:rPr>
        <w:drawing>
          <wp:inline distT="0" distB="0" distL="0" distR="0">
            <wp:extent cx="5306400" cy="3247200"/>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3.jpg"/>
                    <pic:cNvPicPr/>
                  </pic:nvPicPr>
                  <pic:blipFill>
                    <a:blip r:embed="rId13">
                      <a:extLst>
                        <a:ext uri="{28A0092B-C50C-407E-A947-70E740481C1C}">
                          <a14:useLocalDpi xmlns:a14="http://schemas.microsoft.com/office/drawing/2010/main" val="0"/>
                        </a:ext>
                      </a:extLst>
                    </a:blip>
                    <a:stretch>
                      <a:fillRect/>
                    </a:stretch>
                  </pic:blipFill>
                  <pic:spPr>
                    <a:xfrm>
                      <a:off x="0" y="0"/>
                      <a:ext cx="5306400" cy="3247200"/>
                    </a:xfrm>
                    <a:prstGeom prst="rect">
                      <a:avLst/>
                    </a:prstGeom>
                  </pic:spPr>
                </pic:pic>
              </a:graphicData>
            </a:graphic>
          </wp:inline>
        </w:drawing>
      </w:r>
    </w:p>
    <w:p w:rsidR="00A50896" w:rsidRPr="00BE086B" w:rsidRDefault="00A50896" w:rsidP="00A50896">
      <w:pPr>
        <w:spacing w:line="360" w:lineRule="auto"/>
        <w:ind w:firstLine="709"/>
        <w:jc w:val="both"/>
      </w:pPr>
      <w:r w:rsidRPr="00BE086B">
        <w:rPr>
          <w:b/>
          <w:bCs/>
          <w:sz w:val="28"/>
          <w:szCs w:val="28"/>
        </w:rPr>
        <w:t>Рис. 3.3.</w:t>
      </w:r>
      <w:r w:rsidRPr="00BE086B">
        <w:rPr>
          <w:bCs/>
          <w:sz w:val="28"/>
          <w:szCs w:val="28"/>
        </w:rPr>
        <w:t xml:space="preserve"> Показники антиноцицептивного потенціалу НПЗЗ та парацетамолу за умов експериментального остеоартрозу і гіпотиреозу відносно групи активного контролю (90 хвилина).</w:t>
      </w:r>
    </w:p>
    <w:p w:rsidR="00A50896" w:rsidRPr="00BE086B" w:rsidRDefault="00A50896" w:rsidP="00A50896">
      <w:pPr>
        <w:suppressAutoHyphens w:val="0"/>
        <w:spacing w:line="360" w:lineRule="auto"/>
        <w:ind w:firstLine="709"/>
        <w:jc w:val="both"/>
      </w:pPr>
      <w:r w:rsidRPr="00BE086B">
        <w:rPr>
          <w:rFonts w:eastAsia="Calibri"/>
          <w:b/>
          <w:bCs/>
          <w:iCs/>
          <w:sz w:val="28"/>
          <w:szCs w:val="28"/>
          <w:lang w:eastAsia="en-US"/>
        </w:rPr>
        <w:t xml:space="preserve">Примітки: </w:t>
      </w:r>
      <w:r w:rsidRPr="00BE086B">
        <w:rPr>
          <w:rFonts w:eastAsia="Calibri"/>
          <w:iCs/>
          <w:sz w:val="28"/>
          <w:szCs w:val="28"/>
          <w:lang w:eastAsia="en-US"/>
        </w:rPr>
        <w:t>* - р &lt; 0,001; ** - р &lt; 0,05 по відношенню до показників больового порогу тварин групи активного контролю (</w:t>
      </w:r>
      <w:r w:rsidRPr="00BE086B">
        <w:rPr>
          <w:sz w:val="28"/>
          <w:szCs w:val="28"/>
        </w:rPr>
        <w:t>ЕОА+ЕГ</w:t>
      </w:r>
      <w:r w:rsidRPr="00BE086B">
        <w:rPr>
          <w:rFonts w:eastAsia="Calibri"/>
          <w:iCs/>
          <w:sz w:val="28"/>
          <w:szCs w:val="28"/>
          <w:lang w:eastAsia="en-US"/>
        </w:rPr>
        <w:t xml:space="preserve">), критерій Даннета; </w:t>
      </w:r>
      <w:r w:rsidRPr="00BE086B">
        <w:rPr>
          <w:rFonts w:eastAsia="Calibri"/>
          <w:bCs/>
          <w:iCs/>
          <w:sz w:val="28"/>
          <w:szCs w:val="28"/>
          <w:lang w:eastAsia="en-US"/>
        </w:rPr>
        <w:t xml:space="preserve"># - </w:t>
      </w:r>
      <w:r w:rsidRPr="00BE086B">
        <w:rPr>
          <w:rFonts w:eastAsia="Calibri"/>
          <w:iCs/>
          <w:sz w:val="28"/>
          <w:szCs w:val="28"/>
          <w:lang w:eastAsia="en-US"/>
        </w:rPr>
        <w:t xml:space="preserve">р &lt; 0,05 по відношенню до показників груп </w:t>
      </w:r>
      <w:r w:rsidRPr="00BE086B">
        <w:rPr>
          <w:rFonts w:eastAsia="Calibri"/>
          <w:iCs/>
          <w:sz w:val="28"/>
          <w:szCs w:val="28"/>
          <w:lang w:val="en-US" w:eastAsia="en-US"/>
        </w:rPr>
        <w:t>VII</w:t>
      </w:r>
      <w:r w:rsidRPr="00BE086B">
        <w:rPr>
          <w:rFonts w:eastAsia="Calibri"/>
          <w:iCs/>
          <w:sz w:val="28"/>
          <w:szCs w:val="28"/>
          <w:lang w:eastAsia="en-US"/>
        </w:rPr>
        <w:t xml:space="preserve">, </w:t>
      </w:r>
      <w:r w:rsidRPr="00BE086B">
        <w:rPr>
          <w:rFonts w:eastAsia="Calibri"/>
          <w:iCs/>
          <w:sz w:val="28"/>
          <w:szCs w:val="28"/>
          <w:lang w:val="en-US" w:eastAsia="en-US"/>
        </w:rPr>
        <w:t>VIII</w:t>
      </w:r>
      <w:r w:rsidRPr="00BE086B">
        <w:rPr>
          <w:rFonts w:eastAsia="Calibri"/>
          <w:iCs/>
          <w:sz w:val="28"/>
          <w:szCs w:val="28"/>
          <w:lang w:eastAsia="en-US"/>
        </w:rPr>
        <w:t xml:space="preserve"> та інтактних тварин, </w:t>
      </w:r>
      <w:r w:rsidRPr="00BE086B">
        <w:rPr>
          <w:rFonts w:eastAsia="Calibri"/>
          <w:bCs/>
          <w:iCs/>
          <w:sz w:val="28"/>
          <w:szCs w:val="28"/>
          <w:lang w:eastAsia="en-US"/>
        </w:rPr>
        <w:t>критерій Дункана.</w:t>
      </w:r>
    </w:p>
    <w:p w:rsidR="00AF27FE" w:rsidRDefault="00AF27FE" w:rsidP="00A50896">
      <w:pPr>
        <w:suppressAutoHyphens w:val="0"/>
        <w:spacing w:line="360" w:lineRule="auto"/>
        <w:ind w:firstLine="709"/>
        <w:jc w:val="right"/>
        <w:rPr>
          <w:rFonts w:eastAsia="Calibri"/>
          <w:bCs/>
          <w:i/>
          <w:iCs/>
          <w:sz w:val="28"/>
          <w:szCs w:val="28"/>
          <w:lang w:eastAsia="en-US"/>
        </w:rPr>
      </w:pPr>
    </w:p>
    <w:p w:rsidR="00A50896" w:rsidRPr="00BE086B" w:rsidRDefault="00A50896" w:rsidP="00A50896">
      <w:pPr>
        <w:suppressAutoHyphens w:val="0"/>
        <w:spacing w:line="360" w:lineRule="auto"/>
        <w:ind w:firstLine="709"/>
        <w:jc w:val="right"/>
      </w:pPr>
      <w:r w:rsidRPr="00BE086B">
        <w:rPr>
          <w:rFonts w:eastAsia="Calibri"/>
          <w:bCs/>
          <w:i/>
          <w:iCs/>
          <w:sz w:val="28"/>
          <w:szCs w:val="28"/>
          <w:lang w:eastAsia="en-US"/>
        </w:rPr>
        <w:lastRenderedPageBreak/>
        <w:t>Таблиця 3.2</w:t>
      </w:r>
    </w:p>
    <w:p w:rsidR="00A50896" w:rsidRPr="00BE086B" w:rsidRDefault="00A50896" w:rsidP="00A50896">
      <w:pPr>
        <w:suppressAutoHyphens w:val="0"/>
        <w:spacing w:line="360" w:lineRule="auto"/>
        <w:jc w:val="center"/>
      </w:pPr>
      <w:r w:rsidRPr="00BE086B">
        <w:rPr>
          <w:rFonts w:eastAsia="Calibri"/>
          <w:b/>
          <w:bCs/>
          <w:sz w:val="28"/>
          <w:szCs w:val="28"/>
          <w:lang w:eastAsia="en-US"/>
        </w:rPr>
        <w:t xml:space="preserve">Поріг больової чутливості (В) щурів при електричному подразненні кореня хвоста за умов </w:t>
      </w:r>
      <w:r w:rsidRPr="00BE086B">
        <w:rPr>
          <w:b/>
          <w:bCs/>
          <w:sz w:val="28"/>
          <w:szCs w:val="28"/>
        </w:rPr>
        <w:t>експериментального остеоартрозу</w:t>
      </w:r>
      <w:r w:rsidRPr="00BE086B">
        <w:rPr>
          <w:rFonts w:eastAsia="Calibri"/>
          <w:b/>
          <w:bCs/>
          <w:sz w:val="28"/>
          <w:szCs w:val="28"/>
          <w:lang w:eastAsia="en-US"/>
        </w:rPr>
        <w:t xml:space="preserve"> </w:t>
      </w:r>
      <w:r w:rsidRPr="00BE086B">
        <w:rPr>
          <w:b/>
          <w:bCs/>
          <w:sz w:val="28"/>
          <w:szCs w:val="28"/>
        </w:rPr>
        <w:t>і гіпотиреозу</w:t>
      </w:r>
      <w:r w:rsidRPr="00BE086B">
        <w:rPr>
          <w:rFonts w:eastAsia="Calibri"/>
          <w:b/>
          <w:bCs/>
          <w:sz w:val="28"/>
          <w:szCs w:val="28"/>
          <w:lang w:eastAsia="en-US"/>
        </w:rPr>
        <w:t xml:space="preserve"> та внутрішньошлункового введення НПЗЗ і парацетамолу (n=10)</w:t>
      </w:r>
    </w:p>
    <w:tbl>
      <w:tblPr>
        <w:tblW w:w="0" w:type="auto"/>
        <w:tblInd w:w="98" w:type="dxa"/>
        <w:tblLayout w:type="fixed"/>
        <w:tblCellMar>
          <w:left w:w="98" w:type="dxa"/>
        </w:tblCellMar>
        <w:tblLook w:val="0000" w:firstRow="0" w:lastRow="0" w:firstColumn="0" w:lastColumn="0" w:noHBand="0" w:noVBand="0"/>
      </w:tblPr>
      <w:tblGrid>
        <w:gridCol w:w="3555"/>
        <w:gridCol w:w="1190"/>
        <w:gridCol w:w="1191"/>
        <w:gridCol w:w="1191"/>
        <w:gridCol w:w="1191"/>
        <w:gridCol w:w="1201"/>
      </w:tblGrid>
      <w:tr w:rsidR="00A50896" w:rsidRPr="00BE086B" w:rsidTr="00A7341E">
        <w:tc>
          <w:tcPr>
            <w:tcW w:w="3555" w:type="dxa"/>
            <w:vMerge w:val="restart"/>
            <w:tcBorders>
              <w:top w:val="single" w:sz="4" w:space="0" w:color="000001"/>
              <w:left w:val="single" w:sz="4" w:space="0" w:color="000001"/>
              <w:bottom w:val="none" w:sz="0" w:space="0" w:color="000000"/>
            </w:tcBorders>
            <w:shd w:val="clear" w:color="auto" w:fill="auto"/>
            <w:vAlign w:val="center"/>
          </w:tcPr>
          <w:p w:rsidR="00A50896" w:rsidRPr="00BE086B" w:rsidRDefault="00A50896" w:rsidP="00A7341E">
            <w:pPr>
              <w:pStyle w:val="18"/>
              <w:spacing w:before="0" w:line="240" w:lineRule="auto"/>
              <w:jc w:val="center"/>
              <w:rPr>
                <w:color w:val="auto"/>
              </w:rPr>
            </w:pPr>
            <w:r w:rsidRPr="00BE086B">
              <w:rPr>
                <w:b/>
                <w:color w:val="auto"/>
                <w:sz w:val="28"/>
                <w:szCs w:val="28"/>
              </w:rPr>
              <w:t>Група, препарат</w:t>
            </w:r>
          </w:p>
          <w:p w:rsidR="00A50896" w:rsidRPr="00BE086B" w:rsidRDefault="00A50896" w:rsidP="00A7341E">
            <w:pPr>
              <w:pStyle w:val="18"/>
              <w:spacing w:before="0" w:line="240" w:lineRule="auto"/>
              <w:jc w:val="center"/>
              <w:rPr>
                <w:color w:val="auto"/>
              </w:rPr>
            </w:pPr>
            <w:r w:rsidRPr="00BE086B">
              <w:rPr>
                <w:b/>
                <w:color w:val="auto"/>
                <w:sz w:val="28"/>
                <w:szCs w:val="28"/>
              </w:rPr>
              <w:t>та його доза</w:t>
            </w:r>
          </w:p>
        </w:tc>
        <w:tc>
          <w:tcPr>
            <w:tcW w:w="5964" w:type="dxa"/>
            <w:gridSpan w:val="5"/>
            <w:tcBorders>
              <w:top w:val="single" w:sz="4" w:space="0" w:color="000001"/>
              <w:left w:val="single" w:sz="4" w:space="0" w:color="000001"/>
              <w:bottom w:val="single" w:sz="4" w:space="0" w:color="000001"/>
              <w:right w:val="single" w:sz="4" w:space="0" w:color="000001"/>
            </w:tcBorders>
            <w:shd w:val="clear" w:color="auto" w:fill="auto"/>
          </w:tcPr>
          <w:p w:rsidR="00A50896" w:rsidRPr="00BE086B" w:rsidRDefault="00A50896" w:rsidP="00A7341E">
            <w:pPr>
              <w:pStyle w:val="18"/>
              <w:spacing w:before="0" w:line="240" w:lineRule="auto"/>
              <w:jc w:val="center"/>
              <w:rPr>
                <w:color w:val="auto"/>
              </w:rPr>
            </w:pPr>
            <w:r w:rsidRPr="00BE086B">
              <w:rPr>
                <w:b/>
                <w:bCs/>
                <w:color w:val="auto"/>
                <w:sz w:val="28"/>
                <w:szCs w:val="28"/>
              </w:rPr>
              <w:t xml:space="preserve">Величина больового порогу (мА), </w:t>
            </w:r>
            <w:r w:rsidRPr="00BE086B">
              <w:rPr>
                <w:b/>
                <w:bCs/>
                <w:color w:val="auto"/>
                <w:sz w:val="28"/>
                <w:szCs w:val="28"/>
                <w:lang w:val="en-US"/>
              </w:rPr>
              <w:t>M</w:t>
            </w:r>
            <w:r w:rsidRPr="00BE086B">
              <w:rPr>
                <w:b/>
                <w:bCs/>
                <w:color w:val="auto"/>
                <w:sz w:val="28"/>
                <w:szCs w:val="28"/>
              </w:rPr>
              <w:t>±</w:t>
            </w:r>
            <w:r w:rsidRPr="00BE086B">
              <w:rPr>
                <w:b/>
                <w:bCs/>
                <w:color w:val="auto"/>
                <w:sz w:val="28"/>
                <w:szCs w:val="28"/>
                <w:lang w:val="en-US"/>
              </w:rPr>
              <w:t>m</w:t>
            </w:r>
          </w:p>
        </w:tc>
      </w:tr>
      <w:tr w:rsidR="00A50896" w:rsidRPr="00BE086B" w:rsidTr="00A7341E">
        <w:tc>
          <w:tcPr>
            <w:tcW w:w="3555" w:type="dxa"/>
            <w:vMerge/>
            <w:tcBorders>
              <w:top w:val="single" w:sz="4" w:space="0" w:color="000001"/>
              <w:left w:val="single" w:sz="4" w:space="0" w:color="000001"/>
              <w:bottom w:val="none" w:sz="0" w:space="0" w:color="000000"/>
            </w:tcBorders>
            <w:shd w:val="clear" w:color="auto" w:fill="auto"/>
            <w:vAlign w:val="center"/>
          </w:tcPr>
          <w:p w:rsidR="00A50896" w:rsidRPr="00BE086B" w:rsidRDefault="00A50896" w:rsidP="00A7341E">
            <w:pPr>
              <w:suppressAutoHyphens w:val="0"/>
              <w:snapToGrid w:val="0"/>
              <w:jc w:val="center"/>
              <w:rPr>
                <w:sz w:val="28"/>
                <w:szCs w:val="28"/>
                <w:lang w:eastAsia="ru-RU"/>
              </w:rPr>
            </w:pPr>
          </w:p>
        </w:tc>
        <w:tc>
          <w:tcPr>
            <w:tcW w:w="1190"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jc w:val="center"/>
            </w:pPr>
            <w:r w:rsidRPr="00BE086B">
              <w:rPr>
                <w:bCs/>
                <w:sz w:val="28"/>
                <w:szCs w:val="28"/>
              </w:rPr>
              <w:t>ВС</w:t>
            </w:r>
          </w:p>
        </w:tc>
        <w:tc>
          <w:tcPr>
            <w:tcW w:w="1191"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jc w:val="center"/>
            </w:pPr>
            <w:r w:rsidRPr="00BE086B">
              <w:rPr>
                <w:bCs/>
                <w:sz w:val="28"/>
                <w:szCs w:val="28"/>
              </w:rPr>
              <w:t>30 хв</w:t>
            </w:r>
          </w:p>
        </w:tc>
        <w:tc>
          <w:tcPr>
            <w:tcW w:w="1191"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jc w:val="center"/>
            </w:pPr>
            <w:r w:rsidRPr="00BE086B">
              <w:rPr>
                <w:bCs/>
                <w:sz w:val="28"/>
                <w:szCs w:val="28"/>
              </w:rPr>
              <w:t>60 хв</w:t>
            </w:r>
          </w:p>
        </w:tc>
        <w:tc>
          <w:tcPr>
            <w:tcW w:w="1191"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jc w:val="center"/>
            </w:pPr>
            <w:r w:rsidRPr="00BE086B">
              <w:rPr>
                <w:bCs/>
                <w:sz w:val="28"/>
                <w:szCs w:val="28"/>
              </w:rPr>
              <w:t>90 хв</w:t>
            </w:r>
          </w:p>
        </w:tc>
        <w:tc>
          <w:tcPr>
            <w:tcW w:w="1201" w:type="dxa"/>
            <w:tcBorders>
              <w:top w:val="single" w:sz="4" w:space="0" w:color="000001"/>
              <w:left w:val="single" w:sz="4" w:space="0" w:color="000001"/>
              <w:bottom w:val="single" w:sz="4" w:space="0" w:color="000001"/>
              <w:right w:val="single" w:sz="4" w:space="0" w:color="000001"/>
            </w:tcBorders>
            <w:shd w:val="clear" w:color="auto" w:fill="auto"/>
          </w:tcPr>
          <w:p w:rsidR="00A50896" w:rsidRPr="00BE086B" w:rsidRDefault="00A50896" w:rsidP="00A7341E">
            <w:pPr>
              <w:jc w:val="center"/>
            </w:pPr>
            <w:r w:rsidRPr="00BE086B">
              <w:rPr>
                <w:bCs/>
                <w:sz w:val="28"/>
                <w:szCs w:val="28"/>
              </w:rPr>
              <w:t>120 хв</w:t>
            </w:r>
          </w:p>
        </w:tc>
      </w:tr>
      <w:tr w:rsidR="00A50896" w:rsidRPr="00BE086B" w:rsidTr="00A7341E">
        <w:tc>
          <w:tcPr>
            <w:tcW w:w="3555"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Інтактні щури (ІЩ)</w:t>
            </w:r>
          </w:p>
          <w:p w:rsidR="00A50896" w:rsidRPr="00BE086B" w:rsidRDefault="00A50896" w:rsidP="00A7341E">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(n=10)</w:t>
            </w:r>
          </w:p>
        </w:tc>
        <w:tc>
          <w:tcPr>
            <w:tcW w:w="119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2,23</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0,12</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tabs>
                <w:tab w:val="left" w:pos="792"/>
              </w:tabs>
              <w:jc w:val="center"/>
            </w:pPr>
            <w:r w:rsidRPr="00BE086B">
              <w:rPr>
                <w:sz w:val="28"/>
                <w:szCs w:val="28"/>
              </w:rPr>
              <w:t>2,31</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0,19</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tabs>
                <w:tab w:val="left" w:pos="972"/>
              </w:tabs>
              <w:jc w:val="center"/>
            </w:pPr>
            <w:r w:rsidRPr="00BE086B">
              <w:rPr>
                <w:sz w:val="28"/>
                <w:szCs w:val="28"/>
              </w:rPr>
              <w:t>2,18</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0,11</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1,80</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0,12</w:t>
            </w:r>
          </w:p>
        </w:tc>
        <w:tc>
          <w:tcPr>
            <w:tcW w:w="120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jc w:val="center"/>
            </w:pPr>
            <w:r w:rsidRPr="00BE086B">
              <w:rPr>
                <w:sz w:val="28"/>
                <w:szCs w:val="28"/>
              </w:rPr>
              <w:t>2,22</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0,15</w:t>
            </w:r>
          </w:p>
        </w:tc>
      </w:tr>
      <w:tr w:rsidR="00A50896" w:rsidRPr="00BE086B" w:rsidTr="00A7341E">
        <w:tc>
          <w:tcPr>
            <w:tcW w:w="3555"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І група ЕОА + ЕГ</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(n=10)</w:t>
            </w:r>
          </w:p>
        </w:tc>
        <w:tc>
          <w:tcPr>
            <w:tcW w:w="1190"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1,85#</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0,13</w:t>
            </w:r>
          </w:p>
        </w:tc>
        <w:tc>
          <w:tcPr>
            <w:tcW w:w="1191"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1,96</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±0,09</w:t>
            </w:r>
          </w:p>
        </w:tc>
        <w:tc>
          <w:tcPr>
            <w:tcW w:w="1191"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sz w:val="28"/>
                <w:szCs w:val="28"/>
              </w:rPr>
              <w:t>1,85#</w:t>
            </w:r>
          </w:p>
          <w:p w:rsidR="00A50896" w:rsidRPr="00BE086B" w:rsidRDefault="00A50896" w:rsidP="00A7341E">
            <w:pPr>
              <w:suppressAutoHyphens w:val="0"/>
              <w:jc w:val="center"/>
            </w:pPr>
            <w:r w:rsidRPr="00BE086B">
              <w:rPr>
                <w:rFonts w:eastAsia="Calibri"/>
                <w:sz w:val="28"/>
                <w:szCs w:val="28"/>
                <w:lang w:eastAsia="en-US"/>
              </w:rPr>
              <w:t>±</w:t>
            </w:r>
            <w:r w:rsidRPr="00BE086B">
              <w:rPr>
                <w:sz w:val="28"/>
                <w:szCs w:val="28"/>
              </w:rPr>
              <w:t>0,08</w:t>
            </w:r>
          </w:p>
        </w:tc>
        <w:tc>
          <w:tcPr>
            <w:tcW w:w="1191"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1,58</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0,09</w:t>
            </w:r>
          </w:p>
        </w:tc>
        <w:tc>
          <w:tcPr>
            <w:tcW w:w="1201" w:type="dxa"/>
            <w:tcBorders>
              <w:top w:val="none" w:sz="0" w:space="0" w:color="000000"/>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1,79</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0,18</w:t>
            </w:r>
          </w:p>
        </w:tc>
      </w:tr>
      <w:tr w:rsidR="00A50896" w:rsidRPr="00BE086B" w:rsidTr="00A7341E">
        <w:trPr>
          <w:trHeight w:val="80"/>
        </w:trPr>
        <w:tc>
          <w:tcPr>
            <w:tcW w:w="3555"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ІІІ група</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Диклофенак натрію</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10 мг/ кг (n=10)</w:t>
            </w:r>
          </w:p>
        </w:tc>
        <w:tc>
          <w:tcPr>
            <w:tcW w:w="119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uk-UA"/>
              </w:rPr>
              <w:t>1,99</w:t>
            </w:r>
          </w:p>
          <w:p w:rsidR="00A50896" w:rsidRPr="00BE086B" w:rsidRDefault="00A50896" w:rsidP="00A7341E">
            <w:pPr>
              <w:suppressAutoHyphens w:val="0"/>
              <w:jc w:val="center"/>
            </w:pPr>
            <w:r w:rsidRPr="00BE086B">
              <w:rPr>
                <w:bCs/>
                <w:sz w:val="28"/>
                <w:szCs w:val="28"/>
                <w:lang w:eastAsia="uk-UA"/>
              </w:rPr>
              <w:t>±</w:t>
            </w:r>
            <w:r w:rsidRPr="00BE086B">
              <w:rPr>
                <w:rFonts w:eastAsia="Calibri"/>
                <w:sz w:val="28"/>
                <w:szCs w:val="28"/>
                <w:lang w:eastAsia="uk-UA"/>
              </w:rPr>
              <w:t>0,07</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ru-RU"/>
              </w:rPr>
              <w:t>2,74*</w:t>
            </w:r>
            <w:r w:rsidRPr="00BE086B">
              <w:rPr>
                <w:bCs/>
                <w:i/>
                <w:sz w:val="28"/>
                <w:szCs w:val="28"/>
                <w:vertAlign w:val="superscript"/>
                <w:lang w:eastAsia="ru-RU"/>
              </w:rPr>
              <w:t>¤</w:t>
            </w:r>
          </w:p>
          <w:p w:rsidR="00A50896" w:rsidRPr="00BE086B" w:rsidRDefault="00A50896" w:rsidP="00A7341E">
            <w:pPr>
              <w:suppressAutoHyphens w:val="0"/>
              <w:jc w:val="center"/>
            </w:pPr>
            <w:r w:rsidRPr="00BE086B">
              <w:rPr>
                <w:bCs/>
                <w:sz w:val="28"/>
                <w:szCs w:val="28"/>
                <w:lang w:eastAsia="ru-RU"/>
              </w:rPr>
              <w:t>±</w:t>
            </w:r>
            <w:r w:rsidRPr="00BE086B">
              <w:rPr>
                <w:rFonts w:eastAsia="Calibri"/>
                <w:sz w:val="28"/>
                <w:szCs w:val="28"/>
                <w:lang w:eastAsia="ru-RU"/>
              </w:rPr>
              <w:t>0,09</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ru-RU"/>
              </w:rPr>
              <w:t>4,15*</w:t>
            </w:r>
            <w:r w:rsidRPr="00BE086B">
              <w:rPr>
                <w:bCs/>
                <w:i/>
                <w:sz w:val="28"/>
                <w:szCs w:val="28"/>
                <w:vertAlign w:val="superscript"/>
                <w:lang w:eastAsia="ru-RU"/>
              </w:rPr>
              <w:t>¤</w:t>
            </w:r>
          </w:p>
          <w:p w:rsidR="00A50896" w:rsidRPr="00BE086B" w:rsidRDefault="00A50896" w:rsidP="00A7341E">
            <w:pPr>
              <w:suppressAutoHyphens w:val="0"/>
              <w:jc w:val="center"/>
            </w:pPr>
            <w:r w:rsidRPr="00BE086B">
              <w:rPr>
                <w:bCs/>
                <w:sz w:val="28"/>
                <w:szCs w:val="28"/>
                <w:lang w:eastAsia="ru-RU"/>
              </w:rPr>
              <w:t>±</w:t>
            </w:r>
            <w:r w:rsidRPr="00BE086B">
              <w:rPr>
                <w:rFonts w:eastAsia="Calibri"/>
                <w:sz w:val="28"/>
                <w:szCs w:val="28"/>
                <w:lang w:eastAsia="ru-RU"/>
              </w:rPr>
              <w:t>0,10</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ru-RU"/>
              </w:rPr>
              <w:t>4,17*</w:t>
            </w:r>
            <w:r w:rsidRPr="00BE086B">
              <w:rPr>
                <w:bCs/>
                <w:i/>
                <w:sz w:val="28"/>
                <w:szCs w:val="28"/>
                <w:vertAlign w:val="superscript"/>
                <w:lang w:eastAsia="ru-RU"/>
              </w:rPr>
              <w:t>¤</w:t>
            </w:r>
          </w:p>
          <w:p w:rsidR="00A50896" w:rsidRPr="00BE086B" w:rsidRDefault="00A50896" w:rsidP="00A7341E">
            <w:pPr>
              <w:suppressAutoHyphens w:val="0"/>
              <w:jc w:val="center"/>
            </w:pPr>
            <w:r w:rsidRPr="00BE086B">
              <w:rPr>
                <w:bCs/>
                <w:sz w:val="28"/>
                <w:szCs w:val="28"/>
                <w:lang w:eastAsia="ru-RU"/>
              </w:rPr>
              <w:t>±</w:t>
            </w:r>
            <w:r w:rsidRPr="00BE086B">
              <w:rPr>
                <w:rFonts w:eastAsia="Calibri"/>
                <w:sz w:val="28"/>
                <w:szCs w:val="28"/>
                <w:lang w:eastAsia="ru-RU"/>
              </w:rPr>
              <w:t>0,13</w:t>
            </w:r>
          </w:p>
        </w:tc>
        <w:tc>
          <w:tcPr>
            <w:tcW w:w="120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ru-RU"/>
              </w:rPr>
              <w:t>3,65*</w:t>
            </w:r>
            <w:r w:rsidRPr="00BE086B">
              <w:rPr>
                <w:bCs/>
                <w:i/>
                <w:sz w:val="28"/>
                <w:szCs w:val="28"/>
                <w:vertAlign w:val="superscript"/>
                <w:lang w:eastAsia="ru-RU"/>
              </w:rPr>
              <w:t>¤</w:t>
            </w:r>
          </w:p>
          <w:p w:rsidR="00A50896" w:rsidRPr="00BE086B" w:rsidRDefault="00A50896" w:rsidP="00A7341E">
            <w:pPr>
              <w:suppressAutoHyphens w:val="0"/>
              <w:jc w:val="center"/>
            </w:pPr>
            <w:r w:rsidRPr="00BE086B">
              <w:rPr>
                <w:bCs/>
                <w:sz w:val="28"/>
                <w:szCs w:val="28"/>
                <w:lang w:eastAsia="ru-RU"/>
              </w:rPr>
              <w:t>±</w:t>
            </w:r>
            <w:r w:rsidRPr="00BE086B">
              <w:rPr>
                <w:rFonts w:eastAsia="Calibri"/>
                <w:sz w:val="28"/>
                <w:szCs w:val="28"/>
                <w:lang w:eastAsia="ru-RU"/>
              </w:rPr>
              <w:t>0,07</w:t>
            </w:r>
          </w:p>
        </w:tc>
      </w:tr>
      <w:tr w:rsidR="00A50896" w:rsidRPr="00BE086B" w:rsidTr="00A7341E">
        <w:tc>
          <w:tcPr>
            <w:tcW w:w="3555"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ІV група</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Ібупрофен</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5 мг/кг (n=10)</w:t>
            </w:r>
          </w:p>
        </w:tc>
        <w:tc>
          <w:tcPr>
            <w:tcW w:w="119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1,70</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0,09</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2,50*</w:t>
            </w:r>
            <w:r w:rsidRPr="00BE086B">
              <w:rPr>
                <w:rFonts w:eastAsia="Calibri"/>
                <w:i/>
                <w:sz w:val="28"/>
                <w:szCs w:val="28"/>
                <w:vertAlign w:val="superscript"/>
                <w:lang w:eastAsia="en-US"/>
              </w:rPr>
              <w:t>¤</w:t>
            </w:r>
          </w:p>
          <w:p w:rsidR="00A50896" w:rsidRPr="00BE086B" w:rsidRDefault="00A50896" w:rsidP="00A7341E">
            <w:pPr>
              <w:jc w:val="center"/>
            </w:pPr>
            <w:r w:rsidRPr="00BE086B">
              <w:rPr>
                <w:sz w:val="28"/>
                <w:szCs w:val="28"/>
              </w:rPr>
              <w:t>±0,21</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2,57*</w:t>
            </w:r>
            <w:r w:rsidRPr="00BE086B">
              <w:rPr>
                <w:rFonts w:eastAsia="Calibri"/>
                <w:i/>
                <w:sz w:val="28"/>
                <w:szCs w:val="28"/>
                <w:vertAlign w:val="superscript"/>
                <w:lang w:eastAsia="en-US"/>
              </w:rPr>
              <w:t>¤</w:t>
            </w:r>
          </w:p>
          <w:p w:rsidR="00A50896" w:rsidRPr="00BE086B" w:rsidRDefault="00A50896" w:rsidP="00A7341E">
            <w:pPr>
              <w:jc w:val="center"/>
            </w:pPr>
            <w:r w:rsidRPr="00BE086B">
              <w:rPr>
                <w:sz w:val="28"/>
                <w:szCs w:val="28"/>
              </w:rPr>
              <w:t>±0,18</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3,18*</w:t>
            </w:r>
            <w:r w:rsidRPr="00BE086B">
              <w:rPr>
                <w:rFonts w:eastAsia="Calibri"/>
                <w:i/>
                <w:sz w:val="28"/>
                <w:szCs w:val="28"/>
                <w:vertAlign w:val="superscript"/>
                <w:lang w:eastAsia="en-US"/>
              </w:rPr>
              <w:t>¤</w:t>
            </w:r>
          </w:p>
          <w:p w:rsidR="00A50896" w:rsidRPr="00BE086B" w:rsidRDefault="00A50896" w:rsidP="00A7341E">
            <w:pPr>
              <w:jc w:val="center"/>
            </w:pPr>
            <w:r w:rsidRPr="00BE086B">
              <w:rPr>
                <w:sz w:val="28"/>
                <w:szCs w:val="28"/>
              </w:rPr>
              <w:t>±0,26</w:t>
            </w:r>
          </w:p>
        </w:tc>
        <w:tc>
          <w:tcPr>
            <w:tcW w:w="120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jc w:val="center"/>
            </w:pPr>
            <w:r w:rsidRPr="00BE086B">
              <w:rPr>
                <w:sz w:val="28"/>
                <w:szCs w:val="28"/>
              </w:rPr>
              <w:t>2,24*</w:t>
            </w:r>
          </w:p>
          <w:p w:rsidR="00A50896" w:rsidRPr="00BE086B" w:rsidRDefault="00A50896" w:rsidP="00A7341E">
            <w:pPr>
              <w:jc w:val="center"/>
            </w:pPr>
            <w:r w:rsidRPr="00BE086B">
              <w:rPr>
                <w:sz w:val="28"/>
                <w:szCs w:val="28"/>
              </w:rPr>
              <w:t>±0,14</w:t>
            </w:r>
          </w:p>
        </w:tc>
      </w:tr>
      <w:tr w:rsidR="00A50896" w:rsidRPr="00BE086B" w:rsidTr="00A7341E">
        <w:tc>
          <w:tcPr>
            <w:tcW w:w="3555"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V група</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Мелоксикам</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10 мг/кг (n=10)</w:t>
            </w:r>
          </w:p>
        </w:tc>
        <w:tc>
          <w:tcPr>
            <w:tcW w:w="119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1,87</w:t>
            </w:r>
          </w:p>
          <w:p w:rsidR="00A50896" w:rsidRPr="00BE086B" w:rsidRDefault="00A50896" w:rsidP="00A7341E">
            <w:pPr>
              <w:suppressAutoHyphens w:val="0"/>
              <w:jc w:val="center"/>
            </w:pPr>
            <w:r w:rsidRPr="00BE086B">
              <w:rPr>
                <w:rFonts w:eastAsia="Calibri"/>
                <w:sz w:val="28"/>
                <w:szCs w:val="28"/>
                <w:lang w:eastAsia="en-US"/>
              </w:rPr>
              <w:t>±0,11</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2,30</w:t>
            </w:r>
          </w:p>
          <w:p w:rsidR="00A50896" w:rsidRPr="00BE086B" w:rsidRDefault="00A50896" w:rsidP="00A7341E">
            <w:pPr>
              <w:suppressAutoHyphens w:val="0"/>
              <w:jc w:val="center"/>
            </w:pPr>
            <w:r w:rsidRPr="00BE086B">
              <w:rPr>
                <w:rFonts w:eastAsia="Calibri"/>
                <w:sz w:val="28"/>
                <w:szCs w:val="28"/>
                <w:lang w:eastAsia="en-US"/>
              </w:rPr>
              <w:t>±0,20</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2,65*</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±0,13</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3,14*</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±0,20</w:t>
            </w:r>
          </w:p>
        </w:tc>
        <w:tc>
          <w:tcPr>
            <w:tcW w:w="120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2,54</w:t>
            </w:r>
          </w:p>
          <w:p w:rsidR="00A50896" w:rsidRPr="00BE086B" w:rsidRDefault="00A50896" w:rsidP="00A7341E">
            <w:pPr>
              <w:suppressAutoHyphens w:val="0"/>
              <w:jc w:val="center"/>
            </w:pPr>
            <w:r w:rsidRPr="00BE086B">
              <w:rPr>
                <w:rFonts w:eastAsia="Calibri"/>
                <w:sz w:val="28"/>
                <w:szCs w:val="28"/>
                <w:lang w:eastAsia="en-US"/>
              </w:rPr>
              <w:t>±0,27</w:t>
            </w:r>
          </w:p>
        </w:tc>
      </w:tr>
      <w:tr w:rsidR="00A50896" w:rsidRPr="00BE086B" w:rsidTr="00A7341E">
        <w:tc>
          <w:tcPr>
            <w:tcW w:w="3555"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VI група</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+ЕГ + Німесулід</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80 мг/кг (n=10)</w:t>
            </w:r>
          </w:p>
        </w:tc>
        <w:tc>
          <w:tcPr>
            <w:tcW w:w="119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1,85</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0,08</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2,50*</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0,04</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2,6*</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0,08</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3,23*</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0,10</w:t>
            </w:r>
          </w:p>
        </w:tc>
        <w:tc>
          <w:tcPr>
            <w:tcW w:w="120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jc w:val="center"/>
            </w:pPr>
            <w:r w:rsidRPr="00BE086B">
              <w:rPr>
                <w:sz w:val="28"/>
                <w:szCs w:val="28"/>
              </w:rPr>
              <w:t>3,33*</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0,14</w:t>
            </w:r>
          </w:p>
        </w:tc>
      </w:tr>
      <w:tr w:rsidR="00A50896" w:rsidRPr="00BE086B" w:rsidTr="00A7341E">
        <w:tc>
          <w:tcPr>
            <w:tcW w:w="3555"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VІI група</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Целекоксиб</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50 мг/кг (n=10)</w:t>
            </w:r>
          </w:p>
        </w:tc>
        <w:tc>
          <w:tcPr>
            <w:tcW w:w="119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1,99</w:t>
            </w:r>
          </w:p>
          <w:p w:rsidR="00A50896" w:rsidRPr="00BE086B" w:rsidRDefault="00A50896" w:rsidP="00A7341E">
            <w:pPr>
              <w:suppressAutoHyphens w:val="0"/>
              <w:jc w:val="center"/>
            </w:pPr>
            <w:r w:rsidRPr="00BE086B">
              <w:rPr>
                <w:rFonts w:eastAsia="Calibri"/>
                <w:sz w:val="28"/>
                <w:szCs w:val="28"/>
                <w:lang w:eastAsia="en-US"/>
              </w:rPr>
              <w:t>±0,05</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2,31*</w:t>
            </w:r>
          </w:p>
          <w:p w:rsidR="00A50896" w:rsidRPr="00BE086B" w:rsidRDefault="00A50896" w:rsidP="00A7341E">
            <w:pPr>
              <w:suppressAutoHyphens w:val="0"/>
              <w:jc w:val="center"/>
            </w:pPr>
            <w:r w:rsidRPr="00BE086B">
              <w:rPr>
                <w:rFonts w:eastAsia="Calibri"/>
                <w:sz w:val="28"/>
                <w:szCs w:val="28"/>
                <w:lang w:eastAsia="en-US"/>
              </w:rPr>
              <w:t>±0,12</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2,4*</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±0,11</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2,52*</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±0,06</w:t>
            </w:r>
          </w:p>
        </w:tc>
        <w:tc>
          <w:tcPr>
            <w:tcW w:w="120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2,30</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0,09</w:t>
            </w:r>
          </w:p>
        </w:tc>
      </w:tr>
      <w:tr w:rsidR="00A50896" w:rsidRPr="00BE086B" w:rsidTr="00A7341E">
        <w:trPr>
          <w:trHeight w:val="58"/>
        </w:trPr>
        <w:tc>
          <w:tcPr>
            <w:tcW w:w="3555"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VІІI група</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Парацетамол</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150 мг/кг (n=10)</w:t>
            </w:r>
          </w:p>
        </w:tc>
        <w:tc>
          <w:tcPr>
            <w:tcW w:w="119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1,75</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0,08</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2,05</w:t>
            </w:r>
          </w:p>
          <w:p w:rsidR="00A50896" w:rsidRPr="00BE086B" w:rsidRDefault="00A50896" w:rsidP="00A7341E">
            <w:pPr>
              <w:jc w:val="center"/>
            </w:pPr>
            <w:r w:rsidRPr="00BE086B">
              <w:rPr>
                <w:rFonts w:eastAsia="Calibri"/>
                <w:sz w:val="28"/>
                <w:szCs w:val="28"/>
                <w:lang w:eastAsia="en-US"/>
              </w:rPr>
              <w:t>±</w:t>
            </w:r>
            <w:r w:rsidRPr="00BE086B">
              <w:rPr>
                <w:sz w:val="28"/>
                <w:szCs w:val="28"/>
              </w:rPr>
              <w:t>0,18</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2,15*</w:t>
            </w:r>
          </w:p>
          <w:p w:rsidR="00A50896" w:rsidRPr="00BE086B" w:rsidRDefault="00A50896" w:rsidP="00A7341E">
            <w:pPr>
              <w:jc w:val="center"/>
            </w:pPr>
            <w:r w:rsidRPr="00BE086B">
              <w:rPr>
                <w:rFonts w:eastAsia="Calibri"/>
                <w:sz w:val="28"/>
                <w:szCs w:val="28"/>
                <w:lang w:eastAsia="en-US"/>
              </w:rPr>
              <w:t>±</w:t>
            </w:r>
            <w:r w:rsidRPr="00BE086B">
              <w:rPr>
                <w:sz w:val="28"/>
                <w:szCs w:val="28"/>
              </w:rPr>
              <w:t>0,09</w:t>
            </w:r>
          </w:p>
        </w:tc>
        <w:tc>
          <w:tcPr>
            <w:tcW w:w="119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2,10*</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0,07</w:t>
            </w:r>
          </w:p>
        </w:tc>
        <w:tc>
          <w:tcPr>
            <w:tcW w:w="120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jc w:val="center"/>
            </w:pPr>
            <w:r w:rsidRPr="00BE086B">
              <w:rPr>
                <w:sz w:val="28"/>
                <w:szCs w:val="28"/>
              </w:rPr>
              <w:t>1,78</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w:t>
            </w:r>
            <w:r w:rsidRPr="00BE086B">
              <w:rPr>
                <w:color w:val="auto"/>
                <w:sz w:val="28"/>
                <w:szCs w:val="28"/>
              </w:rPr>
              <w:t>0,14</w:t>
            </w:r>
          </w:p>
        </w:tc>
      </w:tr>
    </w:tbl>
    <w:p w:rsidR="00641B68" w:rsidRPr="00BE086B" w:rsidRDefault="00641B68" w:rsidP="00A50896">
      <w:pPr>
        <w:suppressAutoHyphens w:val="0"/>
        <w:spacing w:line="360" w:lineRule="auto"/>
        <w:ind w:firstLine="709"/>
        <w:jc w:val="both"/>
        <w:rPr>
          <w:b/>
          <w:iCs/>
          <w:sz w:val="28"/>
          <w:szCs w:val="28"/>
        </w:rPr>
      </w:pPr>
    </w:p>
    <w:p w:rsidR="00A50896" w:rsidRPr="00BE086B" w:rsidRDefault="00A50896" w:rsidP="00A50896">
      <w:pPr>
        <w:suppressAutoHyphens w:val="0"/>
        <w:spacing w:line="360" w:lineRule="auto"/>
        <w:ind w:firstLine="709"/>
        <w:jc w:val="both"/>
      </w:pPr>
      <w:r w:rsidRPr="00BE086B">
        <w:rPr>
          <w:b/>
          <w:iCs/>
          <w:sz w:val="28"/>
          <w:szCs w:val="28"/>
        </w:rPr>
        <w:t>Примітк</w:t>
      </w:r>
      <w:r w:rsidR="00641B68" w:rsidRPr="00BE086B">
        <w:rPr>
          <w:b/>
          <w:iCs/>
          <w:sz w:val="28"/>
          <w:szCs w:val="28"/>
          <w:lang w:val="uk-UA"/>
        </w:rPr>
        <w:t>и</w:t>
      </w:r>
      <w:r w:rsidRPr="00BE086B">
        <w:rPr>
          <w:b/>
          <w:iCs/>
          <w:sz w:val="28"/>
          <w:szCs w:val="28"/>
        </w:rPr>
        <w:t xml:space="preserve">: </w:t>
      </w:r>
      <w:r w:rsidRPr="00BE086B">
        <w:rPr>
          <w:iCs/>
          <w:sz w:val="28"/>
          <w:szCs w:val="28"/>
        </w:rPr>
        <w:t>* - р </w:t>
      </w:r>
      <w:r w:rsidRPr="00BE086B">
        <w:rPr>
          <w:rFonts w:eastAsia="Calibri"/>
          <w:iCs/>
          <w:sz w:val="28"/>
          <w:szCs w:val="28"/>
          <w:lang w:eastAsia="en-US"/>
        </w:rPr>
        <w:t>&lt; </w:t>
      </w:r>
      <w:r w:rsidRPr="00BE086B">
        <w:rPr>
          <w:iCs/>
          <w:sz w:val="28"/>
          <w:szCs w:val="28"/>
        </w:rPr>
        <w:t>0,05 по відношенню до початкової больової чутливості (ПБЧ) у вихідному стані (ВС);</w:t>
      </w:r>
    </w:p>
    <w:p w:rsidR="00A50896" w:rsidRPr="00BE086B" w:rsidRDefault="00A50896" w:rsidP="00A50896">
      <w:pPr>
        <w:spacing w:line="360" w:lineRule="auto"/>
        <w:ind w:firstLine="709"/>
        <w:jc w:val="both"/>
      </w:pPr>
      <w:r w:rsidRPr="00BE086B">
        <w:rPr>
          <w:rFonts w:eastAsia="Calibri"/>
          <w:i/>
          <w:lang w:eastAsia="en-US"/>
        </w:rPr>
        <w:t>¤</w:t>
      </w:r>
      <w:r w:rsidRPr="00BE086B">
        <w:rPr>
          <w:rFonts w:eastAsia="Calibri"/>
          <w:iCs/>
          <w:sz w:val="28"/>
          <w:szCs w:val="28"/>
          <w:lang w:eastAsia="en-US"/>
        </w:rPr>
        <w:t xml:space="preserve"> - р &lt; 0,05 у порівнянні з показниками групи контролю (</w:t>
      </w:r>
      <w:r w:rsidRPr="00BE086B">
        <w:rPr>
          <w:sz w:val="28"/>
          <w:szCs w:val="28"/>
        </w:rPr>
        <w:t>ЕОА+ЕГ);</w:t>
      </w:r>
    </w:p>
    <w:p w:rsidR="00A50896" w:rsidRPr="00BE086B" w:rsidRDefault="00A50896" w:rsidP="00A50896">
      <w:pPr>
        <w:spacing w:line="360" w:lineRule="auto"/>
        <w:ind w:firstLine="709"/>
        <w:jc w:val="both"/>
      </w:pPr>
      <w:r w:rsidRPr="00BE086B">
        <w:rPr>
          <w:sz w:val="28"/>
          <w:szCs w:val="28"/>
        </w:rPr>
        <w:t xml:space="preserve"># - </w:t>
      </w:r>
      <w:r w:rsidRPr="00BE086B">
        <w:rPr>
          <w:rFonts w:eastAsia="Calibri"/>
          <w:iCs/>
          <w:sz w:val="28"/>
          <w:szCs w:val="28"/>
          <w:lang w:eastAsia="en-US"/>
        </w:rPr>
        <w:t>р &lt; 0,05 у порівнянні з показниками групи пасивного контролю (інтактні щури).</w:t>
      </w:r>
    </w:p>
    <w:p w:rsidR="00A50896" w:rsidRPr="00BE086B" w:rsidRDefault="00A50896" w:rsidP="00A50896">
      <w:pPr>
        <w:spacing w:line="360" w:lineRule="auto"/>
        <w:ind w:firstLine="709"/>
        <w:jc w:val="both"/>
        <w:rPr>
          <w:rFonts w:eastAsia="Calibri"/>
          <w:iCs/>
          <w:sz w:val="28"/>
          <w:szCs w:val="28"/>
          <w:lang w:eastAsia="en-US"/>
        </w:rPr>
      </w:pPr>
    </w:p>
    <w:p w:rsidR="0068633B" w:rsidRPr="00BE086B" w:rsidRDefault="0068633B" w:rsidP="00A50896">
      <w:pPr>
        <w:spacing w:line="360" w:lineRule="auto"/>
        <w:ind w:firstLine="709"/>
        <w:jc w:val="both"/>
        <w:rPr>
          <w:rFonts w:eastAsia="Calibri"/>
          <w:iCs/>
          <w:sz w:val="28"/>
          <w:szCs w:val="28"/>
          <w:lang w:eastAsia="en-US"/>
        </w:rPr>
      </w:pPr>
    </w:p>
    <w:p w:rsidR="0068633B" w:rsidRPr="00BE086B" w:rsidRDefault="0068633B" w:rsidP="00A50896">
      <w:pPr>
        <w:spacing w:line="360" w:lineRule="auto"/>
        <w:ind w:firstLine="709"/>
        <w:jc w:val="both"/>
        <w:rPr>
          <w:rFonts w:eastAsia="Calibri"/>
          <w:iCs/>
          <w:sz w:val="28"/>
          <w:szCs w:val="28"/>
          <w:lang w:eastAsia="en-US"/>
        </w:rPr>
      </w:pPr>
    </w:p>
    <w:p w:rsidR="0068633B" w:rsidRPr="00BE086B" w:rsidRDefault="0068633B" w:rsidP="00A50896">
      <w:pPr>
        <w:spacing w:line="360" w:lineRule="auto"/>
        <w:ind w:firstLine="709"/>
        <w:jc w:val="both"/>
        <w:rPr>
          <w:rFonts w:eastAsia="Calibri"/>
          <w:iCs/>
          <w:sz w:val="28"/>
          <w:szCs w:val="28"/>
          <w:lang w:eastAsia="en-US"/>
        </w:rPr>
      </w:pPr>
    </w:p>
    <w:p w:rsidR="00A50896" w:rsidRPr="00BE086B" w:rsidRDefault="009B135A" w:rsidP="00130E59">
      <w:pPr>
        <w:suppressAutoHyphens w:val="0"/>
        <w:spacing w:line="360" w:lineRule="auto"/>
        <w:jc w:val="center"/>
        <w:rPr>
          <w:b/>
          <w:bCs/>
          <w:sz w:val="28"/>
          <w:szCs w:val="28"/>
        </w:rPr>
      </w:pPr>
      <w:bookmarkStart w:id="2" w:name="_1678438055"/>
      <w:bookmarkEnd w:id="2"/>
      <w:r>
        <w:rPr>
          <w:b/>
          <w:bCs/>
          <w:noProof/>
          <w:sz w:val="28"/>
          <w:szCs w:val="28"/>
          <w:lang w:eastAsia="ru-RU"/>
        </w:rPr>
        <w:drawing>
          <wp:inline distT="0" distB="0" distL="0" distR="0">
            <wp:extent cx="5940000" cy="3618000"/>
            <wp:effectExtent l="0" t="0" r="381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4.jpg"/>
                    <pic:cNvPicPr/>
                  </pic:nvPicPr>
                  <pic:blipFill>
                    <a:blip r:embed="rId14">
                      <a:extLst>
                        <a:ext uri="{28A0092B-C50C-407E-A947-70E740481C1C}">
                          <a14:useLocalDpi xmlns:a14="http://schemas.microsoft.com/office/drawing/2010/main" val="0"/>
                        </a:ext>
                      </a:extLst>
                    </a:blip>
                    <a:stretch>
                      <a:fillRect/>
                    </a:stretch>
                  </pic:blipFill>
                  <pic:spPr>
                    <a:xfrm>
                      <a:off x="0" y="0"/>
                      <a:ext cx="5940000" cy="3618000"/>
                    </a:xfrm>
                    <a:prstGeom prst="rect">
                      <a:avLst/>
                    </a:prstGeom>
                  </pic:spPr>
                </pic:pic>
              </a:graphicData>
            </a:graphic>
          </wp:inline>
        </w:drawing>
      </w:r>
    </w:p>
    <w:p w:rsidR="0068633B" w:rsidRPr="00BE086B" w:rsidRDefault="0068633B" w:rsidP="00A50896">
      <w:pPr>
        <w:suppressAutoHyphens w:val="0"/>
        <w:spacing w:line="360" w:lineRule="auto"/>
        <w:ind w:firstLine="709"/>
        <w:jc w:val="both"/>
        <w:rPr>
          <w:b/>
          <w:bCs/>
          <w:sz w:val="28"/>
          <w:szCs w:val="28"/>
        </w:rPr>
      </w:pPr>
    </w:p>
    <w:p w:rsidR="00A50896" w:rsidRPr="00BE086B" w:rsidRDefault="00A50896" w:rsidP="00A50896">
      <w:pPr>
        <w:suppressAutoHyphens w:val="0"/>
        <w:spacing w:line="360" w:lineRule="auto"/>
        <w:ind w:firstLine="709"/>
        <w:jc w:val="both"/>
      </w:pPr>
      <w:r w:rsidRPr="00BE086B">
        <w:rPr>
          <w:b/>
          <w:bCs/>
          <w:sz w:val="28"/>
          <w:szCs w:val="28"/>
        </w:rPr>
        <w:t xml:space="preserve">Рис. 3.4. </w:t>
      </w:r>
      <w:r w:rsidRPr="00BE086B">
        <w:rPr>
          <w:bCs/>
          <w:sz w:val="28"/>
          <w:szCs w:val="28"/>
        </w:rPr>
        <w:t>Динаміка з</w:t>
      </w:r>
      <w:r w:rsidRPr="00BE086B">
        <w:rPr>
          <w:sz w:val="28"/>
          <w:szCs w:val="28"/>
          <w:lang w:eastAsia="ru-RU"/>
        </w:rPr>
        <w:t xml:space="preserve">мін знеболюючого потенціалу НПЗЗ та парацетамолу </w:t>
      </w:r>
      <w:r w:rsidRPr="00BE086B">
        <w:rPr>
          <w:bCs/>
          <w:sz w:val="28"/>
          <w:szCs w:val="28"/>
        </w:rPr>
        <w:t>за умов коморбідної патології (</w:t>
      </w:r>
      <w:r w:rsidRPr="00BE086B">
        <w:rPr>
          <w:sz w:val="28"/>
          <w:szCs w:val="28"/>
        </w:rPr>
        <w:t>ЕОА+ЕГ) (у % до вихідного стану).</w:t>
      </w:r>
    </w:p>
    <w:p w:rsidR="00A50896" w:rsidRPr="00BE086B" w:rsidRDefault="00A50896" w:rsidP="00A50896">
      <w:pPr>
        <w:spacing w:line="360" w:lineRule="auto"/>
        <w:ind w:firstLine="709"/>
        <w:jc w:val="both"/>
      </w:pPr>
      <w:r w:rsidRPr="00BE086B">
        <w:rPr>
          <w:b/>
          <w:bCs/>
          <w:sz w:val="28"/>
          <w:szCs w:val="28"/>
          <w:lang w:eastAsia="ru-RU"/>
        </w:rPr>
        <w:t>Примітка.</w:t>
      </w:r>
      <w:r w:rsidRPr="00BE086B">
        <w:rPr>
          <w:sz w:val="28"/>
          <w:szCs w:val="28"/>
          <w:lang w:eastAsia="ru-RU"/>
        </w:rPr>
        <w:t xml:space="preserve"> * - 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0,05 по відношенню до показників вихідного стану.</w:t>
      </w:r>
    </w:p>
    <w:p w:rsidR="00A50896" w:rsidRPr="00BE086B" w:rsidRDefault="00A50896" w:rsidP="00A50896">
      <w:pPr>
        <w:spacing w:line="360" w:lineRule="auto"/>
        <w:ind w:firstLine="709"/>
        <w:jc w:val="both"/>
        <w:rPr>
          <w:rFonts w:eastAsia="Calibri"/>
          <w:iCs/>
          <w:sz w:val="28"/>
          <w:szCs w:val="28"/>
          <w:lang w:eastAsia="en-US"/>
        </w:rPr>
      </w:pPr>
    </w:p>
    <w:p w:rsidR="00A50896" w:rsidRPr="00BE086B" w:rsidRDefault="00A50896" w:rsidP="00A50896">
      <w:pPr>
        <w:spacing w:line="360" w:lineRule="auto"/>
        <w:ind w:firstLine="709"/>
        <w:jc w:val="both"/>
      </w:pPr>
      <w:r w:rsidRPr="00BE086B">
        <w:rPr>
          <w:rFonts w:eastAsia="Calibri"/>
          <w:iCs/>
          <w:sz w:val="28"/>
          <w:szCs w:val="28"/>
          <w:lang w:eastAsia="en-US"/>
        </w:rPr>
        <w:t xml:space="preserve">Як видно з рис. 3.3, </w:t>
      </w:r>
      <w:r w:rsidRPr="00BE086B">
        <w:rPr>
          <w:sz w:val="28"/>
          <w:szCs w:val="28"/>
        </w:rPr>
        <w:t xml:space="preserve">на 90 хвилині (пік розвитку знеболюючої активності препаратів) відносно відповідного показника (90 хвилина) групи активного контролю </w:t>
      </w:r>
      <w:r w:rsidRPr="00BE086B">
        <w:rPr>
          <w:rFonts w:eastAsia="Calibri"/>
          <w:iCs/>
          <w:sz w:val="28"/>
          <w:szCs w:val="28"/>
          <w:lang w:eastAsia="en-US"/>
        </w:rPr>
        <w:t>(</w:t>
      </w:r>
      <w:r w:rsidRPr="00BE086B">
        <w:rPr>
          <w:sz w:val="28"/>
          <w:szCs w:val="28"/>
        </w:rPr>
        <w:t xml:space="preserve">І група ЕОА+ЕГ) поріг больової чутливості у щурів збільшився у 2,64 рази </w:t>
      </w:r>
      <w:r w:rsidRPr="00BE086B">
        <w:rPr>
          <w:rFonts w:eastAsia="Calibri"/>
          <w:iCs/>
          <w:sz w:val="28"/>
          <w:szCs w:val="28"/>
          <w:lang w:eastAsia="en-US"/>
        </w:rPr>
        <w:t xml:space="preserve">(р &lt; 0,001) </w:t>
      </w:r>
      <w:r w:rsidRPr="00BE086B">
        <w:rPr>
          <w:sz w:val="28"/>
          <w:szCs w:val="28"/>
        </w:rPr>
        <w:t xml:space="preserve">в ІІІ групі при призначенні диклофенаку натрію, у 2,01 рази </w:t>
      </w:r>
      <w:r w:rsidRPr="00BE086B">
        <w:rPr>
          <w:rFonts w:eastAsia="Calibri"/>
          <w:iCs/>
          <w:sz w:val="28"/>
          <w:szCs w:val="28"/>
          <w:lang w:eastAsia="en-US"/>
        </w:rPr>
        <w:t xml:space="preserve">(р &lt; 0,001) – </w:t>
      </w:r>
      <w:r w:rsidRPr="00BE086B">
        <w:rPr>
          <w:sz w:val="28"/>
          <w:szCs w:val="28"/>
        </w:rPr>
        <w:t xml:space="preserve">в ІV групі при застосуванні ібупрофену, у 1,99 рази </w:t>
      </w:r>
      <w:r w:rsidRPr="00BE086B">
        <w:rPr>
          <w:rFonts w:eastAsia="Calibri"/>
          <w:iCs/>
          <w:sz w:val="28"/>
          <w:szCs w:val="28"/>
          <w:lang w:eastAsia="en-US"/>
        </w:rPr>
        <w:t xml:space="preserve">(р &lt; 0,001) – </w:t>
      </w:r>
      <w:r w:rsidRPr="00BE086B">
        <w:rPr>
          <w:sz w:val="28"/>
          <w:szCs w:val="28"/>
        </w:rPr>
        <w:t xml:space="preserve">в V групі при призначенні мелоксикаму, у 2,04 рази </w:t>
      </w:r>
      <w:r w:rsidRPr="00BE086B">
        <w:rPr>
          <w:rFonts w:eastAsia="Calibri"/>
          <w:iCs/>
          <w:sz w:val="28"/>
          <w:szCs w:val="28"/>
          <w:lang w:eastAsia="en-US"/>
        </w:rPr>
        <w:t xml:space="preserve">(р &lt; 0,001) – </w:t>
      </w:r>
      <w:r w:rsidRPr="00BE086B">
        <w:rPr>
          <w:sz w:val="28"/>
          <w:szCs w:val="28"/>
        </w:rPr>
        <w:t xml:space="preserve">в VІ групі при призначенні німесуліду, у 1,59 рази </w:t>
      </w:r>
      <w:r w:rsidRPr="00BE086B">
        <w:rPr>
          <w:rFonts w:eastAsia="Calibri"/>
          <w:iCs/>
          <w:sz w:val="28"/>
          <w:szCs w:val="28"/>
          <w:lang w:eastAsia="en-US"/>
        </w:rPr>
        <w:t xml:space="preserve">(р &lt; 0,001) – </w:t>
      </w:r>
      <w:r w:rsidRPr="00BE086B">
        <w:rPr>
          <w:sz w:val="28"/>
          <w:szCs w:val="28"/>
        </w:rPr>
        <w:t xml:space="preserve">в VІІ групі при призначенні целекоксибу та у 1,33 рази </w:t>
      </w:r>
      <w:r w:rsidRPr="00BE086B">
        <w:rPr>
          <w:rFonts w:eastAsia="Calibri"/>
          <w:iCs/>
          <w:sz w:val="28"/>
          <w:szCs w:val="28"/>
          <w:lang w:eastAsia="en-US"/>
        </w:rPr>
        <w:t xml:space="preserve">(р &lt; 0,05) – </w:t>
      </w:r>
      <w:r w:rsidRPr="00BE086B">
        <w:rPr>
          <w:sz w:val="28"/>
          <w:szCs w:val="28"/>
        </w:rPr>
        <w:t>в VІІІ групі при застосуванні парацетамолу.</w:t>
      </w:r>
    </w:p>
    <w:p w:rsidR="00A50896" w:rsidRPr="00BE086B" w:rsidRDefault="00A50896" w:rsidP="00A50896">
      <w:pPr>
        <w:spacing w:line="360" w:lineRule="auto"/>
        <w:ind w:firstLine="709"/>
        <w:jc w:val="both"/>
      </w:pPr>
      <w:r w:rsidRPr="00BE086B">
        <w:rPr>
          <w:rFonts w:eastAsia="Calibri"/>
          <w:iCs/>
          <w:sz w:val="28"/>
          <w:szCs w:val="28"/>
          <w:lang w:eastAsia="en-US"/>
        </w:rPr>
        <w:lastRenderedPageBreak/>
        <w:t>Як видно з табл. 3.2 і рис. 3.3, відповідно до здатності блокувати проходження електричного подразнення у щурів з коморбідною патологією (</w:t>
      </w:r>
      <w:r w:rsidRPr="00BE086B">
        <w:rPr>
          <w:sz w:val="28"/>
          <w:szCs w:val="28"/>
        </w:rPr>
        <w:t xml:space="preserve">ЕОА+ЕГ) </w:t>
      </w:r>
      <w:r w:rsidRPr="00BE086B">
        <w:rPr>
          <w:rFonts w:eastAsia="Calibri"/>
          <w:iCs/>
          <w:sz w:val="28"/>
          <w:szCs w:val="28"/>
          <w:lang w:eastAsia="en-US"/>
        </w:rPr>
        <w:t>на піку розвитку знеболюючої активності (90 хвилина тестування) НПЗЗ (у порівнянні з активним контролем (</w:t>
      </w:r>
      <w:r w:rsidRPr="00BE086B">
        <w:rPr>
          <w:sz w:val="28"/>
          <w:szCs w:val="28"/>
        </w:rPr>
        <w:t>ЕОА+ЕГ))</w:t>
      </w:r>
      <w:r w:rsidRPr="00BE086B">
        <w:rPr>
          <w:rFonts w:eastAsia="Calibri"/>
          <w:iCs/>
          <w:sz w:val="28"/>
          <w:szCs w:val="28"/>
          <w:lang w:eastAsia="en-US"/>
        </w:rPr>
        <w:t xml:space="preserve"> розташувалися у наступному порядку: диклофенак натрію (+164%)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німесулід (+104%)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ібупрофен (+101%)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мелоксикам (+99%)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целекоксиб (+59%)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парацетамол (+33%)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0,05)</w:t>
      </w:r>
      <w:r w:rsidRPr="00BE086B">
        <w:rPr>
          <w:rFonts w:eastAsia="Calibri"/>
          <w:bCs/>
          <w:iCs/>
          <w:sz w:val="28"/>
          <w:szCs w:val="28"/>
          <w:lang w:eastAsia="en-US"/>
        </w:rPr>
        <w:t>.</w:t>
      </w:r>
    </w:p>
    <w:p w:rsidR="00A50896" w:rsidRPr="00BE086B" w:rsidRDefault="00A50896" w:rsidP="00A50896">
      <w:pPr>
        <w:spacing w:line="360" w:lineRule="auto"/>
        <w:ind w:firstLine="709"/>
        <w:jc w:val="both"/>
      </w:pPr>
      <w:r w:rsidRPr="00BE086B">
        <w:rPr>
          <w:rFonts w:eastAsia="Calibri"/>
          <w:iCs/>
          <w:sz w:val="28"/>
          <w:szCs w:val="28"/>
          <w:lang w:eastAsia="en-US"/>
        </w:rPr>
        <w:t>Згідно з результатами проведених експериментів, які викладені у підрозділах 3.1 та 3.2, привертає увагу значне зниження знеболювальної активності всіх досліджуваних препаратів на фоні коморбідної патології, що дозволяє визначити препарати, які мають як високий, так і низький аналгетичний потенціал при експериментальних моделях остеоартрозу та гіпотиреозу.</w:t>
      </w:r>
    </w:p>
    <w:p w:rsidR="00A50896" w:rsidRPr="00BE086B" w:rsidRDefault="00A50896" w:rsidP="00A50896">
      <w:pPr>
        <w:suppressAutoHyphens w:val="0"/>
        <w:spacing w:line="360" w:lineRule="auto"/>
        <w:ind w:firstLine="709"/>
        <w:jc w:val="both"/>
      </w:pPr>
      <w:r w:rsidRPr="00BE086B">
        <w:rPr>
          <w:rFonts w:eastAsia="Calibri"/>
          <w:iCs/>
          <w:sz w:val="28"/>
          <w:szCs w:val="28"/>
          <w:lang w:eastAsia="en-US"/>
        </w:rPr>
        <w:t xml:space="preserve">Таким чином, на підставі проведеного дослідження встановлено, що на фоні коморбідної патології остеоартрозу та гіпотиреозу відбувається зниження порогу больової чутливості у щурів на 17% (р &lt; 0,05) та визначена здатність НПЗЗ та парацетамолу впливати на поріг больової чутливості за умов одноразового внутрішньошлункового їх введення при експериментальних моделях остеоартрозу та гіпотиреозу, яка відрізняється за своєю активністю. Встановлено, що найменший аналгетичний потенціал мали парацетамол та </w:t>
      </w:r>
      <w:r w:rsidRPr="00BE086B">
        <w:rPr>
          <w:sz w:val="28"/>
          <w:szCs w:val="28"/>
        </w:rPr>
        <w:t>целекоксиб</w:t>
      </w:r>
      <w:r w:rsidRPr="00BE086B">
        <w:rPr>
          <w:rFonts w:eastAsia="Calibri"/>
          <w:iCs/>
          <w:sz w:val="28"/>
          <w:szCs w:val="28"/>
          <w:lang w:eastAsia="en-US"/>
        </w:rPr>
        <w:t>.</w:t>
      </w:r>
    </w:p>
    <w:p w:rsidR="00A50896" w:rsidRPr="00BE086B" w:rsidRDefault="00A50896" w:rsidP="00A50896">
      <w:pPr>
        <w:spacing w:line="360" w:lineRule="auto"/>
        <w:ind w:firstLine="709"/>
        <w:jc w:val="both"/>
      </w:pPr>
      <w:r w:rsidRPr="00BE086B">
        <w:rPr>
          <w:rFonts w:eastAsia="Calibri"/>
          <w:iCs/>
          <w:sz w:val="28"/>
          <w:szCs w:val="28"/>
          <w:lang w:eastAsia="en-US"/>
        </w:rPr>
        <w:t>Порівняльний аналіз результатів дозволив визначити лікарський засіб, який зберігає свою фармакологічну активність, як при остеоартрозі, так і при остеоартрозі з гіпотиреозом — диклофенак натрію, який можна рекомендувати для використання при даній коморбідній патології.</w:t>
      </w:r>
    </w:p>
    <w:p w:rsidR="00A50896" w:rsidRPr="00BE086B" w:rsidRDefault="00A50896" w:rsidP="00A50896">
      <w:pPr>
        <w:spacing w:line="360" w:lineRule="auto"/>
        <w:ind w:firstLine="283"/>
        <w:jc w:val="right"/>
        <w:rPr>
          <w:rFonts w:eastAsia="Calibri"/>
          <w:iCs/>
          <w:sz w:val="28"/>
          <w:szCs w:val="28"/>
          <w:lang w:eastAsia="en-US"/>
        </w:rPr>
      </w:pPr>
    </w:p>
    <w:p w:rsidR="00A50896" w:rsidRPr="00BE086B" w:rsidRDefault="00A50896" w:rsidP="00A50896">
      <w:pPr>
        <w:spacing w:line="360" w:lineRule="auto"/>
        <w:ind w:firstLine="283"/>
        <w:jc w:val="right"/>
      </w:pPr>
    </w:p>
    <w:p w:rsidR="00A50896" w:rsidRPr="00BE086B" w:rsidRDefault="00A50896" w:rsidP="00A50896">
      <w:pPr>
        <w:spacing w:line="360" w:lineRule="auto"/>
        <w:ind w:firstLine="283"/>
        <w:jc w:val="right"/>
      </w:pPr>
    </w:p>
    <w:p w:rsidR="00A50896" w:rsidRPr="00BE086B" w:rsidRDefault="00A50896" w:rsidP="00A50896">
      <w:pPr>
        <w:spacing w:line="360" w:lineRule="auto"/>
        <w:ind w:firstLine="283"/>
        <w:jc w:val="right"/>
      </w:pPr>
    </w:p>
    <w:p w:rsidR="00A50896" w:rsidRPr="00BE086B" w:rsidRDefault="00A50896" w:rsidP="00A50896">
      <w:pPr>
        <w:spacing w:line="360" w:lineRule="auto"/>
        <w:ind w:firstLine="283"/>
        <w:jc w:val="right"/>
      </w:pPr>
    </w:p>
    <w:p w:rsidR="00A50896" w:rsidRPr="00BE086B" w:rsidRDefault="00A50896" w:rsidP="00A50896">
      <w:pPr>
        <w:spacing w:line="360" w:lineRule="auto"/>
        <w:ind w:firstLine="709"/>
        <w:jc w:val="both"/>
      </w:pPr>
      <w:r w:rsidRPr="00BE086B">
        <w:rPr>
          <w:rStyle w:val="Default20Paragraph20Font"/>
          <w:b/>
          <w:bCs/>
          <w:sz w:val="28"/>
          <w:szCs w:val="28"/>
        </w:rPr>
        <w:lastRenderedPageBreak/>
        <w:t xml:space="preserve">3.3 Вплив НПЗЗ та парацетамолу на </w:t>
      </w:r>
      <w:r w:rsidRPr="00BE086B">
        <w:rPr>
          <w:b/>
          <w:sz w:val="28"/>
          <w:szCs w:val="28"/>
        </w:rPr>
        <w:t>больовий поріг</w:t>
      </w:r>
      <w:r w:rsidRPr="00BE086B">
        <w:rPr>
          <w:rStyle w:val="Default20Paragraph20Font"/>
          <w:b/>
          <w:bCs/>
          <w:sz w:val="28"/>
          <w:szCs w:val="28"/>
        </w:rPr>
        <w:t xml:space="preserve"> за умов експериментального остеоартрозу та гіпотиреозу при призначенні L-тироксину</w:t>
      </w:r>
    </w:p>
    <w:p w:rsidR="00A50896" w:rsidRPr="00BE086B" w:rsidRDefault="00A50896" w:rsidP="00A50896">
      <w:pPr>
        <w:spacing w:line="360" w:lineRule="auto"/>
        <w:ind w:firstLine="709"/>
        <w:jc w:val="both"/>
      </w:pPr>
    </w:p>
    <w:p w:rsidR="00A50896" w:rsidRPr="00BE086B" w:rsidRDefault="00A50896" w:rsidP="00A50896">
      <w:pPr>
        <w:spacing w:line="360" w:lineRule="auto"/>
        <w:ind w:firstLine="709"/>
        <w:jc w:val="both"/>
        <w:rPr>
          <w:bCs/>
          <w:sz w:val="28"/>
          <w:szCs w:val="28"/>
        </w:rPr>
      </w:pPr>
      <w:r w:rsidRPr="00BE086B">
        <w:rPr>
          <w:bCs/>
          <w:sz w:val="28"/>
          <w:szCs w:val="28"/>
        </w:rPr>
        <w:t xml:space="preserve">В даному підрозділі описані результати дослідження антиноцицептивної активності </w:t>
      </w:r>
      <w:r w:rsidRPr="00BE086B">
        <w:rPr>
          <w:sz w:val="28"/>
          <w:szCs w:val="28"/>
        </w:rPr>
        <w:t xml:space="preserve">НПЗЗ, </w:t>
      </w:r>
      <w:r w:rsidRPr="00BE086B">
        <w:rPr>
          <w:bCs/>
          <w:sz w:val="28"/>
          <w:szCs w:val="28"/>
        </w:rPr>
        <w:t xml:space="preserve">парацетамолу та </w:t>
      </w:r>
      <w:r w:rsidRPr="00BE086B">
        <w:rPr>
          <w:rStyle w:val="Default20Paragraph20Font"/>
          <w:sz w:val="28"/>
          <w:szCs w:val="28"/>
        </w:rPr>
        <w:t>L-тироксину</w:t>
      </w:r>
      <w:r w:rsidRPr="00BE086B">
        <w:rPr>
          <w:bCs/>
          <w:sz w:val="28"/>
          <w:szCs w:val="28"/>
        </w:rPr>
        <w:t xml:space="preserve"> у тесті </w:t>
      </w:r>
      <w:r w:rsidRPr="00BE086B">
        <w:rPr>
          <w:sz w:val="28"/>
          <w:szCs w:val="28"/>
        </w:rPr>
        <w:t>електричного подразнення кореня хвоста у щурів</w:t>
      </w:r>
      <w:r w:rsidRPr="00BE086B">
        <w:rPr>
          <w:bCs/>
          <w:sz w:val="28"/>
          <w:szCs w:val="28"/>
        </w:rPr>
        <w:t xml:space="preserve"> на фоні коморбідної патології - експериментального </w:t>
      </w:r>
      <w:r w:rsidRPr="00BE086B">
        <w:rPr>
          <w:rStyle w:val="Default20Paragraph20Font"/>
          <w:bCs/>
          <w:sz w:val="28"/>
          <w:szCs w:val="28"/>
        </w:rPr>
        <w:t>остеоартрозу та гіпотиреозу</w:t>
      </w:r>
      <w:r w:rsidRPr="00BE086B">
        <w:rPr>
          <w:bCs/>
          <w:sz w:val="28"/>
          <w:szCs w:val="28"/>
        </w:rPr>
        <w:t>.</w:t>
      </w:r>
    </w:p>
    <w:p w:rsidR="00A50896" w:rsidRPr="00BE086B" w:rsidRDefault="00A50896" w:rsidP="00A50896">
      <w:pPr>
        <w:pStyle w:val="WW-"/>
        <w:spacing w:after="0" w:line="360" w:lineRule="auto"/>
        <w:ind w:firstLine="709"/>
        <w:jc w:val="both"/>
        <w:rPr>
          <w:rFonts w:ascii="Times New Roman" w:hAnsi="Times New Roman" w:cs="Times New Roman"/>
          <w:color w:val="auto"/>
        </w:rPr>
      </w:pPr>
      <w:r w:rsidRPr="00BE086B">
        <w:rPr>
          <w:rStyle w:val="Default20Paragraph20Font"/>
          <w:rFonts w:ascii="Times New Roman" w:eastAsia="Calibri" w:hAnsi="Times New Roman" w:cs="Times New Roman"/>
          <w:bCs/>
          <w:color w:val="auto"/>
          <w:sz w:val="28"/>
          <w:szCs w:val="28"/>
          <w:lang w:eastAsia="en-US"/>
        </w:rPr>
        <w:t>При вивченні в</w:t>
      </w:r>
      <w:r w:rsidRPr="00BE086B">
        <w:rPr>
          <w:rStyle w:val="Default20Paragraph20Font"/>
          <w:rFonts w:ascii="Times New Roman" w:eastAsia="Calibri" w:hAnsi="Times New Roman" w:cs="Times New Roman"/>
          <w:color w:val="auto"/>
          <w:sz w:val="28"/>
          <w:szCs w:val="28"/>
          <w:lang w:eastAsia="en-US"/>
        </w:rPr>
        <w:t>пливу внутрішньошлункового введення НПЗЗ та парацетамолу на рівень больового порогу (В) при електричному подразненні кореня хвоста тварин за</w:t>
      </w:r>
      <w:r w:rsidRPr="00BE086B">
        <w:rPr>
          <w:rStyle w:val="Default20Paragraph20Font"/>
          <w:rFonts w:ascii="Times New Roman" w:eastAsia="Calibri" w:hAnsi="Times New Roman" w:cs="Times New Roman"/>
          <w:bCs/>
          <w:iCs/>
          <w:color w:val="auto"/>
          <w:sz w:val="28"/>
          <w:szCs w:val="28"/>
          <w:lang w:eastAsia="en-US"/>
        </w:rPr>
        <w:t xml:space="preserve"> умов експериментального остеоартрозу та гіпотиреозу на фоні базової терапії L-тироксином</w:t>
      </w:r>
      <w:r w:rsidRPr="00BE086B">
        <w:rPr>
          <w:rStyle w:val="Default20Paragraph20Font"/>
          <w:rFonts w:ascii="Times New Roman" w:eastAsia="Calibri" w:hAnsi="Times New Roman" w:cs="Times New Roman"/>
          <w:color w:val="auto"/>
          <w:sz w:val="28"/>
          <w:szCs w:val="28"/>
          <w:lang w:eastAsia="en-US"/>
        </w:rPr>
        <w:t xml:space="preserve"> встановлено, що показники больового порогу у вихідному стані (ВС) реєструвались в межах від 1,89±0,11 мА (група </w:t>
      </w:r>
      <w:r w:rsidRPr="00BE086B">
        <w:rPr>
          <w:rFonts w:ascii="Times New Roman" w:hAnsi="Times New Roman" w:cs="Times New Roman"/>
          <w:color w:val="auto"/>
          <w:sz w:val="28"/>
          <w:szCs w:val="28"/>
        </w:rPr>
        <w:t>V</w:t>
      </w:r>
      <w:r w:rsidRPr="00BE086B">
        <w:rPr>
          <w:rStyle w:val="Default20Paragraph20Font"/>
          <w:rFonts w:ascii="Times New Roman" w:eastAsia="Calibri" w:hAnsi="Times New Roman" w:cs="Times New Roman"/>
          <w:color w:val="auto"/>
          <w:sz w:val="28"/>
          <w:szCs w:val="28"/>
          <w:lang w:eastAsia="en-US"/>
        </w:rPr>
        <w:t xml:space="preserve">) до 2,26±0,10 мА (група </w:t>
      </w:r>
      <w:r w:rsidRPr="00BE086B">
        <w:rPr>
          <w:rFonts w:ascii="Times New Roman" w:hAnsi="Times New Roman" w:cs="Times New Roman"/>
          <w:color w:val="auto"/>
          <w:sz w:val="28"/>
          <w:szCs w:val="28"/>
        </w:rPr>
        <w:t>V</w:t>
      </w:r>
      <w:r w:rsidRPr="00BE086B">
        <w:rPr>
          <w:rStyle w:val="Default20Paragraph20Font"/>
          <w:rFonts w:ascii="Times New Roman" w:eastAsia="Calibri" w:hAnsi="Times New Roman" w:cs="Times New Roman"/>
          <w:color w:val="auto"/>
          <w:sz w:val="28"/>
          <w:szCs w:val="28"/>
          <w:lang w:eastAsia="en-US"/>
        </w:rPr>
        <w:t xml:space="preserve">ІІІ). При цьому </w:t>
      </w:r>
      <w:r w:rsidRPr="00BE086B">
        <w:rPr>
          <w:rFonts w:ascii="Times New Roman" w:eastAsia="Calibri" w:hAnsi="Times New Roman" w:cs="Times New Roman"/>
          <w:iCs/>
          <w:color w:val="auto"/>
          <w:sz w:val="28"/>
          <w:szCs w:val="28"/>
          <w:lang w:eastAsia="en-US"/>
        </w:rPr>
        <w:t xml:space="preserve">експериментальна модель коморбідної патології остеоартрозу та гіпотиреозу із застосуванням </w:t>
      </w:r>
      <w:r w:rsidRPr="00BE086B">
        <w:rPr>
          <w:rStyle w:val="Default20Paragraph20Font"/>
          <w:rFonts w:ascii="Times New Roman" w:hAnsi="Times New Roman" w:cs="Times New Roman"/>
          <w:color w:val="auto"/>
          <w:sz w:val="28"/>
          <w:szCs w:val="28"/>
        </w:rPr>
        <w:t>L-тироксину</w:t>
      </w:r>
      <w:r w:rsidRPr="00BE086B">
        <w:rPr>
          <w:rFonts w:ascii="Times New Roman" w:hAnsi="Times New Roman" w:cs="Times New Roman"/>
          <w:bCs/>
          <w:color w:val="auto"/>
          <w:sz w:val="28"/>
          <w:szCs w:val="28"/>
        </w:rPr>
        <w:t xml:space="preserve"> </w:t>
      </w:r>
      <w:r w:rsidRPr="00BE086B">
        <w:rPr>
          <w:rFonts w:ascii="Times New Roman" w:eastAsia="Calibri" w:hAnsi="Times New Roman" w:cs="Times New Roman"/>
          <w:iCs/>
          <w:color w:val="auto"/>
          <w:sz w:val="28"/>
          <w:szCs w:val="28"/>
          <w:lang w:eastAsia="en-US"/>
        </w:rPr>
        <w:t xml:space="preserve">(І група ЕОА + ЕГ </w:t>
      </w:r>
      <w:r w:rsidRPr="00BE086B">
        <w:rPr>
          <w:rFonts w:ascii="Times New Roman" w:hAnsi="Times New Roman" w:cs="Times New Roman"/>
          <w:color w:val="auto"/>
          <w:sz w:val="28"/>
          <w:szCs w:val="28"/>
        </w:rPr>
        <w:t>+ L-тироксин</w:t>
      </w:r>
      <w:r w:rsidRPr="00BE086B">
        <w:rPr>
          <w:rFonts w:ascii="Times New Roman" w:eastAsia="Calibri" w:hAnsi="Times New Roman" w:cs="Times New Roman"/>
          <w:iCs/>
          <w:color w:val="auto"/>
          <w:sz w:val="28"/>
          <w:szCs w:val="28"/>
          <w:lang w:eastAsia="en-US"/>
        </w:rPr>
        <w:t xml:space="preserve"> – активний контроль) не призводила до вірогідного зниження порогу больової чутливості  у порівнянні з групою інтактних щурів (р &gt; 0,05). Водночас, </w:t>
      </w:r>
      <w:r w:rsidRPr="00BE086B">
        <w:rPr>
          <w:rStyle w:val="Default20Paragraph20Font"/>
          <w:rFonts w:ascii="Times New Roman" w:eastAsia="Calibri" w:hAnsi="Times New Roman" w:cs="Times New Roman"/>
          <w:color w:val="auto"/>
          <w:sz w:val="28"/>
          <w:szCs w:val="28"/>
          <w:lang w:eastAsia="en-US"/>
        </w:rPr>
        <w:t xml:space="preserve">на фоні введення всіх досліджуваних препаратів максимальний розвиток знеболюючої дії спостерігався на 90 хвилині </w:t>
      </w:r>
      <w:r w:rsidRPr="00BE086B">
        <w:rPr>
          <w:rFonts w:ascii="Times New Roman" w:eastAsia="Calibri" w:hAnsi="Times New Roman" w:cs="Times New Roman"/>
          <w:color w:val="auto"/>
          <w:sz w:val="28"/>
          <w:szCs w:val="28"/>
          <w:lang w:eastAsia="en-US"/>
        </w:rPr>
        <w:t>з поступовим зниженням аналгетичного ефекту на 120 хвилині (табл. 3.3, рис. 3.5</w:t>
      </w:r>
      <w:r w:rsidR="006A17D0" w:rsidRPr="00BE086B">
        <w:rPr>
          <w:rFonts w:ascii="Times New Roman" w:eastAsia="Calibri" w:hAnsi="Times New Roman" w:cs="Times New Roman"/>
          <w:color w:val="auto"/>
          <w:sz w:val="28"/>
          <w:szCs w:val="28"/>
          <w:lang w:val="uk-UA" w:eastAsia="en-US"/>
        </w:rPr>
        <w:t>-</w:t>
      </w:r>
      <w:r w:rsidRPr="00BE086B">
        <w:rPr>
          <w:rFonts w:ascii="Times New Roman" w:eastAsia="Calibri" w:hAnsi="Times New Roman" w:cs="Times New Roman"/>
          <w:color w:val="auto"/>
          <w:sz w:val="28"/>
          <w:szCs w:val="28"/>
          <w:lang w:eastAsia="en-US"/>
        </w:rPr>
        <w:t>3.6).</w:t>
      </w:r>
    </w:p>
    <w:p w:rsidR="00A50896" w:rsidRPr="00BE086B" w:rsidRDefault="00A50896" w:rsidP="00A50896">
      <w:pPr>
        <w:suppressAutoHyphens w:val="0"/>
        <w:spacing w:line="360" w:lineRule="auto"/>
        <w:ind w:firstLine="709"/>
        <w:jc w:val="both"/>
      </w:pPr>
      <w:r w:rsidRPr="00BE086B">
        <w:rPr>
          <w:rFonts w:eastAsia="Calibri"/>
          <w:sz w:val="28"/>
          <w:szCs w:val="28"/>
          <w:lang w:eastAsia="en-US"/>
        </w:rPr>
        <w:t xml:space="preserve">Найвищий аналгетичний потенціал на 90 хвилині експерименту спостерігався у ІІІ групі при призначенні диклофенаку натрію (6,40±0,26 мА) та у </w:t>
      </w:r>
      <w:r w:rsidRPr="00BE086B">
        <w:rPr>
          <w:sz w:val="28"/>
          <w:szCs w:val="28"/>
        </w:rPr>
        <w:t>ІV групі</w:t>
      </w:r>
      <w:r w:rsidRPr="00BE086B">
        <w:rPr>
          <w:rFonts w:eastAsia="Calibri"/>
          <w:sz w:val="28"/>
          <w:szCs w:val="28"/>
          <w:lang w:eastAsia="en-US"/>
        </w:rPr>
        <w:t xml:space="preserve"> при призначенні ібупрофену (5,00±0,22 мА), а найнижчий – у </w:t>
      </w:r>
      <w:r w:rsidRPr="00BE086B">
        <w:rPr>
          <w:sz w:val="28"/>
          <w:szCs w:val="28"/>
        </w:rPr>
        <w:t>VІI (3,95±0,27 мА) та V (4,19±0,39 мА) групах при застосуванні целекоксибу та мелоксикаму відповідно</w:t>
      </w:r>
      <w:r w:rsidRPr="00BE086B">
        <w:rPr>
          <w:rFonts w:eastAsia="Calibri"/>
          <w:sz w:val="28"/>
          <w:szCs w:val="28"/>
          <w:lang w:eastAsia="en-US"/>
        </w:rPr>
        <w:t xml:space="preserve">. Проте на 120 хвилині експерименту найвищий аналгетичний потенціал зберігався у ІІІ групі при призначенні диклофенаку натрію, а найнижчий – у </w:t>
      </w:r>
      <w:r w:rsidRPr="00BE086B">
        <w:rPr>
          <w:sz w:val="28"/>
          <w:szCs w:val="28"/>
        </w:rPr>
        <w:t>ІV та VІІ при призначенні ібупрофену та целекоксибу</w:t>
      </w:r>
      <w:r w:rsidRPr="00BE086B">
        <w:rPr>
          <w:rFonts w:eastAsia="Calibri"/>
          <w:sz w:val="28"/>
          <w:szCs w:val="28"/>
          <w:lang w:eastAsia="en-US"/>
        </w:rPr>
        <w:t xml:space="preserve">. Отже, найвищий аналгетичний потенціал протягом експерименту </w:t>
      </w:r>
      <w:r w:rsidRPr="00BE086B">
        <w:rPr>
          <w:rFonts w:eastAsia="Calibri"/>
          <w:sz w:val="28"/>
          <w:szCs w:val="28"/>
          <w:lang w:eastAsia="en-US"/>
        </w:rPr>
        <w:lastRenderedPageBreak/>
        <w:t>спостерігався при застосуванні диклофенаку натрію (</w:t>
      </w:r>
      <w:r w:rsidRPr="00BE086B">
        <w:rPr>
          <w:sz w:val="28"/>
          <w:szCs w:val="28"/>
        </w:rPr>
        <w:t>ІІІ група)</w:t>
      </w:r>
      <w:r w:rsidRPr="00BE086B">
        <w:rPr>
          <w:rFonts w:eastAsia="Calibri"/>
          <w:sz w:val="28"/>
          <w:szCs w:val="28"/>
          <w:lang w:eastAsia="en-US"/>
        </w:rPr>
        <w:t>, а найменший – целекоксибу (</w:t>
      </w:r>
      <w:r w:rsidRPr="00BE086B">
        <w:rPr>
          <w:sz w:val="28"/>
          <w:szCs w:val="28"/>
        </w:rPr>
        <w:t>VІI група)</w:t>
      </w:r>
      <w:r w:rsidRPr="00BE086B">
        <w:rPr>
          <w:rFonts w:eastAsia="Calibri"/>
          <w:sz w:val="28"/>
          <w:szCs w:val="28"/>
          <w:lang w:eastAsia="en-US"/>
        </w:rPr>
        <w:t>.</w:t>
      </w:r>
    </w:p>
    <w:p w:rsidR="00A50896" w:rsidRPr="00BE086B" w:rsidRDefault="00A50896" w:rsidP="00A50896">
      <w:pPr>
        <w:suppressAutoHyphens w:val="0"/>
        <w:spacing w:line="360" w:lineRule="auto"/>
        <w:ind w:firstLine="709"/>
        <w:jc w:val="right"/>
      </w:pPr>
      <w:r w:rsidRPr="00BE086B">
        <w:rPr>
          <w:rFonts w:eastAsia="Calibri"/>
          <w:i/>
          <w:iCs/>
          <w:sz w:val="28"/>
          <w:szCs w:val="28"/>
          <w:lang w:eastAsia="en-US"/>
        </w:rPr>
        <w:t>Таблиця 3.3</w:t>
      </w:r>
    </w:p>
    <w:p w:rsidR="00A50896" w:rsidRPr="00BE086B" w:rsidRDefault="00A50896" w:rsidP="00A50896">
      <w:pPr>
        <w:suppressAutoHyphens w:val="0"/>
        <w:spacing w:line="360" w:lineRule="auto"/>
        <w:jc w:val="center"/>
      </w:pPr>
      <w:r w:rsidRPr="00BE086B">
        <w:rPr>
          <w:rFonts w:eastAsia="Calibri"/>
          <w:b/>
          <w:bCs/>
          <w:sz w:val="28"/>
          <w:szCs w:val="28"/>
          <w:lang w:eastAsia="en-US"/>
        </w:rPr>
        <w:t xml:space="preserve">Поріг больової чутливості (В) щурів при електричному подразненні кореня хвоста за умов </w:t>
      </w:r>
      <w:r w:rsidRPr="00BE086B">
        <w:rPr>
          <w:b/>
          <w:bCs/>
          <w:sz w:val="28"/>
          <w:szCs w:val="28"/>
        </w:rPr>
        <w:t>експериментального остеоартрозу</w:t>
      </w:r>
      <w:r w:rsidRPr="00BE086B">
        <w:rPr>
          <w:rFonts w:eastAsia="Calibri"/>
          <w:b/>
          <w:bCs/>
          <w:sz w:val="28"/>
          <w:szCs w:val="28"/>
          <w:lang w:eastAsia="en-US"/>
        </w:rPr>
        <w:t xml:space="preserve"> </w:t>
      </w:r>
      <w:r w:rsidRPr="00BE086B">
        <w:rPr>
          <w:b/>
          <w:bCs/>
          <w:sz w:val="28"/>
          <w:szCs w:val="28"/>
        </w:rPr>
        <w:t>і гіпотиреозу</w:t>
      </w:r>
      <w:r w:rsidRPr="00BE086B">
        <w:rPr>
          <w:rFonts w:eastAsia="Calibri"/>
          <w:b/>
          <w:bCs/>
          <w:sz w:val="28"/>
          <w:szCs w:val="28"/>
          <w:lang w:eastAsia="en-US"/>
        </w:rPr>
        <w:t xml:space="preserve"> та </w:t>
      </w:r>
      <w:r w:rsidRPr="00BE086B">
        <w:rPr>
          <w:b/>
          <w:sz w:val="28"/>
          <w:szCs w:val="28"/>
        </w:rPr>
        <w:t>замісної гормональної терапії L-тироксином</w:t>
      </w:r>
      <w:r w:rsidRPr="00BE086B">
        <w:rPr>
          <w:b/>
          <w:bCs/>
          <w:sz w:val="28"/>
          <w:szCs w:val="28"/>
        </w:rPr>
        <w:t xml:space="preserve"> </w:t>
      </w:r>
      <w:r w:rsidRPr="00BE086B">
        <w:rPr>
          <w:rFonts w:eastAsia="Calibri"/>
          <w:b/>
          <w:bCs/>
          <w:sz w:val="28"/>
          <w:szCs w:val="28"/>
          <w:lang w:eastAsia="en-US"/>
        </w:rPr>
        <w:t>(n=10)</w:t>
      </w:r>
    </w:p>
    <w:tbl>
      <w:tblPr>
        <w:tblW w:w="0" w:type="auto"/>
        <w:tblInd w:w="98" w:type="dxa"/>
        <w:tblLayout w:type="fixed"/>
        <w:tblCellMar>
          <w:left w:w="98" w:type="dxa"/>
        </w:tblCellMar>
        <w:tblLook w:val="0000" w:firstRow="0" w:lastRow="0" w:firstColumn="0" w:lastColumn="0" w:noHBand="0" w:noVBand="0"/>
      </w:tblPr>
      <w:tblGrid>
        <w:gridCol w:w="4087"/>
        <w:gridCol w:w="1100"/>
        <w:gridCol w:w="1100"/>
        <w:gridCol w:w="1101"/>
        <w:gridCol w:w="1100"/>
        <w:gridCol w:w="1111"/>
      </w:tblGrid>
      <w:tr w:rsidR="00A50896" w:rsidRPr="00BE086B" w:rsidTr="00A7341E">
        <w:tc>
          <w:tcPr>
            <w:tcW w:w="4087" w:type="dxa"/>
            <w:vMerge w:val="restart"/>
            <w:tcBorders>
              <w:top w:val="single" w:sz="4" w:space="0" w:color="000001"/>
              <w:left w:val="single" w:sz="4" w:space="0" w:color="000001"/>
              <w:bottom w:val="none" w:sz="0" w:space="0" w:color="000000"/>
            </w:tcBorders>
            <w:shd w:val="clear" w:color="auto" w:fill="auto"/>
            <w:vAlign w:val="center"/>
          </w:tcPr>
          <w:p w:rsidR="00A50896" w:rsidRPr="00BE086B" w:rsidRDefault="00A50896" w:rsidP="00A7341E">
            <w:pPr>
              <w:pStyle w:val="18"/>
              <w:spacing w:before="0" w:line="240" w:lineRule="auto"/>
              <w:jc w:val="center"/>
              <w:rPr>
                <w:color w:val="auto"/>
              </w:rPr>
            </w:pPr>
            <w:r w:rsidRPr="00BE086B">
              <w:rPr>
                <w:b/>
                <w:color w:val="auto"/>
                <w:sz w:val="28"/>
                <w:szCs w:val="28"/>
              </w:rPr>
              <w:t>Група, препарат</w:t>
            </w:r>
          </w:p>
          <w:p w:rsidR="00A50896" w:rsidRPr="00BE086B" w:rsidRDefault="00A50896" w:rsidP="00A7341E">
            <w:pPr>
              <w:pStyle w:val="18"/>
              <w:spacing w:before="0" w:line="240" w:lineRule="auto"/>
              <w:jc w:val="center"/>
              <w:rPr>
                <w:color w:val="auto"/>
              </w:rPr>
            </w:pPr>
            <w:r w:rsidRPr="00BE086B">
              <w:rPr>
                <w:b/>
                <w:color w:val="auto"/>
                <w:sz w:val="28"/>
                <w:szCs w:val="28"/>
              </w:rPr>
              <w:t>та його доза</w:t>
            </w:r>
          </w:p>
        </w:tc>
        <w:tc>
          <w:tcPr>
            <w:tcW w:w="5512" w:type="dxa"/>
            <w:gridSpan w:val="5"/>
            <w:tcBorders>
              <w:top w:val="single" w:sz="4" w:space="0" w:color="000001"/>
              <w:left w:val="single" w:sz="4" w:space="0" w:color="000001"/>
              <w:bottom w:val="single" w:sz="4" w:space="0" w:color="000001"/>
              <w:right w:val="single" w:sz="4" w:space="0" w:color="000001"/>
            </w:tcBorders>
            <w:shd w:val="clear" w:color="auto" w:fill="auto"/>
          </w:tcPr>
          <w:p w:rsidR="00A50896" w:rsidRPr="00BE086B" w:rsidRDefault="00A50896" w:rsidP="00A7341E">
            <w:pPr>
              <w:pStyle w:val="18"/>
              <w:spacing w:before="0" w:line="240" w:lineRule="auto"/>
              <w:jc w:val="center"/>
              <w:rPr>
                <w:color w:val="auto"/>
              </w:rPr>
            </w:pPr>
            <w:r w:rsidRPr="00BE086B">
              <w:rPr>
                <w:b/>
                <w:bCs/>
                <w:color w:val="auto"/>
                <w:sz w:val="28"/>
                <w:szCs w:val="28"/>
              </w:rPr>
              <w:t>Величина больового порогу (мА) ),</w:t>
            </w:r>
            <w:r w:rsidRPr="00BE086B">
              <w:rPr>
                <w:b/>
                <w:bCs/>
                <w:color w:val="auto"/>
                <w:sz w:val="28"/>
                <w:szCs w:val="28"/>
                <w:lang w:val="ru-RU"/>
              </w:rPr>
              <w:t xml:space="preserve"> </w:t>
            </w:r>
            <w:r w:rsidRPr="00BE086B">
              <w:rPr>
                <w:b/>
                <w:bCs/>
                <w:color w:val="auto"/>
                <w:sz w:val="28"/>
                <w:szCs w:val="28"/>
                <w:lang w:val="en-US"/>
              </w:rPr>
              <w:t>M</w:t>
            </w:r>
            <w:r w:rsidRPr="00BE086B">
              <w:rPr>
                <w:b/>
                <w:bCs/>
                <w:color w:val="auto"/>
                <w:sz w:val="28"/>
                <w:szCs w:val="28"/>
              </w:rPr>
              <w:t>±</w:t>
            </w:r>
            <w:r w:rsidRPr="00BE086B">
              <w:rPr>
                <w:b/>
                <w:bCs/>
                <w:color w:val="auto"/>
                <w:sz w:val="28"/>
                <w:szCs w:val="28"/>
                <w:lang w:val="en-US"/>
              </w:rPr>
              <w:t>m</w:t>
            </w:r>
            <w:r w:rsidRPr="00BE086B">
              <w:rPr>
                <w:b/>
                <w:bCs/>
                <w:color w:val="auto"/>
                <w:sz w:val="28"/>
                <w:szCs w:val="28"/>
              </w:rPr>
              <w:t xml:space="preserve"> </w:t>
            </w:r>
          </w:p>
        </w:tc>
      </w:tr>
      <w:tr w:rsidR="00A50896" w:rsidRPr="00BE086B" w:rsidTr="00A7341E">
        <w:tc>
          <w:tcPr>
            <w:tcW w:w="4087" w:type="dxa"/>
            <w:vMerge/>
            <w:tcBorders>
              <w:top w:val="single" w:sz="4" w:space="0" w:color="000001"/>
              <w:left w:val="single" w:sz="4" w:space="0" w:color="000001"/>
              <w:bottom w:val="none" w:sz="0" w:space="0" w:color="000000"/>
            </w:tcBorders>
            <w:shd w:val="clear" w:color="auto" w:fill="auto"/>
            <w:vAlign w:val="center"/>
          </w:tcPr>
          <w:p w:rsidR="00A50896" w:rsidRPr="00BE086B" w:rsidRDefault="00A50896" w:rsidP="00A7341E">
            <w:pPr>
              <w:suppressAutoHyphens w:val="0"/>
              <w:snapToGrid w:val="0"/>
              <w:rPr>
                <w:sz w:val="28"/>
                <w:szCs w:val="28"/>
                <w:lang w:eastAsia="ru-RU"/>
              </w:rPr>
            </w:pPr>
          </w:p>
        </w:tc>
        <w:tc>
          <w:tcPr>
            <w:tcW w:w="1100"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jc w:val="center"/>
            </w:pPr>
            <w:r w:rsidRPr="00BE086B">
              <w:rPr>
                <w:bCs/>
                <w:sz w:val="28"/>
                <w:szCs w:val="28"/>
              </w:rPr>
              <w:t>ВС</w:t>
            </w:r>
          </w:p>
        </w:tc>
        <w:tc>
          <w:tcPr>
            <w:tcW w:w="1100"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jc w:val="center"/>
            </w:pPr>
            <w:r w:rsidRPr="00BE086B">
              <w:rPr>
                <w:bCs/>
                <w:sz w:val="28"/>
                <w:szCs w:val="28"/>
              </w:rPr>
              <w:t>30 хв</w:t>
            </w:r>
          </w:p>
        </w:tc>
        <w:tc>
          <w:tcPr>
            <w:tcW w:w="1101"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jc w:val="center"/>
            </w:pPr>
            <w:r w:rsidRPr="00BE086B">
              <w:rPr>
                <w:bCs/>
                <w:sz w:val="28"/>
                <w:szCs w:val="28"/>
              </w:rPr>
              <w:t>60 хв</w:t>
            </w:r>
          </w:p>
        </w:tc>
        <w:tc>
          <w:tcPr>
            <w:tcW w:w="1100"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jc w:val="center"/>
            </w:pPr>
            <w:r w:rsidRPr="00BE086B">
              <w:rPr>
                <w:bCs/>
                <w:sz w:val="28"/>
                <w:szCs w:val="28"/>
              </w:rPr>
              <w:t>90 хв</w:t>
            </w:r>
          </w:p>
        </w:tc>
        <w:tc>
          <w:tcPr>
            <w:tcW w:w="1111" w:type="dxa"/>
            <w:tcBorders>
              <w:top w:val="single" w:sz="4" w:space="0" w:color="000001"/>
              <w:left w:val="single" w:sz="4" w:space="0" w:color="000001"/>
              <w:bottom w:val="single" w:sz="4" w:space="0" w:color="000001"/>
              <w:right w:val="single" w:sz="4" w:space="0" w:color="000001"/>
            </w:tcBorders>
            <w:shd w:val="clear" w:color="auto" w:fill="auto"/>
          </w:tcPr>
          <w:p w:rsidR="00A50896" w:rsidRPr="00BE086B" w:rsidRDefault="00A50896" w:rsidP="00A7341E">
            <w:pPr>
              <w:jc w:val="center"/>
            </w:pPr>
            <w:r w:rsidRPr="00BE086B">
              <w:rPr>
                <w:bCs/>
                <w:sz w:val="28"/>
                <w:szCs w:val="28"/>
              </w:rPr>
              <w:t>120 хв</w:t>
            </w:r>
          </w:p>
        </w:tc>
      </w:tr>
      <w:tr w:rsidR="00A50896" w:rsidRPr="00BE086B" w:rsidTr="00A7341E">
        <w:tc>
          <w:tcPr>
            <w:tcW w:w="4087"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Інтактні щури (ІЩ)</w:t>
            </w:r>
          </w:p>
          <w:p w:rsidR="00A50896" w:rsidRPr="00BE086B" w:rsidRDefault="00A50896" w:rsidP="00A7341E">
            <w:pPr>
              <w:pStyle w:val="WW-"/>
              <w:spacing w:after="0" w:line="240" w:lineRule="auto"/>
              <w:jc w:val="center"/>
              <w:rPr>
                <w:rFonts w:ascii="Times New Roman" w:hAnsi="Times New Roman" w:cs="Times New Roman"/>
                <w:color w:val="auto"/>
              </w:rPr>
            </w:pPr>
            <w:r w:rsidRPr="00BE086B">
              <w:rPr>
                <w:rFonts w:ascii="Times New Roman" w:hAnsi="Times New Roman" w:cs="Times New Roman"/>
                <w:color w:val="auto"/>
                <w:sz w:val="28"/>
                <w:szCs w:val="28"/>
              </w:rPr>
              <w:t>(n=10)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1,86</w:t>
            </w:r>
          </w:p>
          <w:p w:rsidR="00A50896" w:rsidRPr="00BE086B" w:rsidRDefault="00A50896" w:rsidP="00A7341E">
            <w:pPr>
              <w:suppressAutoHyphens w:val="0"/>
              <w:jc w:val="center"/>
            </w:pPr>
            <w:r w:rsidRPr="00BE086B">
              <w:rPr>
                <w:rFonts w:eastAsia="Calibri"/>
                <w:sz w:val="28"/>
                <w:szCs w:val="28"/>
                <w:lang w:eastAsia="en-US"/>
              </w:rPr>
              <w:t>±0,08</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1,92</w:t>
            </w:r>
          </w:p>
          <w:p w:rsidR="00A50896" w:rsidRPr="00BE086B" w:rsidRDefault="00A50896" w:rsidP="00A7341E">
            <w:pPr>
              <w:suppressAutoHyphens w:val="0"/>
              <w:jc w:val="center"/>
            </w:pPr>
            <w:r w:rsidRPr="00BE086B">
              <w:rPr>
                <w:rFonts w:eastAsia="Calibri"/>
                <w:sz w:val="28"/>
                <w:szCs w:val="28"/>
                <w:lang w:eastAsia="en-US"/>
              </w:rPr>
              <w:t>±0,08</w:t>
            </w:r>
          </w:p>
        </w:tc>
        <w:tc>
          <w:tcPr>
            <w:tcW w:w="110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1,75</w:t>
            </w:r>
          </w:p>
          <w:p w:rsidR="00A50896" w:rsidRPr="00BE086B" w:rsidRDefault="00A50896" w:rsidP="00A7341E">
            <w:pPr>
              <w:suppressAutoHyphens w:val="0"/>
              <w:jc w:val="center"/>
            </w:pPr>
            <w:r w:rsidRPr="00BE086B">
              <w:rPr>
                <w:rFonts w:eastAsia="Calibri"/>
                <w:sz w:val="28"/>
                <w:szCs w:val="28"/>
                <w:lang w:eastAsia="en-US"/>
              </w:rPr>
              <w:t>±0,10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1,80</w:t>
            </w:r>
          </w:p>
          <w:p w:rsidR="00A50896" w:rsidRPr="00BE086B" w:rsidRDefault="00A50896" w:rsidP="00A7341E">
            <w:pPr>
              <w:suppressAutoHyphens w:val="0"/>
              <w:jc w:val="center"/>
            </w:pPr>
            <w:r w:rsidRPr="00BE086B">
              <w:rPr>
                <w:rFonts w:eastAsia="Calibri"/>
                <w:sz w:val="28"/>
                <w:szCs w:val="28"/>
                <w:lang w:eastAsia="en-US"/>
              </w:rPr>
              <w:t>±0,07</w:t>
            </w:r>
          </w:p>
        </w:tc>
        <w:tc>
          <w:tcPr>
            <w:tcW w:w="111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1,65</w:t>
            </w:r>
          </w:p>
          <w:p w:rsidR="00A50896" w:rsidRPr="00BE086B" w:rsidRDefault="00A50896" w:rsidP="00A7341E">
            <w:pPr>
              <w:suppressAutoHyphens w:val="0"/>
              <w:jc w:val="center"/>
            </w:pPr>
            <w:r w:rsidRPr="00BE086B">
              <w:rPr>
                <w:rFonts w:eastAsia="Calibri"/>
                <w:sz w:val="28"/>
                <w:szCs w:val="28"/>
                <w:lang w:eastAsia="en-US"/>
              </w:rPr>
              <w:t>±0,10</w:t>
            </w:r>
          </w:p>
        </w:tc>
      </w:tr>
      <w:tr w:rsidR="00A50896" w:rsidRPr="00BE086B" w:rsidTr="00A7341E">
        <w:tc>
          <w:tcPr>
            <w:tcW w:w="4087" w:type="dxa"/>
            <w:tcBorders>
              <w:top w:val="none" w:sz="0" w:space="0" w:color="000000"/>
              <w:left w:val="single" w:sz="4" w:space="0" w:color="000001"/>
              <w:bottom w:val="single" w:sz="4" w:space="0" w:color="000001"/>
            </w:tcBorders>
            <w:shd w:val="clear" w:color="auto" w:fill="auto"/>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 xml:space="preserve">І група ЕОА+ЕГ + </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L-тироксин (n=10)</w:t>
            </w:r>
          </w:p>
        </w:tc>
        <w:tc>
          <w:tcPr>
            <w:tcW w:w="1100"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2,12</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0,13</w:t>
            </w:r>
          </w:p>
        </w:tc>
        <w:tc>
          <w:tcPr>
            <w:tcW w:w="1100"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2,00</w:t>
            </w:r>
          </w:p>
          <w:p w:rsidR="00A50896" w:rsidRPr="00BE086B" w:rsidRDefault="00A50896" w:rsidP="00A7341E">
            <w:pPr>
              <w:pStyle w:val="18"/>
              <w:snapToGrid w:val="0"/>
              <w:spacing w:before="0" w:line="240" w:lineRule="auto"/>
              <w:jc w:val="center"/>
              <w:rPr>
                <w:color w:val="auto"/>
              </w:rPr>
            </w:pPr>
            <w:r w:rsidRPr="00BE086B">
              <w:rPr>
                <w:rFonts w:eastAsia="Times New Roman"/>
                <w:bCs/>
                <w:color w:val="auto"/>
                <w:sz w:val="28"/>
                <w:szCs w:val="28"/>
                <w:lang w:eastAsia="ru-RU" w:bidi="ar-SA"/>
              </w:rPr>
              <w:t>±0,09</w:t>
            </w:r>
          </w:p>
        </w:tc>
        <w:tc>
          <w:tcPr>
            <w:tcW w:w="1101"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sz w:val="28"/>
                <w:szCs w:val="28"/>
              </w:rPr>
              <w:t>1,93</w:t>
            </w:r>
          </w:p>
          <w:p w:rsidR="00A50896" w:rsidRPr="00BE086B" w:rsidRDefault="00A50896" w:rsidP="00A7341E">
            <w:pPr>
              <w:suppressAutoHyphens w:val="0"/>
              <w:jc w:val="center"/>
            </w:pPr>
            <w:r w:rsidRPr="00BE086B">
              <w:rPr>
                <w:rFonts w:eastAsia="Calibri"/>
                <w:sz w:val="28"/>
                <w:szCs w:val="28"/>
                <w:lang w:eastAsia="en-US"/>
              </w:rPr>
              <w:t>±</w:t>
            </w:r>
            <w:r w:rsidRPr="00BE086B">
              <w:rPr>
                <w:sz w:val="28"/>
                <w:szCs w:val="28"/>
              </w:rPr>
              <w:t>0,08</w:t>
            </w:r>
          </w:p>
        </w:tc>
        <w:tc>
          <w:tcPr>
            <w:tcW w:w="1100" w:type="dxa"/>
            <w:tcBorders>
              <w:top w:val="none" w:sz="0" w:space="0" w:color="000000"/>
              <w:left w:val="single" w:sz="4" w:space="0" w:color="000001"/>
              <w:bottom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2,05</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0,09</w:t>
            </w:r>
          </w:p>
        </w:tc>
        <w:tc>
          <w:tcPr>
            <w:tcW w:w="1111" w:type="dxa"/>
            <w:tcBorders>
              <w:top w:val="none" w:sz="0" w:space="0" w:color="000000"/>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pStyle w:val="18"/>
              <w:snapToGrid w:val="0"/>
              <w:spacing w:before="0" w:line="240" w:lineRule="auto"/>
              <w:jc w:val="center"/>
              <w:rPr>
                <w:color w:val="auto"/>
              </w:rPr>
            </w:pPr>
            <w:r w:rsidRPr="00BE086B">
              <w:rPr>
                <w:color w:val="auto"/>
                <w:sz w:val="28"/>
                <w:szCs w:val="28"/>
              </w:rPr>
              <w:t>1,77</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0,11</w:t>
            </w:r>
          </w:p>
        </w:tc>
      </w:tr>
      <w:tr w:rsidR="00A50896" w:rsidRPr="00BE086B" w:rsidTr="00A7341E">
        <w:trPr>
          <w:trHeight w:val="80"/>
        </w:trPr>
        <w:tc>
          <w:tcPr>
            <w:tcW w:w="4087"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 xml:space="preserve">ІІІ група </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L-тироксин + Диклофенак натрію</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10 мг/кг (n=10)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uk-UA"/>
              </w:rPr>
              <w:t>1,96</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rFonts w:eastAsia="Calibri"/>
                <w:color w:val="auto"/>
                <w:sz w:val="28"/>
                <w:szCs w:val="28"/>
                <w:lang w:eastAsia="uk-UA" w:bidi="ar-SA"/>
              </w:rPr>
              <w:t>0,11</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ru-RU"/>
              </w:rPr>
              <w:t>2,97</w:t>
            </w:r>
            <w:r w:rsidRPr="00BE086B">
              <w:rPr>
                <w:sz w:val="28"/>
                <w:szCs w:val="28"/>
              </w:rPr>
              <w:t>*</w:t>
            </w:r>
            <w:r w:rsidRPr="00BE086B">
              <w:rPr>
                <w:bCs/>
                <w:i/>
                <w:sz w:val="28"/>
                <w:szCs w:val="28"/>
                <w:vertAlign w:val="superscript"/>
                <w:lang w:eastAsia="ru-RU"/>
              </w:rPr>
              <w:t>¤</w:t>
            </w:r>
          </w:p>
          <w:p w:rsidR="00A50896" w:rsidRPr="00BE086B" w:rsidRDefault="00A50896" w:rsidP="00A7341E">
            <w:pPr>
              <w:suppressAutoHyphens w:val="0"/>
              <w:jc w:val="center"/>
            </w:pPr>
            <w:r w:rsidRPr="00BE086B">
              <w:rPr>
                <w:bCs/>
                <w:sz w:val="28"/>
                <w:szCs w:val="28"/>
                <w:lang w:eastAsia="ru-RU"/>
              </w:rPr>
              <w:t>±</w:t>
            </w:r>
            <w:r w:rsidRPr="00BE086B">
              <w:rPr>
                <w:rFonts w:eastAsia="Calibri"/>
                <w:sz w:val="28"/>
                <w:szCs w:val="28"/>
                <w:lang w:eastAsia="ru-RU"/>
              </w:rPr>
              <w:t>0,09</w:t>
            </w:r>
          </w:p>
        </w:tc>
        <w:tc>
          <w:tcPr>
            <w:tcW w:w="110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ru-RU"/>
              </w:rPr>
              <w:t>4,25*</w:t>
            </w:r>
            <w:r w:rsidRPr="00BE086B">
              <w:rPr>
                <w:bCs/>
                <w:i/>
                <w:sz w:val="28"/>
                <w:szCs w:val="28"/>
                <w:vertAlign w:val="superscript"/>
                <w:lang w:eastAsia="ru-RU"/>
              </w:rPr>
              <w:t xml:space="preserve">¤ </w:t>
            </w:r>
          </w:p>
          <w:p w:rsidR="00A50896" w:rsidRPr="00BE086B" w:rsidRDefault="00A50896" w:rsidP="00A7341E">
            <w:pPr>
              <w:suppressAutoHyphens w:val="0"/>
              <w:jc w:val="center"/>
            </w:pPr>
            <w:r w:rsidRPr="00BE086B">
              <w:rPr>
                <w:bCs/>
                <w:sz w:val="28"/>
                <w:szCs w:val="28"/>
                <w:lang w:eastAsia="ru-RU"/>
              </w:rPr>
              <w:t>±</w:t>
            </w:r>
            <w:r w:rsidRPr="00BE086B">
              <w:rPr>
                <w:rFonts w:eastAsia="Calibri"/>
                <w:sz w:val="28"/>
                <w:szCs w:val="28"/>
                <w:lang w:eastAsia="ru-RU"/>
              </w:rPr>
              <w:t>0,25</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ru-RU"/>
              </w:rPr>
              <w:t>6,4*</w:t>
            </w:r>
            <w:r w:rsidRPr="00BE086B">
              <w:rPr>
                <w:bCs/>
                <w:i/>
                <w:sz w:val="28"/>
                <w:szCs w:val="28"/>
                <w:vertAlign w:val="superscript"/>
                <w:lang w:eastAsia="ru-RU"/>
              </w:rPr>
              <w:t xml:space="preserve">¤ </w:t>
            </w:r>
          </w:p>
          <w:p w:rsidR="00A50896" w:rsidRPr="00BE086B" w:rsidRDefault="00A50896" w:rsidP="00A7341E">
            <w:pPr>
              <w:suppressAutoHyphens w:val="0"/>
              <w:jc w:val="center"/>
            </w:pPr>
            <w:r w:rsidRPr="00BE086B">
              <w:rPr>
                <w:bCs/>
                <w:sz w:val="28"/>
                <w:szCs w:val="28"/>
                <w:lang w:eastAsia="ru-RU"/>
              </w:rPr>
              <w:t>±</w:t>
            </w:r>
            <w:r w:rsidRPr="00BE086B">
              <w:rPr>
                <w:rFonts w:eastAsia="Calibri"/>
                <w:sz w:val="28"/>
                <w:szCs w:val="28"/>
                <w:lang w:eastAsia="ru-RU"/>
              </w:rPr>
              <w:t>0,26</w:t>
            </w:r>
          </w:p>
        </w:tc>
        <w:tc>
          <w:tcPr>
            <w:tcW w:w="111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suppressAutoHyphens w:val="0"/>
              <w:jc w:val="center"/>
            </w:pPr>
            <w:r w:rsidRPr="00BE086B">
              <w:rPr>
                <w:bCs/>
                <w:sz w:val="28"/>
                <w:szCs w:val="28"/>
                <w:lang w:eastAsia="ru-RU"/>
              </w:rPr>
              <w:t>5,67*</w:t>
            </w:r>
            <w:r w:rsidRPr="00BE086B">
              <w:rPr>
                <w:bCs/>
                <w:i/>
                <w:sz w:val="28"/>
                <w:szCs w:val="28"/>
                <w:vertAlign w:val="superscript"/>
                <w:lang w:eastAsia="ru-RU"/>
              </w:rPr>
              <w:t xml:space="preserve">¤ </w:t>
            </w:r>
          </w:p>
          <w:p w:rsidR="00A50896" w:rsidRPr="00BE086B" w:rsidRDefault="00A50896" w:rsidP="00A7341E">
            <w:pPr>
              <w:suppressAutoHyphens w:val="0"/>
              <w:jc w:val="center"/>
            </w:pPr>
            <w:r w:rsidRPr="00BE086B">
              <w:rPr>
                <w:bCs/>
                <w:sz w:val="28"/>
                <w:szCs w:val="28"/>
                <w:lang w:eastAsia="ru-RU"/>
              </w:rPr>
              <w:t>±</w:t>
            </w:r>
            <w:r w:rsidRPr="00BE086B">
              <w:rPr>
                <w:rFonts w:eastAsia="Calibri"/>
                <w:sz w:val="28"/>
                <w:szCs w:val="28"/>
                <w:lang w:eastAsia="ru-RU"/>
              </w:rPr>
              <w:t>0,31</w:t>
            </w:r>
          </w:p>
        </w:tc>
      </w:tr>
      <w:tr w:rsidR="00A50896" w:rsidRPr="00BE086B" w:rsidTr="00A7341E">
        <w:tc>
          <w:tcPr>
            <w:tcW w:w="4087"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 xml:space="preserve">ІV група </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L-тироксин + Ібупрофен 5 мг/кг (n=10)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2,20</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0,09</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4,28*</w:t>
            </w:r>
            <w:r w:rsidRPr="00BE086B">
              <w:rPr>
                <w:rFonts w:eastAsia="Calibri"/>
                <w:i/>
                <w:sz w:val="28"/>
                <w:szCs w:val="28"/>
                <w:vertAlign w:val="superscript"/>
                <w:lang w:eastAsia="en-US"/>
              </w:rPr>
              <w:t>¤</w:t>
            </w:r>
          </w:p>
          <w:p w:rsidR="00A50896" w:rsidRPr="00BE086B" w:rsidRDefault="00A50896" w:rsidP="00A7341E">
            <w:pPr>
              <w:jc w:val="center"/>
            </w:pPr>
            <w:r w:rsidRPr="00BE086B">
              <w:rPr>
                <w:sz w:val="28"/>
                <w:szCs w:val="28"/>
              </w:rPr>
              <w:t>±0,20</w:t>
            </w:r>
          </w:p>
        </w:tc>
        <w:tc>
          <w:tcPr>
            <w:tcW w:w="110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4,06*</w:t>
            </w:r>
            <w:r w:rsidRPr="00BE086B">
              <w:rPr>
                <w:rFonts w:eastAsia="Calibri"/>
                <w:i/>
                <w:sz w:val="28"/>
                <w:szCs w:val="28"/>
                <w:vertAlign w:val="superscript"/>
                <w:lang w:eastAsia="en-US"/>
              </w:rPr>
              <w:t>¤</w:t>
            </w:r>
          </w:p>
          <w:p w:rsidR="00A50896" w:rsidRPr="00BE086B" w:rsidRDefault="00A50896" w:rsidP="00A7341E">
            <w:pPr>
              <w:jc w:val="center"/>
            </w:pPr>
            <w:r w:rsidRPr="00BE086B">
              <w:rPr>
                <w:sz w:val="28"/>
                <w:szCs w:val="28"/>
              </w:rPr>
              <w:t>±0,13</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5,00*</w:t>
            </w:r>
            <w:r w:rsidRPr="00BE086B">
              <w:rPr>
                <w:rFonts w:eastAsia="Calibri"/>
                <w:i/>
                <w:sz w:val="28"/>
                <w:szCs w:val="28"/>
                <w:vertAlign w:val="superscript"/>
                <w:lang w:eastAsia="en-US"/>
              </w:rPr>
              <w:t>¤</w:t>
            </w:r>
          </w:p>
          <w:p w:rsidR="00A50896" w:rsidRPr="00BE086B" w:rsidRDefault="00A50896" w:rsidP="00A7341E">
            <w:pPr>
              <w:jc w:val="center"/>
            </w:pPr>
            <w:r w:rsidRPr="00BE086B">
              <w:rPr>
                <w:sz w:val="28"/>
                <w:szCs w:val="28"/>
              </w:rPr>
              <w:t>±0,22</w:t>
            </w:r>
          </w:p>
        </w:tc>
        <w:tc>
          <w:tcPr>
            <w:tcW w:w="111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jc w:val="center"/>
            </w:pPr>
            <w:r w:rsidRPr="00BE086B">
              <w:rPr>
                <w:sz w:val="28"/>
                <w:szCs w:val="28"/>
              </w:rPr>
              <w:t>3,16*</w:t>
            </w:r>
            <w:r w:rsidRPr="00BE086B">
              <w:rPr>
                <w:rFonts w:eastAsia="Calibri"/>
                <w:i/>
                <w:sz w:val="28"/>
                <w:szCs w:val="28"/>
                <w:vertAlign w:val="superscript"/>
                <w:lang w:eastAsia="en-US"/>
              </w:rPr>
              <w:t>¤</w:t>
            </w:r>
          </w:p>
          <w:p w:rsidR="00A50896" w:rsidRPr="00BE086B" w:rsidRDefault="00A50896" w:rsidP="00A7341E">
            <w:pPr>
              <w:jc w:val="center"/>
            </w:pPr>
            <w:r w:rsidRPr="00BE086B">
              <w:rPr>
                <w:sz w:val="28"/>
                <w:szCs w:val="28"/>
              </w:rPr>
              <w:t>±0,13</w:t>
            </w:r>
          </w:p>
        </w:tc>
      </w:tr>
      <w:tr w:rsidR="00A50896" w:rsidRPr="00BE086B" w:rsidTr="00A7341E">
        <w:tc>
          <w:tcPr>
            <w:tcW w:w="4087"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 xml:space="preserve">V група </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L-тироксин +</w:t>
            </w:r>
            <w:r w:rsidRPr="00BE086B">
              <w:rPr>
                <w:rFonts w:ascii="Times New Roman" w:eastAsia="Times New Roman" w:hAnsi="Times New Roman" w:cs="Times New Roman"/>
                <w:color w:val="auto"/>
                <w:sz w:val="28"/>
                <w:szCs w:val="28"/>
              </w:rPr>
              <w:t xml:space="preserve"> </w:t>
            </w:r>
            <w:r w:rsidRPr="00BE086B">
              <w:rPr>
                <w:rFonts w:ascii="Times New Roman" w:hAnsi="Times New Roman" w:cs="Times New Roman"/>
                <w:color w:val="auto"/>
                <w:sz w:val="28"/>
                <w:szCs w:val="28"/>
              </w:rPr>
              <w:t>Мелоксикам 10 мг/кг (n=10)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1,89</w:t>
            </w:r>
          </w:p>
          <w:p w:rsidR="00A50896" w:rsidRPr="00BE086B" w:rsidRDefault="00A50896" w:rsidP="00A7341E">
            <w:pPr>
              <w:suppressAutoHyphens w:val="0"/>
              <w:jc w:val="center"/>
            </w:pPr>
            <w:r w:rsidRPr="00BE086B">
              <w:rPr>
                <w:rFonts w:eastAsia="Calibri"/>
                <w:sz w:val="28"/>
                <w:szCs w:val="28"/>
                <w:lang w:eastAsia="en-US"/>
              </w:rPr>
              <w:t>±0,11</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2,67</w:t>
            </w:r>
            <w:r w:rsidRPr="00BE086B">
              <w:rPr>
                <w:sz w:val="28"/>
                <w:szCs w:val="28"/>
              </w:rPr>
              <w:t>*</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±0,27</w:t>
            </w:r>
          </w:p>
        </w:tc>
        <w:tc>
          <w:tcPr>
            <w:tcW w:w="110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3,71*</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±0,30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4,19*</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±0,39</w:t>
            </w:r>
          </w:p>
        </w:tc>
        <w:tc>
          <w:tcPr>
            <w:tcW w:w="111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3,51*</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±0,27</w:t>
            </w:r>
          </w:p>
        </w:tc>
      </w:tr>
      <w:tr w:rsidR="00A50896" w:rsidRPr="00BE086B" w:rsidTr="00A7341E">
        <w:tc>
          <w:tcPr>
            <w:tcW w:w="4087"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 xml:space="preserve">VI група </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L-тироксин +</w:t>
            </w:r>
            <w:r w:rsidRPr="00BE086B">
              <w:rPr>
                <w:rFonts w:ascii="Times New Roman" w:eastAsia="Times New Roman" w:hAnsi="Times New Roman" w:cs="Times New Roman"/>
                <w:color w:val="auto"/>
                <w:sz w:val="28"/>
                <w:szCs w:val="28"/>
              </w:rPr>
              <w:t xml:space="preserve"> </w:t>
            </w:r>
            <w:r w:rsidRPr="00BE086B">
              <w:rPr>
                <w:rFonts w:ascii="Times New Roman" w:hAnsi="Times New Roman" w:cs="Times New Roman"/>
                <w:color w:val="auto"/>
                <w:sz w:val="28"/>
                <w:szCs w:val="28"/>
              </w:rPr>
              <w:t>Німесулід 80 мг/кг (n=10)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2,21</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0,08</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4,37*</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0,20</w:t>
            </w:r>
          </w:p>
        </w:tc>
        <w:tc>
          <w:tcPr>
            <w:tcW w:w="110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4,27*</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0,13</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4,80*</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0,16</w:t>
            </w:r>
          </w:p>
        </w:tc>
        <w:tc>
          <w:tcPr>
            <w:tcW w:w="111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jc w:val="center"/>
            </w:pPr>
            <w:r w:rsidRPr="00BE086B">
              <w:rPr>
                <w:sz w:val="28"/>
                <w:szCs w:val="28"/>
              </w:rPr>
              <w:t>3,33*</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0,14</w:t>
            </w:r>
          </w:p>
        </w:tc>
      </w:tr>
      <w:tr w:rsidR="00A50896" w:rsidRPr="00BE086B" w:rsidTr="00A7341E">
        <w:tc>
          <w:tcPr>
            <w:tcW w:w="4087"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 xml:space="preserve">VІI група </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L-тироксин + Целекоксиб 50 мг/кг (n=10)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1,95</w:t>
            </w:r>
          </w:p>
          <w:p w:rsidR="00A50896" w:rsidRPr="00BE086B" w:rsidRDefault="00A50896" w:rsidP="00A7341E">
            <w:pPr>
              <w:suppressAutoHyphens w:val="0"/>
              <w:jc w:val="center"/>
            </w:pPr>
            <w:r w:rsidRPr="00BE086B">
              <w:rPr>
                <w:rFonts w:eastAsia="Calibri"/>
                <w:sz w:val="28"/>
                <w:szCs w:val="28"/>
                <w:lang w:eastAsia="en-US"/>
              </w:rPr>
              <w:t>±0,14</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2,53</w:t>
            </w:r>
            <w:r w:rsidRPr="00BE086B">
              <w:rPr>
                <w:sz w:val="28"/>
                <w:szCs w:val="28"/>
              </w:rPr>
              <w:t>*</w:t>
            </w:r>
            <w:r w:rsidRPr="00BE086B">
              <w:rPr>
                <w:rFonts w:eastAsia="Calibri"/>
                <w:i/>
                <w:sz w:val="28"/>
                <w:szCs w:val="28"/>
                <w:vertAlign w:val="superscript"/>
                <w:lang w:eastAsia="en-US"/>
              </w:rPr>
              <w:t xml:space="preserve">¤ </w:t>
            </w:r>
          </w:p>
          <w:p w:rsidR="00A50896" w:rsidRPr="00BE086B" w:rsidRDefault="00A50896" w:rsidP="00A7341E">
            <w:pPr>
              <w:suppressAutoHyphens w:val="0"/>
              <w:jc w:val="center"/>
            </w:pPr>
            <w:r w:rsidRPr="00BE086B">
              <w:rPr>
                <w:rFonts w:eastAsia="Calibri"/>
                <w:sz w:val="28"/>
                <w:szCs w:val="28"/>
                <w:lang w:eastAsia="en-US"/>
              </w:rPr>
              <w:t>±0,13</w:t>
            </w:r>
          </w:p>
        </w:tc>
        <w:tc>
          <w:tcPr>
            <w:tcW w:w="110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3,18*</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±0,22</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3,95*</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±0,27</w:t>
            </w:r>
          </w:p>
        </w:tc>
        <w:tc>
          <w:tcPr>
            <w:tcW w:w="111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suppressAutoHyphens w:val="0"/>
              <w:jc w:val="center"/>
            </w:pPr>
            <w:r w:rsidRPr="00BE086B">
              <w:rPr>
                <w:rFonts w:eastAsia="Calibri"/>
                <w:sz w:val="28"/>
                <w:szCs w:val="28"/>
                <w:lang w:eastAsia="en-US"/>
              </w:rPr>
              <w:t>3,27*</w:t>
            </w:r>
            <w:r w:rsidRPr="00BE086B">
              <w:rPr>
                <w:rFonts w:eastAsia="Calibri"/>
                <w:i/>
                <w:sz w:val="28"/>
                <w:szCs w:val="28"/>
                <w:vertAlign w:val="superscript"/>
                <w:lang w:eastAsia="en-US"/>
              </w:rPr>
              <w:t>¤</w:t>
            </w:r>
          </w:p>
          <w:p w:rsidR="00A50896" w:rsidRPr="00BE086B" w:rsidRDefault="00A50896" w:rsidP="00A7341E">
            <w:pPr>
              <w:suppressAutoHyphens w:val="0"/>
              <w:jc w:val="center"/>
            </w:pPr>
            <w:r w:rsidRPr="00BE086B">
              <w:rPr>
                <w:rFonts w:eastAsia="Calibri"/>
                <w:sz w:val="28"/>
                <w:szCs w:val="28"/>
                <w:lang w:eastAsia="en-US"/>
              </w:rPr>
              <w:t>±0,31</w:t>
            </w:r>
          </w:p>
        </w:tc>
      </w:tr>
      <w:tr w:rsidR="00A50896" w:rsidRPr="00BE086B" w:rsidTr="00A7341E">
        <w:trPr>
          <w:trHeight w:val="58"/>
        </w:trPr>
        <w:tc>
          <w:tcPr>
            <w:tcW w:w="4087" w:type="dxa"/>
            <w:tcBorders>
              <w:top w:val="single" w:sz="4" w:space="0" w:color="000001"/>
              <w:left w:val="single" w:sz="4" w:space="0" w:color="000001"/>
              <w:bottom w:val="single" w:sz="4" w:space="0" w:color="000001"/>
            </w:tcBorders>
            <w:shd w:val="clear" w:color="auto" w:fill="auto"/>
          </w:tcPr>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 xml:space="preserve">VІІI група </w:t>
            </w:r>
          </w:p>
          <w:p w:rsidR="00A50896" w:rsidRPr="00BE086B" w:rsidRDefault="00A50896" w:rsidP="00A7341E">
            <w:pPr>
              <w:pStyle w:val="WW-"/>
              <w:spacing w:after="0" w:line="100" w:lineRule="atLeast"/>
              <w:jc w:val="center"/>
              <w:rPr>
                <w:rFonts w:ascii="Times New Roman" w:hAnsi="Times New Roman" w:cs="Times New Roman"/>
                <w:color w:val="auto"/>
              </w:rPr>
            </w:pPr>
            <w:r w:rsidRPr="00BE086B">
              <w:rPr>
                <w:rFonts w:ascii="Times New Roman" w:hAnsi="Times New Roman" w:cs="Times New Roman"/>
                <w:color w:val="auto"/>
                <w:sz w:val="28"/>
                <w:szCs w:val="28"/>
              </w:rPr>
              <w:t>ЕОА + ЕГ + L-тироксин + Парацетамол 150 мг/кг (n=10)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2,26</w:t>
            </w:r>
          </w:p>
          <w:p w:rsidR="00A50896" w:rsidRPr="00BE086B" w:rsidRDefault="00A50896" w:rsidP="00A7341E">
            <w:pPr>
              <w:pStyle w:val="18"/>
              <w:snapToGrid w:val="0"/>
              <w:spacing w:before="0" w:line="240" w:lineRule="auto"/>
              <w:jc w:val="center"/>
              <w:rPr>
                <w:color w:val="auto"/>
              </w:rPr>
            </w:pPr>
            <w:r w:rsidRPr="00BE086B">
              <w:rPr>
                <w:rFonts w:eastAsia="Calibri"/>
                <w:color w:val="auto"/>
                <w:sz w:val="28"/>
                <w:szCs w:val="28"/>
                <w:lang w:eastAsia="en-US" w:bidi="ar-SA"/>
              </w:rPr>
              <w:t>±</w:t>
            </w:r>
            <w:r w:rsidRPr="00BE086B">
              <w:rPr>
                <w:color w:val="auto"/>
                <w:sz w:val="28"/>
                <w:szCs w:val="28"/>
              </w:rPr>
              <w:t>0,10</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3,52*</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0,19</w:t>
            </w:r>
          </w:p>
        </w:tc>
        <w:tc>
          <w:tcPr>
            <w:tcW w:w="1101"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sz w:val="28"/>
                <w:szCs w:val="28"/>
              </w:rPr>
              <w:t>4,25*</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0,27</w:t>
            </w:r>
          </w:p>
        </w:tc>
        <w:tc>
          <w:tcPr>
            <w:tcW w:w="1100" w:type="dxa"/>
            <w:tcBorders>
              <w:top w:val="single" w:sz="4" w:space="0" w:color="000001"/>
              <w:left w:val="single" w:sz="4" w:space="0" w:color="000001"/>
              <w:bottom w:val="single" w:sz="4" w:space="0" w:color="000001"/>
            </w:tcBorders>
            <w:shd w:val="clear" w:color="auto" w:fill="auto"/>
            <w:vAlign w:val="center"/>
          </w:tcPr>
          <w:p w:rsidR="00A50896" w:rsidRPr="00BE086B" w:rsidRDefault="00A50896" w:rsidP="00A7341E">
            <w:pPr>
              <w:jc w:val="center"/>
            </w:pPr>
            <w:r w:rsidRPr="00BE086B">
              <w:rPr>
                <w:rFonts w:eastAsia="Calibri"/>
                <w:sz w:val="28"/>
                <w:szCs w:val="28"/>
                <w:lang w:eastAsia="en-US"/>
              </w:rPr>
              <w:t>4,42</w:t>
            </w:r>
            <w:r w:rsidRPr="00BE086B">
              <w:rPr>
                <w:sz w:val="28"/>
                <w:szCs w:val="28"/>
              </w:rPr>
              <w:t>*</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0,25</w:t>
            </w:r>
          </w:p>
        </w:tc>
        <w:tc>
          <w:tcPr>
            <w:tcW w:w="1111" w:type="dxa"/>
            <w:tcBorders>
              <w:top w:val="single" w:sz="4" w:space="0" w:color="000001"/>
              <w:left w:val="single" w:sz="4" w:space="0" w:color="000001"/>
              <w:bottom w:val="single" w:sz="4" w:space="0" w:color="000001"/>
              <w:right w:val="single" w:sz="4" w:space="0" w:color="000001"/>
            </w:tcBorders>
            <w:shd w:val="clear" w:color="auto" w:fill="auto"/>
            <w:vAlign w:val="center"/>
          </w:tcPr>
          <w:p w:rsidR="00A50896" w:rsidRPr="00BE086B" w:rsidRDefault="00A50896" w:rsidP="00A7341E">
            <w:pPr>
              <w:jc w:val="center"/>
            </w:pPr>
            <w:r w:rsidRPr="00BE086B">
              <w:rPr>
                <w:sz w:val="28"/>
                <w:szCs w:val="28"/>
              </w:rPr>
              <w:t>3,58</w:t>
            </w:r>
            <w:r w:rsidRPr="00BE086B">
              <w:rPr>
                <w:rFonts w:eastAsia="Calibri"/>
                <w:sz w:val="28"/>
                <w:szCs w:val="28"/>
                <w:lang w:eastAsia="en-US"/>
              </w:rPr>
              <w:t>*</w:t>
            </w:r>
            <w:r w:rsidRPr="00BE086B">
              <w:rPr>
                <w:rFonts w:eastAsia="Calibri"/>
                <w:i/>
                <w:sz w:val="28"/>
                <w:szCs w:val="28"/>
                <w:vertAlign w:val="superscript"/>
                <w:lang w:eastAsia="en-US"/>
              </w:rPr>
              <w:t>¤</w:t>
            </w:r>
          </w:p>
          <w:p w:rsidR="00A50896" w:rsidRPr="00BE086B" w:rsidRDefault="00A50896" w:rsidP="00A7341E">
            <w:pPr>
              <w:jc w:val="center"/>
            </w:pPr>
            <w:r w:rsidRPr="00BE086B">
              <w:rPr>
                <w:rFonts w:eastAsia="Calibri"/>
                <w:sz w:val="28"/>
                <w:szCs w:val="28"/>
                <w:lang w:eastAsia="en-US"/>
              </w:rPr>
              <w:t>±</w:t>
            </w:r>
            <w:r w:rsidRPr="00BE086B">
              <w:rPr>
                <w:sz w:val="28"/>
                <w:szCs w:val="28"/>
              </w:rPr>
              <w:t>0,21</w:t>
            </w:r>
          </w:p>
        </w:tc>
      </w:tr>
    </w:tbl>
    <w:p w:rsidR="00A50896" w:rsidRPr="00BE086B" w:rsidRDefault="00A50896" w:rsidP="00A50896">
      <w:pPr>
        <w:suppressAutoHyphens w:val="0"/>
        <w:spacing w:line="360" w:lineRule="auto"/>
        <w:ind w:firstLine="709"/>
        <w:jc w:val="both"/>
        <w:rPr>
          <w:b/>
          <w:bCs/>
          <w:iCs/>
          <w:sz w:val="28"/>
          <w:szCs w:val="28"/>
        </w:rPr>
      </w:pPr>
    </w:p>
    <w:p w:rsidR="00A50896" w:rsidRPr="00BE086B" w:rsidRDefault="00A50896" w:rsidP="006854B5">
      <w:pPr>
        <w:suppressAutoHyphens w:val="0"/>
        <w:spacing w:line="360" w:lineRule="auto"/>
        <w:ind w:firstLine="709"/>
        <w:jc w:val="both"/>
      </w:pPr>
      <w:r w:rsidRPr="00BE086B">
        <w:rPr>
          <w:b/>
          <w:bCs/>
          <w:iCs/>
          <w:sz w:val="28"/>
          <w:szCs w:val="28"/>
        </w:rPr>
        <w:t>Примітки:</w:t>
      </w:r>
      <w:r w:rsidRPr="00BE086B">
        <w:rPr>
          <w:iCs/>
          <w:sz w:val="28"/>
          <w:szCs w:val="28"/>
        </w:rPr>
        <w:t xml:space="preserve"> * - р </w:t>
      </w:r>
      <w:r w:rsidRPr="00BE086B">
        <w:rPr>
          <w:rFonts w:eastAsia="Calibri"/>
          <w:iCs/>
          <w:sz w:val="28"/>
          <w:szCs w:val="28"/>
          <w:lang w:eastAsia="en-US"/>
        </w:rPr>
        <w:t>&lt;</w:t>
      </w:r>
      <w:r w:rsidRPr="00BE086B">
        <w:rPr>
          <w:iCs/>
          <w:sz w:val="28"/>
          <w:szCs w:val="28"/>
        </w:rPr>
        <w:t xml:space="preserve"> 0,05 по відношенню до початкової больової чутливості (ПБЧ) у вихідному стані (ВС);</w:t>
      </w:r>
    </w:p>
    <w:p w:rsidR="00A50896" w:rsidRPr="00BE086B" w:rsidRDefault="00A50896" w:rsidP="006854B5">
      <w:pPr>
        <w:spacing w:line="360" w:lineRule="auto"/>
        <w:ind w:firstLine="709"/>
        <w:jc w:val="both"/>
      </w:pPr>
      <w:r w:rsidRPr="00BE086B">
        <w:rPr>
          <w:rFonts w:eastAsia="Calibri"/>
          <w:iCs/>
          <w:sz w:val="28"/>
          <w:szCs w:val="28"/>
          <w:lang w:eastAsia="en-US"/>
        </w:rPr>
        <w:t>¤ - р &lt; 0,05 у порівнянні з показниками групи активного контролю (</w:t>
      </w:r>
      <w:r w:rsidRPr="00BE086B">
        <w:rPr>
          <w:sz w:val="28"/>
          <w:szCs w:val="28"/>
        </w:rPr>
        <w:t>ЕОА + ЕГ + L-тироксин</w:t>
      </w:r>
      <w:r w:rsidRPr="00BE086B">
        <w:rPr>
          <w:rFonts w:eastAsia="Calibri"/>
          <w:iCs/>
          <w:sz w:val="28"/>
          <w:szCs w:val="28"/>
          <w:lang w:eastAsia="en-US"/>
        </w:rPr>
        <w:t>)</w:t>
      </w:r>
      <w:r w:rsidRPr="00BE086B">
        <w:rPr>
          <w:sz w:val="28"/>
          <w:szCs w:val="28"/>
        </w:rPr>
        <w:t>.</w:t>
      </w:r>
    </w:p>
    <w:p w:rsidR="00A50896" w:rsidRPr="00BE086B" w:rsidRDefault="00A50896" w:rsidP="006854B5">
      <w:pPr>
        <w:spacing w:line="360" w:lineRule="auto"/>
        <w:ind w:firstLine="709"/>
        <w:jc w:val="both"/>
        <w:rPr>
          <w:sz w:val="28"/>
          <w:szCs w:val="28"/>
        </w:rPr>
      </w:pPr>
    </w:p>
    <w:p w:rsidR="00A50896" w:rsidRPr="00BE086B" w:rsidRDefault="00A50896" w:rsidP="006854B5">
      <w:pPr>
        <w:spacing w:line="360" w:lineRule="auto"/>
        <w:ind w:firstLine="709"/>
        <w:jc w:val="both"/>
      </w:pPr>
      <w:r w:rsidRPr="00BE086B">
        <w:rPr>
          <w:rFonts w:eastAsia="Calibri"/>
          <w:iCs/>
          <w:sz w:val="28"/>
          <w:szCs w:val="28"/>
          <w:lang w:eastAsia="en-US"/>
        </w:rPr>
        <w:lastRenderedPageBreak/>
        <w:t xml:space="preserve">Як видно з табл. 3.3 та рис. 3.5, </w:t>
      </w:r>
      <w:r w:rsidRPr="00BE086B">
        <w:rPr>
          <w:sz w:val="28"/>
          <w:szCs w:val="28"/>
        </w:rPr>
        <w:t xml:space="preserve">на 90 хвилині (пік розвитку знеболюючої активності препаратів) відносно відповідного показника (90 хвилина) групи активного контролю </w:t>
      </w:r>
      <w:r w:rsidRPr="00BE086B">
        <w:rPr>
          <w:rFonts w:eastAsia="Calibri"/>
          <w:iCs/>
          <w:sz w:val="28"/>
          <w:szCs w:val="28"/>
          <w:lang w:eastAsia="en-US"/>
        </w:rPr>
        <w:t>(</w:t>
      </w:r>
      <w:r w:rsidRPr="00BE086B">
        <w:rPr>
          <w:sz w:val="28"/>
          <w:szCs w:val="28"/>
        </w:rPr>
        <w:t xml:space="preserve">І група ЕОА + ЕГ + L-тироксин) поріг больової чутливості у щурів збільшився у 3,12 рази </w:t>
      </w:r>
      <w:r w:rsidRPr="00BE086B">
        <w:rPr>
          <w:rFonts w:eastAsia="Calibri"/>
          <w:iCs/>
          <w:sz w:val="28"/>
          <w:szCs w:val="28"/>
          <w:lang w:eastAsia="en-US"/>
        </w:rPr>
        <w:t xml:space="preserve">(р &lt; 0,001) </w:t>
      </w:r>
      <w:r w:rsidRPr="00BE086B">
        <w:rPr>
          <w:sz w:val="28"/>
          <w:szCs w:val="28"/>
        </w:rPr>
        <w:t xml:space="preserve">в ІІІ групі при призначенні диклофенаку натрію, у 2,44 рази </w:t>
      </w:r>
      <w:r w:rsidRPr="00BE086B">
        <w:rPr>
          <w:rFonts w:eastAsia="Calibri"/>
          <w:iCs/>
          <w:sz w:val="28"/>
          <w:szCs w:val="28"/>
          <w:lang w:eastAsia="en-US"/>
        </w:rPr>
        <w:t xml:space="preserve">(р &lt; 0,001) – </w:t>
      </w:r>
      <w:r w:rsidRPr="00BE086B">
        <w:rPr>
          <w:sz w:val="28"/>
          <w:szCs w:val="28"/>
        </w:rPr>
        <w:t xml:space="preserve">в ІV групі при призначенні ібупрофену, у 2,04 рази </w:t>
      </w:r>
      <w:r w:rsidRPr="00BE086B">
        <w:rPr>
          <w:rFonts w:eastAsia="Calibri"/>
          <w:iCs/>
          <w:sz w:val="28"/>
          <w:szCs w:val="28"/>
          <w:lang w:eastAsia="en-US"/>
        </w:rPr>
        <w:t xml:space="preserve">(р &lt; 0,001) – </w:t>
      </w:r>
      <w:r w:rsidRPr="00BE086B">
        <w:rPr>
          <w:sz w:val="28"/>
          <w:szCs w:val="28"/>
        </w:rPr>
        <w:t xml:space="preserve">в V групі при застосуванні мелоксикаму, у 2,34 рази </w:t>
      </w:r>
      <w:r w:rsidRPr="00BE086B">
        <w:rPr>
          <w:rFonts w:eastAsia="Calibri"/>
          <w:iCs/>
          <w:sz w:val="28"/>
          <w:szCs w:val="28"/>
          <w:lang w:eastAsia="en-US"/>
        </w:rPr>
        <w:t xml:space="preserve">(р &lt; 0,001) – </w:t>
      </w:r>
      <w:r w:rsidRPr="00BE086B">
        <w:rPr>
          <w:sz w:val="28"/>
          <w:szCs w:val="28"/>
        </w:rPr>
        <w:t xml:space="preserve">в VІ групі при призначенні німесуліду, у 1,93 рази </w:t>
      </w:r>
      <w:r w:rsidRPr="00BE086B">
        <w:rPr>
          <w:rFonts w:eastAsia="Calibri"/>
          <w:iCs/>
          <w:sz w:val="28"/>
          <w:szCs w:val="28"/>
          <w:lang w:eastAsia="en-US"/>
        </w:rPr>
        <w:t xml:space="preserve">(р &lt; 0,001) – </w:t>
      </w:r>
      <w:r w:rsidRPr="00BE086B">
        <w:rPr>
          <w:sz w:val="28"/>
          <w:szCs w:val="28"/>
        </w:rPr>
        <w:t xml:space="preserve">в VІІ групі при призначенні целекоксибу та у 2,16 рази </w:t>
      </w:r>
      <w:r w:rsidRPr="00BE086B">
        <w:rPr>
          <w:rFonts w:eastAsia="Calibri"/>
          <w:iCs/>
          <w:sz w:val="28"/>
          <w:szCs w:val="28"/>
          <w:lang w:eastAsia="en-US"/>
        </w:rPr>
        <w:t xml:space="preserve">(р &lt; 0,001) – </w:t>
      </w:r>
      <w:r w:rsidRPr="00BE086B">
        <w:rPr>
          <w:sz w:val="28"/>
          <w:szCs w:val="28"/>
        </w:rPr>
        <w:t>в VІІІ групі при застосуванні парацетамолу.</w:t>
      </w:r>
    </w:p>
    <w:p w:rsidR="00A50896" w:rsidRPr="00BE086B" w:rsidRDefault="009B135A" w:rsidP="006854B5">
      <w:pPr>
        <w:spacing w:line="360" w:lineRule="auto"/>
        <w:ind w:firstLine="709"/>
        <w:jc w:val="center"/>
        <w:rPr>
          <w:b/>
          <w:bCs/>
          <w:sz w:val="28"/>
          <w:szCs w:val="28"/>
        </w:rPr>
      </w:pPr>
      <w:r>
        <w:rPr>
          <w:b/>
          <w:bCs/>
          <w:noProof/>
          <w:sz w:val="28"/>
          <w:szCs w:val="28"/>
          <w:lang w:eastAsia="ru-RU"/>
        </w:rPr>
        <w:drawing>
          <wp:inline distT="0" distB="0" distL="0" distR="0">
            <wp:extent cx="5036400" cy="3675600"/>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5.jpg"/>
                    <pic:cNvPicPr/>
                  </pic:nvPicPr>
                  <pic:blipFill>
                    <a:blip r:embed="rId15">
                      <a:extLst>
                        <a:ext uri="{28A0092B-C50C-407E-A947-70E740481C1C}">
                          <a14:useLocalDpi xmlns:a14="http://schemas.microsoft.com/office/drawing/2010/main" val="0"/>
                        </a:ext>
                      </a:extLst>
                    </a:blip>
                    <a:stretch>
                      <a:fillRect/>
                    </a:stretch>
                  </pic:blipFill>
                  <pic:spPr>
                    <a:xfrm>
                      <a:off x="0" y="0"/>
                      <a:ext cx="5036400" cy="3675600"/>
                    </a:xfrm>
                    <a:prstGeom prst="rect">
                      <a:avLst/>
                    </a:prstGeom>
                  </pic:spPr>
                </pic:pic>
              </a:graphicData>
            </a:graphic>
          </wp:inline>
        </w:drawing>
      </w:r>
    </w:p>
    <w:p w:rsidR="00A50896" w:rsidRPr="00BE086B" w:rsidRDefault="00A50896" w:rsidP="006854B5">
      <w:pPr>
        <w:spacing w:line="360" w:lineRule="auto"/>
        <w:ind w:firstLine="709"/>
        <w:jc w:val="both"/>
      </w:pPr>
      <w:r w:rsidRPr="00BE086B">
        <w:rPr>
          <w:b/>
          <w:bCs/>
          <w:sz w:val="28"/>
          <w:szCs w:val="28"/>
        </w:rPr>
        <w:t>Рис. 3.5.</w:t>
      </w:r>
      <w:r w:rsidRPr="00BE086B">
        <w:rPr>
          <w:bCs/>
          <w:sz w:val="28"/>
          <w:szCs w:val="28"/>
        </w:rPr>
        <w:t xml:space="preserve"> Показники антиноцицептивного потенціалу НПЗЗ та парацетамолу за умов експериментального остеоартрозу і гіпотиреозу на фоні введення </w:t>
      </w:r>
      <w:r w:rsidRPr="00BE086B">
        <w:rPr>
          <w:sz w:val="28"/>
          <w:szCs w:val="28"/>
        </w:rPr>
        <w:t xml:space="preserve">L-тироксину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ЕОА + ЕГ + L-тироксин</w:t>
      </w:r>
      <w:r w:rsidRPr="00BE086B">
        <w:rPr>
          <w:rFonts w:eastAsia="Calibri"/>
          <w:iCs/>
          <w:sz w:val="28"/>
          <w:szCs w:val="28"/>
          <w:lang w:eastAsia="en-US"/>
        </w:rPr>
        <w:t>)</w:t>
      </w:r>
      <w:r w:rsidRPr="00BE086B">
        <w:rPr>
          <w:bCs/>
          <w:sz w:val="28"/>
          <w:szCs w:val="28"/>
        </w:rPr>
        <w:t xml:space="preserve"> (90 хвилина).</w:t>
      </w:r>
    </w:p>
    <w:p w:rsidR="00A50896" w:rsidRPr="00BE086B" w:rsidRDefault="00A50896" w:rsidP="006854B5">
      <w:pPr>
        <w:suppressAutoHyphens w:val="0"/>
        <w:spacing w:line="360" w:lineRule="auto"/>
        <w:ind w:firstLine="709"/>
        <w:jc w:val="both"/>
      </w:pPr>
      <w:r w:rsidRPr="00BE086B">
        <w:rPr>
          <w:rFonts w:eastAsia="Calibri"/>
          <w:b/>
          <w:bCs/>
          <w:iCs/>
          <w:sz w:val="28"/>
          <w:szCs w:val="28"/>
          <w:lang w:eastAsia="en-US"/>
        </w:rPr>
        <w:t xml:space="preserve">Примітки: </w:t>
      </w:r>
      <w:r w:rsidRPr="00BE086B">
        <w:rPr>
          <w:rFonts w:eastAsia="Calibri"/>
          <w:iCs/>
          <w:sz w:val="28"/>
          <w:szCs w:val="28"/>
          <w:lang w:eastAsia="en-US"/>
        </w:rPr>
        <w:t>* - р &lt; 0,001 по відношенню до показників больового порогу тварин групи активного контролю (</w:t>
      </w:r>
      <w:r w:rsidRPr="00BE086B">
        <w:rPr>
          <w:sz w:val="28"/>
          <w:szCs w:val="28"/>
        </w:rPr>
        <w:t>ЕОА+ЕГ</w:t>
      </w:r>
      <w:r w:rsidRPr="00BE086B">
        <w:rPr>
          <w:rFonts w:eastAsia="Calibri"/>
          <w:iCs/>
          <w:sz w:val="28"/>
          <w:szCs w:val="28"/>
          <w:lang w:eastAsia="en-US"/>
        </w:rPr>
        <w:t>), критерій Даннета;</w:t>
      </w:r>
    </w:p>
    <w:p w:rsidR="00A50896" w:rsidRPr="00BE086B" w:rsidRDefault="00A50896" w:rsidP="006854B5">
      <w:pPr>
        <w:suppressAutoHyphens w:val="0"/>
        <w:spacing w:line="360" w:lineRule="auto"/>
        <w:ind w:firstLine="709"/>
        <w:jc w:val="both"/>
      </w:pPr>
      <w:r w:rsidRPr="00BE086B">
        <w:rPr>
          <w:rFonts w:eastAsia="Calibri"/>
          <w:bCs/>
          <w:iCs/>
          <w:sz w:val="28"/>
          <w:szCs w:val="28"/>
          <w:lang w:eastAsia="en-US"/>
        </w:rPr>
        <w:t xml:space="preserve"># - </w:t>
      </w:r>
      <w:r w:rsidRPr="00BE086B">
        <w:rPr>
          <w:rFonts w:eastAsia="Calibri"/>
          <w:iCs/>
          <w:sz w:val="28"/>
          <w:szCs w:val="28"/>
          <w:lang w:eastAsia="en-US"/>
        </w:rPr>
        <w:t xml:space="preserve">р &lt; 0,05 по відношенню до показників інших груп, </w:t>
      </w:r>
      <w:r w:rsidRPr="00BE086B">
        <w:rPr>
          <w:rFonts w:eastAsia="Calibri"/>
          <w:bCs/>
          <w:iCs/>
          <w:sz w:val="28"/>
          <w:szCs w:val="28"/>
          <w:lang w:eastAsia="en-US"/>
        </w:rPr>
        <w:t>критерій Дункана.</w:t>
      </w:r>
    </w:p>
    <w:p w:rsidR="00A50896" w:rsidRPr="00BE086B" w:rsidRDefault="009B135A" w:rsidP="00275227">
      <w:pPr>
        <w:suppressAutoHyphens w:val="0"/>
        <w:spacing w:line="360" w:lineRule="auto"/>
        <w:jc w:val="center"/>
        <w:rPr>
          <w:b/>
          <w:bCs/>
          <w:sz w:val="28"/>
          <w:szCs w:val="28"/>
        </w:rPr>
      </w:pPr>
      <w:bookmarkStart w:id="3" w:name="_1678442557"/>
      <w:bookmarkEnd w:id="3"/>
      <w:r>
        <w:rPr>
          <w:b/>
          <w:bCs/>
          <w:noProof/>
          <w:sz w:val="28"/>
          <w:szCs w:val="28"/>
          <w:lang w:eastAsia="ru-RU"/>
        </w:rPr>
        <w:lastRenderedPageBreak/>
        <w:drawing>
          <wp:inline distT="0" distB="0" distL="0" distR="0">
            <wp:extent cx="5932800" cy="3762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6.jpg"/>
                    <pic:cNvPicPr/>
                  </pic:nvPicPr>
                  <pic:blipFill>
                    <a:blip r:embed="rId16">
                      <a:extLst>
                        <a:ext uri="{28A0092B-C50C-407E-A947-70E740481C1C}">
                          <a14:useLocalDpi xmlns:a14="http://schemas.microsoft.com/office/drawing/2010/main" val="0"/>
                        </a:ext>
                      </a:extLst>
                    </a:blip>
                    <a:stretch>
                      <a:fillRect/>
                    </a:stretch>
                  </pic:blipFill>
                  <pic:spPr>
                    <a:xfrm>
                      <a:off x="0" y="0"/>
                      <a:ext cx="5932800" cy="3762000"/>
                    </a:xfrm>
                    <a:prstGeom prst="rect">
                      <a:avLst/>
                    </a:prstGeom>
                  </pic:spPr>
                </pic:pic>
              </a:graphicData>
            </a:graphic>
          </wp:inline>
        </w:drawing>
      </w:r>
    </w:p>
    <w:p w:rsidR="00D9643C" w:rsidRPr="00BE086B" w:rsidRDefault="00D9643C" w:rsidP="006854B5">
      <w:pPr>
        <w:suppressAutoHyphens w:val="0"/>
        <w:spacing w:line="360" w:lineRule="auto"/>
        <w:ind w:firstLine="709"/>
        <w:jc w:val="both"/>
        <w:rPr>
          <w:b/>
          <w:bCs/>
          <w:sz w:val="28"/>
          <w:szCs w:val="28"/>
        </w:rPr>
      </w:pPr>
    </w:p>
    <w:p w:rsidR="00A50896" w:rsidRPr="00BE086B" w:rsidRDefault="00A50896" w:rsidP="006854B5">
      <w:pPr>
        <w:suppressAutoHyphens w:val="0"/>
        <w:spacing w:line="360" w:lineRule="auto"/>
        <w:ind w:firstLine="709"/>
        <w:jc w:val="both"/>
      </w:pPr>
      <w:r w:rsidRPr="00BE086B">
        <w:rPr>
          <w:b/>
          <w:bCs/>
          <w:sz w:val="28"/>
          <w:szCs w:val="28"/>
        </w:rPr>
        <w:t xml:space="preserve">Рис. 3.6. </w:t>
      </w:r>
      <w:r w:rsidRPr="00BE086B">
        <w:rPr>
          <w:bCs/>
          <w:sz w:val="28"/>
          <w:szCs w:val="28"/>
        </w:rPr>
        <w:t>Динаміка з</w:t>
      </w:r>
      <w:r w:rsidRPr="00BE086B">
        <w:rPr>
          <w:sz w:val="28"/>
          <w:szCs w:val="28"/>
          <w:lang w:eastAsia="ru-RU"/>
        </w:rPr>
        <w:t xml:space="preserve">мін знеболюючого потенціалу НПЗЗ та парацетамолу </w:t>
      </w:r>
      <w:r w:rsidRPr="00BE086B">
        <w:rPr>
          <w:bCs/>
          <w:sz w:val="28"/>
          <w:szCs w:val="28"/>
        </w:rPr>
        <w:t>за умов коморбідної патології (</w:t>
      </w:r>
      <w:r w:rsidRPr="00BE086B">
        <w:rPr>
          <w:sz w:val="28"/>
          <w:szCs w:val="28"/>
        </w:rPr>
        <w:t>ЕОА+ЕГ) на фоні призначення L-тироксину</w:t>
      </w:r>
      <w:r w:rsidRPr="00BE086B">
        <w:rPr>
          <w:bCs/>
          <w:sz w:val="28"/>
          <w:szCs w:val="28"/>
        </w:rPr>
        <w:t xml:space="preserve"> </w:t>
      </w:r>
      <w:r w:rsidRPr="00BE086B">
        <w:rPr>
          <w:sz w:val="28"/>
          <w:szCs w:val="28"/>
        </w:rPr>
        <w:t>(у % до вихідного стану).</w:t>
      </w:r>
    </w:p>
    <w:p w:rsidR="00A50896" w:rsidRPr="00BE086B" w:rsidRDefault="00A50896" w:rsidP="006854B5">
      <w:pPr>
        <w:spacing w:line="360" w:lineRule="auto"/>
        <w:ind w:firstLine="709"/>
        <w:jc w:val="both"/>
      </w:pPr>
      <w:r w:rsidRPr="00BE086B">
        <w:rPr>
          <w:b/>
          <w:bCs/>
          <w:sz w:val="28"/>
          <w:szCs w:val="28"/>
          <w:lang w:eastAsia="ru-RU"/>
        </w:rPr>
        <w:t>Примітка.</w:t>
      </w:r>
      <w:r w:rsidRPr="00BE086B">
        <w:rPr>
          <w:sz w:val="28"/>
          <w:szCs w:val="28"/>
          <w:lang w:eastAsia="ru-RU"/>
        </w:rPr>
        <w:t xml:space="preserve"> * - р </w:t>
      </w:r>
      <w:r w:rsidRPr="00BE086B">
        <w:rPr>
          <w:rFonts w:eastAsia="Calibri"/>
          <w:iCs/>
          <w:sz w:val="28"/>
          <w:szCs w:val="28"/>
          <w:lang w:eastAsia="en-US"/>
        </w:rPr>
        <w:t>&lt; </w:t>
      </w:r>
      <w:r w:rsidRPr="00BE086B">
        <w:rPr>
          <w:sz w:val="28"/>
          <w:szCs w:val="28"/>
          <w:lang w:eastAsia="ru-RU"/>
        </w:rPr>
        <w:t>0,05 по відношенню до показників вихідного стану.</w:t>
      </w:r>
    </w:p>
    <w:p w:rsidR="00A50896" w:rsidRPr="00BE086B" w:rsidRDefault="00A50896" w:rsidP="006854B5">
      <w:pPr>
        <w:suppressAutoHyphens w:val="0"/>
        <w:spacing w:line="360" w:lineRule="auto"/>
        <w:ind w:firstLine="709"/>
        <w:jc w:val="right"/>
        <w:rPr>
          <w:rFonts w:eastAsia="Calibri"/>
          <w:i/>
          <w:iCs/>
          <w:sz w:val="28"/>
          <w:szCs w:val="28"/>
          <w:lang w:eastAsia="en-US"/>
        </w:rPr>
      </w:pPr>
    </w:p>
    <w:p w:rsidR="00A50896" w:rsidRPr="00BE086B" w:rsidRDefault="00A50896" w:rsidP="006854B5">
      <w:pPr>
        <w:spacing w:line="360" w:lineRule="auto"/>
        <w:ind w:firstLine="720"/>
        <w:jc w:val="both"/>
      </w:pPr>
      <w:r w:rsidRPr="00BE086B">
        <w:rPr>
          <w:rFonts w:eastAsia="Calibri"/>
          <w:iCs/>
          <w:sz w:val="28"/>
          <w:szCs w:val="28"/>
          <w:lang w:eastAsia="en-US"/>
        </w:rPr>
        <w:t xml:space="preserve">Як видно з табл. 3.3 та рис. 3.5, </w:t>
      </w:r>
      <w:r w:rsidRPr="00BE086B">
        <w:rPr>
          <w:sz w:val="28"/>
          <w:szCs w:val="28"/>
          <w:lang w:eastAsia="ru-RU"/>
        </w:rPr>
        <w:t xml:space="preserve">за інтенсивністю антиноцицептивного потенціалу досліджені препарати можна розташувати наступним чином: </w:t>
      </w:r>
      <w:r w:rsidRPr="00BE086B">
        <w:rPr>
          <w:rStyle w:val="Default20Paragraph20Font"/>
          <w:rFonts w:eastAsia="Calibri"/>
          <w:iCs/>
          <w:sz w:val="28"/>
          <w:szCs w:val="28"/>
        </w:rPr>
        <w:t xml:space="preserve">диклофенак натрію (+212%)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ібупрофен (+144%)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німесулід (+134%)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парацетамол (+116%)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мелоксикам (+104%)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целекоксиб (+93%)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0,001)</w:t>
      </w:r>
      <w:r w:rsidRPr="00BE086B">
        <w:rPr>
          <w:rStyle w:val="Default20Paragraph20Font"/>
          <w:rFonts w:eastAsia="Calibri"/>
          <w:iCs/>
          <w:sz w:val="28"/>
          <w:szCs w:val="28"/>
        </w:rPr>
        <w:t>.</w:t>
      </w:r>
    </w:p>
    <w:p w:rsidR="00A50896" w:rsidRPr="00BE086B" w:rsidRDefault="00A50896" w:rsidP="006854B5">
      <w:pPr>
        <w:suppressAutoHyphens w:val="0"/>
        <w:spacing w:line="360" w:lineRule="auto"/>
        <w:ind w:firstLine="709"/>
        <w:jc w:val="both"/>
      </w:pPr>
      <w:r w:rsidRPr="00BE086B">
        <w:rPr>
          <w:rFonts w:eastAsia="Calibri"/>
          <w:iCs/>
          <w:sz w:val="28"/>
          <w:szCs w:val="28"/>
          <w:lang w:eastAsia="en-US"/>
        </w:rPr>
        <w:t xml:space="preserve">Згідно з результатами проведених експериментів, які викладені у підрозділах 3.1 та 3.2, привертає увагу цікавий факт, що парацетамол при коморбідному стані на фоні призначення </w:t>
      </w:r>
      <w:r w:rsidRPr="00BE086B">
        <w:rPr>
          <w:sz w:val="28"/>
          <w:szCs w:val="28"/>
        </w:rPr>
        <w:t>L-тироксину</w:t>
      </w:r>
      <w:r w:rsidRPr="00BE086B">
        <w:rPr>
          <w:rFonts w:eastAsia="Calibri"/>
          <w:iCs/>
          <w:sz w:val="28"/>
          <w:szCs w:val="28"/>
          <w:lang w:eastAsia="en-US"/>
        </w:rPr>
        <w:t xml:space="preserve"> показав добру знеболювальну активність в порівнянні з попередніми даними (підрозділи 3.1 та 3.2), коли він був особливо неефективним за умов експериментальної моделі “остеоартроз + гіпотиреоз” та у порівнянні з цілим рядом НПЗЗ, які </w:t>
      </w:r>
      <w:r w:rsidRPr="00BE086B">
        <w:rPr>
          <w:rFonts w:eastAsia="Calibri"/>
          <w:iCs/>
          <w:sz w:val="28"/>
          <w:szCs w:val="28"/>
          <w:lang w:eastAsia="en-US"/>
        </w:rPr>
        <w:lastRenderedPageBreak/>
        <w:t>були залучені до експерименту. Парацетамол на фоні «лікованої» коморбідної патології (</w:t>
      </w:r>
      <w:r w:rsidRPr="00BE086B">
        <w:rPr>
          <w:sz w:val="28"/>
          <w:szCs w:val="28"/>
        </w:rPr>
        <w:t xml:space="preserve">ЕОА+ЕГ+L-тироксин) </w:t>
      </w:r>
      <w:r w:rsidRPr="00BE086B">
        <w:rPr>
          <w:rFonts w:eastAsia="Calibri"/>
          <w:iCs/>
          <w:sz w:val="28"/>
          <w:szCs w:val="28"/>
          <w:lang w:eastAsia="en-US"/>
        </w:rPr>
        <w:t>знеболював у 2,16 рази (</w:t>
      </w:r>
      <w:r w:rsidRPr="00BE086B">
        <w:rPr>
          <w:rFonts w:eastAsia="Calibri"/>
          <w:sz w:val="28"/>
          <w:szCs w:val="28"/>
          <w:lang w:eastAsia="en-US"/>
        </w:rPr>
        <w:t>4,42±</w:t>
      </w:r>
      <w:r w:rsidRPr="00BE086B">
        <w:rPr>
          <w:sz w:val="28"/>
          <w:szCs w:val="28"/>
        </w:rPr>
        <w:t xml:space="preserve">0,25 мА) </w:t>
      </w:r>
      <w:r w:rsidRPr="00BE086B">
        <w:rPr>
          <w:rFonts w:eastAsia="Calibri"/>
          <w:iCs/>
          <w:sz w:val="28"/>
          <w:szCs w:val="28"/>
          <w:lang w:eastAsia="en-US"/>
        </w:rPr>
        <w:t>краще, ніж на фоні експериментального остеоартрозу. Достовірно підвищилась й активність целекоксибу у 1,93 рази (</w:t>
      </w:r>
      <w:r w:rsidRPr="00BE086B">
        <w:rPr>
          <w:rFonts w:eastAsia="Calibri"/>
          <w:sz w:val="28"/>
          <w:szCs w:val="28"/>
          <w:lang w:eastAsia="en-US"/>
        </w:rPr>
        <w:t>3,95±0,27 мА)</w:t>
      </w:r>
      <w:r w:rsidRPr="00BE086B">
        <w:rPr>
          <w:rFonts w:eastAsia="Calibri"/>
          <w:iCs/>
          <w:sz w:val="28"/>
          <w:szCs w:val="28"/>
          <w:lang w:eastAsia="en-US"/>
        </w:rPr>
        <w:t>. Та й інші НПЗЗ проявили себе добре.</w:t>
      </w:r>
    </w:p>
    <w:p w:rsidR="00A50896" w:rsidRPr="00BE086B" w:rsidRDefault="00A50896" w:rsidP="006854B5">
      <w:pPr>
        <w:spacing w:line="360" w:lineRule="auto"/>
        <w:ind w:firstLine="709"/>
        <w:jc w:val="both"/>
      </w:pPr>
      <w:r w:rsidRPr="00BE086B">
        <w:rPr>
          <w:rStyle w:val="Default20Paragraph20Font"/>
          <w:rFonts w:eastAsia="Calibri"/>
          <w:iCs/>
          <w:sz w:val="28"/>
          <w:szCs w:val="28"/>
          <w:lang w:eastAsia="en-US"/>
        </w:rPr>
        <w:t xml:space="preserve">Таким чином, проведене дослідження </w:t>
      </w:r>
      <w:r w:rsidRPr="00BE086B">
        <w:rPr>
          <w:sz w:val="28"/>
          <w:szCs w:val="28"/>
        </w:rPr>
        <w:t xml:space="preserve">аналгетичної активності НПЗЗ та парацетамолу при експериментальному остеоартрозі та гіпотиреозі </w:t>
      </w:r>
      <w:r w:rsidRPr="00BE086B">
        <w:rPr>
          <w:rStyle w:val="Default20Paragraph20Font"/>
          <w:rFonts w:eastAsia="Calibri"/>
          <w:iCs/>
          <w:sz w:val="28"/>
          <w:szCs w:val="28"/>
          <w:lang w:eastAsia="en-US"/>
        </w:rPr>
        <w:t>дозволило оцінити та порівняти фармакологічну активність НПЗЗ та парацетамолу за умов патологічних станів та при призначенні замісної гормональної терапії</w:t>
      </w:r>
      <w:r w:rsidR="00573E3A">
        <w:rPr>
          <w:rStyle w:val="Default20Paragraph20Font"/>
          <w:rFonts w:eastAsia="Calibri"/>
          <w:iCs/>
          <w:sz w:val="28"/>
          <w:szCs w:val="28"/>
          <w:lang w:eastAsia="en-US"/>
        </w:rPr>
        <w:t xml:space="preserve"> </w:t>
      </w:r>
      <w:r w:rsidR="00573E3A" w:rsidRPr="00E92498">
        <w:rPr>
          <w:sz w:val="28"/>
          <w:szCs w:val="28"/>
        </w:rPr>
        <w:t>[433-436, 440]</w:t>
      </w:r>
      <w:r w:rsidRPr="00BE086B">
        <w:rPr>
          <w:rStyle w:val="Default20Paragraph20Font"/>
          <w:rFonts w:eastAsia="Calibri"/>
          <w:iCs/>
          <w:sz w:val="28"/>
          <w:szCs w:val="28"/>
          <w:lang w:eastAsia="en-US"/>
        </w:rPr>
        <w:t>.</w:t>
      </w:r>
    </w:p>
    <w:p w:rsidR="00A50896" w:rsidRPr="00BE086B" w:rsidRDefault="00A50896" w:rsidP="006854B5">
      <w:pPr>
        <w:spacing w:line="360" w:lineRule="auto"/>
        <w:ind w:firstLine="709"/>
        <w:jc w:val="both"/>
      </w:pPr>
      <w:r w:rsidRPr="00BE086B">
        <w:rPr>
          <w:rStyle w:val="Default20Paragraph20Font"/>
          <w:rFonts w:eastAsia="Calibri"/>
          <w:iCs/>
          <w:sz w:val="28"/>
          <w:szCs w:val="28"/>
          <w:lang w:eastAsia="en-US"/>
        </w:rPr>
        <w:t xml:space="preserve">Так було встановлено, </w:t>
      </w:r>
      <w:r w:rsidRPr="00BE086B">
        <w:rPr>
          <w:rFonts w:eastAsia="Calibri"/>
          <w:iCs/>
          <w:sz w:val="28"/>
          <w:szCs w:val="28"/>
          <w:lang w:eastAsia="en-US"/>
        </w:rPr>
        <w:t>що експериментальна модель остеоартрозу призводить до зниження порогу больової чутливості у порівнянні з групою інтактних щурів на 24% (р &lt; 0,05), а експериментальна модель коморбідної патології остеоартрозу та гіпотиреозу призводить до зниження порогу больової чутливості на 17% (р &lt; 0,05)</w:t>
      </w:r>
      <w:r w:rsidR="00573E3A">
        <w:rPr>
          <w:rFonts w:eastAsia="Calibri"/>
          <w:iCs/>
          <w:sz w:val="28"/>
          <w:szCs w:val="28"/>
          <w:lang w:eastAsia="en-US"/>
        </w:rPr>
        <w:t xml:space="preserve"> </w:t>
      </w:r>
      <w:r w:rsidR="00573E3A" w:rsidRPr="00E92498">
        <w:rPr>
          <w:sz w:val="28"/>
          <w:szCs w:val="28"/>
        </w:rPr>
        <w:t>[433</w:t>
      </w:r>
      <w:r w:rsidR="00573E3A">
        <w:rPr>
          <w:sz w:val="28"/>
          <w:szCs w:val="28"/>
        </w:rPr>
        <w:t xml:space="preserve">, 435, </w:t>
      </w:r>
      <w:r w:rsidR="00573E3A" w:rsidRPr="00E92498">
        <w:rPr>
          <w:sz w:val="28"/>
          <w:szCs w:val="28"/>
        </w:rPr>
        <w:t>436]</w:t>
      </w:r>
      <w:r w:rsidRPr="00BE086B">
        <w:rPr>
          <w:rFonts w:eastAsia="Calibri"/>
          <w:iCs/>
          <w:sz w:val="28"/>
          <w:szCs w:val="28"/>
          <w:lang w:eastAsia="en-US"/>
        </w:rPr>
        <w:t>.</w:t>
      </w:r>
    </w:p>
    <w:p w:rsidR="00A50896" w:rsidRPr="00BE086B" w:rsidRDefault="00A50896" w:rsidP="006854B5">
      <w:pPr>
        <w:spacing w:line="360" w:lineRule="auto"/>
        <w:ind w:firstLine="709"/>
        <w:jc w:val="both"/>
      </w:pPr>
      <w:r w:rsidRPr="00BE086B">
        <w:rPr>
          <w:rStyle w:val="Default20Paragraph20Font"/>
          <w:rFonts w:eastAsia="Calibri"/>
          <w:iCs/>
          <w:sz w:val="28"/>
          <w:szCs w:val="28"/>
          <w:lang w:eastAsia="en-US"/>
        </w:rPr>
        <w:t xml:space="preserve">Доведено, що </w:t>
      </w:r>
      <w:r w:rsidRPr="00BE086B">
        <w:rPr>
          <w:rStyle w:val="Default20Paragraph20Font"/>
          <w:rFonts w:eastAsia="Calibri"/>
          <w:iCs/>
          <w:sz w:val="28"/>
          <w:szCs w:val="28"/>
        </w:rPr>
        <w:t xml:space="preserve">коморбідна патологія – експериментальний остеоартроз та гіпотиреоз змінюють знеболювальні властивості НПЗЗ та парацетамолу. </w:t>
      </w:r>
      <w:r w:rsidRPr="00BE086B">
        <w:rPr>
          <w:rFonts w:eastAsia="Calibri"/>
          <w:iCs/>
          <w:sz w:val="28"/>
          <w:szCs w:val="28"/>
          <w:lang w:eastAsia="en-US"/>
        </w:rPr>
        <w:t>Відповідно до здатності блокувати проходження електричного подразнення у щурів з коморбідною патологією (</w:t>
      </w:r>
      <w:r w:rsidRPr="00BE086B">
        <w:rPr>
          <w:sz w:val="28"/>
          <w:szCs w:val="28"/>
        </w:rPr>
        <w:t xml:space="preserve">ЕОА+ЕГ) досліджені препарати </w:t>
      </w:r>
      <w:r w:rsidRPr="00BE086B">
        <w:rPr>
          <w:rFonts w:eastAsia="Calibri"/>
          <w:iCs/>
          <w:sz w:val="28"/>
          <w:szCs w:val="28"/>
          <w:lang w:eastAsia="en-US"/>
        </w:rPr>
        <w:t xml:space="preserve">розташувалися у наступному порядку: диклофенак натрію (+164%)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німесулід (+104%)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ібупрофен (+101%)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мелоксикам (+99%)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целекоксиб (+59%)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Fonts w:eastAsia="Calibri"/>
          <w:iCs/>
          <w:sz w:val="28"/>
          <w:szCs w:val="28"/>
          <w:lang w:eastAsia="en-US"/>
        </w:rPr>
        <w:t xml:space="preserve">≥ парацетамол (+33%)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0,05)</w:t>
      </w:r>
      <w:r w:rsidRPr="00BE086B">
        <w:rPr>
          <w:rFonts w:eastAsia="Calibri"/>
          <w:bCs/>
          <w:iCs/>
          <w:sz w:val="28"/>
          <w:szCs w:val="28"/>
          <w:lang w:eastAsia="en-US"/>
        </w:rPr>
        <w:t>.</w:t>
      </w:r>
    </w:p>
    <w:p w:rsidR="00A50896" w:rsidRPr="00BE086B" w:rsidRDefault="00A50896" w:rsidP="006854B5">
      <w:pPr>
        <w:spacing w:line="360" w:lineRule="auto"/>
        <w:ind w:firstLine="709"/>
        <w:jc w:val="both"/>
      </w:pPr>
      <w:r w:rsidRPr="00BE086B">
        <w:rPr>
          <w:rFonts w:eastAsia="Calibri"/>
          <w:bCs/>
          <w:iCs/>
          <w:sz w:val="28"/>
          <w:szCs w:val="28"/>
          <w:lang w:eastAsia="en-US"/>
        </w:rPr>
        <w:t>З</w:t>
      </w:r>
      <w:r w:rsidRPr="00BE086B">
        <w:rPr>
          <w:rFonts w:eastAsia="Calibri"/>
          <w:sz w:val="28"/>
          <w:szCs w:val="28"/>
          <w:lang w:eastAsia="en-US"/>
        </w:rPr>
        <w:t>а умов експериментального остеоартрозу та гіпотиреозу найбільш слабким аналгетиком показав себе парацетамол. Взагалі патологічний стан експериментального остеоартрозу та гіпотиреозу характеризується тим, що селективні та переважні інгібітори ЦОГ-2 значно втратили свою знеболювальну активність у порівнянні з анальгетиками - невибірковими інгібіторами ЦОГ, особливо диклофенаком натрію</w:t>
      </w:r>
      <w:r w:rsidR="00573E3A">
        <w:rPr>
          <w:rFonts w:eastAsia="Calibri"/>
          <w:sz w:val="28"/>
          <w:szCs w:val="28"/>
          <w:lang w:eastAsia="en-US"/>
        </w:rPr>
        <w:t xml:space="preserve"> </w:t>
      </w:r>
      <w:r w:rsidR="00573E3A" w:rsidRPr="00E92498">
        <w:rPr>
          <w:sz w:val="28"/>
          <w:szCs w:val="28"/>
        </w:rPr>
        <w:t>[</w:t>
      </w:r>
      <w:r w:rsidR="00573E3A">
        <w:rPr>
          <w:sz w:val="28"/>
          <w:szCs w:val="28"/>
        </w:rPr>
        <w:t xml:space="preserve">360, </w:t>
      </w:r>
      <w:r w:rsidR="00573E3A" w:rsidRPr="00E92498">
        <w:rPr>
          <w:sz w:val="28"/>
          <w:szCs w:val="28"/>
        </w:rPr>
        <w:t>433-436]</w:t>
      </w:r>
      <w:r w:rsidRPr="00BE086B">
        <w:rPr>
          <w:rFonts w:eastAsia="Calibri"/>
          <w:sz w:val="28"/>
          <w:szCs w:val="28"/>
          <w:lang w:eastAsia="en-US"/>
        </w:rPr>
        <w:t>.</w:t>
      </w:r>
    </w:p>
    <w:p w:rsidR="00A50896" w:rsidRPr="00BE086B" w:rsidRDefault="00A50896" w:rsidP="006854B5">
      <w:pPr>
        <w:spacing w:line="360" w:lineRule="auto"/>
        <w:ind w:firstLine="709"/>
        <w:jc w:val="both"/>
      </w:pPr>
      <w:r w:rsidRPr="00BE086B">
        <w:rPr>
          <w:rFonts w:eastAsia="Calibri"/>
          <w:sz w:val="28"/>
          <w:szCs w:val="28"/>
          <w:lang w:eastAsia="en-US"/>
        </w:rPr>
        <w:lastRenderedPageBreak/>
        <w:t xml:space="preserve">Визначено, що призначення препарату замісної терапії гіпотиреозу - </w:t>
      </w:r>
      <w:r w:rsidRPr="00BE086B">
        <w:rPr>
          <w:sz w:val="28"/>
          <w:szCs w:val="28"/>
        </w:rPr>
        <w:t xml:space="preserve">L-тироксину на фоні </w:t>
      </w:r>
      <w:r w:rsidRPr="00BE086B">
        <w:rPr>
          <w:rFonts w:eastAsia="Calibri"/>
          <w:sz w:val="28"/>
          <w:szCs w:val="28"/>
          <w:lang w:eastAsia="en-US"/>
        </w:rPr>
        <w:t xml:space="preserve">експериментального остеоартрозу та гіпотиреозу у щурів позитивно впливає на антиноцицептивну активність НПЗЗ та парацетамолу, підвищуючи її в порівнянні з нелікованими щурами. </w:t>
      </w:r>
      <w:r w:rsidRPr="00BE086B">
        <w:rPr>
          <w:sz w:val="28"/>
          <w:szCs w:val="28"/>
          <w:lang w:eastAsia="ru-RU"/>
        </w:rPr>
        <w:t xml:space="preserve">Так, за інтенсивністю антиноцицептивного потенціалу досліджені препарати розташувалися наступним чином: </w:t>
      </w:r>
      <w:r w:rsidRPr="00BE086B">
        <w:rPr>
          <w:rStyle w:val="Default20Paragraph20Font"/>
          <w:rFonts w:eastAsia="Calibri"/>
          <w:iCs/>
          <w:sz w:val="28"/>
          <w:szCs w:val="28"/>
        </w:rPr>
        <w:t xml:space="preserve">диклофенак натрію (+212%)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ібупрофен (+144%)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німесулід (+134%)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парацетамол (+116%)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мелоксикам (+104%)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 xml:space="preserve">0,001) </w:t>
      </w:r>
      <w:r w:rsidRPr="00BE086B">
        <w:rPr>
          <w:rStyle w:val="Default20Paragraph20Font"/>
          <w:rFonts w:eastAsia="Calibri"/>
          <w:iCs/>
          <w:sz w:val="28"/>
          <w:szCs w:val="28"/>
        </w:rPr>
        <w:t xml:space="preserve">≥ целекоксиб (+93%) </w:t>
      </w:r>
      <w:r w:rsidRPr="00BE086B">
        <w:rPr>
          <w:rFonts w:eastAsia="Calibri"/>
          <w:sz w:val="28"/>
          <w:szCs w:val="28"/>
          <w:lang w:eastAsia="en-US"/>
        </w:rPr>
        <w:t>(р</w:t>
      </w:r>
      <w:r w:rsidRPr="00BE086B">
        <w:rPr>
          <w:rFonts w:eastAsia="Calibri"/>
          <w:iCs/>
          <w:sz w:val="28"/>
          <w:szCs w:val="28"/>
          <w:lang w:eastAsia="en-US"/>
        </w:rPr>
        <w:t>&lt;</w:t>
      </w:r>
      <w:r w:rsidRPr="00BE086B">
        <w:rPr>
          <w:rFonts w:eastAsia="Calibri"/>
          <w:sz w:val="28"/>
          <w:szCs w:val="28"/>
          <w:lang w:eastAsia="en-US"/>
        </w:rPr>
        <w:t>0,001)</w:t>
      </w:r>
      <w:r w:rsidRPr="00BE086B">
        <w:rPr>
          <w:rStyle w:val="Default20Paragraph20Font"/>
          <w:rFonts w:eastAsia="Calibri"/>
          <w:iCs/>
          <w:sz w:val="28"/>
          <w:szCs w:val="28"/>
        </w:rPr>
        <w:t>.</w:t>
      </w:r>
    </w:p>
    <w:p w:rsidR="00A50896" w:rsidRPr="00BE086B" w:rsidRDefault="00A50896" w:rsidP="006854B5">
      <w:pPr>
        <w:spacing w:line="360" w:lineRule="auto"/>
        <w:ind w:firstLine="709"/>
        <w:jc w:val="both"/>
      </w:pPr>
      <w:r w:rsidRPr="00BE086B">
        <w:rPr>
          <w:rFonts w:eastAsia="Calibri"/>
          <w:iCs/>
          <w:sz w:val="28"/>
          <w:szCs w:val="28"/>
          <w:lang w:eastAsia="en-US"/>
        </w:rPr>
        <w:t xml:space="preserve">Порівняльний аналіз результатів дозволив визначити лікарський засіб, який зберігає свою фармакологічну активність, як при остеоартрозі, так і при остеоартрозі з гіпотиреозом — диклофенак натрію, який також можна рекомендувати для використання при коморбідній патології на фоні призначення </w:t>
      </w:r>
      <w:r w:rsidRPr="00BE086B">
        <w:rPr>
          <w:sz w:val="28"/>
          <w:szCs w:val="28"/>
        </w:rPr>
        <w:t>L-тироксину</w:t>
      </w:r>
      <w:r w:rsidR="00573E3A">
        <w:rPr>
          <w:sz w:val="28"/>
          <w:szCs w:val="28"/>
        </w:rPr>
        <w:t xml:space="preserve"> </w:t>
      </w:r>
      <w:r w:rsidR="00573E3A" w:rsidRPr="00E92498">
        <w:rPr>
          <w:sz w:val="28"/>
          <w:szCs w:val="28"/>
        </w:rPr>
        <w:t>[433-436, 440]</w:t>
      </w:r>
      <w:r w:rsidRPr="00BE086B">
        <w:rPr>
          <w:rFonts w:eastAsia="Calibri"/>
          <w:iCs/>
          <w:sz w:val="28"/>
          <w:szCs w:val="28"/>
          <w:lang w:eastAsia="en-US"/>
        </w:rPr>
        <w:t>.</w:t>
      </w:r>
    </w:p>
    <w:p w:rsidR="00A50896" w:rsidRPr="00BE086B" w:rsidRDefault="00A50896"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Pr="00BE086B" w:rsidRDefault="00F641E8" w:rsidP="00A07082">
      <w:pPr>
        <w:pStyle w:val="af0"/>
        <w:ind w:firstLine="709"/>
        <w:jc w:val="both"/>
        <w:rPr>
          <w:sz w:val="28"/>
          <w:szCs w:val="28"/>
        </w:rPr>
      </w:pPr>
    </w:p>
    <w:p w:rsidR="00F641E8" w:rsidRDefault="00F641E8" w:rsidP="00A07082">
      <w:pPr>
        <w:pStyle w:val="af0"/>
        <w:ind w:firstLine="709"/>
        <w:jc w:val="both"/>
        <w:rPr>
          <w:sz w:val="28"/>
          <w:szCs w:val="28"/>
        </w:rPr>
      </w:pPr>
    </w:p>
    <w:p w:rsidR="00AF27FE" w:rsidRDefault="00AF27FE" w:rsidP="00A07082">
      <w:pPr>
        <w:pStyle w:val="af0"/>
        <w:ind w:firstLine="709"/>
        <w:jc w:val="both"/>
        <w:rPr>
          <w:sz w:val="28"/>
          <w:szCs w:val="28"/>
        </w:rPr>
      </w:pPr>
    </w:p>
    <w:p w:rsidR="00AF27FE" w:rsidRPr="00BE086B" w:rsidRDefault="00AF27FE" w:rsidP="00A07082">
      <w:pPr>
        <w:pStyle w:val="af0"/>
        <w:ind w:firstLine="709"/>
        <w:jc w:val="both"/>
        <w:rPr>
          <w:sz w:val="28"/>
          <w:szCs w:val="28"/>
        </w:rPr>
      </w:pPr>
    </w:p>
    <w:p w:rsidR="00F641E8" w:rsidRPr="00BE086B" w:rsidRDefault="00F641E8" w:rsidP="008E5DEF">
      <w:pPr>
        <w:spacing w:line="360" w:lineRule="auto"/>
        <w:ind w:firstLine="709"/>
        <w:jc w:val="center"/>
        <w:rPr>
          <w:lang w:val="uk-UA"/>
        </w:rPr>
      </w:pPr>
      <w:r w:rsidRPr="00BE086B">
        <w:rPr>
          <w:b/>
          <w:bCs/>
          <w:sz w:val="28"/>
          <w:szCs w:val="28"/>
          <w:lang w:val="uk-UA"/>
        </w:rPr>
        <w:lastRenderedPageBreak/>
        <w:t>РОЗДІЛ 4</w:t>
      </w:r>
    </w:p>
    <w:p w:rsidR="00F641E8" w:rsidRPr="00BE086B" w:rsidRDefault="00F641E8" w:rsidP="008E5DEF">
      <w:pPr>
        <w:spacing w:line="360" w:lineRule="auto"/>
        <w:ind w:firstLine="709"/>
        <w:jc w:val="center"/>
        <w:rPr>
          <w:b/>
          <w:bCs/>
          <w:sz w:val="28"/>
          <w:szCs w:val="28"/>
          <w:lang w:val="uk-UA"/>
        </w:rPr>
      </w:pPr>
    </w:p>
    <w:p w:rsidR="00F641E8" w:rsidRPr="00BE086B" w:rsidRDefault="00F641E8" w:rsidP="008E5DEF">
      <w:pPr>
        <w:pStyle w:val="af3"/>
        <w:spacing w:before="0" w:after="0" w:line="360" w:lineRule="auto"/>
        <w:ind w:firstLine="709"/>
        <w:jc w:val="center"/>
        <w:rPr>
          <w:lang w:val="uk-UA"/>
        </w:rPr>
      </w:pPr>
      <w:r w:rsidRPr="00BE086B">
        <w:rPr>
          <w:b/>
          <w:bCs/>
          <w:sz w:val="28"/>
          <w:szCs w:val="28"/>
          <w:lang w:val="uk-UA"/>
        </w:rPr>
        <w:t xml:space="preserve">ДОСЛІДЖЕННЯ ВПЛИВУ НПЗЗ, ПАРАЦЕТАМОЛУ ТА </w:t>
      </w:r>
      <w:r w:rsidRPr="00BE086B">
        <w:rPr>
          <w:b/>
          <w:sz w:val="28"/>
          <w:szCs w:val="28"/>
          <w:lang w:val="uk-UA"/>
        </w:rPr>
        <w:t>L-ТИРОКСИНУ</w:t>
      </w:r>
      <w:r w:rsidRPr="00BE086B">
        <w:rPr>
          <w:b/>
          <w:bCs/>
          <w:sz w:val="28"/>
          <w:szCs w:val="28"/>
          <w:lang w:val="uk-UA"/>
        </w:rPr>
        <w:t xml:space="preserve"> НА РУХОВИЙ, ДОСЛІДНИЦЬКИЙ ТА ЕМОЦІЙНИЙ СТАТУС ЩУРІВ У ТЕСТІ «ВІДКРИТЕ ПОЛЕ» ЗА УМОВ ЕКСПЕРИМЕНТАЛЬНОГО ОСТЕОАРТРОЗУ ТА ГІПОТИРЕОЗУ</w:t>
      </w:r>
    </w:p>
    <w:p w:rsidR="00F641E8" w:rsidRPr="00BE086B" w:rsidRDefault="00F641E8" w:rsidP="008E5DEF">
      <w:pPr>
        <w:pStyle w:val="af3"/>
        <w:spacing w:before="0" w:after="0" w:line="360" w:lineRule="auto"/>
        <w:ind w:firstLine="709"/>
        <w:jc w:val="both"/>
        <w:rPr>
          <w:b/>
          <w:bCs/>
          <w:sz w:val="28"/>
          <w:szCs w:val="28"/>
          <w:lang w:val="uk-UA"/>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В розділі описані результати дослідження впливу нестероїдних протизапальних засобів,</w:t>
      </w:r>
      <w:r w:rsidRPr="00BE086B">
        <w:rPr>
          <w:rFonts w:ascii="Times New Roman" w:hAnsi="Times New Roman" w:cs="Times New Roman"/>
          <w:b/>
          <w:bCs/>
          <w:color w:val="auto"/>
          <w:sz w:val="28"/>
          <w:szCs w:val="28"/>
          <w:lang w:val="uk-UA"/>
        </w:rPr>
        <w:t xml:space="preserve"> </w:t>
      </w:r>
      <w:r w:rsidRPr="00BE086B">
        <w:rPr>
          <w:rFonts w:ascii="Times New Roman" w:hAnsi="Times New Roman" w:cs="Times New Roman"/>
          <w:bCs/>
          <w:color w:val="auto"/>
          <w:sz w:val="28"/>
          <w:szCs w:val="28"/>
          <w:lang w:val="uk-UA"/>
        </w:rPr>
        <w:t xml:space="preserve">парацетамолу та </w:t>
      </w:r>
      <w:r w:rsidRPr="00BE086B">
        <w:rPr>
          <w:rFonts w:ascii="Times New Roman" w:hAnsi="Times New Roman" w:cs="Times New Roman"/>
          <w:color w:val="auto"/>
          <w:sz w:val="28"/>
          <w:szCs w:val="28"/>
          <w:lang w:val="uk-UA"/>
        </w:rPr>
        <w:t xml:space="preserve">L-тироксину на психо-емоційний стан щурів у тесті «відкрите поле» за умов експериментального остеоартрозу та гіпотиреозу </w:t>
      </w:r>
      <w:r w:rsidRPr="00BE086B">
        <w:rPr>
          <w:rFonts w:ascii="Times New Roman" w:hAnsi="Times New Roman" w:cs="Times New Roman"/>
          <w:color w:val="auto"/>
          <w:sz w:val="28"/>
          <w:szCs w:val="28"/>
        </w:rPr>
        <w:t>[227, 433, 435]</w:t>
      </w:r>
      <w:r w:rsidRPr="00BE086B">
        <w:rPr>
          <w:rFonts w:ascii="Times New Roman" w:hAnsi="Times New Roman" w:cs="Times New Roman"/>
          <w:color w:val="auto"/>
          <w:sz w:val="28"/>
          <w:szCs w:val="28"/>
          <w:lang w:val="uk-UA"/>
        </w:rPr>
        <w:t>.</w:t>
      </w:r>
    </w:p>
    <w:p w:rsidR="00F641E8" w:rsidRPr="00BE086B" w:rsidRDefault="00F641E8" w:rsidP="008E5DEF">
      <w:pPr>
        <w:pStyle w:val="western"/>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Терміни дослідження визначені відносно особливостей проведення експериментальної роботи. Так, 42 доба експерименту визначає кінцевий термін формування експериментальних моделей ОА </w:t>
      </w:r>
      <w:r w:rsidRPr="00BE086B">
        <w:rPr>
          <w:rFonts w:ascii="Times New Roman" w:hAnsi="Times New Roman" w:cs="Times New Roman"/>
          <w:color w:val="auto"/>
          <w:sz w:val="28"/>
          <w:szCs w:val="28"/>
        </w:rPr>
        <w:t>[204, 205, 440, 455]</w:t>
      </w:r>
      <w:r w:rsidRPr="00BE086B">
        <w:rPr>
          <w:rFonts w:ascii="Times New Roman" w:hAnsi="Times New Roman" w:cs="Times New Roman"/>
          <w:color w:val="auto"/>
          <w:sz w:val="28"/>
          <w:szCs w:val="28"/>
          <w:lang w:val="uk-UA"/>
        </w:rPr>
        <w:t xml:space="preserve"> та ГІТ </w:t>
      </w:r>
      <w:r w:rsidRPr="00BE086B">
        <w:rPr>
          <w:rFonts w:ascii="Times New Roman" w:hAnsi="Times New Roman" w:cs="Times New Roman"/>
          <w:color w:val="auto"/>
          <w:sz w:val="28"/>
          <w:szCs w:val="28"/>
        </w:rPr>
        <w:t>[450-452]</w:t>
      </w:r>
      <w:r w:rsidRPr="00BE086B">
        <w:rPr>
          <w:rFonts w:ascii="Times New Roman" w:hAnsi="Times New Roman" w:cs="Times New Roman"/>
          <w:color w:val="auto"/>
          <w:sz w:val="28"/>
          <w:szCs w:val="28"/>
          <w:lang w:val="uk-UA"/>
        </w:rPr>
        <w:t xml:space="preserve">, а 47 доба відповідає кінцевому терміну 5-добового введення ЛЗ, що досліджувалися з 42 доби </w:t>
      </w:r>
      <w:r w:rsidRPr="00BE086B">
        <w:rPr>
          <w:rFonts w:ascii="Times New Roman" w:hAnsi="Times New Roman" w:cs="Times New Roman"/>
          <w:iCs/>
          <w:color w:val="auto"/>
          <w:sz w:val="28"/>
          <w:szCs w:val="28"/>
        </w:rPr>
        <w:t>[427]</w:t>
      </w:r>
      <w:r w:rsidRPr="00BE086B">
        <w:rPr>
          <w:rFonts w:ascii="Times New Roman" w:hAnsi="Times New Roman" w:cs="Times New Roman"/>
          <w:color w:val="auto"/>
          <w:sz w:val="28"/>
          <w:szCs w:val="28"/>
          <w:lang w:val="uk-UA"/>
        </w:rPr>
        <w:t>. Оцінка змін у тесті «відкрите поле» проводилася у вихідному стані (ВС), на 42 добу та на 47 добу експерименту (табл. 4.1).</w:t>
      </w:r>
    </w:p>
    <w:p w:rsidR="00F641E8" w:rsidRPr="00BE086B" w:rsidRDefault="00F641E8" w:rsidP="008E5DEF">
      <w:pPr>
        <w:pStyle w:val="WW-"/>
        <w:spacing w:after="0" w:line="360" w:lineRule="auto"/>
        <w:ind w:firstLine="709"/>
        <w:jc w:val="right"/>
        <w:rPr>
          <w:rFonts w:ascii="Times New Roman" w:hAnsi="Times New Roman" w:cs="Times New Roman"/>
          <w:color w:val="auto"/>
          <w:lang w:val="uk-UA"/>
        </w:rPr>
      </w:pPr>
      <w:r w:rsidRPr="00BE086B">
        <w:rPr>
          <w:rFonts w:ascii="Times New Roman" w:hAnsi="Times New Roman" w:cs="Times New Roman"/>
          <w:i/>
          <w:iCs/>
          <w:color w:val="auto"/>
          <w:sz w:val="28"/>
          <w:szCs w:val="28"/>
          <w:lang w:val="uk-UA"/>
        </w:rPr>
        <w:t>Таблиця 4.1</w:t>
      </w:r>
    </w:p>
    <w:p w:rsidR="00F641E8" w:rsidRPr="00BE086B" w:rsidRDefault="00F641E8" w:rsidP="008E5DEF">
      <w:pPr>
        <w:pStyle w:val="af3"/>
        <w:spacing w:before="0" w:after="0" w:line="360" w:lineRule="auto"/>
        <w:ind w:firstLine="709"/>
        <w:jc w:val="center"/>
        <w:rPr>
          <w:lang w:val="uk-UA"/>
        </w:rPr>
      </w:pPr>
      <w:r w:rsidRPr="00BE086B">
        <w:rPr>
          <w:b/>
          <w:bCs/>
          <w:sz w:val="28"/>
          <w:szCs w:val="28"/>
          <w:lang w:val="uk-UA"/>
        </w:rPr>
        <w:t xml:space="preserve">Показники спонтанної поведінкової активності щурів за умов експериментального остеоартрозу та гіпотиреозу на фоні 5-добового внутрішньошлункового введення </w:t>
      </w:r>
      <w:r w:rsidRPr="00BE086B">
        <w:rPr>
          <w:b/>
          <w:sz w:val="28"/>
          <w:szCs w:val="28"/>
          <w:lang w:val="uk-UA"/>
        </w:rPr>
        <w:t>ЛЗ та L-тироксину</w:t>
      </w:r>
    </w:p>
    <w:tbl>
      <w:tblPr>
        <w:tblW w:w="0" w:type="auto"/>
        <w:tblInd w:w="-281" w:type="dxa"/>
        <w:tblLayout w:type="fixed"/>
        <w:tblCellMar>
          <w:left w:w="10" w:type="dxa"/>
          <w:right w:w="10" w:type="dxa"/>
        </w:tblCellMar>
        <w:tblLook w:val="0000" w:firstRow="0" w:lastRow="0" w:firstColumn="0" w:lastColumn="0" w:noHBand="0" w:noVBand="0"/>
      </w:tblPr>
      <w:tblGrid>
        <w:gridCol w:w="2554"/>
        <w:gridCol w:w="2127"/>
        <w:gridCol w:w="1842"/>
        <w:gridCol w:w="1560"/>
        <w:gridCol w:w="1711"/>
      </w:tblGrid>
      <w:tr w:rsidR="00F641E8" w:rsidRPr="00BE086B" w:rsidTr="00A7341E">
        <w:tc>
          <w:tcPr>
            <w:tcW w:w="2554" w:type="dxa"/>
            <w:vMerge w:val="restart"/>
            <w:tcBorders>
              <w:top w:val="single" w:sz="4" w:space="0" w:color="00000A"/>
              <w:left w:val="single" w:sz="4" w:space="0" w:color="00000A"/>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b/>
                <w:color w:val="auto"/>
                <w:sz w:val="28"/>
                <w:szCs w:val="28"/>
                <w:lang w:val="uk-UA"/>
              </w:rPr>
            </w:pPr>
            <w:r w:rsidRPr="00BE086B">
              <w:rPr>
                <w:rFonts w:ascii="Times New Roman" w:hAnsi="Times New Roman" w:cs="Times New Roman"/>
                <w:b/>
                <w:color w:val="auto"/>
                <w:sz w:val="28"/>
                <w:szCs w:val="28"/>
                <w:lang w:val="uk-UA"/>
              </w:rPr>
              <w:t>Препарати</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b/>
                <w:color w:val="auto"/>
                <w:sz w:val="28"/>
                <w:szCs w:val="28"/>
                <w:lang w:val="uk-UA"/>
              </w:rPr>
              <w:t>та доза</w:t>
            </w:r>
          </w:p>
        </w:tc>
        <w:tc>
          <w:tcPr>
            <w:tcW w:w="2127" w:type="dxa"/>
            <w:vMerge w:val="restart"/>
            <w:tcBorders>
              <w:top w:val="single" w:sz="4" w:space="0" w:color="00000A"/>
              <w:left w:val="single" w:sz="4" w:space="0" w:color="00000A"/>
              <w:bottom w:val="single" w:sz="4" w:space="0" w:color="00000A"/>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b/>
                <w:color w:val="auto"/>
                <w:sz w:val="28"/>
                <w:szCs w:val="28"/>
                <w:lang w:val="uk-UA"/>
              </w:rPr>
              <w:t>Критерії оцінки в тесті «відкрите поле»</w:t>
            </w:r>
          </w:p>
        </w:tc>
        <w:tc>
          <w:tcPr>
            <w:tcW w:w="5113" w:type="dxa"/>
            <w:gridSpan w:val="3"/>
            <w:tcBorders>
              <w:top w:val="single" w:sz="4" w:space="0" w:color="00000A"/>
              <w:left w:val="single" w:sz="4" w:space="0" w:color="00000A"/>
              <w:bottom w:val="single" w:sz="4" w:space="0" w:color="00000A"/>
              <w:right w:val="single" w:sz="4" w:space="0" w:color="00000A"/>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b/>
                <w:color w:val="auto"/>
                <w:sz w:val="28"/>
                <w:szCs w:val="28"/>
                <w:lang w:val="uk-UA"/>
              </w:rPr>
              <w:t>Термін дослідження, M±SD</w:t>
            </w:r>
          </w:p>
        </w:tc>
      </w:tr>
      <w:tr w:rsidR="00F641E8" w:rsidRPr="00BE086B" w:rsidTr="00A7341E">
        <w:tc>
          <w:tcPr>
            <w:tcW w:w="2554" w:type="dxa"/>
            <w:vMerge/>
            <w:tcBorders>
              <w:top w:val="single" w:sz="4" w:space="0" w:color="00000A"/>
              <w:left w:val="single" w:sz="4" w:space="0" w:color="00000A"/>
              <w:bottom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vMerge/>
            <w:tcBorders>
              <w:top w:val="single" w:sz="4" w:space="0" w:color="00000A"/>
              <w:left w:val="single" w:sz="4" w:space="0" w:color="00000A"/>
              <w:bottom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1842" w:type="dxa"/>
            <w:tcBorders>
              <w:top w:val="single" w:sz="4" w:space="0" w:color="000080"/>
              <w:left w:val="single" w:sz="4" w:space="0" w:color="000080"/>
              <w:bottom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b/>
                <w:color w:val="auto"/>
                <w:sz w:val="28"/>
                <w:szCs w:val="28"/>
                <w:lang w:val="uk-UA"/>
              </w:rPr>
              <w:t>вихідний стан</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b/>
                <w:color w:val="auto"/>
                <w:sz w:val="28"/>
                <w:szCs w:val="28"/>
                <w:lang w:val="uk-UA"/>
              </w:rPr>
              <w:t>(ВС)</w:t>
            </w:r>
          </w:p>
        </w:tc>
        <w:tc>
          <w:tcPr>
            <w:tcW w:w="1560" w:type="dxa"/>
            <w:tcBorders>
              <w:top w:val="single" w:sz="4" w:space="0" w:color="000080"/>
              <w:left w:val="single" w:sz="4" w:space="0" w:color="000080"/>
              <w:bottom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b/>
                <w:color w:val="auto"/>
                <w:sz w:val="28"/>
                <w:szCs w:val="28"/>
                <w:lang w:val="uk-UA"/>
              </w:rPr>
              <w:t>42 доба</w:t>
            </w:r>
          </w:p>
        </w:tc>
        <w:tc>
          <w:tcPr>
            <w:tcW w:w="1711" w:type="dxa"/>
            <w:tcBorders>
              <w:top w:val="single" w:sz="4" w:space="0" w:color="000080"/>
              <w:left w:val="single" w:sz="4" w:space="0" w:color="000080"/>
              <w:bottom w:val="single" w:sz="4" w:space="0" w:color="auto"/>
              <w:right w:val="single" w:sz="4" w:space="0" w:color="00008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b/>
                <w:color w:val="auto"/>
                <w:sz w:val="28"/>
                <w:szCs w:val="28"/>
                <w:lang w:val="uk-UA"/>
              </w:rPr>
              <w:t>47 доба</w:t>
            </w:r>
          </w:p>
        </w:tc>
      </w:tr>
      <w:tr w:rsidR="00F641E8" w:rsidRPr="00BE086B" w:rsidTr="00A7341E">
        <w:tc>
          <w:tcPr>
            <w:tcW w:w="2554" w:type="dxa"/>
            <w:tcBorders>
              <w:top w:val="single" w:sz="4" w:space="0" w:color="00000A"/>
              <w:left w:val="single" w:sz="4" w:space="0" w:color="00000A"/>
              <w:bottom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127" w:type="dxa"/>
            <w:tcBorders>
              <w:top w:val="single" w:sz="4" w:space="0" w:color="00000A"/>
              <w:left w:val="single" w:sz="4" w:space="0" w:color="00000A"/>
              <w:bottom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w:t>
            </w:r>
          </w:p>
        </w:tc>
        <w:tc>
          <w:tcPr>
            <w:tcW w:w="1842" w:type="dxa"/>
            <w:tcBorders>
              <w:top w:val="single" w:sz="4" w:space="0" w:color="000080"/>
              <w:left w:val="single" w:sz="4" w:space="0" w:color="000080"/>
              <w:bottom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3</w:t>
            </w:r>
          </w:p>
        </w:tc>
        <w:tc>
          <w:tcPr>
            <w:tcW w:w="1560" w:type="dxa"/>
            <w:tcBorders>
              <w:top w:val="single" w:sz="4" w:space="0" w:color="000080"/>
              <w:left w:val="single" w:sz="4" w:space="0" w:color="000080"/>
              <w:bottom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4</w:t>
            </w:r>
          </w:p>
        </w:tc>
        <w:tc>
          <w:tcPr>
            <w:tcW w:w="1711" w:type="dxa"/>
            <w:tcBorders>
              <w:top w:val="single" w:sz="4" w:space="0" w:color="000080"/>
              <w:left w:val="single" w:sz="4" w:space="0" w:color="000080"/>
              <w:bottom w:val="single" w:sz="4" w:space="0" w:color="auto"/>
              <w:right w:val="single" w:sz="4" w:space="0" w:color="00008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w:t>
            </w:r>
          </w:p>
        </w:tc>
      </w:tr>
      <w:tr w:rsidR="00F641E8" w:rsidRPr="00BE086B" w:rsidTr="00A7341E">
        <w:tc>
          <w:tcPr>
            <w:tcW w:w="2554" w:type="dxa"/>
            <w:vMerge w:val="restart"/>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Інтактні щури</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(ІЩ)</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25,50±3,74</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25,88±3,94</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25,75±4,03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suppressAutoHyphens w:val="0"/>
              <w:jc w:val="center"/>
              <w:rPr>
                <w:lang w:val="uk-UA"/>
              </w:rPr>
            </w:pPr>
            <w:r w:rsidRPr="00BE086B">
              <w:rPr>
                <w:sz w:val="28"/>
                <w:szCs w:val="28"/>
                <w:lang w:val="uk-UA"/>
              </w:rPr>
              <w:t>8,63±1,60</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8,88±1,64</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8,50±1,77</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6,75±1,98</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6,50±1,85</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6,63±1,92</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1,25±0,46</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1,25±0,71</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1,00±0,76</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0,88±0,83</w:t>
            </w:r>
            <w:r w:rsidRPr="00BE086B">
              <w:rPr>
                <w:rFonts w:ascii="Times New Roman" w:eastAsia="Times New Roman" w:hAnsi="Times New Roman" w:cs="Times New Roman"/>
                <w:bCs/>
                <w:i/>
                <w:color w:val="auto"/>
                <w:sz w:val="28"/>
                <w:szCs w:val="28"/>
                <w:vertAlign w:val="superscript"/>
                <w:lang w:val="uk-UA" w:eastAsia="ru-RU"/>
              </w:rPr>
              <w:t>¤</w:t>
            </w:r>
          </w:p>
        </w:tc>
      </w:tr>
    </w:tbl>
    <w:p w:rsidR="00F641E8" w:rsidRPr="00BE086B" w:rsidRDefault="00F641E8" w:rsidP="00F641E8">
      <w:pPr>
        <w:pStyle w:val="af0"/>
        <w:rPr>
          <w:lang w:val="uk-UA"/>
        </w:rPr>
      </w:pPr>
    </w:p>
    <w:p w:rsidR="00E92498" w:rsidRPr="00BE086B" w:rsidRDefault="00E92498" w:rsidP="00F641E8">
      <w:pPr>
        <w:pStyle w:val="af0"/>
        <w:rPr>
          <w:lang w:val="uk-UA"/>
        </w:rPr>
      </w:pPr>
    </w:p>
    <w:p w:rsidR="00F641E8" w:rsidRPr="00BE086B" w:rsidRDefault="006A17D0" w:rsidP="00F641E8">
      <w:pPr>
        <w:pStyle w:val="af0"/>
        <w:spacing w:line="240" w:lineRule="auto"/>
        <w:jc w:val="right"/>
        <w:rPr>
          <w:i/>
          <w:sz w:val="28"/>
          <w:szCs w:val="28"/>
          <w:lang w:val="uk-UA"/>
        </w:rPr>
      </w:pPr>
      <w:r w:rsidRPr="00BE086B">
        <w:rPr>
          <w:i/>
          <w:sz w:val="28"/>
          <w:szCs w:val="28"/>
          <w:lang w:val="uk-UA"/>
        </w:rPr>
        <w:lastRenderedPageBreak/>
        <w:t>П</w:t>
      </w:r>
      <w:r w:rsidR="00F641E8" w:rsidRPr="00BE086B">
        <w:rPr>
          <w:i/>
          <w:sz w:val="28"/>
          <w:szCs w:val="28"/>
          <w:lang w:val="uk-UA"/>
        </w:rPr>
        <w:t>родовження табл</w:t>
      </w:r>
      <w:r w:rsidR="00831597">
        <w:rPr>
          <w:i/>
          <w:sz w:val="28"/>
          <w:szCs w:val="28"/>
          <w:lang w:val="uk-UA"/>
        </w:rPr>
        <w:t>иці</w:t>
      </w:r>
      <w:r w:rsidR="00F641E8" w:rsidRPr="00BE086B">
        <w:rPr>
          <w:i/>
          <w:sz w:val="28"/>
          <w:szCs w:val="28"/>
          <w:lang w:val="uk-UA"/>
        </w:rPr>
        <w:t xml:space="preserve"> 4.1</w:t>
      </w:r>
    </w:p>
    <w:tbl>
      <w:tblPr>
        <w:tblW w:w="0" w:type="auto"/>
        <w:tblInd w:w="-281" w:type="dxa"/>
        <w:tblLayout w:type="fixed"/>
        <w:tblCellMar>
          <w:left w:w="10" w:type="dxa"/>
          <w:right w:w="10" w:type="dxa"/>
        </w:tblCellMar>
        <w:tblLook w:val="0000" w:firstRow="0" w:lastRow="0" w:firstColumn="0" w:lastColumn="0" w:noHBand="0" w:noVBand="0"/>
      </w:tblPr>
      <w:tblGrid>
        <w:gridCol w:w="2554"/>
        <w:gridCol w:w="2127"/>
        <w:gridCol w:w="1842"/>
        <w:gridCol w:w="1560"/>
        <w:gridCol w:w="1711"/>
      </w:tblGrid>
      <w:tr w:rsidR="00F641E8" w:rsidRPr="00BE086B" w:rsidTr="00A7341E">
        <w:tc>
          <w:tcPr>
            <w:tcW w:w="2554"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I група ЕОА+ЕГ</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25,63±4,07</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4,5±1,60*</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12,13±2,85*</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8,38±1,85</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2,5±0,53*</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2,25±1,49*</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6,50±1,93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1,13±1,13*</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1,75±1,04*</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1,38±0,74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0,75±0,46*</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0,63±0,52*</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0,75±0,89</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0,88±0,35</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1,5±0,53*</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240" w:lineRule="auto"/>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ІІ група</w:t>
            </w:r>
          </w:p>
          <w:p w:rsidR="00F641E8" w:rsidRPr="00BE086B" w:rsidRDefault="00F641E8" w:rsidP="00A7341E">
            <w:pPr>
              <w:pStyle w:val="WW-"/>
              <w:spacing w:after="0" w:line="240" w:lineRule="auto"/>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L-тироксин (Т)</w:t>
            </w:r>
          </w:p>
          <w:p w:rsidR="00F641E8" w:rsidRPr="00BE086B" w:rsidRDefault="00F641E8" w:rsidP="00A7341E">
            <w:pPr>
              <w:pStyle w:val="WW-"/>
              <w:spacing w:after="0" w:line="240" w:lineRule="auto"/>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 мкг/кг</w:t>
            </w:r>
          </w:p>
          <w:p w:rsidR="00F641E8" w:rsidRPr="00BE086B" w:rsidRDefault="00F641E8" w:rsidP="00A7341E">
            <w:pPr>
              <w:pStyle w:val="WW-"/>
              <w:spacing w:after="0" w:line="240" w:lineRule="auto"/>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27,8±6,11</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10,8±2,49*</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13,1±2,36*</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240" w:lineRule="auto"/>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10,3±1,28</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2,0±1,07*</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5,13±2,17*</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240" w:lineRule="auto"/>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9,25±2,87</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1,38±0,74*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4,13±0,83*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240" w:lineRule="auto"/>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2,75±1,49</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0,63±0,52*</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1,88±0,64*</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240" w:lineRule="auto"/>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1,63±0,74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1,38±0,92</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240" w:lineRule="auto"/>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ІІI група</w:t>
            </w:r>
          </w:p>
          <w:p w:rsidR="00F641E8" w:rsidRPr="00BE086B" w:rsidRDefault="00F641E8" w:rsidP="00A7341E">
            <w:pPr>
              <w:pStyle w:val="WW-"/>
              <w:spacing w:after="0" w:line="240" w:lineRule="auto"/>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диклофенак натрію (Д)</w:t>
            </w:r>
          </w:p>
          <w:p w:rsidR="00F641E8" w:rsidRPr="00BE086B" w:rsidRDefault="00F641E8" w:rsidP="00A7341E">
            <w:pPr>
              <w:pStyle w:val="WW-"/>
              <w:spacing w:after="0" w:line="240" w:lineRule="auto"/>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 мг/кг</w:t>
            </w:r>
          </w:p>
          <w:p w:rsidR="00F641E8" w:rsidRPr="00BE086B" w:rsidRDefault="00F641E8" w:rsidP="00A7341E">
            <w:pPr>
              <w:pStyle w:val="WW-"/>
              <w:spacing w:after="0" w:line="240" w:lineRule="auto"/>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28,4±3,25</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11,3±2,38*</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19,8±2,49*</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8,0±1,31</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2,38±1,69*</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3,5±0,93*</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9,0±1,31</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1,75±0,71*</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1,38±0,74*</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2,88±0,83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0,63±0,52*</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1,5±0,53*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1,63±0,52</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1,25±0,71</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1,38±0,74</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ІV група</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диклофенак натрію (Д)+L-тироксин (Т)</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28,5±4,38</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12,1±1,73*</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26,4±4,72</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9,63±1,69</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1,75±0,71*</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8,75±1,91</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9,13±1,46</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1,88±0,64*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8,13±1,73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2,25±1,04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0,75±0,46*</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1,38±0,74*</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1,38±0,74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1,13±0,35</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V група</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ібупрофен (І)</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5 мг/кг</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35,3±9,0</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14,3±5,57*</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25,4±9,07*</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9,25±2,12</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4,13±2,17*</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8,38±1,69</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8,25±1,67</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3,63±2,5*</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5,38±2,0*</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1,63±0,74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1,25±1,04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1,5±1,41</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0,88±0,64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0,5±0,53*</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VІ група</w:t>
            </w:r>
          </w:p>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ібупрофен (І) + </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L-тироксин (Т)</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27,3±6,8</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8,13±1,13*</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21,8±1,67*</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8,13±1,73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2,75±1,28*</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6,88±1,36</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6,88±1,96</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2,25±0,89*</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5,63±1,06</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1,75±0,89</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1,13±0,35*</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1,13±0,35*</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1,5±1,51</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1,38±0,52</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1,63±0,74</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VІІ група</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мелоксикам (Мел)</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 мг/кг</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33,8±4,89</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9,75±2,49*</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16,8±3,45*</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6,75±2,31</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1,88±0,83*</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2,0±1,07*</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9,88±3,04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1,25±1,04*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3,5±1,77*</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1,0±1,07</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0,38±0,52*</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1,75±0,71*</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1,0±0,76</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1,5±0,53</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VIІІ група</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мелоксикам (Мел) + L-тироксин (Т)</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26,9±5,03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6,63±1,92*</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13,9±3,60*</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8,75±2,49</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3,5±0,93*</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8,5±1,93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7,13±2,23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2,63±1,06*</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5,0±1,60*</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2,5±1,20</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1,75±1,16</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2,0±0,93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2,0±1,20</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1,5±1,07</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1,13±0,83*</w:t>
            </w:r>
          </w:p>
        </w:tc>
      </w:tr>
    </w:tbl>
    <w:p w:rsidR="00F641E8" w:rsidRPr="00BE086B" w:rsidRDefault="00F641E8" w:rsidP="00F641E8">
      <w:pPr>
        <w:pStyle w:val="af0"/>
        <w:jc w:val="right"/>
        <w:rPr>
          <w:b/>
          <w:i/>
          <w:sz w:val="28"/>
          <w:szCs w:val="28"/>
          <w:lang w:val="uk-UA"/>
        </w:rPr>
      </w:pPr>
    </w:p>
    <w:p w:rsidR="00F641E8" w:rsidRPr="00BE086B" w:rsidRDefault="006A17D0" w:rsidP="00F641E8">
      <w:pPr>
        <w:pStyle w:val="af0"/>
        <w:spacing w:line="240" w:lineRule="auto"/>
        <w:jc w:val="right"/>
        <w:rPr>
          <w:i/>
          <w:sz w:val="28"/>
          <w:szCs w:val="28"/>
          <w:lang w:val="uk-UA"/>
        </w:rPr>
      </w:pPr>
      <w:r w:rsidRPr="00BE086B">
        <w:rPr>
          <w:i/>
          <w:sz w:val="28"/>
          <w:szCs w:val="28"/>
          <w:lang w:val="uk-UA"/>
        </w:rPr>
        <w:lastRenderedPageBreak/>
        <w:t>П</w:t>
      </w:r>
      <w:r w:rsidR="00F641E8" w:rsidRPr="00BE086B">
        <w:rPr>
          <w:i/>
          <w:sz w:val="28"/>
          <w:szCs w:val="28"/>
          <w:lang w:val="uk-UA"/>
        </w:rPr>
        <w:t>родовження табл</w:t>
      </w:r>
      <w:r w:rsidR="00831597">
        <w:rPr>
          <w:i/>
          <w:sz w:val="28"/>
          <w:szCs w:val="28"/>
          <w:lang w:val="uk-UA"/>
        </w:rPr>
        <w:t>иці</w:t>
      </w:r>
      <w:r w:rsidR="00F641E8" w:rsidRPr="00BE086B">
        <w:rPr>
          <w:i/>
          <w:sz w:val="28"/>
          <w:szCs w:val="28"/>
          <w:lang w:val="uk-UA"/>
        </w:rPr>
        <w:t xml:space="preserve"> 4.1</w:t>
      </w:r>
    </w:p>
    <w:tbl>
      <w:tblPr>
        <w:tblW w:w="0" w:type="auto"/>
        <w:tblInd w:w="-281" w:type="dxa"/>
        <w:tblLayout w:type="fixed"/>
        <w:tblCellMar>
          <w:left w:w="10" w:type="dxa"/>
          <w:right w:w="10" w:type="dxa"/>
        </w:tblCellMar>
        <w:tblLook w:val="0000" w:firstRow="0" w:lastRow="0" w:firstColumn="0" w:lastColumn="0" w:noHBand="0" w:noVBand="0"/>
      </w:tblPr>
      <w:tblGrid>
        <w:gridCol w:w="2554"/>
        <w:gridCol w:w="2127"/>
        <w:gridCol w:w="1842"/>
        <w:gridCol w:w="1560"/>
        <w:gridCol w:w="1711"/>
      </w:tblGrid>
      <w:tr w:rsidR="00F641E8" w:rsidRPr="00BE086B" w:rsidTr="00A7341E">
        <w:tc>
          <w:tcPr>
            <w:tcW w:w="2554"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ІХ група</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парацетамол (П)</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 мг/кг</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29,3±7,46</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10,3±3,2*</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12,4±2,92*</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6,25±2,12</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3,38±1,92*</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10,9±3,52</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1,13±0,83*</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9,38±2,67</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2,13±1,81</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1,38±1,19*</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1,88±1,25</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1,5±0,76</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0,63±0,74*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1,25±0,89</w:t>
            </w:r>
          </w:p>
        </w:tc>
      </w:tr>
      <w:tr w:rsidR="00F641E8" w:rsidRPr="00BE086B" w:rsidTr="00A7341E">
        <w:tc>
          <w:tcPr>
            <w:tcW w:w="2554" w:type="dxa"/>
            <w:vMerge w:val="restart"/>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Х група</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парацетамол (П) + L-тироксин (Т)</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29,5±4,5</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16,6±3,25*</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17,3±2,82*</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7,5±1,2</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3,13±0,99*</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4,13±1,89*</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7,25±1,67</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1,88±0,83*</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4,0±1,85*</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1,5±0,53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1,0±0,53*</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1,5±0,53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0,63±0,52*</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1,0±0,76</w:t>
            </w:r>
          </w:p>
        </w:tc>
      </w:tr>
      <w:tr w:rsidR="00F641E8" w:rsidRPr="00BE086B" w:rsidTr="00A7341E">
        <w:tc>
          <w:tcPr>
            <w:tcW w:w="2554" w:type="dxa"/>
            <w:vMerge w:val="restart"/>
            <w:tcBorders>
              <w:top w:val="single" w:sz="4" w:space="0" w:color="000000"/>
              <w:lef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ХІ група</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німесулід (Н)</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80 мг/кг</w:t>
            </w:r>
          </w:p>
          <w:p w:rsidR="00F641E8" w:rsidRPr="00BE086B" w:rsidRDefault="00F641E8" w:rsidP="00A7341E">
            <w:pPr>
              <w:pStyle w:val="WW-"/>
              <w:snapToGrid w:val="0"/>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33,75±4,62</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9,88±2,47*</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17,0±3,55*</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6,5±2,45</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2,0±1,07*</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2,75±1,16*</w:t>
            </w:r>
          </w:p>
        </w:tc>
      </w:tr>
      <w:tr w:rsidR="00F641E8" w:rsidRPr="00BE086B" w:rsidTr="00A7341E">
        <w:tc>
          <w:tcPr>
            <w:tcW w:w="2554" w:type="dxa"/>
            <w:vMerge/>
            <w:tcBorders>
              <w:top w:val="single" w:sz="4" w:space="0" w:color="000000"/>
              <w:left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10,13±3,18</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1,38±0,92*</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3,63±1,69*</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1,13±0,99</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0,25±0,46*</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1,88±0,64*</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1,0±0,76</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0,88±0,64</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1,63±0,74*</w:t>
            </w:r>
          </w:p>
        </w:tc>
      </w:tr>
      <w:tr w:rsidR="00F641E8" w:rsidRPr="00BE086B" w:rsidTr="00A7341E">
        <w:tc>
          <w:tcPr>
            <w:tcW w:w="2554" w:type="dxa"/>
            <w:vMerge w:val="restart"/>
            <w:tcBorders>
              <w:top w:val="single" w:sz="4" w:space="0" w:color="000000"/>
              <w:lef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ХІІ група</w:t>
            </w:r>
          </w:p>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німесулід (Н) + </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L-тироксин (Т)</w:t>
            </w:r>
          </w:p>
          <w:p w:rsidR="00F641E8" w:rsidRPr="00BE086B" w:rsidRDefault="00F641E8" w:rsidP="00A7341E">
            <w:pPr>
              <w:pStyle w:val="WW-"/>
              <w:snapToGrid w:val="0"/>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26,63±4,96</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6,63±2,2*</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16,75±2,38*</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8,5±2,73</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3,38±1,19*</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6,63±1,41*</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6,88±2,64</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2,5±0,93*</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5,88±2,42</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2,63±1,06</w:t>
            </w:r>
          </w:p>
        </w:tc>
        <w:tc>
          <w:tcPr>
            <w:tcW w:w="1560" w:type="dxa"/>
            <w:tcBorders>
              <w:top w:val="single" w:sz="4" w:space="0" w:color="000000"/>
              <w:left w:val="single" w:sz="4" w:space="0" w:color="000000"/>
              <w:bottom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1,88±1,13</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000000"/>
              <w:left w:val="single" w:sz="4" w:space="0" w:color="000000"/>
              <w:bottom w:val="single" w:sz="4" w:space="0" w:color="000000"/>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2,0±0,93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000000"/>
              <w:left w:val="single" w:sz="4" w:space="0" w:color="000000"/>
              <w:bottom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000000"/>
              <w:left w:val="single" w:sz="4" w:space="0" w:color="000000"/>
              <w:bottom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000000"/>
              <w:left w:val="single" w:sz="4" w:space="0" w:color="000000"/>
              <w:bottom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1,88±1,25</w:t>
            </w:r>
          </w:p>
        </w:tc>
        <w:tc>
          <w:tcPr>
            <w:tcW w:w="1560" w:type="dxa"/>
            <w:tcBorders>
              <w:top w:val="single" w:sz="4" w:space="0" w:color="000000"/>
              <w:left w:val="single" w:sz="4" w:space="0" w:color="000000"/>
              <w:bottom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1,38±1,06</w:t>
            </w:r>
          </w:p>
        </w:tc>
        <w:tc>
          <w:tcPr>
            <w:tcW w:w="1711" w:type="dxa"/>
            <w:tcBorders>
              <w:top w:val="single" w:sz="4" w:space="0" w:color="000000"/>
              <w:left w:val="single" w:sz="4" w:space="0" w:color="000000"/>
              <w:bottom w:val="single" w:sz="4" w:space="0" w:color="auto"/>
              <w:right w:val="single" w:sz="4" w:space="0" w:color="000000"/>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1,13±0,83</w:t>
            </w:r>
          </w:p>
        </w:tc>
      </w:tr>
      <w:tr w:rsidR="00F641E8" w:rsidRPr="00BE086B" w:rsidTr="00A7341E">
        <w:tc>
          <w:tcPr>
            <w:tcW w:w="2554" w:type="dxa"/>
            <w:vMerge w:val="restart"/>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ХІІІ група</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целекоксиб (Ц)</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50 мг/кг</w:t>
            </w:r>
          </w:p>
          <w:p w:rsidR="00F641E8" w:rsidRPr="00BE086B" w:rsidRDefault="00F641E8" w:rsidP="00A7341E">
            <w:pPr>
              <w:pStyle w:val="WW-"/>
              <w:snapToGrid w:val="0"/>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29,38±4,47</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16,75±3,45*</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17,25±2,82*</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7,13±1,13</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3,0±0,93*</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4,13±1,89*</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7,25±1,67</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2,0±0,76*</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4,0±1,85*</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1,38±0,52</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1,13±0,35</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1,5±0,53</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1,25±0,71</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0,5±0,53*</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1,0±0,76</w:t>
            </w:r>
          </w:p>
        </w:tc>
      </w:tr>
      <w:tr w:rsidR="00F641E8" w:rsidRPr="00BE086B" w:rsidTr="00A7341E">
        <w:tc>
          <w:tcPr>
            <w:tcW w:w="2554" w:type="dxa"/>
            <w:vMerge w:val="restart"/>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ХІV група</w:t>
            </w:r>
          </w:p>
          <w:p w:rsidR="00F641E8" w:rsidRPr="00BE086B" w:rsidRDefault="00F641E8" w:rsidP="00A7341E">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целекоксиб (Ц) +</w:t>
            </w:r>
          </w:p>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L-тироксин (Т)</w:t>
            </w:r>
          </w:p>
          <w:p w:rsidR="00F641E8" w:rsidRPr="00BE086B" w:rsidRDefault="00F641E8" w:rsidP="00A7341E">
            <w:pPr>
              <w:pStyle w:val="WW-"/>
              <w:snapToGrid w:val="0"/>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(n=20)</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квадрати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29,75±4,59</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16,63±3,25*</w:t>
            </w:r>
            <w:r w:rsidRPr="00BE086B">
              <w:rPr>
                <w:rFonts w:ascii="Times New Roman" w:eastAsia="Times New Roman" w:hAnsi="Times New Roman" w:cs="Times New Roman"/>
                <w:bCs/>
                <w:i/>
                <w:color w:val="auto"/>
                <w:sz w:val="28"/>
                <w:szCs w:val="28"/>
                <w:vertAlign w:val="superscript"/>
                <w:lang w:val="uk-UA" w:eastAsia="ru-RU"/>
              </w:rPr>
              <w:t>¤</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19,0±1,69*</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нірки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7,5±1,2</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3,13±0,99*</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5,0±2,0*</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стійки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7,25±1,67</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1,88±0,83*</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4,63±1,85*</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грумінг</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1,5±0,53</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1,0±0,53*</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1,38±0,74</w:t>
            </w:r>
            <w:r w:rsidRPr="00BE086B">
              <w:rPr>
                <w:rFonts w:ascii="Times New Roman" w:eastAsia="Times New Roman" w:hAnsi="Times New Roman" w:cs="Times New Roman"/>
                <w:bCs/>
                <w:i/>
                <w:color w:val="auto"/>
                <w:sz w:val="28"/>
                <w:szCs w:val="28"/>
                <w:vertAlign w:val="superscript"/>
                <w:lang w:val="uk-UA" w:eastAsia="ru-RU"/>
              </w:rPr>
              <w:t>¤</w:t>
            </w:r>
          </w:p>
        </w:tc>
      </w:tr>
      <w:tr w:rsidR="00F641E8" w:rsidRPr="00BE086B" w:rsidTr="00A7341E">
        <w:tc>
          <w:tcPr>
            <w:tcW w:w="2554" w:type="dxa"/>
            <w:vMerge/>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napToGrid w:val="0"/>
              <w:spacing w:after="0" w:line="100" w:lineRule="atLeast"/>
              <w:jc w:val="center"/>
              <w:rPr>
                <w:rFonts w:ascii="Times New Roman" w:hAnsi="Times New Roman" w:cs="Times New Roman"/>
                <w:b/>
                <w:color w:val="auto"/>
                <w:sz w:val="28"/>
                <w:szCs w:val="28"/>
                <w:lang w:val="uk-UA"/>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болюси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1,13±0,64</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0,63±0,52*</w:t>
            </w:r>
          </w:p>
        </w:tc>
        <w:tc>
          <w:tcPr>
            <w:tcW w:w="1711" w:type="dxa"/>
            <w:tcBorders>
              <w:top w:val="single" w:sz="4" w:space="0" w:color="auto"/>
              <w:left w:val="single" w:sz="4" w:space="0" w:color="auto"/>
              <w:bottom w:val="single" w:sz="4" w:space="0" w:color="auto"/>
              <w:right w:val="single" w:sz="4" w:space="0" w:color="auto"/>
            </w:tcBorders>
            <w:shd w:val="clear" w:color="auto" w:fill="FFFFFF"/>
          </w:tcPr>
          <w:p w:rsidR="00F641E8" w:rsidRPr="00BE086B" w:rsidRDefault="00F641E8" w:rsidP="00A7341E">
            <w:pPr>
              <w:pStyle w:val="WW-"/>
              <w:spacing w:after="0" w:line="100" w:lineRule="atLeast"/>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0,88±0,64</w:t>
            </w:r>
          </w:p>
        </w:tc>
      </w:tr>
    </w:tbl>
    <w:p w:rsidR="00F641E8" w:rsidRPr="00BE086B" w:rsidRDefault="00F641E8" w:rsidP="00F641E8">
      <w:pPr>
        <w:pStyle w:val="western"/>
        <w:spacing w:before="0" w:after="0"/>
        <w:ind w:firstLine="709"/>
        <w:jc w:val="both"/>
        <w:rPr>
          <w:rFonts w:ascii="Times New Roman" w:hAnsi="Times New Roman" w:cs="Times New Roman"/>
          <w:b/>
          <w:color w:val="auto"/>
          <w:sz w:val="28"/>
          <w:szCs w:val="28"/>
          <w:lang w:val="uk-UA"/>
        </w:rPr>
      </w:pPr>
    </w:p>
    <w:p w:rsidR="00F641E8" w:rsidRPr="00BE086B" w:rsidRDefault="00F641E8" w:rsidP="008E5DEF">
      <w:pPr>
        <w:pStyle w:val="western"/>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rPr>
        <w:t>Примітк</w:t>
      </w:r>
      <w:r w:rsidR="008E5DEF" w:rsidRPr="00BE086B">
        <w:rPr>
          <w:rFonts w:ascii="Times New Roman" w:hAnsi="Times New Roman" w:cs="Times New Roman"/>
          <w:b/>
          <w:color w:val="auto"/>
          <w:sz w:val="28"/>
          <w:szCs w:val="28"/>
          <w:lang w:val="uk-UA"/>
        </w:rPr>
        <w:t>и</w:t>
      </w:r>
      <w:r w:rsidRPr="00BE086B">
        <w:rPr>
          <w:rFonts w:ascii="Times New Roman" w:hAnsi="Times New Roman" w:cs="Times New Roman"/>
          <w:b/>
          <w:color w:val="auto"/>
          <w:sz w:val="28"/>
          <w:szCs w:val="28"/>
          <w:lang w:val="uk-UA"/>
        </w:rPr>
        <w:t>:</w:t>
      </w:r>
      <w:r w:rsidRPr="00BE086B">
        <w:rPr>
          <w:rFonts w:ascii="Times New Roman" w:hAnsi="Times New Roman" w:cs="Times New Roman"/>
          <w:color w:val="auto"/>
          <w:sz w:val="28"/>
          <w:szCs w:val="28"/>
          <w:lang w:val="uk-UA"/>
        </w:rPr>
        <w:t xml:space="preserve"> * - значення достовірні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0,05) по відношенню до вихідного стану (ВС) відповідної групи;</w:t>
      </w:r>
    </w:p>
    <w:p w:rsidR="00F641E8" w:rsidRPr="00BE086B" w:rsidRDefault="00F641E8" w:rsidP="008E5DEF">
      <w:pPr>
        <w:pStyle w:val="western"/>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bCs/>
          <w:i/>
          <w:color w:val="auto"/>
          <w:sz w:val="28"/>
          <w:szCs w:val="28"/>
          <w:vertAlign w:val="superscript"/>
          <w:lang w:val="uk-UA" w:eastAsia="ru-RU"/>
        </w:rPr>
        <w:t>¤</w:t>
      </w:r>
      <w:r w:rsidRPr="00BE086B">
        <w:rPr>
          <w:rFonts w:ascii="Times New Roman" w:hAnsi="Times New Roman" w:cs="Times New Roman"/>
          <w:color w:val="auto"/>
          <w:sz w:val="28"/>
          <w:szCs w:val="28"/>
          <w:lang w:val="uk-UA"/>
        </w:rPr>
        <w:t xml:space="preserve"> - значення достовірні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0,05) по відношенню до відповідних показників активного контролю (ЕОА+ЕГ).</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rPr>
      </w:pP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rPr>
      </w:pP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 xml:space="preserve">При аналізі отриманих результатів встановлено, що на 42 добу експерименту (пік формування патологічних змін) у всіх групах спостерігалось пригнічення спонтанної поведінкової активності та емоційної лабільності тварин у порівнянні з ВС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(рис. 4.1-4.4).</w:t>
      </w:r>
    </w:p>
    <w:p w:rsidR="000671C5" w:rsidRPr="00BE086B" w:rsidRDefault="000671C5" w:rsidP="008E5DEF">
      <w:pPr>
        <w:pStyle w:val="WW-"/>
        <w:spacing w:after="0" w:line="360" w:lineRule="auto"/>
        <w:ind w:firstLine="709"/>
        <w:jc w:val="both"/>
        <w:rPr>
          <w:rFonts w:ascii="Times New Roman" w:hAnsi="Times New Roman" w:cs="Times New Roman"/>
          <w:color w:val="auto"/>
          <w:lang w:val="uk-UA"/>
        </w:rPr>
      </w:pPr>
    </w:p>
    <w:p w:rsidR="00F641E8" w:rsidRPr="00BE086B" w:rsidRDefault="009B135A" w:rsidP="006A17D0">
      <w:pPr>
        <w:pStyle w:val="WW-"/>
        <w:spacing w:after="0" w:line="360" w:lineRule="auto"/>
        <w:jc w:val="center"/>
        <w:rPr>
          <w:rFonts w:ascii="Times New Roman" w:hAnsi="Times New Roman" w:cs="Times New Roman"/>
          <w:b/>
          <w:color w:val="auto"/>
          <w:sz w:val="28"/>
          <w:szCs w:val="28"/>
          <w:lang w:val="uk-UA" w:eastAsia="ru-RU"/>
        </w:rPr>
      </w:pPr>
      <w:bookmarkStart w:id="4" w:name="_1678463098"/>
      <w:bookmarkEnd w:id="4"/>
      <w:r>
        <w:rPr>
          <w:rFonts w:ascii="Times New Roman" w:hAnsi="Times New Roman" w:cs="Times New Roman"/>
          <w:b/>
          <w:noProof/>
          <w:color w:val="auto"/>
          <w:sz w:val="28"/>
          <w:szCs w:val="28"/>
          <w:lang w:eastAsia="ru-RU"/>
        </w:rPr>
        <w:drawing>
          <wp:inline distT="0" distB="0" distL="0" distR="0">
            <wp:extent cx="5932800" cy="4075200"/>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1.jpg"/>
                    <pic:cNvPicPr/>
                  </pic:nvPicPr>
                  <pic:blipFill>
                    <a:blip r:embed="rId17">
                      <a:extLst>
                        <a:ext uri="{28A0092B-C50C-407E-A947-70E740481C1C}">
                          <a14:useLocalDpi xmlns:a14="http://schemas.microsoft.com/office/drawing/2010/main" val="0"/>
                        </a:ext>
                      </a:extLst>
                    </a:blip>
                    <a:stretch>
                      <a:fillRect/>
                    </a:stretch>
                  </pic:blipFill>
                  <pic:spPr>
                    <a:xfrm>
                      <a:off x="0" y="0"/>
                      <a:ext cx="5932800" cy="4075200"/>
                    </a:xfrm>
                    <a:prstGeom prst="rect">
                      <a:avLst/>
                    </a:prstGeom>
                  </pic:spPr>
                </pic:pic>
              </a:graphicData>
            </a:graphic>
          </wp:inline>
        </w:drawing>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4.1.</w:t>
      </w:r>
      <w:r w:rsidRPr="00BE086B">
        <w:rPr>
          <w:rFonts w:ascii="Times New Roman" w:hAnsi="Times New Roman" w:cs="Times New Roman"/>
          <w:color w:val="auto"/>
          <w:sz w:val="28"/>
          <w:szCs w:val="28"/>
          <w:lang w:val="uk-UA" w:eastAsia="ru-RU"/>
        </w:rPr>
        <w:t xml:space="preserve"> Зміни показників </w:t>
      </w:r>
      <w:r w:rsidRPr="00BE086B">
        <w:rPr>
          <w:rFonts w:ascii="Times New Roman" w:hAnsi="Times New Roman" w:cs="Times New Roman"/>
          <w:color w:val="auto"/>
          <w:sz w:val="28"/>
          <w:szCs w:val="28"/>
          <w:lang w:val="uk-UA"/>
        </w:rPr>
        <w:t>кількості пересічених квадратів</w:t>
      </w:r>
      <w:r w:rsidRPr="00BE086B">
        <w:rPr>
          <w:rFonts w:ascii="Times New Roman" w:hAnsi="Times New Roman" w:cs="Times New Roman"/>
          <w:color w:val="auto"/>
          <w:sz w:val="28"/>
          <w:szCs w:val="28"/>
          <w:lang w:val="uk-UA" w:eastAsia="ru-RU"/>
        </w:rPr>
        <w:t xml:space="preserve"> у тесті «відкрите поле» у щурів </w:t>
      </w:r>
      <w:r w:rsidRPr="00BE086B">
        <w:rPr>
          <w:rFonts w:ascii="Times New Roman" w:hAnsi="Times New Roman" w:cs="Times New Roman"/>
          <w:color w:val="auto"/>
          <w:sz w:val="28"/>
          <w:szCs w:val="28"/>
          <w:lang w:val="uk-UA"/>
        </w:rPr>
        <w:t>груп дослідження на 42 добу експерименту (% змін показника відносно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 xml:space="preserve">Примітка. </w: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eastAsia="en-US"/>
        </w:rPr>
        <w:t>&gt; </w:t>
      </w:r>
      <w:r w:rsidRPr="00BE086B">
        <w:rPr>
          <w:sz w:val="28"/>
          <w:szCs w:val="28"/>
          <w:lang w:val="uk-UA" w:eastAsia="ru-RU"/>
        </w:rPr>
        <w:t>0,05; в інших випадках – р </w:t>
      </w:r>
      <w:r w:rsidRPr="00BE086B">
        <w:rPr>
          <w:rFonts w:eastAsia="Calibri"/>
          <w:iCs/>
          <w:sz w:val="28"/>
          <w:szCs w:val="28"/>
          <w:lang w:val="uk-UA" w:eastAsia="en-US"/>
        </w:rPr>
        <w:t>&lt; </w:t>
      </w:r>
      <w:r w:rsidRPr="00BE086B">
        <w:rPr>
          <w:sz w:val="28"/>
          <w:szCs w:val="28"/>
          <w:lang w:val="uk-UA" w:eastAsia="ru-RU"/>
        </w:rPr>
        <w:t>0,05 по відношенню до показників вихідного стану (ВС) у відповідній групі.</w:t>
      </w:r>
    </w:p>
    <w:p w:rsidR="00F641E8" w:rsidRPr="00BE086B" w:rsidRDefault="00F641E8" w:rsidP="008E5DEF">
      <w:pPr>
        <w:pStyle w:val="western"/>
        <w:spacing w:before="0" w:after="0" w:line="360" w:lineRule="auto"/>
        <w:ind w:firstLine="709"/>
        <w:jc w:val="both"/>
        <w:rPr>
          <w:rFonts w:ascii="Times New Roman" w:hAnsi="Times New Roman" w:cs="Times New Roman"/>
          <w:color w:val="auto"/>
          <w:sz w:val="28"/>
          <w:szCs w:val="28"/>
          <w:lang w:val="uk-UA" w:eastAsia="ru-RU"/>
        </w:rPr>
      </w:pPr>
    </w:p>
    <w:p w:rsidR="00F641E8" w:rsidRPr="00BE086B" w:rsidRDefault="00F641E8" w:rsidP="008E5DEF">
      <w:pPr>
        <w:pStyle w:val="western"/>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Так, у I групі кількість пересічених квадратів достовірно знизилась на 82,4% порівняно з ВС, у II групі - на 61,2%, у III групі - на 60,2%, у IV групі - на 57,5%, у V групі - на 59,5%, у VI групі - на 70,2%, у VII групі - на 71,2%, у VIII групі - на 75,4%, у IX групі - на 64,8%, у X групі - на 43,7%, у XІ - на 70,7%, у XІІ - на 75,1%, у XІІІ - на 43,0%, у XIV групі - на 44,1% (табл. 4.1, рис. </w:t>
      </w:r>
      <w:r w:rsidRPr="00BE086B">
        <w:rPr>
          <w:rFonts w:ascii="Times New Roman" w:hAnsi="Times New Roman" w:cs="Times New Roman"/>
          <w:color w:val="auto"/>
          <w:sz w:val="28"/>
          <w:szCs w:val="28"/>
          <w:lang w:val="uk-UA"/>
        </w:rPr>
        <w:lastRenderedPageBreak/>
        <w:t>4.1). Водночас, в усіх групах середня кількість пересічених квадратів була достовірно вищою (р </w:t>
      </w:r>
      <w:r w:rsidRPr="00BE086B">
        <w:rPr>
          <w:rFonts w:ascii="Times New Roman" w:eastAsia="Calibri" w:hAnsi="Times New Roman" w:cs="Times New Roman"/>
          <w:iCs/>
          <w:color w:val="auto"/>
          <w:sz w:val="28"/>
          <w:szCs w:val="28"/>
          <w:lang w:val="uk-UA" w:eastAsia="en-US"/>
        </w:rPr>
        <w:t xml:space="preserve">&lt; </w:t>
      </w:r>
      <w:r w:rsidRPr="00BE086B">
        <w:rPr>
          <w:rFonts w:ascii="Times New Roman" w:hAnsi="Times New Roman" w:cs="Times New Roman"/>
          <w:color w:val="auto"/>
          <w:sz w:val="28"/>
          <w:szCs w:val="28"/>
          <w:lang w:val="uk-UA"/>
        </w:rPr>
        <w:t>0,05), ніж у групі активного контролю (ЕГ + ЕОА).</w:t>
      </w:r>
    </w:p>
    <w:p w:rsidR="00F641E8" w:rsidRPr="00BE086B" w:rsidRDefault="009B135A" w:rsidP="006A17D0">
      <w:pPr>
        <w:pStyle w:val="WW-"/>
        <w:spacing w:after="0" w:line="360" w:lineRule="auto"/>
        <w:jc w:val="center"/>
        <w:rPr>
          <w:rFonts w:ascii="Times New Roman" w:hAnsi="Times New Roman" w:cs="Times New Roman"/>
          <w:b/>
          <w:color w:val="auto"/>
          <w:sz w:val="28"/>
          <w:szCs w:val="28"/>
          <w:lang w:val="uk-UA" w:eastAsia="ru-RU"/>
        </w:rPr>
      </w:pPr>
      <w:bookmarkStart w:id="5" w:name="_1678464860"/>
      <w:bookmarkEnd w:id="5"/>
      <w:r>
        <w:rPr>
          <w:rFonts w:ascii="Times New Roman" w:hAnsi="Times New Roman" w:cs="Times New Roman"/>
          <w:b/>
          <w:noProof/>
          <w:color w:val="auto"/>
          <w:sz w:val="28"/>
          <w:szCs w:val="28"/>
          <w:lang w:eastAsia="ru-RU"/>
        </w:rPr>
        <w:drawing>
          <wp:inline distT="0" distB="0" distL="0" distR="0">
            <wp:extent cx="5932800" cy="4323600"/>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2.jpg"/>
                    <pic:cNvPicPr/>
                  </pic:nvPicPr>
                  <pic:blipFill>
                    <a:blip r:embed="rId18">
                      <a:extLst>
                        <a:ext uri="{28A0092B-C50C-407E-A947-70E740481C1C}">
                          <a14:useLocalDpi xmlns:a14="http://schemas.microsoft.com/office/drawing/2010/main" val="0"/>
                        </a:ext>
                      </a:extLst>
                    </a:blip>
                    <a:stretch>
                      <a:fillRect/>
                    </a:stretch>
                  </pic:blipFill>
                  <pic:spPr>
                    <a:xfrm>
                      <a:off x="0" y="0"/>
                      <a:ext cx="5932800" cy="4323600"/>
                    </a:xfrm>
                    <a:prstGeom prst="rect">
                      <a:avLst/>
                    </a:prstGeom>
                  </pic:spPr>
                </pic:pic>
              </a:graphicData>
            </a:graphic>
          </wp:inline>
        </w:drawing>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4.2.</w:t>
      </w:r>
      <w:r w:rsidRPr="00BE086B">
        <w:rPr>
          <w:rFonts w:ascii="Times New Roman" w:hAnsi="Times New Roman" w:cs="Times New Roman"/>
          <w:color w:val="auto"/>
          <w:sz w:val="28"/>
          <w:szCs w:val="28"/>
          <w:lang w:val="uk-UA" w:eastAsia="ru-RU"/>
        </w:rPr>
        <w:t xml:space="preserve"> Зміни показників </w:t>
      </w:r>
      <w:r w:rsidRPr="00BE086B">
        <w:rPr>
          <w:rFonts w:ascii="Times New Roman" w:hAnsi="Times New Roman" w:cs="Times New Roman"/>
          <w:color w:val="auto"/>
          <w:sz w:val="28"/>
          <w:szCs w:val="28"/>
          <w:lang w:val="uk-UA"/>
        </w:rPr>
        <w:t>кількості заглядань у «нірки»</w:t>
      </w:r>
      <w:r w:rsidRPr="00BE086B">
        <w:rPr>
          <w:rFonts w:ascii="Times New Roman" w:hAnsi="Times New Roman" w:cs="Times New Roman"/>
          <w:color w:val="auto"/>
          <w:sz w:val="28"/>
          <w:szCs w:val="28"/>
          <w:lang w:val="uk-UA" w:eastAsia="ru-RU"/>
        </w:rPr>
        <w:t xml:space="preserve"> у тесті «відкрите поле» у щурів </w:t>
      </w:r>
      <w:r w:rsidRPr="00BE086B">
        <w:rPr>
          <w:rFonts w:ascii="Times New Roman" w:hAnsi="Times New Roman" w:cs="Times New Roman"/>
          <w:color w:val="auto"/>
          <w:sz w:val="28"/>
          <w:szCs w:val="28"/>
          <w:lang w:val="uk-UA"/>
        </w:rPr>
        <w:t>груп дослідження на 42 добу експерименту (% змін показника відносно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 xml:space="preserve">Примітка. </w: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eastAsia="en-US"/>
        </w:rPr>
        <w:t>&gt; </w:t>
      </w:r>
      <w:r w:rsidRPr="00BE086B">
        <w:rPr>
          <w:sz w:val="28"/>
          <w:szCs w:val="28"/>
          <w:lang w:val="uk-UA" w:eastAsia="ru-RU"/>
        </w:rPr>
        <w:t>0,05; в інших випадках – р </w:t>
      </w:r>
      <w:r w:rsidRPr="00BE086B">
        <w:rPr>
          <w:rFonts w:eastAsia="Calibri"/>
          <w:iCs/>
          <w:sz w:val="28"/>
          <w:szCs w:val="28"/>
          <w:lang w:val="uk-UA" w:eastAsia="en-US"/>
        </w:rPr>
        <w:t>&lt; </w:t>
      </w:r>
      <w:r w:rsidRPr="00BE086B">
        <w:rPr>
          <w:sz w:val="28"/>
          <w:szCs w:val="28"/>
          <w:lang w:val="uk-UA" w:eastAsia="ru-RU"/>
        </w:rPr>
        <w:t>0,05 по відношенню до показників вихідного стану (ВС) у відповідній групі.</w:t>
      </w:r>
    </w:p>
    <w:p w:rsidR="00F641E8" w:rsidRPr="00BE086B" w:rsidRDefault="00F641E8" w:rsidP="008E5DEF">
      <w:pPr>
        <w:spacing w:line="360" w:lineRule="auto"/>
        <w:ind w:firstLine="709"/>
        <w:jc w:val="both"/>
        <w:rPr>
          <w:sz w:val="28"/>
          <w:szCs w:val="28"/>
          <w:lang w:val="uk-UA" w:eastAsia="ru-RU"/>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За кількістю заглядань у «нірки» на 42 добу експерименту середні показники достовірно (</w:t>
      </w:r>
      <w:r w:rsidRPr="00BE086B">
        <w:rPr>
          <w:rFonts w:ascii="Times New Roman" w:hAnsi="Times New Roman" w:cs="Times New Roman"/>
          <w:color w:val="auto"/>
          <w:sz w:val="28"/>
          <w:szCs w:val="28"/>
          <w:lang w:val="uk-UA" w:eastAsia="ru-RU"/>
        </w:rPr>
        <w:t>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eastAsia="ru-RU"/>
        </w:rPr>
        <w:t xml:space="preserve">0,05) </w:t>
      </w:r>
      <w:r w:rsidRPr="00BE086B">
        <w:rPr>
          <w:rFonts w:ascii="Times New Roman" w:hAnsi="Times New Roman" w:cs="Times New Roman"/>
          <w:color w:val="auto"/>
          <w:sz w:val="28"/>
          <w:szCs w:val="28"/>
          <w:lang w:val="uk-UA"/>
        </w:rPr>
        <w:t>зменшились у I групі – на 70,2%, у II групі – на 80,6%, у III групі – на 70,3%, у IV групі – на 81,8%, у V групі – на 55,4%, у VI групі – на 66,2%, у VII групі – на 72,1%, у VIII групі – на 60,0%, у IX групі – на 81,9%, у X групі – на 58,3%, у XІ  – на 69,2%, у XІІ – на 60,2%, у XІІІ – на 57,9%, у XIV групі – на 58,3% (табл. 4.1, рис. 4.2).</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lastRenderedPageBreak/>
        <w:t>На 42 добу експерименту середня кількість вертикальних стійок достовірно (</w:t>
      </w:r>
      <w:r w:rsidRPr="00BE086B">
        <w:rPr>
          <w:rFonts w:ascii="Times New Roman" w:hAnsi="Times New Roman" w:cs="Times New Roman"/>
          <w:color w:val="auto"/>
          <w:sz w:val="28"/>
          <w:szCs w:val="28"/>
          <w:lang w:val="uk-UA" w:eastAsia="ru-RU"/>
        </w:rPr>
        <w:t>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eastAsia="ru-RU"/>
        </w:rPr>
        <w:t xml:space="preserve">0,05) </w:t>
      </w:r>
      <w:r w:rsidRPr="00BE086B">
        <w:rPr>
          <w:rFonts w:ascii="Times New Roman" w:hAnsi="Times New Roman" w:cs="Times New Roman"/>
          <w:color w:val="auto"/>
          <w:sz w:val="28"/>
          <w:szCs w:val="28"/>
          <w:lang w:val="uk-UA"/>
        </w:rPr>
        <w:t>зменшилась у I групі – на 82,6%, у II групі – на 85,1%, у III групі – на 80,6%, у IV групі – на 79,4%, у V групі – на 56,0%, у VI групі – на 67,3%, у VII групі – на 87,3%, у IX групі – на 89,6%, у X групі - на 74,1%, у XІ  – на 86,4%, у XІІ – на 63,7%, у XІІІ – на 72,4%, у XIV групі – на 74,1% (табл. 4.1, рис. 4.3).</w:t>
      </w:r>
    </w:p>
    <w:p w:rsidR="00F641E8" w:rsidRPr="00BE086B" w:rsidRDefault="009B135A" w:rsidP="006A17D0">
      <w:pPr>
        <w:pStyle w:val="WW-"/>
        <w:spacing w:after="0" w:line="360" w:lineRule="auto"/>
        <w:jc w:val="center"/>
        <w:rPr>
          <w:rFonts w:ascii="Times New Roman" w:hAnsi="Times New Roman" w:cs="Times New Roman"/>
          <w:b/>
          <w:color w:val="auto"/>
          <w:sz w:val="28"/>
          <w:szCs w:val="28"/>
          <w:lang w:val="uk-UA" w:eastAsia="ru-RU"/>
        </w:rPr>
      </w:pPr>
      <w:bookmarkStart w:id="6" w:name="_1678729585"/>
      <w:bookmarkEnd w:id="6"/>
      <w:r>
        <w:rPr>
          <w:rFonts w:ascii="Times New Roman" w:hAnsi="Times New Roman" w:cs="Times New Roman"/>
          <w:b/>
          <w:noProof/>
          <w:color w:val="auto"/>
          <w:sz w:val="28"/>
          <w:szCs w:val="28"/>
          <w:lang w:eastAsia="ru-RU"/>
        </w:rPr>
        <w:drawing>
          <wp:inline distT="0" distB="0" distL="0" distR="0">
            <wp:extent cx="5522400" cy="4104000"/>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3.jpg"/>
                    <pic:cNvPicPr/>
                  </pic:nvPicPr>
                  <pic:blipFill>
                    <a:blip r:embed="rId19">
                      <a:extLst>
                        <a:ext uri="{28A0092B-C50C-407E-A947-70E740481C1C}">
                          <a14:useLocalDpi xmlns:a14="http://schemas.microsoft.com/office/drawing/2010/main" val="0"/>
                        </a:ext>
                      </a:extLst>
                    </a:blip>
                    <a:stretch>
                      <a:fillRect/>
                    </a:stretch>
                  </pic:blipFill>
                  <pic:spPr>
                    <a:xfrm>
                      <a:off x="0" y="0"/>
                      <a:ext cx="5522400" cy="4104000"/>
                    </a:xfrm>
                    <a:prstGeom prst="rect">
                      <a:avLst/>
                    </a:prstGeom>
                  </pic:spPr>
                </pic:pic>
              </a:graphicData>
            </a:graphic>
          </wp:inline>
        </w:drawing>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4.3.</w:t>
      </w:r>
      <w:r w:rsidRPr="00BE086B">
        <w:rPr>
          <w:rFonts w:ascii="Times New Roman" w:hAnsi="Times New Roman" w:cs="Times New Roman"/>
          <w:color w:val="auto"/>
          <w:sz w:val="28"/>
          <w:szCs w:val="28"/>
          <w:lang w:val="uk-UA" w:eastAsia="ru-RU"/>
        </w:rPr>
        <w:t xml:space="preserve"> Зміни показників </w:t>
      </w:r>
      <w:r w:rsidRPr="00BE086B">
        <w:rPr>
          <w:rFonts w:ascii="Times New Roman" w:hAnsi="Times New Roman" w:cs="Times New Roman"/>
          <w:color w:val="auto"/>
          <w:sz w:val="28"/>
          <w:szCs w:val="28"/>
          <w:lang w:val="uk-UA"/>
        </w:rPr>
        <w:t xml:space="preserve">кількості вертикальних стійок </w:t>
      </w:r>
      <w:r w:rsidRPr="00BE086B">
        <w:rPr>
          <w:rFonts w:ascii="Times New Roman" w:hAnsi="Times New Roman" w:cs="Times New Roman"/>
          <w:color w:val="auto"/>
          <w:sz w:val="28"/>
          <w:szCs w:val="28"/>
          <w:lang w:val="uk-UA" w:eastAsia="ru-RU"/>
        </w:rPr>
        <w:t xml:space="preserve">у тесті «відкрите поле» у щурів </w:t>
      </w:r>
      <w:r w:rsidRPr="00BE086B">
        <w:rPr>
          <w:rFonts w:ascii="Times New Roman" w:hAnsi="Times New Roman" w:cs="Times New Roman"/>
          <w:color w:val="auto"/>
          <w:sz w:val="28"/>
          <w:szCs w:val="28"/>
          <w:lang w:val="uk-UA"/>
        </w:rPr>
        <w:t>груп дослідження на 42 добу експерименту (% змін показника відносно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 xml:space="preserve">Примітка. </w: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eastAsia="en-US"/>
        </w:rPr>
        <w:t>&gt; </w:t>
      </w:r>
      <w:r w:rsidRPr="00BE086B">
        <w:rPr>
          <w:sz w:val="28"/>
          <w:szCs w:val="28"/>
          <w:lang w:val="uk-UA" w:eastAsia="ru-RU"/>
        </w:rPr>
        <w:t>0,05; в інших випадках – р </w:t>
      </w:r>
      <w:r w:rsidRPr="00BE086B">
        <w:rPr>
          <w:rFonts w:eastAsia="Calibri"/>
          <w:iCs/>
          <w:sz w:val="28"/>
          <w:szCs w:val="28"/>
          <w:lang w:val="uk-UA" w:eastAsia="en-US"/>
        </w:rPr>
        <w:t>&lt; </w:t>
      </w:r>
      <w:r w:rsidRPr="00BE086B">
        <w:rPr>
          <w:sz w:val="28"/>
          <w:szCs w:val="28"/>
          <w:lang w:val="uk-UA" w:eastAsia="ru-RU"/>
        </w:rPr>
        <w:t>0,05 по відношенню до показників вихідного стану (ВС) у відповідній групі.</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eastAsia="ru-RU"/>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За показниками емоційного компоненту встановлено вірогідне (</w:t>
      </w:r>
      <w:r w:rsidRPr="00BE086B">
        <w:rPr>
          <w:rFonts w:ascii="Times New Roman" w:hAnsi="Times New Roman" w:cs="Times New Roman"/>
          <w:color w:val="auto"/>
          <w:sz w:val="28"/>
          <w:szCs w:val="28"/>
          <w:lang w:val="uk-UA" w:eastAsia="ru-RU"/>
        </w:rPr>
        <w:t>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eastAsia="ru-RU"/>
        </w:rPr>
        <w:t xml:space="preserve">0,05) </w:t>
      </w:r>
      <w:r w:rsidRPr="00BE086B">
        <w:rPr>
          <w:rFonts w:ascii="Times New Roman" w:hAnsi="Times New Roman" w:cs="Times New Roman"/>
          <w:color w:val="auto"/>
          <w:sz w:val="28"/>
          <w:szCs w:val="28"/>
          <w:lang w:val="uk-UA"/>
        </w:rPr>
        <w:t xml:space="preserve">зменшення актів грумінгу на 42 добу експерименту в I групі – на 45,7%, у II групі – на 77,1%, у III групі – на 78,1%, у IV групі – на 66,7%, у VI групі – на </w:t>
      </w:r>
      <w:r w:rsidRPr="00BE086B">
        <w:rPr>
          <w:rFonts w:ascii="Times New Roman" w:hAnsi="Times New Roman" w:cs="Times New Roman"/>
          <w:color w:val="auto"/>
          <w:sz w:val="28"/>
          <w:szCs w:val="28"/>
          <w:lang w:val="uk-UA"/>
        </w:rPr>
        <w:lastRenderedPageBreak/>
        <w:t>35,4%, у VII групі – на 62,0%, у IX групі – на 35,2%, у X групі – на 33,3%, у XІ  – на 77,9%, у XIV групі – на 33,3% (табл. 4.1, рис. 4.4).</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rPr>
      </w:pPr>
    </w:p>
    <w:p w:rsidR="00F641E8" w:rsidRPr="00BE086B" w:rsidRDefault="009B135A" w:rsidP="006A17D0">
      <w:pPr>
        <w:pStyle w:val="WW-"/>
        <w:spacing w:after="0" w:line="360" w:lineRule="auto"/>
        <w:jc w:val="center"/>
        <w:rPr>
          <w:rFonts w:ascii="Times New Roman" w:hAnsi="Times New Roman" w:cs="Times New Roman"/>
          <w:b/>
          <w:color w:val="auto"/>
          <w:sz w:val="28"/>
          <w:szCs w:val="28"/>
          <w:lang w:val="uk-UA" w:eastAsia="ru-RU"/>
        </w:rPr>
      </w:pPr>
      <w:bookmarkStart w:id="7" w:name="_1678758105"/>
      <w:bookmarkEnd w:id="7"/>
      <w:r>
        <w:rPr>
          <w:rFonts w:ascii="Times New Roman" w:hAnsi="Times New Roman" w:cs="Times New Roman"/>
          <w:b/>
          <w:noProof/>
          <w:color w:val="auto"/>
          <w:sz w:val="28"/>
          <w:szCs w:val="28"/>
          <w:lang w:eastAsia="ru-RU"/>
        </w:rPr>
        <w:drawing>
          <wp:inline distT="0" distB="0" distL="0" distR="0">
            <wp:extent cx="5522400" cy="4561200"/>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4.jpg"/>
                    <pic:cNvPicPr/>
                  </pic:nvPicPr>
                  <pic:blipFill>
                    <a:blip r:embed="rId20">
                      <a:extLst>
                        <a:ext uri="{28A0092B-C50C-407E-A947-70E740481C1C}">
                          <a14:useLocalDpi xmlns:a14="http://schemas.microsoft.com/office/drawing/2010/main" val="0"/>
                        </a:ext>
                      </a:extLst>
                    </a:blip>
                    <a:stretch>
                      <a:fillRect/>
                    </a:stretch>
                  </pic:blipFill>
                  <pic:spPr>
                    <a:xfrm>
                      <a:off x="0" y="0"/>
                      <a:ext cx="5522400" cy="4561200"/>
                    </a:xfrm>
                    <a:prstGeom prst="rect">
                      <a:avLst/>
                    </a:prstGeom>
                  </pic:spPr>
                </pic:pic>
              </a:graphicData>
            </a:graphic>
          </wp:inline>
        </w:drawing>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4.4.</w:t>
      </w:r>
      <w:r w:rsidRPr="00BE086B">
        <w:rPr>
          <w:rFonts w:ascii="Times New Roman" w:hAnsi="Times New Roman" w:cs="Times New Roman"/>
          <w:color w:val="auto"/>
          <w:sz w:val="28"/>
          <w:szCs w:val="28"/>
          <w:lang w:val="uk-UA" w:eastAsia="ru-RU"/>
        </w:rPr>
        <w:t xml:space="preserve"> Зміни показників </w:t>
      </w:r>
      <w:r w:rsidRPr="00BE086B">
        <w:rPr>
          <w:rFonts w:ascii="Times New Roman" w:hAnsi="Times New Roman" w:cs="Times New Roman"/>
          <w:color w:val="auto"/>
          <w:sz w:val="28"/>
          <w:szCs w:val="28"/>
          <w:lang w:val="uk-UA"/>
        </w:rPr>
        <w:t xml:space="preserve">актів грумінгу </w:t>
      </w:r>
      <w:r w:rsidRPr="00BE086B">
        <w:rPr>
          <w:rFonts w:ascii="Times New Roman" w:hAnsi="Times New Roman" w:cs="Times New Roman"/>
          <w:color w:val="auto"/>
          <w:sz w:val="28"/>
          <w:szCs w:val="28"/>
          <w:lang w:val="uk-UA" w:eastAsia="ru-RU"/>
        </w:rPr>
        <w:t xml:space="preserve">у тесті «відкрите поле» у щурів </w:t>
      </w:r>
      <w:r w:rsidRPr="00BE086B">
        <w:rPr>
          <w:rFonts w:ascii="Times New Roman" w:hAnsi="Times New Roman" w:cs="Times New Roman"/>
          <w:color w:val="auto"/>
          <w:sz w:val="28"/>
          <w:szCs w:val="28"/>
          <w:lang w:val="uk-UA"/>
        </w:rPr>
        <w:t>груп дослідження на 42 добу експерименту (% змін показника відносно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 xml:space="preserve">Примітка. </w: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eastAsia="en-US"/>
        </w:rPr>
        <w:t>&gt; </w:t>
      </w:r>
      <w:r w:rsidRPr="00BE086B">
        <w:rPr>
          <w:sz w:val="28"/>
          <w:szCs w:val="28"/>
          <w:lang w:val="uk-UA" w:eastAsia="ru-RU"/>
        </w:rPr>
        <w:t>0,05; в інших випадках – р </w:t>
      </w:r>
      <w:r w:rsidRPr="00BE086B">
        <w:rPr>
          <w:rFonts w:eastAsia="Calibri"/>
          <w:iCs/>
          <w:sz w:val="28"/>
          <w:szCs w:val="28"/>
          <w:lang w:val="uk-UA" w:eastAsia="en-US"/>
        </w:rPr>
        <w:t>&lt; </w:t>
      </w:r>
      <w:r w:rsidRPr="00BE086B">
        <w:rPr>
          <w:sz w:val="28"/>
          <w:szCs w:val="28"/>
          <w:lang w:val="uk-UA" w:eastAsia="ru-RU"/>
        </w:rPr>
        <w:t>0,05 по відношенню до показників вихідного стану (ВС) у відповідній групі.</w:t>
      </w:r>
    </w:p>
    <w:p w:rsidR="00F641E8" w:rsidRDefault="00F641E8" w:rsidP="008E5DEF">
      <w:pPr>
        <w:pStyle w:val="WW-"/>
        <w:spacing w:after="0" w:line="360" w:lineRule="auto"/>
        <w:ind w:firstLine="709"/>
        <w:jc w:val="both"/>
        <w:rPr>
          <w:rFonts w:ascii="Times New Roman" w:hAnsi="Times New Roman" w:cs="Times New Roman"/>
          <w:color w:val="auto"/>
          <w:sz w:val="28"/>
          <w:szCs w:val="28"/>
          <w:lang w:val="uk-UA" w:eastAsia="ru-RU"/>
        </w:rPr>
      </w:pPr>
    </w:p>
    <w:p w:rsidR="00773E06" w:rsidRPr="00BE086B" w:rsidRDefault="00773E06" w:rsidP="008E5DEF">
      <w:pPr>
        <w:pStyle w:val="WW-"/>
        <w:spacing w:after="0" w:line="360" w:lineRule="auto"/>
        <w:ind w:firstLine="709"/>
        <w:jc w:val="both"/>
        <w:rPr>
          <w:rFonts w:ascii="Times New Roman" w:hAnsi="Times New Roman" w:cs="Times New Roman"/>
          <w:color w:val="auto"/>
          <w:sz w:val="28"/>
          <w:szCs w:val="28"/>
          <w:lang w:val="uk-UA" w:eastAsia="ru-RU"/>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Кількість болюсів дефекації на 42 добу достовірно (</w:t>
      </w:r>
      <w:r w:rsidRPr="00BE086B">
        <w:rPr>
          <w:rFonts w:ascii="Times New Roman" w:hAnsi="Times New Roman" w:cs="Times New Roman"/>
          <w:color w:val="auto"/>
          <w:sz w:val="28"/>
          <w:szCs w:val="28"/>
          <w:lang w:val="uk-UA" w:eastAsia="ru-RU"/>
        </w:rPr>
        <w:t>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eastAsia="ru-RU"/>
        </w:rPr>
        <w:t xml:space="preserve">0,05) </w:t>
      </w:r>
      <w:r w:rsidRPr="00BE086B">
        <w:rPr>
          <w:rFonts w:ascii="Times New Roman" w:hAnsi="Times New Roman" w:cs="Times New Roman"/>
          <w:color w:val="auto"/>
          <w:sz w:val="28"/>
          <w:szCs w:val="28"/>
          <w:lang w:val="uk-UA"/>
        </w:rPr>
        <w:t>знизилась у II групі – на 30,7%, у V групі – на 43,2%, у IX групі – на 58,0%, у X групі – на 44,2%, у XІІІ – на 60,0%, у XIV групі – на 44,2% (табл. 4.1).</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lastRenderedPageBreak/>
        <w:t>Виявлені зміни у тесті «відкрите поле» свідчать про пригнічення рухової та дослідницької активності тварин на фоні наростання патологічних змін під впливом експериментальних моделей. Зменшення рухової активності може також свідчити про розвиток болю у колінних суглобах тварин, що обмежує їх пересування. Вегетативний компонент емоційних реакцій зменшився у всіх групах тварин, що за даними літератури є проявом пригнічення емоційної лабільності щурів за умов стресу.</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З огляду на отримані результати на 42 добу експерименту можна стверджувати, що вони відображають пригнічення спонтанної поведінкової активності та емоційної лабільності щурів на тлі наростання патологічних змін та підтверджують адекватність виконаних експериментальних моделей.</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Взагалі аналіз змін у тесті «відкрите поле» на 42 добу експерименту (завершення формування експериментальних моделей) виявив пригнічення спонтанної поведінкової активності та емоційної лабільності щурів на тлі наростання патологічних змін обумовлених експериментальним ОА та ГІТ у порівнянні з вихідним станом (ВС) (р</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0,05).</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При аналізі отриманих результатів на 47 добу експерименту встановлено, що у I групі щурів спостерігалось подальше достовірне пригнічення рухової та дослідницької активності на тлі наростання патологічних змін під впливом експериментальних моделей. Зокрема, протягом 47 діб рухова активність за показниками пересічених квадратів знизилась на 52,7%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та за кількістю вертикальних стійок зменшилась на 73,1%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При цьому кількість заглядань у «нірки» зменшилась на 73,2%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а кількість актів грумінгу – на 54,3%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Водночас, кількість болюсів дефекації підвищилась вдвічі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у порівнянні з показниками ВС (табл. 4.1, рис. 4.5А).</w:t>
      </w:r>
    </w:p>
    <w:p w:rsidR="003D707F" w:rsidRDefault="009B135A" w:rsidP="003D707F">
      <w:pPr>
        <w:pStyle w:val="WW-"/>
        <w:spacing w:after="0" w:line="360" w:lineRule="auto"/>
        <w:jc w:val="center"/>
        <w:rPr>
          <w:rFonts w:ascii="Times New Roman" w:hAnsi="Times New Roman" w:cs="Times New Roman"/>
          <w:color w:val="auto"/>
          <w:sz w:val="28"/>
          <w:szCs w:val="28"/>
          <w:lang w:val="uk-UA"/>
        </w:rPr>
      </w:pPr>
      <w:r>
        <w:rPr>
          <w:rFonts w:ascii="Times New Roman" w:hAnsi="Times New Roman" w:cs="Times New Roman"/>
          <w:noProof/>
          <w:color w:val="auto"/>
          <w:sz w:val="28"/>
          <w:szCs w:val="28"/>
          <w:lang w:eastAsia="ru-RU"/>
        </w:rPr>
        <w:lastRenderedPageBreak/>
        <w:drawing>
          <wp:inline distT="0" distB="0" distL="0" distR="0">
            <wp:extent cx="5876925" cy="25527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5.jpg"/>
                    <pic:cNvPicPr/>
                  </pic:nvPicPr>
                  <pic:blipFill>
                    <a:blip r:embed="rId21">
                      <a:extLst>
                        <a:ext uri="{28A0092B-C50C-407E-A947-70E740481C1C}">
                          <a14:useLocalDpi xmlns:a14="http://schemas.microsoft.com/office/drawing/2010/main" val="0"/>
                        </a:ext>
                      </a:extLst>
                    </a:blip>
                    <a:stretch>
                      <a:fillRect/>
                    </a:stretch>
                  </pic:blipFill>
                  <pic:spPr>
                    <a:xfrm>
                      <a:off x="0" y="0"/>
                      <a:ext cx="5876925" cy="2552700"/>
                    </a:xfrm>
                    <a:prstGeom prst="rect">
                      <a:avLst/>
                    </a:prstGeom>
                  </pic:spPr>
                </pic:pic>
              </a:graphicData>
            </a:graphic>
          </wp:inline>
        </w:drawing>
      </w:r>
    </w:p>
    <w:p w:rsidR="00F641E8" w:rsidRPr="00BE086B" w:rsidRDefault="00F641E8" w:rsidP="006A17D0">
      <w:pPr>
        <w:pStyle w:val="WW-"/>
        <w:spacing w:after="0" w:line="360" w:lineRule="auto"/>
        <w:ind w:firstLine="709"/>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А</w:t>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t>Б</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4.5.</w:t>
      </w:r>
      <w:r w:rsidRPr="00BE086B">
        <w:rPr>
          <w:rFonts w:ascii="Times New Roman" w:hAnsi="Times New Roman" w:cs="Times New Roman"/>
          <w:color w:val="auto"/>
          <w:sz w:val="28"/>
          <w:szCs w:val="28"/>
          <w:lang w:val="uk-UA" w:eastAsia="ru-RU"/>
        </w:rPr>
        <w:t xml:space="preserve"> Показники тесту «відкрите поле» у щурів </w:t>
      </w:r>
      <w:r w:rsidRPr="00BE086B">
        <w:rPr>
          <w:rFonts w:ascii="Times New Roman" w:hAnsi="Times New Roman" w:cs="Times New Roman"/>
          <w:color w:val="auto"/>
          <w:sz w:val="28"/>
          <w:szCs w:val="28"/>
          <w:lang w:val="uk-UA"/>
        </w:rPr>
        <w:t>І (А) і ІІ (Б) групи на 47 добу експерименту (пік формування патологічних змін) (у % до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Примітка</w:t>
      </w:r>
      <w:r w:rsidRPr="00BE086B">
        <w:rPr>
          <w:sz w:val="28"/>
          <w:szCs w:val="28"/>
          <w:lang w:val="uk-UA"/>
        </w:rPr>
        <w:t>.</w:t>
      </w:r>
      <w:r w:rsidRPr="00BE086B">
        <w:rPr>
          <w:lang w:val="uk-UA"/>
        </w:rPr>
        <w:t xml:space="preserve"> </w:t>
      </w:r>
      <w:r w:rsidR="00AF27FE" w:rsidRPr="00BE086B">
        <w:rPr>
          <w:noProof/>
          <w:sz w:val="28"/>
          <w:szCs w:val="28"/>
          <w:lang w:eastAsia="ru-RU"/>
        </w:rPr>
        <mc:AlternateContent>
          <mc:Choice Requires="wps">
            <w:drawing>
              <wp:anchor distT="0" distB="0" distL="114300" distR="114300" simplePos="0" relativeHeight="251643904" behindDoc="0" locked="0" layoutInCell="1" allowOverlap="1">
                <wp:simplePos x="0" y="0"/>
                <wp:positionH relativeFrom="column">
                  <wp:posOffset>1369695</wp:posOffset>
                </wp:positionH>
                <wp:positionV relativeFrom="paragraph">
                  <wp:posOffset>55245</wp:posOffset>
                </wp:positionV>
                <wp:extent cx="53975" cy="53975"/>
                <wp:effectExtent l="20955" t="26035" r="20320" b="24765"/>
                <wp:wrapNone/>
                <wp:docPr id="49"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rect">
                          <a:avLst/>
                        </a:prstGeom>
                        <a:solidFill>
                          <a:srgbClr val="C00000"/>
                        </a:solidFill>
                        <a:ln w="38160" cap="sq">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D2710C3" id="Прямоугольник 7" o:spid="_x0000_s1026" style="position:absolute;margin-left:107.85pt;margin-top:4.35pt;width:4.25pt;height:4.25pt;z-index:251643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" fillcolor="#c00000" strokecolor="#c00000" strokeweight="1.06mm">
                <v:stroke endcap="square"/>
              </v:rect>
            </w:pict>
          </mc:Fallback>
        </mc:AlternateConten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rPr>
        <w:t>&gt; </w:t>
      </w:r>
      <w:r w:rsidRPr="00BE086B">
        <w:rPr>
          <w:sz w:val="28"/>
          <w:szCs w:val="28"/>
          <w:lang w:val="uk-UA" w:eastAsia="ru-RU"/>
        </w:rPr>
        <w:t>0,05; в інших випадках – р </w:t>
      </w:r>
      <w:r w:rsidRPr="00BE086B">
        <w:rPr>
          <w:rFonts w:eastAsia="Calibri"/>
          <w:iCs/>
          <w:sz w:val="28"/>
          <w:szCs w:val="28"/>
          <w:lang w:val="uk-UA"/>
        </w:rPr>
        <w:t>&lt; </w:t>
      </w:r>
      <w:r w:rsidRPr="00BE086B">
        <w:rPr>
          <w:sz w:val="28"/>
          <w:szCs w:val="28"/>
          <w:lang w:val="uk-UA" w:eastAsia="ru-RU"/>
        </w:rPr>
        <w:t>0,05 по відношенню до показників вихідного стану (ВС).</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eastAsia="ru-RU"/>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Таким чином, спостерігалась подальша тенденція пригнічення рухової та дослідницької активності тварин на фоні наростання патологічних змін під впливом експериментальних моделей та відсутності прийому препаратів. Проте підвищення кількості болюсів дефекації на фоні зниження актів грумінгу свідчить про тенденцію щодо підвищення емоційної лабільності щурів за умов стресу та поступову активацію вегетативної нервової системи при подальшому розвитку патологічних станів.</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За умов отримання L-тироксину (II група) у дозі 1,5 мкг/кг спостерігались наступні зміни рухової активності: кількість пересічених квадратів на 42 добу моделювання експериментальних еквівалентів гіпотиреозу та остеоартрозу була знижена на 61,2%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а після 5-добового введення Т цей показник був знижений на 52,9%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відносно ВС. Кількість заглядань у «нірки» на 47 добу знизилась на 50,2%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а кількість вертикальних стійок на 47 добу - на 55,4%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відносно ВС. </w:t>
      </w:r>
      <w:r w:rsidRPr="00BE086B">
        <w:rPr>
          <w:rFonts w:ascii="Times New Roman" w:hAnsi="Times New Roman" w:cs="Times New Roman"/>
          <w:color w:val="auto"/>
          <w:sz w:val="28"/>
          <w:szCs w:val="28"/>
          <w:lang w:val="uk-UA"/>
        </w:rPr>
        <w:lastRenderedPageBreak/>
        <w:t xml:space="preserve">Психоемоційний стан тварин за умов отримання L-тироксину (II група) на 47 добу дослідження характеризувався зниженням кількості актів грумінгу на 31,6%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відносно ВС (табл. 4.1, рис. 4.5Б). Причому майже усі ці показники, крім кількості пересичених квадратів, у IІ групі були вірогідно вищими у порівнянні з відповідними показниками у І групі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Отже, отримані результати висвітлюють тенденцію відновлення показників спонтанної поведінкової активності (відносно ВС), що у порівнянні з показниками I групи свідчать о спроможності L-тироксину впливати на сформовані патологічні моделі. Вегетативний компонент емоційних реакцій у щурів II групи характеризувався пригніченням емоційної лабільності щурів за умов призначення L-тироксину.</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Призначення диклофенаку натрію (III група) на 47 добу призвело до зниження кількості пересічених квадратів, стійок та заглядань у «нірки» на 30,3%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84,7%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та 56,3%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відповідно, а кількість актів грумінгу та болюсів знизились на 47,9%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та 15,3% (р </w:t>
      </w:r>
      <w:r w:rsidRPr="00BE086B">
        <w:rPr>
          <w:rFonts w:ascii="Times New Roman" w:eastAsia="Calibri" w:hAnsi="Times New Roman" w:cs="Times New Roman"/>
          <w:iCs/>
          <w:color w:val="auto"/>
          <w:sz w:val="28"/>
          <w:szCs w:val="28"/>
          <w:lang w:val="uk-UA" w:eastAsia="en-US"/>
        </w:rPr>
        <w:t>&gt;</w:t>
      </w:r>
      <w:r w:rsidRPr="00BE086B">
        <w:rPr>
          <w:rFonts w:ascii="Times New Roman" w:hAnsi="Times New Roman" w:cs="Times New Roman"/>
          <w:color w:val="auto"/>
          <w:sz w:val="28"/>
          <w:szCs w:val="28"/>
          <w:lang w:val="uk-UA"/>
        </w:rPr>
        <w:t xml:space="preserve"> 0,05) відповідно відносно ВС (табл. 4.1, рис. 4.6А).</w:t>
      </w:r>
    </w:p>
    <w:p w:rsidR="005A691C" w:rsidRDefault="005A691C" w:rsidP="00CC2AC3">
      <w:pPr>
        <w:pStyle w:val="WW-"/>
        <w:spacing w:after="0" w:line="360" w:lineRule="auto"/>
        <w:ind w:firstLine="709"/>
        <w:jc w:val="center"/>
        <w:rPr>
          <w:rFonts w:ascii="Times New Roman" w:hAnsi="Times New Roman" w:cs="Times New Roman"/>
          <w:color w:val="auto"/>
          <w:sz w:val="28"/>
          <w:szCs w:val="28"/>
          <w:lang w:val="uk-UA"/>
        </w:rPr>
      </w:pPr>
      <w:r>
        <w:rPr>
          <w:rFonts w:ascii="Times New Roman" w:hAnsi="Times New Roman" w:cs="Times New Roman"/>
          <w:noProof/>
          <w:color w:val="auto"/>
          <w:sz w:val="28"/>
          <w:szCs w:val="28"/>
          <w:lang w:eastAsia="ru-RU"/>
        </w:rPr>
        <w:drawing>
          <wp:inline distT="0" distB="0" distL="0" distR="0">
            <wp:extent cx="5157788" cy="2319338"/>
            <wp:effectExtent l="0" t="0" r="508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6.jpg"/>
                    <pic:cNvPicPr/>
                  </pic:nvPicPr>
                  <pic:blipFill>
                    <a:blip r:embed="rId22">
                      <a:extLst>
                        <a:ext uri="{28A0092B-C50C-407E-A947-70E740481C1C}">
                          <a14:useLocalDpi xmlns:a14="http://schemas.microsoft.com/office/drawing/2010/main" val="0"/>
                        </a:ext>
                      </a:extLst>
                    </a:blip>
                    <a:stretch>
                      <a:fillRect/>
                    </a:stretch>
                  </pic:blipFill>
                  <pic:spPr>
                    <a:xfrm>
                      <a:off x="0" y="0"/>
                      <a:ext cx="5157788" cy="2319338"/>
                    </a:xfrm>
                    <a:prstGeom prst="rect">
                      <a:avLst/>
                    </a:prstGeom>
                  </pic:spPr>
                </pic:pic>
              </a:graphicData>
            </a:graphic>
          </wp:inline>
        </w:drawing>
      </w:r>
    </w:p>
    <w:p w:rsidR="00F641E8" w:rsidRPr="00BE086B" w:rsidRDefault="00F641E8" w:rsidP="00CC2AC3">
      <w:pPr>
        <w:pStyle w:val="WW-"/>
        <w:spacing w:after="0" w:line="360" w:lineRule="auto"/>
        <w:ind w:firstLine="709"/>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А</w:t>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t>Б</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4.6.</w:t>
      </w:r>
      <w:r w:rsidRPr="00BE086B">
        <w:rPr>
          <w:rFonts w:ascii="Times New Roman" w:hAnsi="Times New Roman" w:cs="Times New Roman"/>
          <w:color w:val="auto"/>
          <w:sz w:val="28"/>
          <w:szCs w:val="28"/>
          <w:lang w:val="uk-UA" w:eastAsia="ru-RU"/>
        </w:rPr>
        <w:t xml:space="preserve"> Показники тесту «відкрите поле» у щурів </w:t>
      </w:r>
      <w:r w:rsidRPr="00BE086B">
        <w:rPr>
          <w:rFonts w:ascii="Times New Roman" w:hAnsi="Times New Roman" w:cs="Times New Roman"/>
          <w:color w:val="auto"/>
          <w:sz w:val="28"/>
          <w:szCs w:val="28"/>
          <w:lang w:val="uk-UA"/>
        </w:rPr>
        <w:t>ІІІ (А) і IV (Б) групи на 47 добу експерименту (пік формування патологічних змін) (у % до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Примітка</w:t>
      </w:r>
      <w:r w:rsidRPr="00BE086B">
        <w:rPr>
          <w:sz w:val="28"/>
          <w:szCs w:val="28"/>
          <w:lang w:val="uk-UA"/>
        </w:rPr>
        <w:t>.</w:t>
      </w:r>
      <w:r w:rsidRPr="00BE086B">
        <w:rPr>
          <w:lang w:val="uk-UA"/>
        </w:rPr>
        <w:t xml:space="preserve"> </w:t>
      </w:r>
      <w:r w:rsidR="00AF27FE" w:rsidRPr="00BE086B">
        <w:rPr>
          <w:noProof/>
          <w:sz w:val="28"/>
          <w:szCs w:val="28"/>
          <w:lang w:eastAsia="ru-RU"/>
        </w:rPr>
        <mc:AlternateContent>
          <mc:Choice Requires="wps">
            <w:drawing>
              <wp:anchor distT="0" distB="0" distL="114300" distR="114300" simplePos="0" relativeHeight="251644928" behindDoc="0" locked="0" layoutInCell="1" allowOverlap="1">
                <wp:simplePos x="0" y="0"/>
                <wp:positionH relativeFrom="column">
                  <wp:posOffset>1369695</wp:posOffset>
                </wp:positionH>
                <wp:positionV relativeFrom="paragraph">
                  <wp:posOffset>55245</wp:posOffset>
                </wp:positionV>
                <wp:extent cx="53975" cy="53975"/>
                <wp:effectExtent l="20955" t="27305" r="20320" b="23495"/>
                <wp:wrapNone/>
                <wp:docPr id="48"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rect">
                          <a:avLst/>
                        </a:prstGeom>
                        <a:solidFill>
                          <a:srgbClr val="C00000"/>
                        </a:solidFill>
                        <a:ln w="38160" cap="sq">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EDE5683" id="Прямоугольник 7" o:spid="_x0000_s1026" style="position:absolute;margin-left:107.85pt;margin-top:4.35pt;width:4.25pt;height:4.25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" fillcolor="#c00000" strokecolor="#c00000" strokeweight="1.06mm">
                <v:stroke endcap="square"/>
              </v:rect>
            </w:pict>
          </mc:Fallback>
        </mc:AlternateConten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rPr>
        <w:t>&gt; </w:t>
      </w:r>
      <w:r w:rsidRPr="00BE086B">
        <w:rPr>
          <w:sz w:val="28"/>
          <w:szCs w:val="28"/>
          <w:lang w:val="uk-UA" w:eastAsia="ru-RU"/>
        </w:rPr>
        <w:t>0,05; в інших випадках – р </w:t>
      </w:r>
      <w:r w:rsidRPr="00BE086B">
        <w:rPr>
          <w:rFonts w:eastAsia="Calibri"/>
          <w:iCs/>
          <w:sz w:val="28"/>
          <w:szCs w:val="28"/>
          <w:lang w:val="uk-UA"/>
        </w:rPr>
        <w:t>&lt; </w:t>
      </w:r>
      <w:r w:rsidRPr="00BE086B">
        <w:rPr>
          <w:sz w:val="28"/>
          <w:szCs w:val="28"/>
          <w:lang w:val="uk-UA" w:eastAsia="ru-RU"/>
        </w:rPr>
        <w:t>0,05 по відношенню до показників вихідного стану (ВС).</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lastRenderedPageBreak/>
        <w:t xml:space="preserve">При призначенні диклофенаку натрію сумісно з L-тироксином (IV група) статистично достовірні результати отримані тільки за кількістю актів грумінгу, які зменшились на 38,7% (р </w:t>
      </w:r>
      <w:r w:rsidRPr="00BE086B">
        <w:rPr>
          <w:rFonts w:ascii="Times New Roman" w:eastAsia="Calibri" w:hAnsi="Times New Roman" w:cs="Times New Roman"/>
          <w:iCs/>
          <w:color w:val="auto"/>
          <w:sz w:val="28"/>
          <w:szCs w:val="28"/>
          <w:lang w:val="uk-UA"/>
        </w:rPr>
        <w:t>&lt;</w:t>
      </w:r>
      <w:r w:rsidRPr="00BE086B">
        <w:rPr>
          <w:rFonts w:ascii="Times New Roman" w:hAnsi="Times New Roman" w:cs="Times New Roman"/>
          <w:color w:val="auto"/>
          <w:sz w:val="28"/>
          <w:szCs w:val="28"/>
          <w:lang w:val="uk-UA"/>
        </w:rPr>
        <w:t xml:space="preserve"> 0,05) відносно ВС (табл. 4.1, рис. 4.6Б).</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Таким чином, призначення диклофенаку натрію сумісно з L-тироксином сприяє більш ефективному відновленню рухової та дослідницької активності у порівнянні з призначенням тільки L-тироксину, а вегетативний компонент емоційних реакцій у щурів III та IV груп на 47 добу характеризувався пригніченням емоційної лабільності.</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При призначенні ібупрофену (V група) статистично достовірні результати на 47 добу експерименту отримані тільки за показниками кількості пересічених квадратів та стійок, які були знижені на 28,0% і на  34,8% відносно ВС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(табл. 4.1, рис. 4.7А). Сумісне призначення ібупрофену та L-тироксину (VI група) на 47 добу експерименту призвело до зниження відносно ВС кількості пересічених квадратів на 20,1%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а кількості актів грумінгу на 35,4%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(табл. 4.1, рис. 4.7Б).</w:t>
      </w:r>
    </w:p>
    <w:p w:rsidR="005A691C" w:rsidRDefault="005A691C" w:rsidP="008E5DEF">
      <w:pPr>
        <w:pStyle w:val="western"/>
        <w:spacing w:before="0" w:after="0" w:line="360" w:lineRule="auto"/>
        <w:ind w:firstLine="709"/>
        <w:jc w:val="both"/>
        <w:rPr>
          <w:rFonts w:ascii="Times New Roman" w:hAnsi="Times New Roman" w:cs="Times New Roman"/>
          <w:color w:val="auto"/>
          <w:sz w:val="28"/>
          <w:szCs w:val="28"/>
          <w:lang w:val="uk-UA"/>
        </w:rPr>
      </w:pPr>
      <w:r>
        <w:rPr>
          <w:rFonts w:ascii="Times New Roman" w:hAnsi="Times New Roman" w:cs="Times New Roman"/>
          <w:noProof/>
          <w:color w:val="auto"/>
          <w:sz w:val="28"/>
          <w:szCs w:val="28"/>
          <w:lang w:eastAsia="ru-RU"/>
        </w:rPr>
        <w:drawing>
          <wp:inline distT="0" distB="0" distL="0" distR="0">
            <wp:extent cx="4938713" cy="2262188"/>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7.jpg"/>
                    <pic:cNvPicPr/>
                  </pic:nvPicPr>
                  <pic:blipFill>
                    <a:blip r:embed="rId23">
                      <a:extLst>
                        <a:ext uri="{28A0092B-C50C-407E-A947-70E740481C1C}">
                          <a14:useLocalDpi xmlns:a14="http://schemas.microsoft.com/office/drawing/2010/main" val="0"/>
                        </a:ext>
                      </a:extLst>
                    </a:blip>
                    <a:stretch>
                      <a:fillRect/>
                    </a:stretch>
                  </pic:blipFill>
                  <pic:spPr>
                    <a:xfrm>
                      <a:off x="0" y="0"/>
                      <a:ext cx="4938713" cy="2262188"/>
                    </a:xfrm>
                    <a:prstGeom prst="rect">
                      <a:avLst/>
                    </a:prstGeom>
                  </pic:spPr>
                </pic:pic>
              </a:graphicData>
            </a:graphic>
          </wp:inline>
        </w:drawing>
      </w:r>
    </w:p>
    <w:p w:rsidR="00F641E8" w:rsidRPr="00BE086B" w:rsidRDefault="00F641E8" w:rsidP="005A691C">
      <w:pPr>
        <w:pStyle w:val="western"/>
        <w:spacing w:before="0" w:after="0" w:line="360" w:lineRule="auto"/>
        <w:ind w:firstLine="709"/>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А</w:t>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t>Б</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4.7.</w:t>
      </w:r>
      <w:r w:rsidRPr="00BE086B">
        <w:rPr>
          <w:rFonts w:ascii="Times New Roman" w:hAnsi="Times New Roman" w:cs="Times New Roman"/>
          <w:color w:val="auto"/>
          <w:sz w:val="28"/>
          <w:szCs w:val="28"/>
          <w:lang w:val="uk-UA" w:eastAsia="ru-RU"/>
        </w:rPr>
        <w:t xml:space="preserve"> Показники тесту «відкрите поле» у щурів </w:t>
      </w:r>
      <w:r w:rsidRPr="00BE086B">
        <w:rPr>
          <w:rFonts w:ascii="Times New Roman" w:hAnsi="Times New Roman" w:cs="Times New Roman"/>
          <w:color w:val="auto"/>
          <w:sz w:val="28"/>
          <w:szCs w:val="28"/>
          <w:lang w:val="uk-UA"/>
        </w:rPr>
        <w:t>V (А) і VІ (Б) групи на 47 добу експерименту (пік формування патологічних змін) (у % до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Примітка</w:t>
      </w:r>
      <w:r w:rsidRPr="00BE086B">
        <w:rPr>
          <w:sz w:val="28"/>
          <w:szCs w:val="28"/>
          <w:lang w:val="uk-UA"/>
        </w:rPr>
        <w:t>.</w:t>
      </w:r>
      <w:r w:rsidRPr="00BE086B">
        <w:rPr>
          <w:lang w:val="uk-UA"/>
        </w:rPr>
        <w:t xml:space="preserve"> </w:t>
      </w:r>
      <w:r w:rsidR="00AF27FE" w:rsidRPr="00BE086B">
        <w:rPr>
          <w:noProof/>
          <w:sz w:val="28"/>
          <w:szCs w:val="28"/>
          <w:lang w:eastAsia="ru-RU"/>
        </w:rPr>
        <mc:AlternateContent>
          <mc:Choice Requires="wps">
            <w:drawing>
              <wp:anchor distT="0" distB="0" distL="114300" distR="114300" simplePos="0" relativeHeight="251648000" behindDoc="0" locked="0" layoutInCell="1" allowOverlap="1">
                <wp:simplePos x="0" y="0"/>
                <wp:positionH relativeFrom="column">
                  <wp:posOffset>1369695</wp:posOffset>
                </wp:positionH>
                <wp:positionV relativeFrom="paragraph">
                  <wp:posOffset>55245</wp:posOffset>
                </wp:positionV>
                <wp:extent cx="53975" cy="53975"/>
                <wp:effectExtent l="20955" t="27305" r="20320" b="23495"/>
                <wp:wrapNone/>
                <wp:docPr id="4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rect">
                          <a:avLst/>
                        </a:prstGeom>
                        <a:solidFill>
                          <a:srgbClr val="C00000"/>
                        </a:solidFill>
                        <a:ln w="38160" cap="sq">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6DF62F" id="Прямоугольник 7" o:spid="_x0000_s1026" style="position:absolute;margin-left:107.85pt;margin-top:4.35pt;width:4.25pt;height:4.2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" fillcolor="#c00000" strokecolor="#c00000" strokeweight="1.06mm">
                <v:stroke endcap="square"/>
              </v:rect>
            </w:pict>
          </mc:Fallback>
        </mc:AlternateConten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rPr>
        <w:t>&gt; </w:t>
      </w:r>
      <w:r w:rsidRPr="00BE086B">
        <w:rPr>
          <w:sz w:val="28"/>
          <w:szCs w:val="28"/>
          <w:lang w:val="uk-UA" w:eastAsia="ru-RU"/>
        </w:rPr>
        <w:t>0,05; в інших випадках – р </w:t>
      </w:r>
      <w:r w:rsidRPr="00BE086B">
        <w:rPr>
          <w:rFonts w:eastAsia="Calibri"/>
          <w:iCs/>
          <w:sz w:val="28"/>
          <w:szCs w:val="28"/>
          <w:lang w:val="uk-UA"/>
        </w:rPr>
        <w:t>&lt; </w:t>
      </w:r>
      <w:r w:rsidRPr="00BE086B">
        <w:rPr>
          <w:sz w:val="28"/>
          <w:szCs w:val="28"/>
          <w:lang w:val="uk-UA" w:eastAsia="ru-RU"/>
        </w:rPr>
        <w:t>0,05 по відношенню до показників вихідного стану (ВС).</w:t>
      </w:r>
    </w:p>
    <w:p w:rsidR="00F641E8" w:rsidRPr="00BE086B" w:rsidRDefault="00F641E8" w:rsidP="008E5DEF">
      <w:pPr>
        <w:pStyle w:val="western"/>
        <w:spacing w:before="0"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lastRenderedPageBreak/>
        <w:t>Отже, призначення ібупрофену сприяє відновленню рухової та дослідницької активності щурів у 1,4 рази (у порівнянні з ВС), а комбіноване призначення ібупрофену та L-тироксину у 1,25 рази відносно ВС.</w:t>
      </w:r>
    </w:p>
    <w:p w:rsidR="00F641E8" w:rsidRDefault="00F641E8" w:rsidP="008E5DEF">
      <w:pPr>
        <w:pStyle w:val="western"/>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При аналізі 5-добового введення мелоксикаму (VІІ група) встановлено достовірне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зниження кількості пересічених квадратів, стійок та заглядань у «нірки» на 50,3%, 64,6% та 70,4% відповідно, а за кількістю актів грумінгу підвищення на 75,0%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відносно ВС (табл. 4.1, рис. 4.8А). При призначенні мелоксикаму сумісно з L-тироксином (VІІI група) на 47 добу експерименту встановлено зниження показників рухової та дослідницької активності щурів за кількістю пересічених квадратів та стійок на 48,3%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та 29,9%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відповідно, а кількість болюсів – на 43,5%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відносно ВС (табл. 4.1, рис. 4.8Б).</w:t>
      </w:r>
    </w:p>
    <w:p w:rsidR="00891D7F" w:rsidRPr="00BE086B" w:rsidRDefault="00891D7F" w:rsidP="008E5DEF">
      <w:pPr>
        <w:pStyle w:val="western"/>
        <w:spacing w:before="0" w:after="0" w:line="360" w:lineRule="auto"/>
        <w:ind w:firstLine="709"/>
        <w:jc w:val="both"/>
        <w:rPr>
          <w:rFonts w:ascii="Times New Roman" w:hAnsi="Times New Roman" w:cs="Times New Roman"/>
          <w:color w:val="auto"/>
          <w:lang w:val="uk-UA"/>
        </w:rPr>
      </w:pPr>
    </w:p>
    <w:p w:rsidR="00F641E8" w:rsidRPr="00BE086B" w:rsidRDefault="00891D7F" w:rsidP="008E5DEF">
      <w:pPr>
        <w:pStyle w:val="WW-"/>
        <w:spacing w:after="0" w:line="360" w:lineRule="auto"/>
        <w:ind w:firstLine="709"/>
        <w:jc w:val="both"/>
        <w:rPr>
          <w:rFonts w:ascii="Times New Roman" w:hAnsi="Times New Roman" w:cs="Times New Roman"/>
          <w:b/>
          <w:color w:val="auto"/>
          <w:sz w:val="28"/>
          <w:szCs w:val="28"/>
          <w:lang w:val="uk-UA" w:eastAsia="ru-RU"/>
        </w:rPr>
      </w:pPr>
      <w:r>
        <w:rPr>
          <w:rFonts w:ascii="Times New Roman" w:hAnsi="Times New Roman" w:cs="Times New Roman"/>
          <w:b/>
          <w:noProof/>
          <w:color w:val="auto"/>
          <w:sz w:val="28"/>
          <w:szCs w:val="28"/>
          <w:lang w:eastAsia="ru-RU"/>
        </w:rPr>
        <w:drawing>
          <wp:inline distT="0" distB="0" distL="0" distR="0">
            <wp:extent cx="5500688" cy="2281238"/>
            <wp:effectExtent l="0" t="0" r="508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8.jpg"/>
                    <pic:cNvPicPr/>
                  </pic:nvPicPr>
                  <pic:blipFill>
                    <a:blip r:embed="rId24">
                      <a:extLst>
                        <a:ext uri="{28A0092B-C50C-407E-A947-70E740481C1C}">
                          <a14:useLocalDpi xmlns:a14="http://schemas.microsoft.com/office/drawing/2010/main" val="0"/>
                        </a:ext>
                      </a:extLst>
                    </a:blip>
                    <a:stretch>
                      <a:fillRect/>
                    </a:stretch>
                  </pic:blipFill>
                  <pic:spPr>
                    <a:xfrm>
                      <a:off x="0" y="0"/>
                      <a:ext cx="5500688" cy="2281238"/>
                    </a:xfrm>
                    <a:prstGeom prst="rect">
                      <a:avLst/>
                    </a:prstGeom>
                  </pic:spPr>
                </pic:pic>
              </a:graphicData>
            </a:graphic>
          </wp:inline>
        </w:drawing>
      </w:r>
    </w:p>
    <w:p w:rsidR="00F641E8" w:rsidRPr="00BE086B" w:rsidRDefault="00CC2AC3" w:rsidP="00651C69">
      <w:pPr>
        <w:pStyle w:val="WW-"/>
        <w:spacing w:after="0" w:line="360" w:lineRule="auto"/>
        <w:ind w:firstLine="709"/>
        <w:jc w:val="center"/>
        <w:rPr>
          <w:rFonts w:ascii="Times New Roman" w:hAnsi="Times New Roman" w:cs="Times New Roman"/>
          <w:color w:val="auto"/>
          <w:lang w:val="uk-UA"/>
        </w:rPr>
      </w:pPr>
      <w:r w:rsidRPr="00BE086B">
        <w:rPr>
          <w:rFonts w:ascii="Times New Roman" w:hAnsi="Times New Roman" w:cs="Times New Roman"/>
          <w:color w:val="auto"/>
          <w:sz w:val="28"/>
          <w:szCs w:val="28"/>
          <w:lang w:val="uk-UA"/>
        </w:rPr>
        <w:t>А</w:t>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00F641E8" w:rsidRPr="00BE086B">
        <w:rPr>
          <w:rFonts w:ascii="Times New Roman" w:hAnsi="Times New Roman" w:cs="Times New Roman"/>
          <w:color w:val="auto"/>
          <w:sz w:val="28"/>
          <w:szCs w:val="28"/>
          <w:lang w:val="uk-UA"/>
        </w:rPr>
        <w:t>Б</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4.8.</w:t>
      </w:r>
      <w:r w:rsidRPr="00BE086B">
        <w:rPr>
          <w:rFonts w:ascii="Times New Roman" w:hAnsi="Times New Roman" w:cs="Times New Roman"/>
          <w:color w:val="auto"/>
          <w:sz w:val="28"/>
          <w:szCs w:val="28"/>
          <w:lang w:val="uk-UA" w:eastAsia="ru-RU"/>
        </w:rPr>
        <w:t xml:space="preserve"> Показники тесту «відкрите поле» у щурів </w:t>
      </w:r>
      <w:r w:rsidRPr="00BE086B">
        <w:rPr>
          <w:rFonts w:ascii="Times New Roman" w:hAnsi="Times New Roman" w:cs="Times New Roman"/>
          <w:color w:val="auto"/>
          <w:sz w:val="28"/>
          <w:szCs w:val="28"/>
          <w:lang w:val="uk-UA"/>
        </w:rPr>
        <w:t>VІІ (А) і VІІІ (Б) групи на 47 добу експерименту (пік формування патологічних змін) (у % до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Примітка</w:t>
      </w:r>
      <w:r w:rsidRPr="00BE086B">
        <w:rPr>
          <w:sz w:val="28"/>
          <w:szCs w:val="28"/>
          <w:lang w:val="uk-UA"/>
        </w:rPr>
        <w:t>.</w:t>
      </w:r>
      <w:r w:rsidRPr="00BE086B">
        <w:rPr>
          <w:lang w:val="uk-UA"/>
        </w:rPr>
        <w:t xml:space="preserve"> </w:t>
      </w:r>
      <w:r w:rsidR="00AF27FE" w:rsidRPr="00BE086B">
        <w:rPr>
          <w:noProof/>
          <w:sz w:val="28"/>
          <w:szCs w:val="28"/>
          <w:lang w:eastAsia="ru-RU"/>
        </w:rPr>
        <mc:AlternateContent>
          <mc:Choice Requires="wps">
            <w:drawing>
              <wp:anchor distT="0" distB="0" distL="114300" distR="114300" simplePos="0" relativeHeight="251651072" behindDoc="0" locked="0" layoutInCell="1" allowOverlap="1">
                <wp:simplePos x="0" y="0"/>
                <wp:positionH relativeFrom="column">
                  <wp:posOffset>1369695</wp:posOffset>
                </wp:positionH>
                <wp:positionV relativeFrom="paragraph">
                  <wp:posOffset>55245</wp:posOffset>
                </wp:positionV>
                <wp:extent cx="53975" cy="53975"/>
                <wp:effectExtent l="20955" t="22225" r="20320" b="28575"/>
                <wp:wrapNone/>
                <wp:docPr id="46"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rect">
                          <a:avLst/>
                        </a:prstGeom>
                        <a:solidFill>
                          <a:srgbClr val="C00000"/>
                        </a:solidFill>
                        <a:ln w="38160" cap="sq">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9A9AC9" id="Прямоугольник 7" o:spid="_x0000_s1026" style="position:absolute;margin-left:107.85pt;margin-top:4.35pt;width:4.25pt;height:4.25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" fillcolor="#c00000" strokecolor="#c00000" strokeweight="1.06mm">
                <v:stroke endcap="square"/>
              </v:rect>
            </w:pict>
          </mc:Fallback>
        </mc:AlternateConten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rPr>
        <w:t>&gt; </w:t>
      </w:r>
      <w:r w:rsidRPr="00BE086B">
        <w:rPr>
          <w:sz w:val="28"/>
          <w:szCs w:val="28"/>
          <w:lang w:val="uk-UA" w:eastAsia="ru-RU"/>
        </w:rPr>
        <w:t>0,05; в інших випадках – р </w:t>
      </w:r>
      <w:r w:rsidRPr="00BE086B">
        <w:rPr>
          <w:rFonts w:eastAsia="Calibri"/>
          <w:iCs/>
          <w:sz w:val="28"/>
          <w:szCs w:val="28"/>
          <w:lang w:val="uk-UA"/>
        </w:rPr>
        <w:t>&lt; </w:t>
      </w:r>
      <w:r w:rsidRPr="00BE086B">
        <w:rPr>
          <w:sz w:val="28"/>
          <w:szCs w:val="28"/>
          <w:lang w:val="uk-UA" w:eastAsia="ru-RU"/>
        </w:rPr>
        <w:t>0,05 по відношенню до показників вихідного стану (ВС).</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eastAsia="ru-RU"/>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Таким чином, призначення мелоксикаму сумісно з L-тироксином сприяє більш ефективному відновленню показників спонтанної поведінкової </w:t>
      </w:r>
      <w:r w:rsidRPr="00BE086B">
        <w:rPr>
          <w:rFonts w:ascii="Times New Roman" w:hAnsi="Times New Roman" w:cs="Times New Roman"/>
          <w:color w:val="auto"/>
          <w:sz w:val="28"/>
          <w:szCs w:val="28"/>
          <w:lang w:val="uk-UA"/>
        </w:rPr>
        <w:lastRenderedPageBreak/>
        <w:t>активності (відносно ВС), ніж ізольоване використання мелоксикаму, проте призначення тільки мелоксикаму призводить до підвищення емоційної лабільності щурів.</w:t>
      </w:r>
    </w:p>
    <w:p w:rsidR="00F641E8" w:rsidRDefault="00F641E8" w:rsidP="008E5DEF">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 введенні парацетамолу (ІХ група) кількість пересічених квадратів та заглядань у «нірки» на 47 добу дослідження знизились відносно ВС на 57,7%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та 45,9%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відповідно (табл. 4.1, рис. 4.9А). При сумісному призначенні парацетамолу та L-тироксину (Х група) кількість пересічених квадратів, стійок та заглядань у «нірки» на 47 добу експерименту достовірно знижується на 41,4%, 44,8% та 44,9%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відповідно відносно ВС (табл. 4.1, рис. 4.9Б).</w:t>
      </w:r>
    </w:p>
    <w:p w:rsidR="00F641E8" w:rsidRPr="00BE086B" w:rsidRDefault="00651C69" w:rsidP="008E5DEF">
      <w:pPr>
        <w:pStyle w:val="WW-"/>
        <w:spacing w:after="0" w:line="360" w:lineRule="auto"/>
        <w:ind w:firstLine="709"/>
        <w:jc w:val="both"/>
        <w:rPr>
          <w:rFonts w:ascii="Times New Roman" w:hAnsi="Times New Roman" w:cs="Times New Roman"/>
          <w:color w:val="auto"/>
          <w:lang w:val="uk-UA"/>
        </w:rPr>
      </w:pPr>
      <w:r>
        <w:rPr>
          <w:rFonts w:ascii="Times New Roman" w:hAnsi="Times New Roman" w:cs="Times New Roman"/>
          <w:noProof/>
          <w:color w:val="auto"/>
          <w:lang w:eastAsia="ru-RU"/>
        </w:rPr>
        <w:drawing>
          <wp:inline distT="0" distB="0" distL="0" distR="0">
            <wp:extent cx="4962525" cy="27241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9.jpg"/>
                    <pic:cNvPicPr/>
                  </pic:nvPicPr>
                  <pic:blipFill>
                    <a:blip r:embed="rId25">
                      <a:extLst>
                        <a:ext uri="{28A0092B-C50C-407E-A947-70E740481C1C}">
                          <a14:useLocalDpi xmlns:a14="http://schemas.microsoft.com/office/drawing/2010/main" val="0"/>
                        </a:ext>
                      </a:extLst>
                    </a:blip>
                    <a:stretch>
                      <a:fillRect/>
                    </a:stretch>
                  </pic:blipFill>
                  <pic:spPr>
                    <a:xfrm>
                      <a:off x="0" y="0"/>
                      <a:ext cx="4962525" cy="2724150"/>
                    </a:xfrm>
                    <a:prstGeom prst="rect">
                      <a:avLst/>
                    </a:prstGeom>
                  </pic:spPr>
                </pic:pic>
              </a:graphicData>
            </a:graphic>
          </wp:inline>
        </w:drawing>
      </w:r>
    </w:p>
    <w:p w:rsidR="002677F3" w:rsidRDefault="002677F3" w:rsidP="002677F3">
      <w:pPr>
        <w:pStyle w:val="WW-"/>
        <w:spacing w:after="0" w:line="360" w:lineRule="auto"/>
        <w:ind w:firstLine="709"/>
        <w:jc w:val="center"/>
        <w:rPr>
          <w:rFonts w:ascii="Times New Roman" w:hAnsi="Times New Roman" w:cs="Times New Roman"/>
          <w:b/>
          <w:color w:val="auto"/>
          <w:sz w:val="28"/>
          <w:szCs w:val="28"/>
          <w:lang w:val="uk-UA" w:eastAsia="ru-RU"/>
        </w:rPr>
      </w:pPr>
      <w:r w:rsidRPr="00BE086B">
        <w:rPr>
          <w:rFonts w:ascii="Times New Roman" w:hAnsi="Times New Roman" w:cs="Times New Roman"/>
          <w:color w:val="auto"/>
          <w:sz w:val="28"/>
          <w:szCs w:val="28"/>
          <w:lang w:val="uk-UA"/>
        </w:rPr>
        <w:t>А</w:t>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t>Б</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4.9.</w:t>
      </w:r>
      <w:r w:rsidRPr="00BE086B">
        <w:rPr>
          <w:rFonts w:ascii="Times New Roman" w:hAnsi="Times New Roman" w:cs="Times New Roman"/>
          <w:color w:val="auto"/>
          <w:sz w:val="28"/>
          <w:szCs w:val="28"/>
          <w:lang w:val="uk-UA" w:eastAsia="ru-RU"/>
        </w:rPr>
        <w:t xml:space="preserve"> Показники тесту «відкрите поле» у щурів </w:t>
      </w:r>
      <w:r w:rsidRPr="00BE086B">
        <w:rPr>
          <w:rFonts w:ascii="Times New Roman" w:hAnsi="Times New Roman" w:cs="Times New Roman"/>
          <w:color w:val="auto"/>
          <w:sz w:val="28"/>
          <w:szCs w:val="28"/>
          <w:lang w:val="uk-UA"/>
        </w:rPr>
        <w:t>ІХ (А) і Х (Б) групи на 47 добу експерименту (пік формування патологічних змін) (у % до вихідного стану).</w:t>
      </w:r>
    </w:p>
    <w:p w:rsidR="00F641E8" w:rsidRDefault="00F641E8" w:rsidP="008E5DEF">
      <w:pPr>
        <w:spacing w:line="360" w:lineRule="auto"/>
        <w:ind w:firstLine="709"/>
        <w:jc w:val="both"/>
        <w:rPr>
          <w:sz w:val="28"/>
          <w:szCs w:val="28"/>
          <w:lang w:val="uk-UA" w:eastAsia="ru-RU"/>
        </w:rPr>
      </w:pPr>
      <w:r w:rsidRPr="00BE086B">
        <w:rPr>
          <w:b/>
          <w:sz w:val="28"/>
          <w:szCs w:val="28"/>
          <w:lang w:val="uk-UA"/>
        </w:rPr>
        <w:t>Примітка</w:t>
      </w:r>
      <w:r w:rsidRPr="00BE086B">
        <w:rPr>
          <w:sz w:val="28"/>
          <w:szCs w:val="28"/>
          <w:lang w:val="uk-UA"/>
        </w:rPr>
        <w:t>.</w:t>
      </w:r>
      <w:r w:rsidRPr="00BE086B">
        <w:rPr>
          <w:lang w:val="uk-UA"/>
        </w:rPr>
        <w:t xml:space="preserve"> </w:t>
      </w:r>
      <w:r w:rsidR="00AF27FE" w:rsidRPr="00BE086B">
        <w:rPr>
          <w:noProof/>
          <w:sz w:val="28"/>
          <w:szCs w:val="28"/>
          <w:lang w:eastAsia="ru-RU"/>
        </w:rPr>
        <mc:AlternateContent>
          <mc:Choice Requires="wps">
            <w:drawing>
              <wp:anchor distT="0" distB="0" distL="114300" distR="114300" simplePos="0" relativeHeight="251655168" behindDoc="0" locked="0" layoutInCell="1" allowOverlap="1">
                <wp:simplePos x="0" y="0"/>
                <wp:positionH relativeFrom="column">
                  <wp:posOffset>1369695</wp:posOffset>
                </wp:positionH>
                <wp:positionV relativeFrom="paragraph">
                  <wp:posOffset>55245</wp:posOffset>
                </wp:positionV>
                <wp:extent cx="53975" cy="53975"/>
                <wp:effectExtent l="20955" t="22225" r="20320" b="28575"/>
                <wp:wrapNone/>
                <wp:docPr id="45"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rect">
                          <a:avLst/>
                        </a:prstGeom>
                        <a:solidFill>
                          <a:srgbClr val="C00000"/>
                        </a:solidFill>
                        <a:ln w="38160" cap="sq">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87E1C0" id="Прямоугольник 7" o:spid="_x0000_s1026" style="position:absolute;margin-left:107.85pt;margin-top:4.35pt;width:4.25pt;height:4.2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" fillcolor="#c00000" strokecolor="#c00000" strokeweight="1.06mm">
                <v:stroke endcap="square"/>
              </v:rect>
            </w:pict>
          </mc:Fallback>
        </mc:AlternateConten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rPr>
        <w:t>&gt; </w:t>
      </w:r>
      <w:r w:rsidRPr="00BE086B">
        <w:rPr>
          <w:sz w:val="28"/>
          <w:szCs w:val="28"/>
          <w:lang w:val="uk-UA" w:eastAsia="ru-RU"/>
        </w:rPr>
        <w:t>0,05; в інших випадках – р </w:t>
      </w:r>
      <w:r w:rsidRPr="00BE086B">
        <w:rPr>
          <w:rFonts w:eastAsia="Calibri"/>
          <w:iCs/>
          <w:sz w:val="28"/>
          <w:szCs w:val="28"/>
          <w:lang w:val="uk-UA"/>
        </w:rPr>
        <w:t>&lt; </w:t>
      </w:r>
      <w:r w:rsidRPr="00BE086B">
        <w:rPr>
          <w:sz w:val="28"/>
          <w:szCs w:val="28"/>
          <w:lang w:val="uk-UA" w:eastAsia="ru-RU"/>
        </w:rPr>
        <w:t>0,05 по відношенню до показників вихідного стану (ВС).</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eastAsia="ru-RU"/>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Аналіз отриманих результатів у групах ІХ та Х встановив, що призначення парацетамолу та L-тироксину сприяє більшому пригніченню рухової та дослідницької активності щурів, проте ізольоване використання </w:t>
      </w:r>
      <w:r w:rsidRPr="00BE086B">
        <w:rPr>
          <w:rFonts w:ascii="Times New Roman" w:hAnsi="Times New Roman" w:cs="Times New Roman"/>
          <w:color w:val="auto"/>
          <w:sz w:val="28"/>
          <w:szCs w:val="28"/>
          <w:lang w:val="uk-UA"/>
        </w:rPr>
        <w:lastRenderedPageBreak/>
        <w:t>парацетамолу практично не змінює емоційний стан експериментальних тварин.</w:t>
      </w:r>
    </w:p>
    <w:p w:rsidR="00F641E8" w:rsidRDefault="00F641E8" w:rsidP="008E5DEF">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Аналіз отриманих результатів у групі ХІ встановив, що призначення німесуліду на 47 добу експерименту призвело до зниження кількості пересічених квадратів, стійок та заглядань у «нірки» на 49,6%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0,05), 64,2% (р </w:t>
      </w:r>
      <w:r w:rsidRPr="00BE086B">
        <w:rPr>
          <w:rFonts w:ascii="Times New Roman" w:eastAsia="Calibri" w:hAnsi="Times New Roman" w:cs="Times New Roman"/>
          <w:iCs/>
          <w:color w:val="auto"/>
          <w:sz w:val="28"/>
          <w:szCs w:val="28"/>
          <w:lang w:val="uk-UA" w:eastAsia="en-US"/>
        </w:rPr>
        <w:t>&lt; </w:t>
      </w:r>
      <w:r w:rsidRPr="00BE086B">
        <w:rPr>
          <w:rFonts w:ascii="Times New Roman" w:hAnsi="Times New Roman" w:cs="Times New Roman"/>
          <w:color w:val="auto"/>
          <w:sz w:val="28"/>
          <w:szCs w:val="28"/>
          <w:lang w:val="uk-UA"/>
        </w:rPr>
        <w:t xml:space="preserve">0,05) та 57,7%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відповідно, а кількість актів грумінгу та болюсів підвищились на 66,4%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та 63,0%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відповідно відносно ВС (табл. 4.1, рис. 4.10А).</w:t>
      </w:r>
    </w:p>
    <w:p w:rsidR="00E00089" w:rsidRPr="00BE086B" w:rsidRDefault="00E00089" w:rsidP="008E5DEF">
      <w:pPr>
        <w:pStyle w:val="WW-"/>
        <w:spacing w:after="0" w:line="360" w:lineRule="auto"/>
        <w:ind w:firstLine="709"/>
        <w:jc w:val="both"/>
        <w:rPr>
          <w:rFonts w:ascii="Times New Roman" w:hAnsi="Times New Roman" w:cs="Times New Roman"/>
          <w:color w:val="auto"/>
          <w:lang w:val="uk-UA"/>
        </w:rPr>
      </w:pPr>
    </w:p>
    <w:p w:rsidR="00E00089" w:rsidRDefault="00E00089" w:rsidP="008E5DEF">
      <w:pPr>
        <w:pStyle w:val="WW-"/>
        <w:spacing w:after="0" w:line="360" w:lineRule="auto"/>
        <w:ind w:firstLine="709"/>
        <w:jc w:val="both"/>
        <w:rPr>
          <w:rFonts w:ascii="Times New Roman" w:hAnsi="Times New Roman" w:cs="Times New Roman"/>
          <w:color w:val="auto"/>
          <w:sz w:val="28"/>
          <w:szCs w:val="28"/>
          <w:lang w:val="uk-UA"/>
        </w:rPr>
      </w:pPr>
      <w:r>
        <w:rPr>
          <w:rFonts w:ascii="Times New Roman" w:hAnsi="Times New Roman" w:cs="Times New Roman"/>
          <w:noProof/>
          <w:color w:val="auto"/>
          <w:sz w:val="28"/>
          <w:szCs w:val="28"/>
          <w:lang w:eastAsia="ru-RU"/>
        </w:rPr>
        <w:drawing>
          <wp:inline distT="0" distB="0" distL="0" distR="0">
            <wp:extent cx="5381625" cy="246697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4.10.jpg"/>
                    <pic:cNvPicPr/>
                  </pic:nvPicPr>
                  <pic:blipFill>
                    <a:blip r:embed="rId26">
                      <a:extLst>
                        <a:ext uri="{28A0092B-C50C-407E-A947-70E740481C1C}">
                          <a14:useLocalDpi xmlns:a14="http://schemas.microsoft.com/office/drawing/2010/main" val="0"/>
                        </a:ext>
                      </a:extLst>
                    </a:blip>
                    <a:stretch>
                      <a:fillRect/>
                    </a:stretch>
                  </pic:blipFill>
                  <pic:spPr>
                    <a:xfrm>
                      <a:off x="0" y="0"/>
                      <a:ext cx="5381625" cy="2466975"/>
                    </a:xfrm>
                    <a:prstGeom prst="rect">
                      <a:avLst/>
                    </a:prstGeom>
                  </pic:spPr>
                </pic:pic>
              </a:graphicData>
            </a:graphic>
          </wp:inline>
        </w:drawing>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А</w:t>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r>
      <w:r w:rsidRPr="00BE086B">
        <w:rPr>
          <w:rFonts w:ascii="Times New Roman" w:hAnsi="Times New Roman" w:cs="Times New Roman"/>
          <w:color w:val="auto"/>
          <w:sz w:val="28"/>
          <w:szCs w:val="28"/>
          <w:lang w:val="uk-UA"/>
        </w:rPr>
        <w:tab/>
        <w:t xml:space="preserve"> Б</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4.10.</w:t>
      </w:r>
      <w:r w:rsidRPr="00BE086B">
        <w:rPr>
          <w:rFonts w:ascii="Times New Roman" w:hAnsi="Times New Roman" w:cs="Times New Roman"/>
          <w:color w:val="auto"/>
          <w:sz w:val="28"/>
          <w:szCs w:val="28"/>
          <w:lang w:val="uk-UA" w:eastAsia="ru-RU"/>
        </w:rPr>
        <w:t xml:space="preserve"> Показники тесту «відкрите поле» у щурів </w:t>
      </w:r>
      <w:r w:rsidRPr="00BE086B">
        <w:rPr>
          <w:rFonts w:ascii="Times New Roman" w:hAnsi="Times New Roman" w:cs="Times New Roman"/>
          <w:color w:val="auto"/>
          <w:sz w:val="28"/>
          <w:szCs w:val="28"/>
          <w:lang w:val="uk-UA"/>
        </w:rPr>
        <w:t>ХІ (А) і ХІІ (Б) групи на 47 добу експерименту (пік формування патологічних змін) (у % до вихідного стану).</w:t>
      </w:r>
    </w:p>
    <w:p w:rsidR="00F641E8" w:rsidRPr="00BE086B" w:rsidRDefault="00F641E8" w:rsidP="008E5DEF">
      <w:pPr>
        <w:spacing w:line="360" w:lineRule="auto"/>
        <w:ind w:firstLine="709"/>
        <w:jc w:val="both"/>
        <w:rPr>
          <w:lang w:val="uk-UA"/>
        </w:rPr>
      </w:pPr>
      <w:r w:rsidRPr="00BE086B">
        <w:rPr>
          <w:b/>
          <w:sz w:val="28"/>
          <w:szCs w:val="28"/>
          <w:lang w:val="uk-UA"/>
        </w:rPr>
        <w:t>Примітка</w:t>
      </w:r>
      <w:r w:rsidRPr="00BE086B">
        <w:rPr>
          <w:sz w:val="28"/>
          <w:szCs w:val="28"/>
          <w:lang w:val="uk-UA"/>
        </w:rPr>
        <w:t>.</w:t>
      </w:r>
      <w:r w:rsidRPr="00BE086B">
        <w:rPr>
          <w:lang w:val="uk-UA"/>
        </w:rPr>
        <w:t xml:space="preserve"> </w:t>
      </w:r>
      <w:r w:rsidR="00AF27FE" w:rsidRPr="00BE086B">
        <w:rPr>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1369695</wp:posOffset>
                </wp:positionH>
                <wp:positionV relativeFrom="paragraph">
                  <wp:posOffset>55245</wp:posOffset>
                </wp:positionV>
                <wp:extent cx="53975" cy="53975"/>
                <wp:effectExtent l="20955" t="22225" r="20320" b="28575"/>
                <wp:wrapNone/>
                <wp:docPr id="44"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rect">
                          <a:avLst/>
                        </a:prstGeom>
                        <a:solidFill>
                          <a:srgbClr val="C00000"/>
                        </a:solidFill>
                        <a:ln w="38160" cap="sq">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ACBDAE7" id="Прямоугольник 7" o:spid="_x0000_s1026" style="position:absolute;margin-left:107.85pt;margin-top:4.35pt;width:4.25pt;height:4.2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" fillcolor="#c00000" strokecolor="#c00000" strokeweight="1.06mm">
                <v:stroke endcap="square"/>
              </v:rect>
            </w:pict>
          </mc:Fallback>
        </mc:AlternateContent>
      </w:r>
      <w:r w:rsidRPr="00BE086B">
        <w:rPr>
          <w:sz w:val="28"/>
          <w:szCs w:val="28"/>
          <w:lang w:val="uk-UA"/>
        </w:rPr>
        <w:t xml:space="preserve">   - </w:t>
      </w:r>
      <w:r w:rsidRPr="00BE086B">
        <w:rPr>
          <w:sz w:val="28"/>
          <w:szCs w:val="28"/>
          <w:lang w:val="uk-UA" w:eastAsia="ru-RU"/>
        </w:rPr>
        <w:t>р </w:t>
      </w:r>
      <w:r w:rsidRPr="00BE086B">
        <w:rPr>
          <w:rFonts w:eastAsia="Calibri"/>
          <w:iCs/>
          <w:sz w:val="28"/>
          <w:szCs w:val="28"/>
          <w:lang w:val="uk-UA"/>
        </w:rPr>
        <w:t>&gt; </w:t>
      </w:r>
      <w:r w:rsidRPr="00BE086B">
        <w:rPr>
          <w:sz w:val="28"/>
          <w:szCs w:val="28"/>
          <w:lang w:val="uk-UA" w:eastAsia="ru-RU"/>
        </w:rPr>
        <w:t>0,05; в інших випадках – р </w:t>
      </w:r>
      <w:r w:rsidRPr="00BE086B">
        <w:rPr>
          <w:rFonts w:eastAsia="Calibri"/>
          <w:iCs/>
          <w:sz w:val="28"/>
          <w:szCs w:val="28"/>
          <w:lang w:val="uk-UA"/>
        </w:rPr>
        <w:t>&lt; </w:t>
      </w:r>
      <w:r w:rsidRPr="00BE086B">
        <w:rPr>
          <w:sz w:val="28"/>
          <w:szCs w:val="28"/>
          <w:lang w:val="uk-UA" w:eastAsia="ru-RU"/>
        </w:rPr>
        <w:t>0,05 по відношенню до показників вихідного стану (ВС).</w:t>
      </w: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При сумісному введенні німесуліду та L-тироксину (ХІІ група) кількість пересічених квадратів та заглядань у «нірки» на 47 добу дослідження знизились відносно ВС на 37,1%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та 22,0%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відповідно (табл. 4.1, рис. 4.10Б).</w:t>
      </w:r>
    </w:p>
    <w:p w:rsidR="00F641E8" w:rsidRDefault="00F641E8" w:rsidP="008E5DEF">
      <w:pPr>
        <w:pStyle w:val="WW-"/>
        <w:spacing w:after="0" w:line="360" w:lineRule="auto"/>
        <w:ind w:firstLine="709"/>
        <w:jc w:val="both"/>
        <w:rPr>
          <w:rFonts w:ascii="Times New Roman" w:eastAsia="Calibri" w:hAnsi="Times New Roman" w:cs="Times New Roman"/>
          <w:iCs/>
          <w:color w:val="auto"/>
          <w:sz w:val="28"/>
          <w:szCs w:val="28"/>
          <w:lang w:val="uk-UA" w:eastAsia="en-US"/>
        </w:rPr>
      </w:pPr>
      <w:r w:rsidRPr="00BE086B">
        <w:rPr>
          <w:rFonts w:ascii="Times New Roman" w:hAnsi="Times New Roman" w:cs="Times New Roman"/>
          <w:color w:val="auto"/>
          <w:sz w:val="28"/>
          <w:szCs w:val="28"/>
          <w:lang w:val="uk-UA"/>
        </w:rPr>
        <w:lastRenderedPageBreak/>
        <w:t xml:space="preserve">Аналіз отриманих результатів у групі </w:t>
      </w:r>
      <w:r w:rsidRPr="00BE086B">
        <w:rPr>
          <w:rFonts w:ascii="Times New Roman" w:eastAsia="Calibri" w:hAnsi="Times New Roman" w:cs="Times New Roman"/>
          <w:iCs/>
          <w:color w:val="auto"/>
          <w:sz w:val="28"/>
          <w:szCs w:val="28"/>
          <w:lang w:val="uk-UA" w:eastAsia="en-US"/>
        </w:rPr>
        <w:t>ХІІІ показав, що призначення целекоксибу на 47 добу експерименту призвело до зниження відносно ВС кількості пересічених квадратів, стійок та заглядань у «нірки» на 41,3% (р </w:t>
      </w:r>
      <w:r w:rsidRPr="00BE086B">
        <w:rPr>
          <w:rFonts w:ascii="Times New Roman" w:hAnsi="Times New Roman" w:cs="Times New Roman"/>
          <w:color w:val="auto"/>
          <w:sz w:val="28"/>
          <w:szCs w:val="28"/>
          <w:lang w:val="uk-UA"/>
        </w:rPr>
        <w:t>&lt; </w:t>
      </w:r>
      <w:r w:rsidRPr="00BE086B">
        <w:rPr>
          <w:rFonts w:ascii="Times New Roman" w:eastAsia="Calibri" w:hAnsi="Times New Roman" w:cs="Times New Roman"/>
          <w:iCs/>
          <w:color w:val="auto"/>
          <w:sz w:val="28"/>
          <w:szCs w:val="28"/>
          <w:lang w:val="uk-UA" w:eastAsia="en-US"/>
        </w:rPr>
        <w:t>0,05), 44,8% (р </w:t>
      </w:r>
      <w:r w:rsidRPr="00BE086B">
        <w:rPr>
          <w:rFonts w:ascii="Times New Roman" w:hAnsi="Times New Roman" w:cs="Times New Roman"/>
          <w:color w:val="auto"/>
          <w:sz w:val="28"/>
          <w:szCs w:val="28"/>
          <w:lang w:val="uk-UA"/>
        </w:rPr>
        <w:t>&lt; </w:t>
      </w:r>
      <w:r w:rsidRPr="00BE086B">
        <w:rPr>
          <w:rFonts w:ascii="Times New Roman" w:eastAsia="Calibri" w:hAnsi="Times New Roman" w:cs="Times New Roman"/>
          <w:iCs/>
          <w:color w:val="auto"/>
          <w:sz w:val="28"/>
          <w:szCs w:val="28"/>
          <w:lang w:val="uk-UA" w:eastAsia="en-US"/>
        </w:rPr>
        <w:t xml:space="preserve">0,05) та 42,1% (р </w:t>
      </w:r>
      <w:r w:rsidRPr="00BE086B">
        <w:rPr>
          <w:rFonts w:ascii="Times New Roman" w:hAnsi="Times New Roman" w:cs="Times New Roman"/>
          <w:color w:val="auto"/>
          <w:sz w:val="28"/>
          <w:szCs w:val="28"/>
          <w:lang w:val="uk-UA"/>
        </w:rPr>
        <w:t>&lt;</w:t>
      </w:r>
      <w:r w:rsidRPr="00BE086B">
        <w:rPr>
          <w:rFonts w:ascii="Times New Roman" w:eastAsia="Calibri" w:hAnsi="Times New Roman" w:cs="Times New Roman"/>
          <w:iCs/>
          <w:color w:val="auto"/>
          <w:sz w:val="28"/>
          <w:szCs w:val="28"/>
          <w:lang w:val="uk-UA" w:eastAsia="en-US"/>
        </w:rPr>
        <w:t xml:space="preserve"> 0,05) відповідно (табл. 4.1, рис. 4.11А).</w:t>
      </w:r>
    </w:p>
    <w:p w:rsidR="00E00089" w:rsidRPr="00BE086B" w:rsidRDefault="00E00089" w:rsidP="008E5DEF">
      <w:pPr>
        <w:pStyle w:val="WW-"/>
        <w:spacing w:after="0" w:line="360" w:lineRule="auto"/>
        <w:ind w:firstLine="709"/>
        <w:jc w:val="both"/>
        <w:rPr>
          <w:rFonts w:ascii="Times New Roman" w:eastAsia="Calibri" w:hAnsi="Times New Roman" w:cs="Times New Roman"/>
          <w:iCs/>
          <w:color w:val="auto"/>
          <w:sz w:val="28"/>
          <w:szCs w:val="28"/>
          <w:lang w:val="uk-UA" w:eastAsia="en-US"/>
        </w:rPr>
      </w:pPr>
    </w:p>
    <w:p w:rsidR="00F641E8" w:rsidRPr="00BE086B" w:rsidRDefault="00E00089" w:rsidP="00F26117">
      <w:pPr>
        <w:spacing w:line="360" w:lineRule="auto"/>
        <w:ind w:firstLine="709"/>
        <w:jc w:val="center"/>
        <w:rPr>
          <w:lang w:val="uk-UA"/>
        </w:rPr>
      </w:pPr>
      <w:r>
        <w:rPr>
          <w:noProof/>
          <w:lang w:eastAsia="ru-RU"/>
        </w:rPr>
        <w:drawing>
          <wp:inline distT="0" distB="0" distL="0" distR="0">
            <wp:extent cx="4791075" cy="2481263"/>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11.jpg"/>
                    <pic:cNvPicPr/>
                  </pic:nvPicPr>
                  <pic:blipFill>
                    <a:blip r:embed="rId27">
                      <a:extLst>
                        <a:ext uri="{28A0092B-C50C-407E-A947-70E740481C1C}">
                          <a14:useLocalDpi xmlns:a14="http://schemas.microsoft.com/office/drawing/2010/main" val="0"/>
                        </a:ext>
                      </a:extLst>
                    </a:blip>
                    <a:stretch>
                      <a:fillRect/>
                    </a:stretch>
                  </pic:blipFill>
                  <pic:spPr>
                    <a:xfrm>
                      <a:off x="0" y="0"/>
                      <a:ext cx="4791075" cy="2481263"/>
                    </a:xfrm>
                    <a:prstGeom prst="rect">
                      <a:avLst/>
                    </a:prstGeom>
                  </pic:spPr>
                </pic:pic>
              </a:graphicData>
            </a:graphic>
          </wp:inline>
        </w:drawing>
      </w:r>
    </w:p>
    <w:p w:rsidR="002677F3" w:rsidRDefault="002677F3" w:rsidP="002677F3">
      <w:pPr>
        <w:pStyle w:val="WW-"/>
        <w:spacing w:after="0" w:line="360" w:lineRule="auto"/>
        <w:ind w:firstLine="709"/>
        <w:jc w:val="center"/>
        <w:rPr>
          <w:rFonts w:ascii="Times New Roman" w:hAnsi="Times New Roman" w:cs="Times New Roman"/>
          <w:b/>
          <w:color w:val="auto"/>
          <w:sz w:val="28"/>
          <w:szCs w:val="28"/>
          <w:lang w:val="uk-UA" w:eastAsia="ru-RU"/>
        </w:rPr>
      </w:pPr>
      <w:r w:rsidRPr="00BE086B">
        <w:rPr>
          <w:sz w:val="28"/>
          <w:szCs w:val="28"/>
          <w:lang w:val="uk-UA" w:eastAsia="ru-RU"/>
        </w:rPr>
        <w:t>А</w:t>
      </w:r>
      <w:r w:rsidRPr="00BE086B">
        <w:rPr>
          <w:sz w:val="28"/>
          <w:szCs w:val="28"/>
          <w:lang w:val="uk-UA" w:eastAsia="ru-RU"/>
        </w:rPr>
        <w:tab/>
      </w:r>
      <w:r w:rsidRPr="00BE086B">
        <w:rPr>
          <w:sz w:val="28"/>
          <w:szCs w:val="28"/>
          <w:lang w:val="uk-UA" w:eastAsia="ru-RU"/>
        </w:rPr>
        <w:tab/>
      </w:r>
      <w:r w:rsidRPr="00BE086B">
        <w:rPr>
          <w:sz w:val="28"/>
          <w:szCs w:val="28"/>
          <w:lang w:val="uk-UA" w:eastAsia="ru-RU"/>
        </w:rPr>
        <w:tab/>
      </w:r>
      <w:r w:rsidRPr="00BE086B">
        <w:rPr>
          <w:sz w:val="28"/>
          <w:szCs w:val="28"/>
          <w:lang w:val="uk-UA" w:eastAsia="ru-RU"/>
        </w:rPr>
        <w:tab/>
      </w:r>
      <w:r w:rsidRPr="00BE086B">
        <w:rPr>
          <w:sz w:val="28"/>
          <w:szCs w:val="28"/>
          <w:lang w:val="uk-UA" w:eastAsia="ru-RU"/>
        </w:rPr>
        <w:tab/>
      </w:r>
      <w:r w:rsidRPr="00BE086B">
        <w:rPr>
          <w:sz w:val="28"/>
          <w:szCs w:val="28"/>
          <w:lang w:val="uk-UA" w:eastAsia="ru-RU"/>
        </w:rPr>
        <w:tab/>
        <w:t>Б</w:t>
      </w:r>
    </w:p>
    <w:p w:rsidR="00E00089" w:rsidRDefault="00E00089" w:rsidP="008E5DEF">
      <w:pPr>
        <w:pStyle w:val="WW-"/>
        <w:spacing w:after="0" w:line="360" w:lineRule="auto"/>
        <w:ind w:firstLine="709"/>
        <w:jc w:val="both"/>
        <w:rPr>
          <w:rFonts w:ascii="Times New Roman" w:hAnsi="Times New Roman" w:cs="Times New Roman"/>
          <w:b/>
          <w:color w:val="auto"/>
          <w:sz w:val="28"/>
          <w:szCs w:val="28"/>
          <w:lang w:val="uk-UA" w:eastAsia="ru-RU"/>
        </w:rPr>
      </w:pP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b/>
          <w:color w:val="auto"/>
          <w:sz w:val="28"/>
          <w:szCs w:val="28"/>
          <w:lang w:val="uk-UA" w:eastAsia="ru-RU"/>
        </w:rPr>
        <w:t>Рис. 4.11.</w:t>
      </w:r>
      <w:r w:rsidRPr="00BE086B">
        <w:rPr>
          <w:rFonts w:ascii="Times New Roman" w:hAnsi="Times New Roman" w:cs="Times New Roman"/>
          <w:color w:val="auto"/>
          <w:sz w:val="28"/>
          <w:szCs w:val="28"/>
          <w:lang w:val="uk-UA" w:eastAsia="ru-RU"/>
        </w:rPr>
        <w:t xml:space="preserve"> Показники тесту «відкрите поле» у щурів </w:t>
      </w:r>
      <w:r w:rsidRPr="00BE086B">
        <w:rPr>
          <w:rFonts w:ascii="Times New Roman" w:hAnsi="Times New Roman" w:cs="Times New Roman"/>
          <w:color w:val="auto"/>
          <w:sz w:val="28"/>
          <w:szCs w:val="28"/>
          <w:lang w:val="uk-UA"/>
        </w:rPr>
        <w:t>ХІІІ (А) і ХІV (Б) групи на 47 добу експерименту (пік формування патологічних змін) (у % до вихідного стану).</w:t>
      </w:r>
    </w:p>
    <w:p w:rsidR="00F641E8" w:rsidRPr="00BE086B" w:rsidRDefault="00F641E8" w:rsidP="008E5DEF">
      <w:pPr>
        <w:pStyle w:val="WW-"/>
        <w:spacing w:after="0" w:line="360" w:lineRule="auto"/>
        <w:ind w:firstLine="709"/>
        <w:jc w:val="both"/>
        <w:rPr>
          <w:rFonts w:ascii="Times New Roman" w:eastAsia="Calibri" w:hAnsi="Times New Roman" w:cs="Times New Roman"/>
          <w:iCs/>
          <w:color w:val="auto"/>
          <w:sz w:val="28"/>
          <w:szCs w:val="28"/>
          <w:lang w:val="uk-UA" w:eastAsia="en-US"/>
        </w:rPr>
      </w:pPr>
      <w:r w:rsidRPr="00BE086B">
        <w:rPr>
          <w:rFonts w:ascii="Times New Roman" w:hAnsi="Times New Roman" w:cs="Times New Roman"/>
          <w:b/>
          <w:color w:val="auto"/>
          <w:sz w:val="28"/>
          <w:szCs w:val="28"/>
          <w:lang w:val="uk-UA"/>
        </w:rPr>
        <w:t>Примітка</w:t>
      </w:r>
      <w:r w:rsidRPr="00BE086B">
        <w:rPr>
          <w:rFonts w:ascii="Times New Roman" w:hAnsi="Times New Roman" w:cs="Times New Roman"/>
          <w:color w:val="auto"/>
          <w:sz w:val="28"/>
          <w:szCs w:val="28"/>
          <w:lang w:val="uk-UA"/>
        </w:rPr>
        <w:t>.</w:t>
      </w:r>
      <w:r w:rsidRPr="00BE086B">
        <w:rPr>
          <w:rFonts w:ascii="Times New Roman" w:hAnsi="Times New Roman" w:cs="Times New Roman"/>
          <w:color w:val="auto"/>
          <w:lang w:val="uk-UA"/>
        </w:rPr>
        <w:t xml:space="preserve"> </w:t>
      </w:r>
      <w:r w:rsidR="00AF27FE" w:rsidRPr="00BE086B">
        <w:rPr>
          <w:rFonts w:ascii="Times New Roman" w:hAnsi="Times New Roman" w:cs="Times New Roman"/>
          <w:noProof/>
          <w:color w:val="auto"/>
          <w:sz w:val="28"/>
          <w:szCs w:val="28"/>
          <w:lang w:eastAsia="ru-RU"/>
        </w:rPr>
        <mc:AlternateContent>
          <mc:Choice Requires="wps">
            <w:drawing>
              <wp:anchor distT="0" distB="0" distL="114300" distR="114300" simplePos="0" relativeHeight="251662336" behindDoc="0" locked="0" layoutInCell="1" allowOverlap="1">
                <wp:simplePos x="0" y="0"/>
                <wp:positionH relativeFrom="column">
                  <wp:posOffset>1369695</wp:posOffset>
                </wp:positionH>
                <wp:positionV relativeFrom="paragraph">
                  <wp:posOffset>55245</wp:posOffset>
                </wp:positionV>
                <wp:extent cx="53975" cy="53975"/>
                <wp:effectExtent l="20955" t="26035" r="20320" b="24765"/>
                <wp:wrapNone/>
                <wp:docPr id="43"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rect">
                          <a:avLst/>
                        </a:prstGeom>
                        <a:solidFill>
                          <a:srgbClr val="C00000"/>
                        </a:solidFill>
                        <a:ln w="38160" cap="sq">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BA115B" id="Прямоугольник 7" o:spid="_x0000_s1026" style="position:absolute;margin-left:107.85pt;margin-top:4.35pt;width:4.25pt;height:4.2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" fillcolor="#c00000" strokecolor="#c00000" strokeweight="1.06mm">
                <v:stroke endcap="square"/>
              </v:rect>
            </w:pict>
          </mc:Fallback>
        </mc:AlternateContent>
      </w:r>
      <w:r w:rsidRPr="00BE086B">
        <w:rPr>
          <w:rFonts w:ascii="Times New Roman" w:hAnsi="Times New Roman" w:cs="Times New Roman"/>
          <w:color w:val="auto"/>
          <w:sz w:val="28"/>
          <w:szCs w:val="28"/>
          <w:lang w:val="uk-UA"/>
        </w:rPr>
        <w:t xml:space="preserve">   - </w:t>
      </w:r>
      <w:r w:rsidRPr="00BE086B">
        <w:rPr>
          <w:rFonts w:ascii="Times New Roman" w:hAnsi="Times New Roman" w:cs="Times New Roman"/>
          <w:color w:val="auto"/>
          <w:sz w:val="28"/>
          <w:szCs w:val="28"/>
          <w:lang w:val="uk-UA" w:eastAsia="ru-RU"/>
        </w:rPr>
        <w:t>р </w:t>
      </w:r>
      <w:r w:rsidRPr="00BE086B">
        <w:rPr>
          <w:rFonts w:ascii="Times New Roman" w:eastAsia="Calibri" w:hAnsi="Times New Roman" w:cs="Times New Roman"/>
          <w:iCs/>
          <w:color w:val="auto"/>
          <w:sz w:val="28"/>
          <w:szCs w:val="28"/>
          <w:lang w:val="uk-UA"/>
        </w:rPr>
        <w:t>&gt; </w:t>
      </w:r>
      <w:r w:rsidRPr="00BE086B">
        <w:rPr>
          <w:rFonts w:ascii="Times New Roman" w:hAnsi="Times New Roman" w:cs="Times New Roman"/>
          <w:color w:val="auto"/>
          <w:sz w:val="28"/>
          <w:szCs w:val="28"/>
          <w:lang w:val="uk-UA" w:eastAsia="ru-RU"/>
        </w:rPr>
        <w:t>0,05; в інших випадках – р </w:t>
      </w:r>
      <w:r w:rsidRPr="00BE086B">
        <w:rPr>
          <w:rFonts w:ascii="Times New Roman" w:eastAsia="Calibri" w:hAnsi="Times New Roman" w:cs="Times New Roman"/>
          <w:iCs/>
          <w:color w:val="auto"/>
          <w:sz w:val="28"/>
          <w:szCs w:val="28"/>
          <w:lang w:val="uk-UA"/>
        </w:rPr>
        <w:t>&lt; </w:t>
      </w:r>
      <w:r w:rsidRPr="00BE086B">
        <w:rPr>
          <w:rFonts w:ascii="Times New Roman" w:hAnsi="Times New Roman" w:cs="Times New Roman"/>
          <w:color w:val="auto"/>
          <w:sz w:val="28"/>
          <w:szCs w:val="28"/>
          <w:lang w:val="uk-UA" w:eastAsia="ru-RU"/>
        </w:rPr>
        <w:t>0,05 по відношенню до показників вихідного стану (ВС).</w:t>
      </w:r>
    </w:p>
    <w:p w:rsidR="00F641E8" w:rsidRDefault="00F641E8" w:rsidP="008E5DEF">
      <w:pPr>
        <w:pStyle w:val="WW-"/>
        <w:spacing w:after="0" w:line="360" w:lineRule="auto"/>
        <w:ind w:firstLine="709"/>
        <w:jc w:val="both"/>
        <w:rPr>
          <w:rFonts w:ascii="Times New Roman" w:eastAsia="Calibri" w:hAnsi="Times New Roman" w:cs="Times New Roman"/>
          <w:iCs/>
          <w:color w:val="auto"/>
          <w:sz w:val="28"/>
          <w:szCs w:val="28"/>
          <w:lang w:val="uk-UA" w:eastAsia="en-US"/>
        </w:rPr>
      </w:pPr>
    </w:p>
    <w:p w:rsidR="00F641E8" w:rsidRPr="00BE086B" w:rsidRDefault="00F641E8" w:rsidP="008E5DEF">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eastAsia="Calibri" w:hAnsi="Times New Roman" w:cs="Times New Roman"/>
          <w:iCs/>
          <w:color w:val="auto"/>
          <w:sz w:val="28"/>
          <w:szCs w:val="28"/>
          <w:lang w:val="uk-UA" w:eastAsia="en-US"/>
        </w:rPr>
        <w:t>Подібна картина спостерігалась при призначенні целекоксибу та L-тироксину: кількість пересічених квадратів, стійок та заглядань у «нірки» на 47 добу експерименту залишались зниженими відносно ВС на 36,1% (р </w:t>
      </w:r>
      <w:r w:rsidRPr="00BE086B">
        <w:rPr>
          <w:rFonts w:ascii="Times New Roman" w:hAnsi="Times New Roman" w:cs="Times New Roman"/>
          <w:color w:val="auto"/>
          <w:sz w:val="28"/>
          <w:szCs w:val="28"/>
          <w:lang w:val="uk-UA"/>
        </w:rPr>
        <w:t>&lt; </w:t>
      </w:r>
      <w:r w:rsidRPr="00BE086B">
        <w:rPr>
          <w:rFonts w:ascii="Times New Roman" w:eastAsia="Calibri" w:hAnsi="Times New Roman" w:cs="Times New Roman"/>
          <w:iCs/>
          <w:color w:val="auto"/>
          <w:sz w:val="28"/>
          <w:szCs w:val="28"/>
          <w:lang w:val="uk-UA" w:eastAsia="en-US"/>
        </w:rPr>
        <w:t>0,05), 36,1% (р </w:t>
      </w:r>
      <w:r w:rsidRPr="00BE086B">
        <w:rPr>
          <w:rFonts w:ascii="Times New Roman" w:hAnsi="Times New Roman" w:cs="Times New Roman"/>
          <w:color w:val="auto"/>
          <w:sz w:val="28"/>
          <w:szCs w:val="28"/>
          <w:lang w:val="uk-UA"/>
        </w:rPr>
        <w:t>&lt; </w:t>
      </w:r>
      <w:r w:rsidRPr="00BE086B">
        <w:rPr>
          <w:rFonts w:ascii="Times New Roman" w:eastAsia="Calibri" w:hAnsi="Times New Roman" w:cs="Times New Roman"/>
          <w:iCs/>
          <w:color w:val="auto"/>
          <w:sz w:val="28"/>
          <w:szCs w:val="28"/>
          <w:lang w:val="uk-UA" w:eastAsia="en-US"/>
        </w:rPr>
        <w:t xml:space="preserve">0,05) та 33,3% (р </w:t>
      </w:r>
      <w:r w:rsidRPr="00BE086B">
        <w:rPr>
          <w:rFonts w:ascii="Times New Roman" w:hAnsi="Times New Roman" w:cs="Times New Roman"/>
          <w:color w:val="auto"/>
          <w:sz w:val="28"/>
          <w:szCs w:val="28"/>
          <w:lang w:val="uk-UA"/>
        </w:rPr>
        <w:t>&lt; 0,05) відповідно (табл. 4.1, рис. 4.11Б).</w:t>
      </w:r>
    </w:p>
    <w:p w:rsidR="00F641E8" w:rsidRPr="00BE086B" w:rsidRDefault="00F641E8" w:rsidP="008E5DEF">
      <w:pPr>
        <w:pStyle w:val="af3"/>
        <w:spacing w:before="0" w:after="0" w:line="360" w:lineRule="auto"/>
        <w:ind w:firstLine="709"/>
        <w:jc w:val="both"/>
        <w:rPr>
          <w:lang w:val="uk-UA"/>
        </w:rPr>
      </w:pPr>
      <w:r w:rsidRPr="00BE086B">
        <w:rPr>
          <w:sz w:val="28"/>
          <w:szCs w:val="28"/>
          <w:lang w:val="uk-UA"/>
        </w:rPr>
        <w:t xml:space="preserve">Таким чином, </w:t>
      </w:r>
      <w:r w:rsidRPr="00BE086B">
        <w:rPr>
          <w:bCs/>
          <w:sz w:val="28"/>
          <w:szCs w:val="28"/>
          <w:lang w:val="uk-UA"/>
        </w:rPr>
        <w:t xml:space="preserve">дослідження впливу НПЗЗ, парацетамолу та </w:t>
      </w:r>
      <w:r w:rsidRPr="00BE086B">
        <w:rPr>
          <w:sz w:val="28"/>
          <w:szCs w:val="28"/>
          <w:lang w:val="uk-UA"/>
        </w:rPr>
        <w:t>L-тироксину</w:t>
      </w:r>
      <w:r w:rsidRPr="00BE086B">
        <w:rPr>
          <w:bCs/>
          <w:sz w:val="28"/>
          <w:szCs w:val="28"/>
          <w:lang w:val="uk-UA"/>
        </w:rPr>
        <w:t xml:space="preserve"> на руховий, дослідницький та емоційний статус щурів у тесті «відкрите поле» за умов експериментального остеоартрозу та гіпотиреозу встановило, що </w:t>
      </w:r>
      <w:r w:rsidRPr="00BE086B">
        <w:rPr>
          <w:sz w:val="28"/>
          <w:szCs w:val="28"/>
          <w:lang w:val="uk-UA"/>
        </w:rPr>
        <w:t xml:space="preserve">експериментальний остеоартроз та гіпотиреоз сприяють погіршенню </w:t>
      </w:r>
      <w:r w:rsidRPr="00BE086B">
        <w:rPr>
          <w:bCs/>
          <w:sz w:val="28"/>
          <w:szCs w:val="28"/>
          <w:lang w:val="uk-UA"/>
        </w:rPr>
        <w:t xml:space="preserve">рухової </w:t>
      </w:r>
      <w:r w:rsidRPr="00BE086B">
        <w:rPr>
          <w:bCs/>
          <w:sz w:val="28"/>
          <w:szCs w:val="28"/>
          <w:lang w:val="uk-UA"/>
        </w:rPr>
        <w:lastRenderedPageBreak/>
        <w:t>та дослідницької активності</w:t>
      </w:r>
      <w:r w:rsidRPr="00BE086B">
        <w:rPr>
          <w:sz w:val="28"/>
          <w:szCs w:val="28"/>
          <w:lang w:val="uk-UA"/>
        </w:rPr>
        <w:t xml:space="preserve"> щурів на тлі наростання патологічних змін з боку функціонального дефіциту щитоподібної залози та опорно-рухового апарату</w:t>
      </w:r>
      <w:r w:rsidR="002677F3">
        <w:rPr>
          <w:sz w:val="28"/>
          <w:szCs w:val="28"/>
          <w:lang w:val="uk-UA"/>
        </w:rPr>
        <w:t xml:space="preserve"> </w:t>
      </w:r>
      <w:r w:rsidR="002677F3" w:rsidRPr="00A66A77">
        <w:rPr>
          <w:sz w:val="28"/>
          <w:szCs w:val="28"/>
          <w:lang w:val="uk-UA"/>
        </w:rPr>
        <w:t>[</w:t>
      </w:r>
      <w:r w:rsidR="002677F3">
        <w:rPr>
          <w:sz w:val="28"/>
          <w:szCs w:val="28"/>
          <w:lang w:val="uk-UA"/>
        </w:rPr>
        <w:t xml:space="preserve">115, </w:t>
      </w:r>
      <w:r w:rsidR="002677F3" w:rsidRPr="00A66A77">
        <w:rPr>
          <w:sz w:val="28"/>
          <w:szCs w:val="28"/>
          <w:lang w:val="uk-UA"/>
        </w:rPr>
        <w:t>227, 433, 435]</w:t>
      </w:r>
      <w:r w:rsidRPr="00BE086B">
        <w:rPr>
          <w:sz w:val="28"/>
          <w:szCs w:val="28"/>
          <w:lang w:val="uk-UA"/>
        </w:rPr>
        <w:t>.</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Так, аналіз змін у тесті «відкрите поле» на 42 добу експерименту (завершення формування експериментальних моделей) виявив пригнічення спонтанної поведінкової активності та емоційної лабільності щурів на тлі наростання патологічних змін обумовлених експериментальним ОА та ГІТ у порівнянні з вихідним станом (ВС) (р </w:t>
      </w:r>
      <w:r w:rsidRPr="00BE086B">
        <w:rPr>
          <w:rFonts w:ascii="Times New Roman" w:eastAsia="Calibri" w:hAnsi="Times New Roman" w:cs="Times New Roman"/>
          <w:iCs/>
          <w:color w:val="auto"/>
          <w:sz w:val="28"/>
          <w:szCs w:val="28"/>
          <w:lang w:val="uk-UA" w:eastAsia="en-US"/>
        </w:rPr>
        <w:t xml:space="preserve">&lt; </w:t>
      </w:r>
      <w:r w:rsidRPr="00BE086B">
        <w:rPr>
          <w:rFonts w:ascii="Times New Roman" w:hAnsi="Times New Roman" w:cs="Times New Roman"/>
          <w:color w:val="auto"/>
          <w:sz w:val="28"/>
          <w:szCs w:val="28"/>
          <w:lang w:val="uk-UA"/>
        </w:rPr>
        <w:t>0,05).</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Встановлено, що на 47 добу експерименту (завершення 5-ти добового призначення ЛЗ) у групі активного контролю наростало пригнічення спонтанної поведінкової активності та емоційної лабільності щурів на тлі наростання патологічних змін обумовлених експериментальним ОА та ГІТ та за умов відсутності «лікування» (р </w:t>
      </w:r>
      <w:r w:rsidRPr="00BE086B">
        <w:rPr>
          <w:rFonts w:ascii="Times New Roman" w:eastAsia="Calibri" w:hAnsi="Times New Roman" w:cs="Times New Roman"/>
          <w:iCs/>
          <w:color w:val="auto"/>
          <w:sz w:val="28"/>
          <w:szCs w:val="28"/>
          <w:lang w:val="uk-UA" w:eastAsia="en-US"/>
        </w:rPr>
        <w:t xml:space="preserve">&lt; </w:t>
      </w:r>
      <w:r w:rsidRPr="00BE086B">
        <w:rPr>
          <w:rFonts w:ascii="Times New Roman" w:hAnsi="Times New Roman" w:cs="Times New Roman"/>
          <w:color w:val="auto"/>
          <w:sz w:val="28"/>
          <w:szCs w:val="28"/>
          <w:lang w:val="uk-UA"/>
        </w:rPr>
        <w:t>0,05).</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Замісна гормональна фармакотерапія L-тироксином сприяє відновленню </w:t>
      </w:r>
      <w:r w:rsidRPr="00BE086B">
        <w:rPr>
          <w:rFonts w:ascii="Times New Roman" w:hAnsi="Times New Roman" w:cs="Times New Roman"/>
          <w:bCs/>
          <w:color w:val="auto"/>
          <w:sz w:val="28"/>
          <w:szCs w:val="28"/>
          <w:lang w:val="uk-UA"/>
        </w:rPr>
        <w:t>рухової та дослідницької активності</w:t>
      </w:r>
      <w:r w:rsidRPr="00BE086B">
        <w:rPr>
          <w:rFonts w:ascii="Times New Roman" w:hAnsi="Times New Roman" w:cs="Times New Roman"/>
          <w:color w:val="auto"/>
          <w:sz w:val="28"/>
          <w:szCs w:val="28"/>
          <w:lang w:val="uk-UA"/>
        </w:rPr>
        <w:t xml:space="preserve"> щурів за умов експериментального остеоартрозу та гіпотиреозу (р </w:t>
      </w:r>
      <w:r w:rsidRPr="00BE086B">
        <w:rPr>
          <w:rFonts w:ascii="Times New Roman" w:eastAsia="Calibri" w:hAnsi="Times New Roman" w:cs="Times New Roman"/>
          <w:iCs/>
          <w:color w:val="auto"/>
          <w:sz w:val="28"/>
          <w:szCs w:val="28"/>
          <w:lang w:val="uk-UA" w:eastAsia="en-US"/>
        </w:rPr>
        <w:t xml:space="preserve">&lt; </w:t>
      </w:r>
      <w:r w:rsidRPr="00BE086B">
        <w:rPr>
          <w:rFonts w:ascii="Times New Roman" w:hAnsi="Times New Roman" w:cs="Times New Roman"/>
          <w:color w:val="auto"/>
          <w:sz w:val="28"/>
          <w:szCs w:val="28"/>
          <w:lang w:val="uk-UA"/>
        </w:rPr>
        <w:t>0,05).</w:t>
      </w:r>
    </w:p>
    <w:p w:rsidR="00F641E8" w:rsidRPr="00BE086B" w:rsidRDefault="00F641E8" w:rsidP="008E5DEF">
      <w:pPr>
        <w:pStyle w:val="WW-"/>
        <w:spacing w:after="0" w:line="360" w:lineRule="auto"/>
        <w:ind w:firstLine="709"/>
        <w:jc w:val="both"/>
        <w:rPr>
          <w:rFonts w:ascii="Times New Roman" w:hAnsi="Times New Roman" w:cs="Times New Roman"/>
          <w:color w:val="auto"/>
          <w:lang w:val="uk-UA"/>
        </w:rPr>
      </w:pPr>
      <w:r w:rsidRPr="00BE086B">
        <w:rPr>
          <w:rFonts w:ascii="Times New Roman" w:hAnsi="Times New Roman" w:cs="Times New Roman"/>
          <w:color w:val="auto"/>
          <w:sz w:val="28"/>
          <w:szCs w:val="28"/>
          <w:lang w:val="uk-UA"/>
        </w:rPr>
        <w:t xml:space="preserve">Показано, що сумісне призначення НПЗЗ та парацетамолу із замісною гормональною терапією L-тироксином сприяє позитивним змінам </w:t>
      </w:r>
      <w:r w:rsidRPr="00BE086B">
        <w:rPr>
          <w:rFonts w:ascii="Times New Roman" w:hAnsi="Times New Roman" w:cs="Times New Roman"/>
          <w:bCs/>
          <w:color w:val="auto"/>
          <w:sz w:val="28"/>
          <w:szCs w:val="28"/>
          <w:lang w:val="uk-UA"/>
        </w:rPr>
        <w:t>рухової та дослідницької активності</w:t>
      </w:r>
      <w:r w:rsidRPr="00BE086B">
        <w:rPr>
          <w:rFonts w:ascii="Times New Roman" w:hAnsi="Times New Roman" w:cs="Times New Roman"/>
          <w:color w:val="auto"/>
          <w:sz w:val="28"/>
          <w:szCs w:val="28"/>
          <w:lang w:val="uk-UA"/>
        </w:rPr>
        <w:t xml:space="preserve"> щурів за умов експериментального ОА та ГІТ та має різний вплив на показники спонтанної поведінкової активності</w:t>
      </w:r>
      <w:r w:rsidR="002677F3">
        <w:rPr>
          <w:rFonts w:ascii="Times New Roman" w:hAnsi="Times New Roman" w:cs="Times New Roman"/>
          <w:color w:val="auto"/>
          <w:sz w:val="28"/>
          <w:szCs w:val="28"/>
          <w:lang w:val="uk-UA"/>
        </w:rPr>
        <w:t xml:space="preserve"> </w:t>
      </w:r>
      <w:r w:rsidR="002677F3" w:rsidRPr="00F50CC3">
        <w:rPr>
          <w:rFonts w:ascii="Times New Roman" w:hAnsi="Times New Roman" w:cs="Times New Roman"/>
          <w:sz w:val="28"/>
          <w:szCs w:val="28"/>
          <w:lang w:val="uk-UA"/>
        </w:rPr>
        <w:t xml:space="preserve">[115, 227, </w:t>
      </w:r>
      <w:r w:rsidR="002677F3">
        <w:rPr>
          <w:rFonts w:ascii="Times New Roman" w:hAnsi="Times New Roman" w:cs="Times New Roman"/>
          <w:sz w:val="28"/>
          <w:szCs w:val="28"/>
          <w:lang w:val="uk-UA"/>
        </w:rPr>
        <w:t>250, 360</w:t>
      </w:r>
      <w:r w:rsidR="002677F3" w:rsidRPr="00F50CC3">
        <w:rPr>
          <w:rFonts w:ascii="Times New Roman" w:hAnsi="Times New Roman" w:cs="Times New Roman"/>
          <w:sz w:val="28"/>
          <w:szCs w:val="28"/>
          <w:lang w:val="uk-UA"/>
        </w:rPr>
        <w:t>]</w:t>
      </w:r>
      <w:r w:rsidRPr="00BE086B">
        <w:rPr>
          <w:rFonts w:ascii="Times New Roman" w:hAnsi="Times New Roman" w:cs="Times New Roman"/>
          <w:color w:val="auto"/>
          <w:sz w:val="28"/>
          <w:szCs w:val="28"/>
          <w:lang w:val="uk-UA"/>
        </w:rPr>
        <w:t>.</w:t>
      </w:r>
    </w:p>
    <w:p w:rsidR="00F641E8" w:rsidRPr="00BE086B" w:rsidRDefault="00F641E8" w:rsidP="008E5DEF">
      <w:pPr>
        <w:spacing w:line="360" w:lineRule="auto"/>
        <w:ind w:firstLine="709"/>
        <w:jc w:val="both"/>
        <w:rPr>
          <w:lang w:val="uk-UA"/>
        </w:rPr>
      </w:pPr>
      <w:r w:rsidRPr="00BE086B">
        <w:rPr>
          <w:sz w:val="28"/>
          <w:szCs w:val="28"/>
          <w:lang w:val="uk-UA" w:eastAsia="uk-UA"/>
        </w:rPr>
        <w:t>Так, п</w:t>
      </w:r>
      <w:r w:rsidRPr="00BE086B">
        <w:rPr>
          <w:sz w:val="28"/>
          <w:szCs w:val="28"/>
          <w:lang w:val="uk-UA"/>
        </w:rPr>
        <w:t xml:space="preserve">ризначення диклофенаку натрію (III група) на 47 добу призвело до зниження кількості пересічених квадратів, стійок та заглядань у «нірки» на 30,3% (р </w:t>
      </w:r>
      <w:r w:rsidRPr="00BE086B">
        <w:rPr>
          <w:rFonts w:eastAsia="Calibri"/>
          <w:iCs/>
          <w:sz w:val="28"/>
          <w:szCs w:val="28"/>
          <w:lang w:val="uk-UA" w:eastAsia="en-US"/>
        </w:rPr>
        <w:t xml:space="preserve">&lt; </w:t>
      </w:r>
      <w:r w:rsidRPr="00BE086B">
        <w:rPr>
          <w:sz w:val="28"/>
          <w:szCs w:val="28"/>
          <w:lang w:val="uk-UA"/>
        </w:rPr>
        <w:t xml:space="preserve">0,05), 84,7% (р </w:t>
      </w:r>
      <w:r w:rsidRPr="00BE086B">
        <w:rPr>
          <w:rFonts w:eastAsia="Calibri"/>
          <w:iCs/>
          <w:sz w:val="28"/>
          <w:szCs w:val="28"/>
          <w:lang w:val="uk-UA" w:eastAsia="en-US"/>
        </w:rPr>
        <w:t xml:space="preserve">&lt; </w:t>
      </w:r>
      <w:r w:rsidRPr="00BE086B">
        <w:rPr>
          <w:sz w:val="28"/>
          <w:szCs w:val="28"/>
          <w:lang w:val="uk-UA"/>
        </w:rPr>
        <w:t xml:space="preserve">0,05) та 56,3% (р </w:t>
      </w:r>
      <w:r w:rsidRPr="00BE086B">
        <w:rPr>
          <w:rFonts w:eastAsia="Calibri"/>
          <w:iCs/>
          <w:sz w:val="28"/>
          <w:szCs w:val="28"/>
          <w:lang w:val="uk-UA" w:eastAsia="en-US"/>
        </w:rPr>
        <w:t xml:space="preserve">&lt; </w:t>
      </w:r>
      <w:r w:rsidRPr="00BE086B">
        <w:rPr>
          <w:sz w:val="28"/>
          <w:szCs w:val="28"/>
          <w:lang w:val="uk-UA"/>
        </w:rPr>
        <w:t xml:space="preserve">0,05) відповідно, а кількість актів грумінгу та болюсів знизились на 47,9% (р </w:t>
      </w:r>
      <w:r w:rsidRPr="00BE086B">
        <w:rPr>
          <w:rFonts w:eastAsia="Calibri"/>
          <w:iCs/>
          <w:sz w:val="28"/>
          <w:szCs w:val="28"/>
          <w:lang w:val="uk-UA" w:eastAsia="en-US"/>
        </w:rPr>
        <w:t xml:space="preserve">&lt; </w:t>
      </w:r>
      <w:r w:rsidRPr="00BE086B">
        <w:rPr>
          <w:sz w:val="28"/>
          <w:szCs w:val="28"/>
          <w:lang w:val="uk-UA"/>
        </w:rPr>
        <w:t xml:space="preserve">0,05) та 15,3% (р </w:t>
      </w:r>
      <w:r w:rsidRPr="00BE086B">
        <w:rPr>
          <w:rFonts w:eastAsia="Calibri"/>
          <w:iCs/>
          <w:sz w:val="28"/>
          <w:szCs w:val="28"/>
          <w:lang w:val="uk-UA" w:eastAsia="en-US"/>
        </w:rPr>
        <w:t xml:space="preserve">&gt; </w:t>
      </w:r>
      <w:r w:rsidRPr="00BE086B">
        <w:rPr>
          <w:sz w:val="28"/>
          <w:szCs w:val="28"/>
          <w:lang w:val="uk-UA"/>
        </w:rPr>
        <w:t xml:space="preserve">0,05) відповідно відносно ВС. При призначенні диклофенаку натрію сумісно з L-тироксином (IV група) статистично достовірні результати отримані тільки за кількістю актів грумінгу, які зменшились на 38,7% (р </w:t>
      </w:r>
      <w:r w:rsidRPr="00BE086B">
        <w:rPr>
          <w:rFonts w:eastAsia="Calibri"/>
          <w:iCs/>
          <w:sz w:val="28"/>
          <w:szCs w:val="28"/>
          <w:lang w:val="uk-UA"/>
        </w:rPr>
        <w:t xml:space="preserve">&lt; </w:t>
      </w:r>
      <w:r w:rsidRPr="00BE086B">
        <w:rPr>
          <w:sz w:val="28"/>
          <w:szCs w:val="28"/>
          <w:lang w:val="uk-UA"/>
        </w:rPr>
        <w:t>0,05) відносно ВС.</w:t>
      </w:r>
    </w:p>
    <w:p w:rsidR="00F641E8" w:rsidRPr="00BE086B" w:rsidRDefault="00F641E8" w:rsidP="008E5DEF">
      <w:pPr>
        <w:spacing w:line="360" w:lineRule="auto"/>
        <w:ind w:firstLine="709"/>
        <w:jc w:val="both"/>
        <w:rPr>
          <w:lang w:val="uk-UA"/>
        </w:rPr>
      </w:pPr>
      <w:r w:rsidRPr="00BE086B">
        <w:rPr>
          <w:sz w:val="28"/>
          <w:szCs w:val="28"/>
          <w:lang w:val="uk-UA"/>
        </w:rPr>
        <w:t xml:space="preserve">Встановлено, що призначення диклофенаку натрію сумісно з L-тироксином сприяє більш ефективному відновленню рухової та дослідницької </w:t>
      </w:r>
      <w:r w:rsidRPr="00BE086B">
        <w:rPr>
          <w:sz w:val="28"/>
          <w:szCs w:val="28"/>
          <w:lang w:val="uk-UA"/>
        </w:rPr>
        <w:lastRenderedPageBreak/>
        <w:t xml:space="preserve">активності у порівнянні з призначенням тільки L-тироксину, а вегетативний компонент емоційних реакцій у щурів III та IV груп на 47 добу характеризувався пригніченням емоційної лабільності (р </w:t>
      </w:r>
      <w:r w:rsidRPr="00BE086B">
        <w:rPr>
          <w:rFonts w:eastAsia="Calibri"/>
          <w:iCs/>
          <w:sz w:val="28"/>
          <w:szCs w:val="28"/>
          <w:lang w:val="uk-UA"/>
        </w:rPr>
        <w:t xml:space="preserve">&lt; </w:t>
      </w:r>
      <w:r w:rsidRPr="00BE086B">
        <w:rPr>
          <w:sz w:val="28"/>
          <w:szCs w:val="28"/>
          <w:lang w:val="uk-UA"/>
        </w:rPr>
        <w:t>0,05)</w:t>
      </w:r>
      <w:r w:rsidR="002677F3">
        <w:rPr>
          <w:sz w:val="28"/>
          <w:szCs w:val="28"/>
          <w:lang w:val="uk-UA"/>
        </w:rPr>
        <w:t xml:space="preserve"> </w:t>
      </w:r>
      <w:r w:rsidR="002677F3" w:rsidRPr="00F50CC3">
        <w:rPr>
          <w:sz w:val="28"/>
          <w:szCs w:val="28"/>
          <w:lang w:val="uk-UA"/>
        </w:rPr>
        <w:t xml:space="preserve">[115, 227, </w:t>
      </w:r>
      <w:r w:rsidR="002677F3">
        <w:rPr>
          <w:sz w:val="28"/>
          <w:szCs w:val="28"/>
          <w:lang w:val="uk-UA"/>
        </w:rPr>
        <w:t>250, 290, 360</w:t>
      </w:r>
      <w:r w:rsidR="002677F3" w:rsidRPr="00F50CC3">
        <w:rPr>
          <w:sz w:val="28"/>
          <w:szCs w:val="28"/>
          <w:lang w:val="uk-UA"/>
        </w:rPr>
        <w:t>]</w:t>
      </w:r>
      <w:r w:rsidRPr="00BE086B">
        <w:rPr>
          <w:sz w:val="28"/>
          <w:szCs w:val="28"/>
          <w:lang w:val="uk-UA"/>
        </w:rPr>
        <w:t>.</w:t>
      </w:r>
    </w:p>
    <w:p w:rsidR="00F641E8" w:rsidRPr="00BE086B" w:rsidRDefault="00F641E8" w:rsidP="008E5DEF">
      <w:pPr>
        <w:spacing w:line="360" w:lineRule="auto"/>
        <w:ind w:firstLine="709"/>
        <w:jc w:val="both"/>
        <w:rPr>
          <w:rFonts w:eastAsia="Calibri"/>
          <w:sz w:val="28"/>
          <w:szCs w:val="28"/>
          <w:lang w:val="uk-UA"/>
        </w:rPr>
      </w:pPr>
      <w:r w:rsidRPr="00BE086B">
        <w:rPr>
          <w:rFonts w:eastAsia="Calibri"/>
          <w:sz w:val="28"/>
          <w:szCs w:val="28"/>
          <w:lang w:val="uk-UA"/>
        </w:rPr>
        <w:t xml:space="preserve">Взагалі, проведені дослідження дозволили визначити препарат-лідер за знеболюючою дією та здатністю відновлювати рухову та </w:t>
      </w:r>
      <w:r w:rsidRPr="00BE086B">
        <w:rPr>
          <w:sz w:val="28"/>
          <w:szCs w:val="28"/>
          <w:lang w:val="uk-UA"/>
        </w:rPr>
        <w:t>дослідницьку</w:t>
      </w:r>
      <w:r w:rsidRPr="00BE086B">
        <w:rPr>
          <w:rFonts w:eastAsia="Calibri"/>
          <w:sz w:val="28"/>
          <w:szCs w:val="28"/>
          <w:lang w:val="uk-UA"/>
        </w:rPr>
        <w:t xml:space="preserve"> активність у щурів з ОА та супутнім ГІТ – диклофенак натрію.</w:t>
      </w:r>
    </w:p>
    <w:p w:rsidR="00F641E8" w:rsidRPr="00BE086B" w:rsidRDefault="00F641E8"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Pr="00BE086B" w:rsidRDefault="00AF418B" w:rsidP="008E5DEF">
      <w:pPr>
        <w:pStyle w:val="af0"/>
        <w:ind w:firstLine="709"/>
        <w:jc w:val="both"/>
        <w:rPr>
          <w:sz w:val="28"/>
          <w:szCs w:val="28"/>
          <w:lang w:val="uk-UA"/>
        </w:rPr>
      </w:pPr>
    </w:p>
    <w:p w:rsidR="00AF418B" w:rsidRDefault="00AF418B" w:rsidP="008E5DEF">
      <w:pPr>
        <w:pStyle w:val="af0"/>
        <w:ind w:firstLine="709"/>
        <w:jc w:val="both"/>
        <w:rPr>
          <w:sz w:val="28"/>
          <w:szCs w:val="28"/>
          <w:lang w:val="uk-UA"/>
        </w:rPr>
      </w:pPr>
    </w:p>
    <w:p w:rsidR="00E00089" w:rsidRDefault="00E00089" w:rsidP="008E5DEF">
      <w:pPr>
        <w:pStyle w:val="af0"/>
        <w:ind w:firstLine="709"/>
        <w:jc w:val="both"/>
        <w:rPr>
          <w:sz w:val="28"/>
          <w:szCs w:val="28"/>
          <w:lang w:val="uk-UA"/>
        </w:rPr>
      </w:pPr>
    </w:p>
    <w:p w:rsidR="00E00089" w:rsidRDefault="00E00089" w:rsidP="008E5DEF">
      <w:pPr>
        <w:pStyle w:val="af0"/>
        <w:ind w:firstLine="709"/>
        <w:jc w:val="both"/>
        <w:rPr>
          <w:sz w:val="28"/>
          <w:szCs w:val="28"/>
          <w:lang w:val="uk-UA"/>
        </w:rPr>
      </w:pPr>
    </w:p>
    <w:p w:rsidR="00AF27FE" w:rsidRDefault="00AF27FE" w:rsidP="008E5DEF">
      <w:pPr>
        <w:pStyle w:val="af0"/>
        <w:ind w:firstLine="709"/>
        <w:jc w:val="both"/>
        <w:rPr>
          <w:sz w:val="28"/>
          <w:szCs w:val="28"/>
          <w:lang w:val="uk-UA"/>
        </w:rPr>
      </w:pPr>
    </w:p>
    <w:p w:rsidR="00AF27FE" w:rsidRDefault="00AF27FE" w:rsidP="008E5DEF">
      <w:pPr>
        <w:pStyle w:val="af0"/>
        <w:ind w:firstLine="709"/>
        <w:jc w:val="both"/>
        <w:rPr>
          <w:sz w:val="28"/>
          <w:szCs w:val="28"/>
          <w:lang w:val="uk-UA"/>
        </w:rPr>
      </w:pPr>
    </w:p>
    <w:p w:rsidR="00AF27FE" w:rsidRDefault="00AF27FE" w:rsidP="008E5DEF">
      <w:pPr>
        <w:pStyle w:val="af0"/>
        <w:ind w:firstLine="709"/>
        <w:jc w:val="both"/>
        <w:rPr>
          <w:sz w:val="28"/>
          <w:szCs w:val="28"/>
          <w:lang w:val="uk-UA"/>
        </w:rPr>
      </w:pPr>
    </w:p>
    <w:p w:rsidR="00AF418B" w:rsidRPr="00BE086B" w:rsidRDefault="00AF418B" w:rsidP="005316D2">
      <w:pPr>
        <w:pStyle w:val="15"/>
        <w:spacing w:line="360" w:lineRule="auto"/>
        <w:ind w:firstLine="709"/>
        <w:jc w:val="center"/>
        <w:rPr>
          <w:rFonts w:ascii="Times New Roman" w:hAnsi="Times New Roman" w:cs="Times New Roman"/>
          <w:sz w:val="28"/>
          <w:szCs w:val="28"/>
          <w:lang w:val="uk-UA"/>
        </w:rPr>
      </w:pPr>
      <w:r w:rsidRPr="00BE086B">
        <w:rPr>
          <w:rFonts w:ascii="Times New Roman" w:hAnsi="Times New Roman" w:cs="Times New Roman"/>
          <w:b/>
          <w:bCs/>
          <w:caps/>
          <w:sz w:val="28"/>
          <w:szCs w:val="28"/>
          <w:lang w:val="uk-UA"/>
        </w:rPr>
        <w:lastRenderedPageBreak/>
        <w:t>Розділ 5</w:t>
      </w:r>
    </w:p>
    <w:p w:rsidR="00AF418B" w:rsidRPr="00BE086B" w:rsidRDefault="00AF418B" w:rsidP="005316D2">
      <w:pPr>
        <w:pStyle w:val="15"/>
        <w:spacing w:line="360" w:lineRule="auto"/>
        <w:ind w:firstLine="709"/>
        <w:jc w:val="center"/>
        <w:rPr>
          <w:rFonts w:ascii="Times New Roman" w:hAnsi="Times New Roman" w:cs="Times New Roman"/>
          <w:b/>
          <w:bCs/>
          <w:caps/>
          <w:sz w:val="28"/>
          <w:szCs w:val="28"/>
          <w:lang w:val="uk-UA"/>
        </w:rPr>
      </w:pPr>
    </w:p>
    <w:p w:rsidR="00AF418B" w:rsidRPr="00BE086B" w:rsidRDefault="00AF418B" w:rsidP="00D41643">
      <w:pPr>
        <w:spacing w:line="360" w:lineRule="auto"/>
        <w:jc w:val="center"/>
        <w:rPr>
          <w:sz w:val="28"/>
          <w:szCs w:val="28"/>
          <w:lang w:val="uk-UA"/>
        </w:rPr>
      </w:pPr>
      <w:r w:rsidRPr="00BE086B">
        <w:rPr>
          <w:b/>
          <w:bCs/>
          <w:sz w:val="28"/>
          <w:szCs w:val="28"/>
          <w:lang w:val="uk-UA"/>
        </w:rPr>
        <w:t>ДОСЛІДЖЕННЯ РІВНЯ ЦИТОКІНІВ ПРИ ПРИЗНАЧЕННІ НПЗЗ, ПАРАЦЕТАМОЛУ ТА L-ТИРОКСИНУ ЗА УМОВ ЕКСПЕРИМЕНТАЛЬНОГО ОСТЕОАРТРОЗУ ТА ГІПОТИРЕОЗУ</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розділі описані результати біохімічного дослідження рівня цитокінів (ІЛ 1, 6 та 8; СРБ, ФНП, ММП 3, 9 та 13; CTX-I, CTX-II, КЛФ) у сироватці крові щурів під впливом призначення НПЗЗ, парацетамолу та L-тироксину на фоні коморбідної патології (експериментальних патологічних станів остеоартрозу та гіпотиреозу).</w:t>
      </w:r>
    </w:p>
    <w:p w:rsidR="00AF418B" w:rsidRPr="00BE086B" w:rsidRDefault="00AF418B" w:rsidP="005316D2">
      <w:pPr>
        <w:pStyle w:val="aff0"/>
        <w:shd w:val="clear" w:color="auto" w:fill="FFFFFF"/>
        <w:spacing w:line="360" w:lineRule="auto"/>
        <w:ind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В досліджені проведена оцінка основних ланок патогенезу остеоартрозу та використані наступні маркери:</w:t>
      </w:r>
    </w:p>
    <w:p w:rsidR="00AF418B" w:rsidRPr="00BE086B" w:rsidRDefault="00AF418B" w:rsidP="005316D2">
      <w:pPr>
        <w:pStyle w:val="aff0"/>
        <w:spacing w:line="360" w:lineRule="auto"/>
        <w:ind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 Маркери деструкції хрящової та кісткової тканин: С-телопептид колагену 2 типу (CTX-II) та С-телопептид колагену 1 типу (CTX-I) відображають ступінь руйнування хрящової та кісткової тканин відповідно. Відповідні маркери виявляються у сироватці крові внаслідок руйнування хрящової та кісткової тканин та потрапляння продуктів розпаду колагену 1 та 2 типів у кров піддослідних тварин [124, 125, 136, 139, 148, 440].</w:t>
      </w:r>
    </w:p>
    <w:p w:rsidR="00AF418B" w:rsidRPr="00BE086B" w:rsidRDefault="00AF418B" w:rsidP="005316D2">
      <w:pPr>
        <w:pStyle w:val="aff0"/>
        <w:spacing w:line="360" w:lineRule="auto"/>
        <w:ind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2. Маркери ферментів, які руйнують хрящовий матрикс: металопротеїнази (MMП) 3, 9 та 13 відображають «стан» хрящового матриксу </w:t>
      </w:r>
      <w:r w:rsidRPr="00BE086B">
        <w:rPr>
          <w:rFonts w:ascii="Times New Roman" w:hAnsi="Times New Roman" w:cs="Times New Roman"/>
          <w:sz w:val="28"/>
          <w:szCs w:val="28"/>
        </w:rPr>
        <w:t>[127, 170-174, 440, 459, 460]</w:t>
      </w:r>
      <w:r w:rsidRPr="00BE086B">
        <w:rPr>
          <w:rFonts w:ascii="Times New Roman" w:hAnsi="Times New Roman" w:cs="Times New Roman"/>
          <w:sz w:val="28"/>
          <w:szCs w:val="28"/>
          <w:lang w:val="uk-UA"/>
        </w:rPr>
        <w:t>.</w:t>
      </w:r>
    </w:p>
    <w:p w:rsidR="00AF418B" w:rsidRPr="00BE086B" w:rsidRDefault="00AF418B" w:rsidP="005316D2">
      <w:pPr>
        <w:pStyle w:val="aff0"/>
        <w:spacing w:line="360" w:lineRule="auto"/>
        <w:ind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 Маркери утворення кісткової тканини: кісткова лужна фосфатаза (КЛФ) відображає інтенсивність анаболічних процесів у кістковій тканині. Дозволяє оцінити регенераторний потенціал кісткової тканини [196, 197, 440].</w:t>
      </w:r>
    </w:p>
    <w:p w:rsidR="00AF418B" w:rsidRPr="00BE086B" w:rsidRDefault="00AF418B" w:rsidP="005316D2">
      <w:pPr>
        <w:pStyle w:val="aff0"/>
        <w:spacing w:line="360" w:lineRule="auto"/>
        <w:ind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4. Біохімічні маркери запалення (гострофазові білки запалення сироватки крові): С-реактивний білок (СРБ), інтерлейкіни (ІЛ/IL) 1, 6 та 8, фактор некрозу пухлин - альфа (TNF-α). Відображають загальну реакцію організму на запалення та є неспецифічними маркерами запалення </w:t>
      </w:r>
      <w:r w:rsidRPr="00BE086B">
        <w:rPr>
          <w:rFonts w:ascii="Times New Roman" w:hAnsi="Times New Roman" w:cs="Times New Roman"/>
          <w:sz w:val="28"/>
          <w:szCs w:val="28"/>
        </w:rPr>
        <w:t>[135, 141, 440, 461]</w:t>
      </w:r>
      <w:r w:rsidRPr="00BE086B">
        <w:rPr>
          <w:rFonts w:ascii="Times New Roman" w:hAnsi="Times New Roman" w:cs="Times New Roman"/>
          <w:sz w:val="28"/>
          <w:szCs w:val="28"/>
          <w:lang w:val="uk-UA"/>
        </w:rPr>
        <w:t>.</w:t>
      </w:r>
    </w:p>
    <w:p w:rsidR="00AF418B" w:rsidRPr="00BE086B" w:rsidRDefault="00AF418B" w:rsidP="005316D2">
      <w:pPr>
        <w:spacing w:line="360" w:lineRule="auto"/>
        <w:ind w:firstLine="709"/>
        <w:jc w:val="both"/>
        <w:rPr>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b/>
          <w:color w:val="auto"/>
          <w:sz w:val="28"/>
          <w:szCs w:val="28"/>
          <w:lang w:val="uk-UA"/>
        </w:rPr>
      </w:pPr>
      <w:r w:rsidRPr="00BE086B">
        <w:rPr>
          <w:rFonts w:ascii="Times New Roman" w:hAnsi="Times New Roman" w:cs="Times New Roman"/>
          <w:b/>
          <w:bCs/>
          <w:color w:val="auto"/>
          <w:sz w:val="28"/>
          <w:szCs w:val="28"/>
          <w:lang w:val="uk-UA"/>
        </w:rPr>
        <w:t xml:space="preserve">5.1 Зміни рівня інтерлейкінів 1, 6 та 8 під впливом </w:t>
      </w:r>
      <w:r w:rsidRPr="00BE086B">
        <w:rPr>
          <w:rFonts w:ascii="Times New Roman" w:hAnsi="Times New Roman" w:cs="Times New Roman"/>
          <w:b/>
          <w:color w:val="auto"/>
          <w:sz w:val="28"/>
          <w:szCs w:val="28"/>
          <w:lang w:val="uk-UA"/>
        </w:rPr>
        <w:t>НПЗЗ, парацетамолу та L-тироксину</w:t>
      </w:r>
      <w:r w:rsidRPr="00BE086B">
        <w:rPr>
          <w:rFonts w:ascii="Times New Roman" w:hAnsi="Times New Roman" w:cs="Times New Roman"/>
          <w:b/>
          <w:bCs/>
          <w:color w:val="auto"/>
          <w:sz w:val="28"/>
          <w:szCs w:val="28"/>
          <w:lang w:val="uk-UA"/>
        </w:rPr>
        <w:t xml:space="preserve"> за умов експериментального остеоартрозу та гіпотиреозу</w:t>
      </w:r>
    </w:p>
    <w:p w:rsidR="00AF418B" w:rsidRPr="00BE086B" w:rsidRDefault="00AF418B" w:rsidP="005316D2">
      <w:pPr>
        <w:pStyle w:val="WW-"/>
        <w:spacing w:after="0" w:line="360" w:lineRule="auto"/>
        <w:ind w:firstLine="709"/>
        <w:jc w:val="both"/>
        <w:rPr>
          <w:rFonts w:ascii="Times New Roman" w:hAnsi="Times New Roman" w:cs="Times New Roman"/>
          <w:b/>
          <w:bCs/>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підрозділі описані результати біохімічного дослідження рівня інтерлейкінів 1, 6 та 8 (IL 1, 6 та 8) у сироватці крові щурів під впливом нестероїдних протизапальних засобів, парацетамолу та L-тироксину за умов коморбідної патології (експериментального остеоартрозу та гіпотиреозу) [126, 135, 141, 440, 461].</w:t>
      </w:r>
    </w:p>
    <w:p w:rsidR="00AF418B" w:rsidRPr="00BE086B" w:rsidRDefault="00AF418B" w:rsidP="005316D2">
      <w:pPr>
        <w:spacing w:line="360" w:lineRule="auto"/>
        <w:ind w:firstLine="709"/>
        <w:jc w:val="both"/>
        <w:rPr>
          <w:sz w:val="28"/>
          <w:szCs w:val="28"/>
          <w:lang w:val="uk-UA"/>
        </w:rPr>
      </w:pPr>
      <w:r w:rsidRPr="00BE086B">
        <w:rPr>
          <w:sz w:val="28"/>
          <w:szCs w:val="28"/>
          <w:lang w:val="uk-UA"/>
        </w:rPr>
        <w:t>При аналізі отриманих результатів встановлено, що зміни рівня IL 1, IL 6 та IL 8 у сироватці крові щурів під впливом призначення НПЗЗ, парацетамолу та L-тироксину відбуваються неоднаково (табл.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Так, на 42 добу у всіх експериментальних групах спостерігалось підвищення рівня IL 1, IL 6 та IL 8 відносно ІЩ, що відображає розвиток патологічних змін під впливом експериментальних моделей ЕГ + ЕОА (табл.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47 добу експерименту у І групі ЕГ + ЕОА (без «лікування») у порівнянні з 42 добою, збільшився показник рівня IL 8 на 12,3% (р &lt; 0,05) та спостерігалось зниження рівнів IL 1 та IL 6 на 2,4% і 6,4% відповідно (р</w:t>
      </w:r>
      <w:r w:rsidRPr="00BE086B">
        <w:rPr>
          <w:rFonts w:ascii="Times New Roman" w:hAnsi="Times New Roman" w:cs="Times New Roman"/>
          <w:color w:val="auto"/>
          <w:sz w:val="28"/>
          <w:szCs w:val="28"/>
          <w:lang w:val="en-US"/>
        </w:rPr>
        <w:t> </w:t>
      </w:r>
      <w:r w:rsidRPr="00BE086B">
        <w:rPr>
          <w:rFonts w:ascii="Times New Roman" w:hAnsi="Times New Roman" w:cs="Times New Roman"/>
          <w:color w:val="auto"/>
          <w:sz w:val="28"/>
          <w:szCs w:val="28"/>
          <w:lang w:val="uk-UA"/>
        </w:rPr>
        <w:t>&gt; 0,05) (табл. 5.1, рис.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ІІ групі на 47 добу (наприкінці введення ЛЗ, що досліджувалися) на фоні призначення L-тироксину спостерігалось зниження рівнів IL 1 та IL 6 на 12,9% і 11,1% відповідно (р &lt; 0,05) та збільшення рівня IL 8 на у 6,3% (р &lt; 0,05) у порівнянні з 42 добою. Отримані дані відображають вплив L-тироксину на експериментальну патологію - ЕГ + ЕОА (табл. 5.1, рис.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D262D6" w:rsidRDefault="00D262D6" w:rsidP="005316D2">
      <w:pPr>
        <w:pStyle w:val="WW-1"/>
        <w:spacing w:after="0" w:line="360" w:lineRule="auto"/>
        <w:ind w:firstLine="709"/>
        <w:jc w:val="both"/>
        <w:rPr>
          <w:rFonts w:ascii="Times New Roman" w:hAnsi="Times New Roman" w:cs="Times New Roman"/>
          <w:color w:val="auto"/>
          <w:sz w:val="28"/>
          <w:szCs w:val="28"/>
          <w:lang w:val="uk-UA"/>
        </w:rPr>
      </w:pPr>
    </w:p>
    <w:p w:rsidR="00AF27FE" w:rsidRDefault="00AF27FE" w:rsidP="005316D2">
      <w:pPr>
        <w:pStyle w:val="WW-1"/>
        <w:spacing w:after="0" w:line="360" w:lineRule="auto"/>
        <w:ind w:firstLine="709"/>
        <w:jc w:val="both"/>
        <w:rPr>
          <w:rFonts w:ascii="Times New Roman" w:hAnsi="Times New Roman" w:cs="Times New Roman"/>
          <w:color w:val="auto"/>
          <w:sz w:val="28"/>
          <w:szCs w:val="28"/>
          <w:lang w:val="uk-UA"/>
        </w:rPr>
      </w:pPr>
    </w:p>
    <w:p w:rsidR="00AF27FE" w:rsidRPr="00BE086B" w:rsidRDefault="00AF27FE"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
        <w:spacing w:after="0" w:line="360" w:lineRule="auto"/>
        <w:ind w:firstLine="709"/>
        <w:jc w:val="right"/>
        <w:rPr>
          <w:rFonts w:ascii="Times New Roman" w:hAnsi="Times New Roman" w:cs="Times New Roman"/>
          <w:color w:val="auto"/>
          <w:sz w:val="28"/>
          <w:szCs w:val="28"/>
          <w:lang w:val="uk-UA"/>
        </w:rPr>
      </w:pPr>
      <w:r w:rsidRPr="00BE086B">
        <w:rPr>
          <w:rFonts w:ascii="Times New Roman" w:hAnsi="Times New Roman" w:cs="Times New Roman"/>
          <w:i/>
          <w:color w:val="auto"/>
          <w:sz w:val="28"/>
          <w:szCs w:val="28"/>
          <w:lang w:val="uk-UA"/>
        </w:rPr>
        <w:lastRenderedPageBreak/>
        <w:t>Таблиця 5.1</w:t>
      </w:r>
    </w:p>
    <w:p w:rsidR="00AF418B" w:rsidRPr="00BE086B" w:rsidRDefault="00AF418B" w:rsidP="005316D2">
      <w:pPr>
        <w:pStyle w:val="af3"/>
        <w:spacing w:before="0" w:after="0" w:line="360" w:lineRule="auto"/>
        <w:ind w:firstLine="709"/>
        <w:jc w:val="center"/>
        <w:rPr>
          <w:b/>
          <w:sz w:val="28"/>
          <w:szCs w:val="28"/>
          <w:lang w:val="uk-UA"/>
        </w:rPr>
      </w:pPr>
      <w:r w:rsidRPr="00BE086B">
        <w:rPr>
          <w:b/>
          <w:sz w:val="28"/>
          <w:szCs w:val="28"/>
          <w:lang w:val="uk-UA"/>
        </w:rPr>
        <w:t xml:space="preserve">Рівень інтерлейкінів 1 (IL 1), 6 (IL 6) та 8 (IL 8) сироватки крові щурів на фоні введення ЛЗ за умов коморбідної патології </w:t>
      </w:r>
      <w:r w:rsidRPr="00BE086B">
        <w:rPr>
          <w:b/>
          <w:bCs/>
          <w:sz w:val="28"/>
          <w:szCs w:val="28"/>
          <w:lang w:val="uk-UA"/>
        </w:rPr>
        <w:t>(М±m)</w:t>
      </w:r>
    </w:p>
    <w:tbl>
      <w:tblPr>
        <w:tblW w:w="9214" w:type="dxa"/>
        <w:tblInd w:w="108" w:type="dxa"/>
        <w:tblLayout w:type="fixed"/>
        <w:tblCellMar>
          <w:left w:w="28" w:type="dxa"/>
          <w:right w:w="28" w:type="dxa"/>
        </w:tblCellMar>
        <w:tblLook w:val="0000" w:firstRow="0" w:lastRow="0" w:firstColumn="0" w:lastColumn="0" w:noHBand="0" w:noVBand="0"/>
      </w:tblPr>
      <w:tblGrid>
        <w:gridCol w:w="2755"/>
        <w:gridCol w:w="1134"/>
        <w:gridCol w:w="1134"/>
        <w:gridCol w:w="993"/>
        <w:gridCol w:w="1134"/>
        <w:gridCol w:w="992"/>
        <w:gridCol w:w="1072"/>
      </w:tblGrid>
      <w:tr w:rsidR="00AF418B" w:rsidRPr="00BE086B" w:rsidTr="009B7450">
        <w:tc>
          <w:tcPr>
            <w:tcW w:w="2755" w:type="dxa"/>
            <w:vMerge w:val="restart"/>
            <w:tcBorders>
              <w:top w:val="single" w:sz="4" w:space="0" w:color="000000"/>
              <w:left w:val="single" w:sz="4" w:space="0" w:color="000000"/>
            </w:tcBorders>
            <w:shd w:val="clear" w:color="auto" w:fill="auto"/>
            <w:vAlign w:val="center"/>
          </w:tcPr>
          <w:p w:rsidR="00AF418B" w:rsidRPr="00BE086B" w:rsidRDefault="00AF418B" w:rsidP="00D262D6">
            <w:pPr>
              <w:pStyle w:val="af3"/>
              <w:spacing w:before="0" w:after="0"/>
              <w:jc w:val="center"/>
              <w:rPr>
                <w:sz w:val="28"/>
                <w:szCs w:val="28"/>
                <w:lang w:val="uk-UA"/>
              </w:rPr>
            </w:pPr>
            <w:r w:rsidRPr="00BE086B">
              <w:rPr>
                <w:b/>
                <w:sz w:val="28"/>
                <w:szCs w:val="28"/>
                <w:lang w:val="uk-UA"/>
              </w:rPr>
              <w:t>Група, препарат</w:t>
            </w:r>
          </w:p>
          <w:p w:rsidR="00AF418B" w:rsidRPr="00BE086B" w:rsidRDefault="00AF418B" w:rsidP="00D262D6">
            <w:pPr>
              <w:pStyle w:val="af3"/>
              <w:spacing w:before="0" w:after="0"/>
              <w:jc w:val="center"/>
              <w:rPr>
                <w:sz w:val="28"/>
                <w:szCs w:val="28"/>
                <w:lang w:val="uk-UA"/>
              </w:rPr>
            </w:pPr>
            <w:r w:rsidRPr="00BE086B">
              <w:rPr>
                <w:b/>
                <w:sz w:val="28"/>
                <w:szCs w:val="28"/>
                <w:lang w:val="uk-UA"/>
              </w:rPr>
              <w:t>та його доза</w:t>
            </w:r>
          </w:p>
        </w:tc>
        <w:tc>
          <w:tcPr>
            <w:tcW w:w="3261" w:type="dxa"/>
            <w:gridSpan w:val="3"/>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af3"/>
              <w:spacing w:before="0" w:after="0"/>
              <w:jc w:val="center"/>
              <w:rPr>
                <w:sz w:val="28"/>
                <w:szCs w:val="28"/>
                <w:lang w:val="uk-UA"/>
              </w:rPr>
            </w:pPr>
            <w:r w:rsidRPr="00BE086B">
              <w:rPr>
                <w:b/>
                <w:sz w:val="28"/>
                <w:szCs w:val="28"/>
                <w:lang w:val="uk-UA"/>
              </w:rPr>
              <w:t>Рівень IL на 42 добу, пг/мл</w:t>
            </w:r>
          </w:p>
        </w:tc>
        <w:tc>
          <w:tcPr>
            <w:tcW w:w="3198" w:type="dxa"/>
            <w:gridSpan w:val="3"/>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D262D6">
            <w:pPr>
              <w:pStyle w:val="af3"/>
              <w:spacing w:before="0" w:after="0"/>
              <w:jc w:val="center"/>
              <w:rPr>
                <w:sz w:val="28"/>
                <w:szCs w:val="28"/>
                <w:lang w:val="uk-UA"/>
              </w:rPr>
            </w:pPr>
            <w:r w:rsidRPr="00BE086B">
              <w:rPr>
                <w:b/>
                <w:sz w:val="28"/>
                <w:szCs w:val="28"/>
                <w:lang w:val="uk-UA"/>
              </w:rPr>
              <w:t>Рівень IL на 47 добу, пг/мл</w:t>
            </w:r>
          </w:p>
        </w:tc>
      </w:tr>
      <w:tr w:rsidR="00AF418B" w:rsidRPr="00BE086B" w:rsidTr="009B7450">
        <w:tc>
          <w:tcPr>
            <w:tcW w:w="2755" w:type="dxa"/>
            <w:vMerge/>
            <w:tcBorders>
              <w:top w:val="single" w:sz="4" w:space="0" w:color="000000"/>
              <w:left w:val="single" w:sz="4" w:space="0" w:color="000000"/>
            </w:tcBorders>
            <w:shd w:val="clear" w:color="auto" w:fill="auto"/>
            <w:vAlign w:val="center"/>
          </w:tcPr>
          <w:p w:rsidR="00AF418B" w:rsidRPr="00BE086B" w:rsidRDefault="00AF418B" w:rsidP="00D262D6">
            <w:pPr>
              <w:pStyle w:val="af3"/>
              <w:snapToGrid w:val="0"/>
              <w:spacing w:before="0" w:after="0"/>
              <w:jc w:val="center"/>
              <w:rPr>
                <w:i/>
                <w:iCs/>
                <w:sz w:val="28"/>
                <w:szCs w:val="28"/>
                <w:lang w:val="uk-UA"/>
              </w:rPr>
            </w:pP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af3"/>
              <w:spacing w:before="0" w:after="0"/>
              <w:jc w:val="center"/>
              <w:rPr>
                <w:sz w:val="28"/>
                <w:szCs w:val="28"/>
                <w:lang w:val="uk-UA"/>
              </w:rPr>
            </w:pPr>
            <w:r w:rsidRPr="00BE086B">
              <w:rPr>
                <w:b/>
                <w:sz w:val="28"/>
                <w:szCs w:val="28"/>
                <w:lang w:val="uk-UA"/>
              </w:rPr>
              <w:t>IL 1</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af3"/>
              <w:spacing w:before="0" w:after="0"/>
              <w:jc w:val="center"/>
              <w:rPr>
                <w:sz w:val="28"/>
                <w:szCs w:val="28"/>
                <w:lang w:val="uk-UA"/>
              </w:rPr>
            </w:pPr>
            <w:r w:rsidRPr="00BE086B">
              <w:rPr>
                <w:b/>
                <w:sz w:val="28"/>
                <w:szCs w:val="28"/>
                <w:lang w:val="uk-UA"/>
              </w:rPr>
              <w:t>IL 6</w:t>
            </w:r>
          </w:p>
        </w:tc>
        <w:tc>
          <w:tcPr>
            <w:tcW w:w="993"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af3"/>
              <w:spacing w:before="0" w:after="0"/>
              <w:jc w:val="center"/>
              <w:rPr>
                <w:sz w:val="28"/>
                <w:szCs w:val="28"/>
                <w:lang w:val="uk-UA"/>
              </w:rPr>
            </w:pPr>
            <w:r w:rsidRPr="00BE086B">
              <w:rPr>
                <w:b/>
                <w:sz w:val="28"/>
                <w:szCs w:val="28"/>
                <w:lang w:val="uk-UA"/>
              </w:rPr>
              <w:t>IL 8</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af3"/>
              <w:spacing w:before="0" w:after="0"/>
              <w:jc w:val="center"/>
              <w:rPr>
                <w:sz w:val="28"/>
                <w:szCs w:val="28"/>
                <w:lang w:val="uk-UA"/>
              </w:rPr>
            </w:pPr>
            <w:r w:rsidRPr="00BE086B">
              <w:rPr>
                <w:b/>
                <w:sz w:val="28"/>
                <w:szCs w:val="28"/>
                <w:lang w:val="uk-UA"/>
              </w:rPr>
              <w:t>IL 1</w:t>
            </w:r>
          </w:p>
        </w:tc>
        <w:tc>
          <w:tcPr>
            <w:tcW w:w="992"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af3"/>
              <w:spacing w:before="0" w:after="0"/>
              <w:jc w:val="center"/>
              <w:rPr>
                <w:sz w:val="28"/>
                <w:szCs w:val="28"/>
                <w:lang w:val="uk-UA"/>
              </w:rPr>
            </w:pPr>
            <w:r w:rsidRPr="00BE086B">
              <w:rPr>
                <w:b/>
                <w:sz w:val="28"/>
                <w:szCs w:val="28"/>
                <w:lang w:val="uk-UA"/>
              </w:rPr>
              <w:t>IL 6</w:t>
            </w:r>
          </w:p>
        </w:tc>
        <w:tc>
          <w:tcPr>
            <w:tcW w:w="1072"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D262D6">
            <w:pPr>
              <w:pStyle w:val="af3"/>
              <w:spacing w:before="0" w:after="0"/>
              <w:jc w:val="center"/>
              <w:rPr>
                <w:sz w:val="28"/>
                <w:szCs w:val="28"/>
                <w:lang w:val="uk-UA"/>
              </w:rPr>
            </w:pPr>
            <w:r w:rsidRPr="00BE086B">
              <w:rPr>
                <w:b/>
                <w:sz w:val="28"/>
                <w:szCs w:val="28"/>
                <w:lang w:val="uk-UA"/>
              </w:rPr>
              <w:t>IL 8</w:t>
            </w:r>
          </w:p>
        </w:tc>
      </w:tr>
      <w:tr w:rsidR="00FE7D55" w:rsidRPr="00BE086B" w:rsidTr="009B7450">
        <w:tc>
          <w:tcPr>
            <w:tcW w:w="2755" w:type="dxa"/>
            <w:tcBorders>
              <w:top w:val="single" w:sz="4" w:space="0" w:color="000000"/>
              <w:left w:val="single" w:sz="4" w:space="0" w:color="000000"/>
              <w:bottom w:val="single" w:sz="4" w:space="0" w:color="000000"/>
            </w:tcBorders>
            <w:shd w:val="clear" w:color="auto" w:fill="auto"/>
          </w:tcPr>
          <w:p w:rsidR="00FE7D55" w:rsidRPr="00BE086B" w:rsidRDefault="00FE7D55"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1134"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D262D6">
            <w:pPr>
              <w:pStyle w:val="af3"/>
              <w:snapToGrid w:val="0"/>
              <w:spacing w:before="0" w:after="0"/>
              <w:jc w:val="center"/>
              <w:rPr>
                <w:sz w:val="28"/>
                <w:szCs w:val="28"/>
                <w:lang w:val="uk-UA"/>
              </w:rPr>
            </w:pPr>
            <w:r w:rsidRPr="00BE086B">
              <w:rPr>
                <w:sz w:val="28"/>
                <w:szCs w:val="28"/>
                <w:lang w:val="uk-UA"/>
              </w:rPr>
              <w:t>2</w:t>
            </w:r>
          </w:p>
        </w:tc>
        <w:tc>
          <w:tcPr>
            <w:tcW w:w="1134"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D262D6">
            <w:pPr>
              <w:pStyle w:val="af3"/>
              <w:snapToGrid w:val="0"/>
              <w:spacing w:before="0" w:after="0"/>
              <w:jc w:val="center"/>
              <w:rPr>
                <w:sz w:val="28"/>
                <w:szCs w:val="28"/>
                <w:lang w:val="uk-UA"/>
              </w:rPr>
            </w:pPr>
            <w:r w:rsidRPr="00BE086B">
              <w:rPr>
                <w:sz w:val="28"/>
                <w:szCs w:val="28"/>
                <w:lang w:val="uk-UA"/>
              </w:rPr>
              <w:t>3</w:t>
            </w:r>
          </w:p>
        </w:tc>
        <w:tc>
          <w:tcPr>
            <w:tcW w:w="993"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D262D6">
            <w:pPr>
              <w:pStyle w:val="af3"/>
              <w:snapToGrid w:val="0"/>
              <w:spacing w:before="0" w:after="0"/>
              <w:jc w:val="center"/>
              <w:rPr>
                <w:sz w:val="28"/>
                <w:szCs w:val="28"/>
                <w:lang w:val="uk-UA"/>
              </w:rPr>
            </w:pPr>
            <w:r w:rsidRPr="00BE086B">
              <w:rPr>
                <w:sz w:val="28"/>
                <w:szCs w:val="28"/>
                <w:lang w:val="uk-UA"/>
              </w:rPr>
              <w:t>4</w:t>
            </w:r>
          </w:p>
        </w:tc>
        <w:tc>
          <w:tcPr>
            <w:tcW w:w="1134"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D262D6">
            <w:pPr>
              <w:pStyle w:val="af3"/>
              <w:snapToGrid w:val="0"/>
              <w:spacing w:before="0" w:after="0"/>
              <w:jc w:val="center"/>
              <w:rPr>
                <w:sz w:val="28"/>
                <w:szCs w:val="28"/>
                <w:lang w:val="uk-UA"/>
              </w:rPr>
            </w:pPr>
            <w:r w:rsidRPr="00BE086B">
              <w:rPr>
                <w:sz w:val="28"/>
                <w:szCs w:val="28"/>
                <w:lang w:val="uk-UA"/>
              </w:rPr>
              <w:t>5</w:t>
            </w:r>
          </w:p>
        </w:tc>
        <w:tc>
          <w:tcPr>
            <w:tcW w:w="992"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D262D6">
            <w:pPr>
              <w:pStyle w:val="af3"/>
              <w:snapToGrid w:val="0"/>
              <w:spacing w:before="0" w:after="0"/>
              <w:jc w:val="center"/>
              <w:rPr>
                <w:sz w:val="28"/>
                <w:szCs w:val="28"/>
                <w:lang w:val="uk-UA"/>
              </w:rPr>
            </w:pPr>
            <w:r w:rsidRPr="00BE086B">
              <w:rPr>
                <w:sz w:val="28"/>
                <w:szCs w:val="28"/>
                <w:lang w:val="uk-UA"/>
              </w:rPr>
              <w:t>6</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7D55" w:rsidRPr="00BE086B" w:rsidRDefault="00FE7D55" w:rsidP="00D262D6">
            <w:pPr>
              <w:pStyle w:val="af3"/>
              <w:snapToGrid w:val="0"/>
              <w:spacing w:before="0" w:after="0"/>
              <w:jc w:val="center"/>
              <w:rPr>
                <w:sz w:val="28"/>
                <w:szCs w:val="28"/>
                <w:lang w:val="uk-UA"/>
              </w:rPr>
            </w:pPr>
            <w:r w:rsidRPr="00BE086B">
              <w:rPr>
                <w:sz w:val="28"/>
                <w:szCs w:val="28"/>
                <w:lang w:val="uk-UA"/>
              </w:rPr>
              <w:t>7</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59,2*#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±3,11</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59,4*#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±2,70</w:t>
            </w:r>
          </w:p>
        </w:tc>
      </w:tr>
      <w:tr w:rsidR="00AF418B" w:rsidRPr="00BE086B" w:rsidTr="009B7450">
        <w:tc>
          <w:tcPr>
            <w:tcW w:w="2755" w:type="dxa"/>
            <w:tcBorders>
              <w:left w:val="single" w:sz="4" w:space="0" w:color="000000"/>
              <w:bottom w:val="single" w:sz="4" w:space="0" w:color="000000"/>
            </w:tcBorders>
            <w:shd w:val="clear" w:color="auto" w:fill="auto"/>
          </w:tcPr>
          <w:p w:rsidR="00AF418B" w:rsidRPr="00BE086B" w:rsidRDefault="00AF418B" w:rsidP="00FE7D55">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 група ЕГ + ЕОА (без «лікування»)</w:t>
            </w:r>
            <w:r w:rsidR="00FE7D5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(n=10)</w:t>
            </w:r>
          </w:p>
        </w:tc>
        <w:tc>
          <w:tcPr>
            <w:tcW w:w="1134" w:type="dxa"/>
            <w:tcBorders>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±1,14</w:t>
            </w:r>
          </w:p>
        </w:tc>
        <w:tc>
          <w:tcPr>
            <w:tcW w:w="1134" w:type="dxa"/>
            <w:tcBorders>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31,4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±2,07</w:t>
            </w:r>
          </w:p>
        </w:tc>
        <w:tc>
          <w:tcPr>
            <w:tcW w:w="993" w:type="dxa"/>
            <w:tcBorders>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1572,0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±25,88</w:t>
            </w:r>
          </w:p>
        </w:tc>
        <w:tc>
          <w:tcPr>
            <w:tcW w:w="1134" w:type="dxa"/>
            <w:tcBorders>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26,74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±1,30</w:t>
            </w:r>
          </w:p>
        </w:tc>
        <w:tc>
          <w:tcPr>
            <w:tcW w:w="992" w:type="dxa"/>
            <w:tcBorders>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±3,05</w:t>
            </w:r>
          </w:p>
        </w:tc>
        <w:tc>
          <w:tcPr>
            <w:tcW w:w="1072" w:type="dxa"/>
            <w:tcBorders>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1766,0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±24,08</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L-тироксин (Т)</w:t>
            </w:r>
          </w:p>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1,5 мкг/кг (n=10)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27,56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±1,58</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30,6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±1,52</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1580,0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±29,15</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±1,08</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±1,39</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1680,0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±28,50</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FE7D55">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w:t>
            </w:r>
            <w:r w:rsidR="00FE7D5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10 мг/кг (n=10)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28</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±1,58</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31,6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±2,3</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1570,0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±27,39</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19,2#*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±1,92</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19#*</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±1,58</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1010,0#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±25,74*</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FE7D55">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(Д)+L-тироксин (Т)</w:t>
            </w:r>
            <w:r w:rsidR="00FE7D5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±2,41</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31,6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±1,14</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1574,0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±30,5</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13#*</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14,6#*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±2,07</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971,0#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±29,66*</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w:t>
            </w:r>
          </w:p>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 мг/кг (n=10)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±2,07</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30,2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±1,48</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1568,0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±28,64</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21,2#*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±1,59</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22,5#*</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±1,06</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1212,0#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±27,75*</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(І)+L-тироксин (Т) (n=10)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±2,45</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31,4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±2,97</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1581,0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±30,08</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14,8#*</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±2,39</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±2,28</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1121,0#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±28,81*</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w:t>
            </w:r>
          </w:p>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 мг/кг (n=10)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28,4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±1,82</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±2,07</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1576,0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±20,74</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±1,87</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21,6#*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±2,07</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1392,0#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±23,87*</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+L-тироксин (Т) (n=10)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±2,28</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31,2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±1,30</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1577,0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±23,35</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15,9#*</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±2,88</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16,8#*</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±2,95</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1280,0#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±30,21*</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w:t>
            </w:r>
          </w:p>
          <w:p w:rsidR="00AF418B" w:rsidRPr="00BE086B" w:rsidRDefault="00AF418B" w:rsidP="00D262D6">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150 мг/кг (n=10)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28</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±1,58</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32</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1579,0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±25,84</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25,1*</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±2,97</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1714,0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±27,02</w:t>
            </w:r>
          </w:p>
        </w:tc>
      </w:tr>
      <w:tr w:rsidR="00AF418B" w:rsidRPr="00BE086B" w:rsidTr="009B7450">
        <w:tc>
          <w:tcPr>
            <w:tcW w:w="2755" w:type="dxa"/>
            <w:tcBorders>
              <w:top w:val="single" w:sz="4" w:space="0" w:color="000000"/>
              <w:left w:val="single" w:sz="4" w:space="0" w:color="000000"/>
              <w:bottom w:val="single" w:sz="4" w:space="0" w:color="000000"/>
            </w:tcBorders>
            <w:shd w:val="clear" w:color="auto" w:fill="auto"/>
          </w:tcPr>
          <w:p w:rsidR="00AF418B" w:rsidRPr="00BE086B" w:rsidRDefault="00AF418B" w:rsidP="00FE7D55">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+L-тироксин (Т)</w:t>
            </w:r>
            <w:r w:rsidR="00FE7D5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(n=10)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27,6</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±2,70</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31,5</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±1,12</w:t>
            </w:r>
          </w:p>
        </w:tc>
        <w:tc>
          <w:tcPr>
            <w:tcW w:w="993"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1578,0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±28,64</w:t>
            </w:r>
          </w:p>
        </w:tc>
        <w:tc>
          <w:tcPr>
            <w:tcW w:w="1134"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18,4#*</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±1,95</w:t>
            </w:r>
          </w:p>
        </w:tc>
        <w:tc>
          <w:tcPr>
            <w:tcW w:w="992" w:type="dxa"/>
            <w:tcBorders>
              <w:top w:val="single" w:sz="4" w:space="0" w:color="000000"/>
              <w:left w:val="single" w:sz="4" w:space="0" w:color="000000"/>
              <w:bottom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20,3#*</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±2,28</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418B" w:rsidRPr="00BE086B" w:rsidRDefault="00AF418B" w:rsidP="00D262D6">
            <w:pPr>
              <w:pStyle w:val="af3"/>
              <w:snapToGrid w:val="0"/>
              <w:spacing w:before="0" w:after="0"/>
              <w:jc w:val="center"/>
              <w:rPr>
                <w:sz w:val="28"/>
                <w:szCs w:val="28"/>
                <w:lang w:val="uk-UA"/>
              </w:rPr>
            </w:pPr>
            <w:r w:rsidRPr="00BE086B">
              <w:rPr>
                <w:sz w:val="28"/>
                <w:szCs w:val="28"/>
                <w:lang w:val="uk-UA"/>
              </w:rPr>
              <w:t>1673,0</w:t>
            </w:r>
          </w:p>
          <w:p w:rsidR="00AF418B" w:rsidRPr="00BE086B" w:rsidRDefault="00AF418B" w:rsidP="00D262D6">
            <w:pPr>
              <w:pStyle w:val="af3"/>
              <w:snapToGrid w:val="0"/>
              <w:spacing w:before="0" w:after="0"/>
              <w:jc w:val="center"/>
              <w:rPr>
                <w:sz w:val="28"/>
                <w:szCs w:val="28"/>
                <w:lang w:val="uk-UA"/>
              </w:rPr>
            </w:pPr>
            <w:r w:rsidRPr="00BE086B">
              <w:rPr>
                <w:sz w:val="28"/>
                <w:szCs w:val="28"/>
                <w:lang w:val="uk-UA"/>
              </w:rPr>
              <w:t>±29,07</w:t>
            </w:r>
          </w:p>
        </w:tc>
      </w:tr>
    </w:tbl>
    <w:p w:rsidR="00FE7D55" w:rsidRPr="00BE086B" w:rsidRDefault="00FE7D55" w:rsidP="00D41643">
      <w:pPr>
        <w:pStyle w:val="af0"/>
        <w:spacing w:line="240" w:lineRule="auto"/>
        <w:jc w:val="right"/>
        <w:rPr>
          <w:i/>
          <w:sz w:val="28"/>
          <w:szCs w:val="28"/>
          <w:lang w:val="uk-UA"/>
        </w:rPr>
      </w:pPr>
    </w:p>
    <w:p w:rsidR="00FE7D55" w:rsidRPr="00BE086B" w:rsidRDefault="00FE7D55" w:rsidP="00D41643">
      <w:pPr>
        <w:pStyle w:val="af0"/>
        <w:spacing w:line="240" w:lineRule="auto"/>
        <w:jc w:val="right"/>
        <w:rPr>
          <w:i/>
          <w:sz w:val="28"/>
          <w:szCs w:val="28"/>
          <w:lang w:val="uk-UA"/>
        </w:rPr>
      </w:pPr>
    </w:p>
    <w:p w:rsidR="00D41643" w:rsidRPr="00BE086B" w:rsidRDefault="00D41643" w:rsidP="00D41643">
      <w:pPr>
        <w:pStyle w:val="af0"/>
        <w:spacing w:line="240" w:lineRule="auto"/>
        <w:jc w:val="right"/>
        <w:rPr>
          <w:i/>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5.1</w:t>
      </w:r>
    </w:p>
    <w:p w:rsidR="004F7A64" w:rsidRPr="00BE086B" w:rsidRDefault="004F7A64" w:rsidP="00D41643">
      <w:pPr>
        <w:pStyle w:val="af0"/>
        <w:spacing w:line="240" w:lineRule="auto"/>
        <w:jc w:val="right"/>
        <w:rPr>
          <w:i/>
          <w:sz w:val="28"/>
          <w:szCs w:val="28"/>
          <w:lang w:val="uk-UA"/>
        </w:rPr>
      </w:pPr>
    </w:p>
    <w:tbl>
      <w:tblPr>
        <w:tblW w:w="9214" w:type="dxa"/>
        <w:tblInd w:w="108" w:type="dxa"/>
        <w:tblLayout w:type="fixed"/>
        <w:tblCellMar>
          <w:left w:w="28" w:type="dxa"/>
          <w:right w:w="28" w:type="dxa"/>
        </w:tblCellMar>
        <w:tblLook w:val="0000" w:firstRow="0" w:lastRow="0" w:firstColumn="0" w:lastColumn="0" w:noHBand="0" w:noVBand="0"/>
      </w:tblPr>
      <w:tblGrid>
        <w:gridCol w:w="2755"/>
        <w:gridCol w:w="1134"/>
        <w:gridCol w:w="1134"/>
        <w:gridCol w:w="993"/>
        <w:gridCol w:w="1134"/>
        <w:gridCol w:w="992"/>
        <w:gridCol w:w="1072"/>
      </w:tblGrid>
      <w:tr w:rsidR="00FE7D55" w:rsidRPr="00BE086B" w:rsidTr="00335630">
        <w:tc>
          <w:tcPr>
            <w:tcW w:w="2755" w:type="dxa"/>
            <w:tcBorders>
              <w:top w:val="single" w:sz="4" w:space="0" w:color="000000"/>
              <w:left w:val="single" w:sz="4" w:space="0" w:color="000000"/>
              <w:bottom w:val="single" w:sz="4" w:space="0" w:color="000000"/>
            </w:tcBorders>
            <w:shd w:val="clear" w:color="auto" w:fill="auto"/>
          </w:tcPr>
          <w:p w:rsidR="00FE7D55" w:rsidRPr="00BE086B" w:rsidRDefault="00FE7D55"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1134"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2</w:t>
            </w:r>
          </w:p>
        </w:tc>
        <w:tc>
          <w:tcPr>
            <w:tcW w:w="1134"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3</w:t>
            </w:r>
          </w:p>
        </w:tc>
        <w:tc>
          <w:tcPr>
            <w:tcW w:w="993"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4</w:t>
            </w:r>
          </w:p>
        </w:tc>
        <w:tc>
          <w:tcPr>
            <w:tcW w:w="1134"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5</w:t>
            </w:r>
          </w:p>
        </w:tc>
        <w:tc>
          <w:tcPr>
            <w:tcW w:w="992" w:type="dxa"/>
            <w:tcBorders>
              <w:top w:val="single" w:sz="4" w:space="0" w:color="000000"/>
              <w:left w:val="single" w:sz="4" w:space="0" w:color="000000"/>
              <w:bottom w:val="single" w:sz="4" w:space="0" w:color="000000"/>
            </w:tcBorders>
            <w:shd w:val="clear" w:color="auto" w:fill="auto"/>
            <w:vAlign w:val="center"/>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6</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7</w:t>
            </w:r>
          </w:p>
        </w:tc>
      </w:tr>
      <w:tr w:rsidR="00D41643" w:rsidRPr="00BE086B" w:rsidTr="00335630">
        <w:tc>
          <w:tcPr>
            <w:tcW w:w="2755" w:type="dxa"/>
            <w:tcBorders>
              <w:top w:val="single" w:sz="4" w:space="0" w:color="000000"/>
              <w:left w:val="single" w:sz="4" w:space="0" w:color="000000"/>
              <w:bottom w:val="single" w:sz="4" w:space="0" w:color="000000"/>
            </w:tcBorders>
            <w:shd w:val="clear" w:color="auto" w:fill="auto"/>
          </w:tcPr>
          <w:p w:rsidR="00D41643"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w:t>
            </w:r>
          </w:p>
          <w:p w:rsidR="00416098"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80 мг/кг</w:t>
            </w:r>
          </w:p>
          <w:p w:rsidR="00D41643"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26,8</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±1,92</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30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±1,87</w:t>
            </w:r>
          </w:p>
        </w:tc>
        <w:tc>
          <w:tcPr>
            <w:tcW w:w="993"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1573,0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±25,15</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21,9*</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±2,30</w:t>
            </w:r>
          </w:p>
        </w:tc>
        <w:tc>
          <w:tcPr>
            <w:tcW w:w="992"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22#*</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±2,24</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1380,0#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±27,39*</w:t>
            </w:r>
          </w:p>
        </w:tc>
      </w:tr>
      <w:tr w:rsidR="00D41643" w:rsidRPr="00BE086B" w:rsidTr="00335630">
        <w:tc>
          <w:tcPr>
            <w:tcW w:w="2755" w:type="dxa"/>
            <w:tcBorders>
              <w:top w:val="single" w:sz="4" w:space="0" w:color="000000"/>
              <w:left w:val="single" w:sz="4" w:space="0" w:color="000000"/>
              <w:bottom w:val="single" w:sz="4" w:space="0" w:color="000000"/>
            </w:tcBorders>
            <w:shd w:val="clear" w:color="auto" w:fill="auto"/>
          </w:tcPr>
          <w:p w:rsidR="00416098"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+L-тироксин (Т)</w:t>
            </w:r>
          </w:p>
          <w:p w:rsidR="00D41643"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27,2</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±1,92</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29</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±2,74</w:t>
            </w:r>
          </w:p>
        </w:tc>
        <w:tc>
          <w:tcPr>
            <w:tcW w:w="993"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1569,0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±33,80</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15,7#*</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±1,92</w:t>
            </w:r>
          </w:p>
        </w:tc>
        <w:tc>
          <w:tcPr>
            <w:tcW w:w="992"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17,1#*</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±1,43</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1265,0#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±25,00*</w:t>
            </w:r>
          </w:p>
        </w:tc>
      </w:tr>
      <w:tr w:rsidR="00D41643" w:rsidRPr="00BE086B" w:rsidTr="00335630">
        <w:tc>
          <w:tcPr>
            <w:tcW w:w="2755" w:type="dxa"/>
            <w:tcBorders>
              <w:top w:val="single" w:sz="4" w:space="0" w:color="000000"/>
              <w:left w:val="single" w:sz="4" w:space="0" w:color="000000"/>
              <w:bottom w:val="single" w:sz="4" w:space="0" w:color="000000"/>
            </w:tcBorders>
            <w:shd w:val="clear" w:color="auto" w:fill="auto"/>
          </w:tcPr>
          <w:p w:rsidR="00D41643"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w:t>
            </w:r>
          </w:p>
          <w:p w:rsidR="00416098"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50 мг/кг</w:t>
            </w:r>
          </w:p>
          <w:p w:rsidR="00D41643"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27,3</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±1,19</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29,8</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±2,17</w:t>
            </w:r>
          </w:p>
        </w:tc>
        <w:tc>
          <w:tcPr>
            <w:tcW w:w="993"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1582,0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±30,54</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23*</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±1,74</w:t>
            </w:r>
          </w:p>
        </w:tc>
        <w:tc>
          <w:tcPr>
            <w:tcW w:w="992"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24,4</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±2,07</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1517,0#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±29,92*</w:t>
            </w:r>
          </w:p>
        </w:tc>
      </w:tr>
      <w:tr w:rsidR="00D41643" w:rsidRPr="00BE086B" w:rsidTr="00335630">
        <w:tc>
          <w:tcPr>
            <w:tcW w:w="2755" w:type="dxa"/>
            <w:tcBorders>
              <w:top w:val="single" w:sz="4" w:space="0" w:color="000000"/>
              <w:left w:val="single" w:sz="4" w:space="0" w:color="000000"/>
              <w:bottom w:val="single" w:sz="4" w:space="0" w:color="000000"/>
            </w:tcBorders>
            <w:shd w:val="clear" w:color="auto" w:fill="auto"/>
          </w:tcPr>
          <w:p w:rsidR="00416098"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+L-тироксин (Т)</w:t>
            </w:r>
          </w:p>
          <w:p w:rsidR="00D41643" w:rsidRPr="00BE086B" w:rsidRDefault="00D41643"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28,2</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±2,28</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31</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±1,58</w:t>
            </w:r>
          </w:p>
        </w:tc>
        <w:tc>
          <w:tcPr>
            <w:tcW w:w="993"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1571,0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±29,03</w:t>
            </w:r>
          </w:p>
        </w:tc>
        <w:tc>
          <w:tcPr>
            <w:tcW w:w="1134"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17,48#*</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±1,12</w:t>
            </w:r>
          </w:p>
        </w:tc>
        <w:tc>
          <w:tcPr>
            <w:tcW w:w="992" w:type="dxa"/>
            <w:tcBorders>
              <w:top w:val="single" w:sz="4" w:space="0" w:color="000000"/>
              <w:left w:val="single" w:sz="4" w:space="0" w:color="000000"/>
              <w:bottom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19#*</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±2,55</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41643" w:rsidRPr="00BE086B" w:rsidRDefault="00D41643" w:rsidP="00335630">
            <w:pPr>
              <w:pStyle w:val="af3"/>
              <w:snapToGrid w:val="0"/>
              <w:spacing w:before="0" w:after="0"/>
              <w:jc w:val="center"/>
              <w:rPr>
                <w:sz w:val="28"/>
                <w:szCs w:val="28"/>
                <w:lang w:val="uk-UA"/>
              </w:rPr>
            </w:pPr>
            <w:r w:rsidRPr="00BE086B">
              <w:rPr>
                <w:sz w:val="28"/>
                <w:szCs w:val="28"/>
                <w:lang w:val="uk-UA"/>
              </w:rPr>
              <w:t>1470,0#</w:t>
            </w:r>
          </w:p>
          <w:p w:rsidR="00D41643" w:rsidRPr="00BE086B" w:rsidRDefault="00D41643" w:rsidP="00335630">
            <w:pPr>
              <w:pStyle w:val="af3"/>
              <w:snapToGrid w:val="0"/>
              <w:spacing w:before="0" w:after="0"/>
              <w:jc w:val="center"/>
              <w:rPr>
                <w:sz w:val="28"/>
                <w:szCs w:val="28"/>
                <w:lang w:val="uk-UA"/>
              </w:rPr>
            </w:pPr>
            <w:r w:rsidRPr="00BE086B">
              <w:rPr>
                <w:sz w:val="28"/>
                <w:szCs w:val="28"/>
                <w:lang w:val="uk-UA"/>
              </w:rPr>
              <w:t>±29,15*</w:t>
            </w:r>
          </w:p>
        </w:tc>
      </w:tr>
    </w:tbl>
    <w:p w:rsidR="00D41643" w:rsidRPr="00BE086B" w:rsidRDefault="00D41643" w:rsidP="005316D2">
      <w:pPr>
        <w:pStyle w:val="western"/>
        <w:spacing w:before="0" w:after="0" w:line="360" w:lineRule="auto"/>
        <w:ind w:firstLine="709"/>
        <w:jc w:val="both"/>
        <w:rPr>
          <w:rFonts w:ascii="Times New Roman" w:hAnsi="Times New Roman" w:cs="Times New Roman"/>
          <w:b/>
          <w:color w:val="auto"/>
          <w:sz w:val="28"/>
          <w:szCs w:val="28"/>
          <w:lang w:val="uk-UA"/>
        </w:rPr>
      </w:pPr>
    </w:p>
    <w:p w:rsidR="00AF418B" w:rsidRPr="00BE086B" w:rsidRDefault="00AF418B" w:rsidP="005316D2">
      <w:pPr>
        <w:pStyle w:val="western"/>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Примітки:</w:t>
      </w:r>
      <w:r w:rsidRPr="00BE086B">
        <w:rPr>
          <w:rFonts w:ascii="Times New Roman" w:hAnsi="Times New Roman" w:cs="Times New Roman"/>
          <w:color w:val="auto"/>
          <w:sz w:val="28"/>
          <w:szCs w:val="28"/>
          <w:lang w:val="uk-UA"/>
        </w:rPr>
        <w:t xml:space="preserve"> # - значення достовірні (р </w:t>
      </w:r>
      <w:r w:rsidRPr="00BE086B">
        <w:rPr>
          <w:rFonts w:ascii="Times New Roman" w:hAnsi="Times New Roman" w:cs="Times New Roman"/>
          <w:color w:val="auto"/>
          <w:sz w:val="28"/>
          <w:szCs w:val="28"/>
        </w:rPr>
        <w:t>&lt;</w:t>
      </w:r>
      <w:r w:rsidRPr="00BE086B">
        <w:rPr>
          <w:rFonts w:ascii="Times New Roman" w:hAnsi="Times New Roman" w:cs="Times New Roman"/>
          <w:color w:val="auto"/>
          <w:sz w:val="28"/>
          <w:szCs w:val="28"/>
          <w:lang w:val="uk-UA"/>
        </w:rPr>
        <w:t xml:space="preserve"> 0,05) по відношенню до відповідного показника I групи (ЕГ + ЕОА - без «лікування»);</w:t>
      </w:r>
    </w:p>
    <w:p w:rsidR="00AF418B" w:rsidRPr="00BE086B" w:rsidRDefault="00AF418B" w:rsidP="005316D2">
      <w:pPr>
        <w:pStyle w:val="western"/>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 - значення достовірні (р </w:t>
      </w:r>
      <w:r w:rsidRPr="00BE086B">
        <w:rPr>
          <w:rFonts w:ascii="Times New Roman" w:hAnsi="Times New Roman" w:cs="Times New Roman"/>
          <w:color w:val="auto"/>
          <w:sz w:val="28"/>
          <w:szCs w:val="28"/>
        </w:rPr>
        <w:t>&lt;</w:t>
      </w:r>
      <w:r w:rsidRPr="00BE086B">
        <w:rPr>
          <w:rFonts w:ascii="Times New Roman" w:hAnsi="Times New Roman" w:cs="Times New Roman"/>
          <w:color w:val="auto"/>
          <w:sz w:val="28"/>
          <w:szCs w:val="28"/>
          <w:lang w:val="uk-UA"/>
        </w:rPr>
        <w:t xml:space="preserve"> 0,05) по відношенню до відповідного показника II групи</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ЕГ + ЕОА</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L-тироксин</w:t>
      </w:r>
      <w:r w:rsidRPr="00BE086B">
        <w:rPr>
          <w:rFonts w:ascii="Times New Roman" w:hAnsi="Times New Roman" w:cs="Times New Roman"/>
          <w:color w:val="auto"/>
          <w:sz w:val="28"/>
          <w:szCs w:val="28"/>
        </w:rPr>
        <w:t>)</w:t>
      </w:r>
      <w:r w:rsidRPr="00BE086B">
        <w:rPr>
          <w:rFonts w:ascii="Times New Roman" w:hAnsi="Times New Roman" w:cs="Times New Roman"/>
          <w:color w:val="auto"/>
          <w:sz w:val="28"/>
          <w:szCs w:val="28"/>
          <w:lang w:val="uk-UA"/>
        </w:rPr>
        <w:t>.</w:t>
      </w:r>
    </w:p>
    <w:p w:rsidR="00AF418B" w:rsidRPr="00BE086B" w:rsidRDefault="00AF418B" w:rsidP="005316D2">
      <w:pPr>
        <w:pStyle w:val="western"/>
        <w:spacing w:before="0"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табл. 5.1 та на рис. 5.1 висвітлені зміни рівня IL 1, IL 6 та IL 8 у сироватці крові щурів під впливом призначення НПЗЗ, парацетамолу та L-тироксину. Так, у ІІІ групі ЕГ + ЕОА + диклофенак натрію визначено на 47 добу експерименту достовірне зниження рівнів IL 1, IL 6 та IL 8 на 31,4%, 39,9% та 35,7% відповідно (р &lt; 0,05). При сумісному призначенні диклофенаку натрію з L-тироксином (ІV група) на 47 добу на фоні експериментальних патологій визначено достовірне зниження рівнів IL 1, IL 6 та IL 8 на 52,9%, 53,8% і на 38,3% відповідно (р &lt; 0,05).</w:t>
      </w:r>
    </w:p>
    <w:p w:rsidR="00CC4C59" w:rsidRDefault="00CC4C59" w:rsidP="009B7450">
      <w:pPr>
        <w:pStyle w:val="WW-"/>
        <w:spacing w:after="0" w:line="360" w:lineRule="auto"/>
        <w:jc w:val="both"/>
        <w:rPr>
          <w:rFonts w:ascii="Times New Roman" w:hAnsi="Times New Roman" w:cs="Times New Roman"/>
          <w:noProof/>
          <w:color w:val="auto"/>
          <w:sz w:val="28"/>
          <w:szCs w:val="28"/>
          <w:lang w:eastAsia="ru-RU"/>
        </w:rPr>
      </w:pPr>
    </w:p>
    <w:p w:rsidR="00CC4C59" w:rsidRDefault="00CC4C59" w:rsidP="009B7450">
      <w:pPr>
        <w:pStyle w:val="WW-"/>
        <w:spacing w:after="0" w:line="360" w:lineRule="auto"/>
        <w:jc w:val="both"/>
        <w:rPr>
          <w:rFonts w:ascii="Times New Roman" w:hAnsi="Times New Roman" w:cs="Times New Roman"/>
          <w:noProof/>
          <w:color w:val="auto"/>
          <w:sz w:val="28"/>
          <w:szCs w:val="28"/>
          <w:lang w:eastAsia="ru-RU"/>
        </w:rPr>
      </w:pPr>
    </w:p>
    <w:p w:rsidR="00CC4C59" w:rsidRDefault="00CC4C59" w:rsidP="009B7450">
      <w:pPr>
        <w:pStyle w:val="WW-"/>
        <w:spacing w:after="0" w:line="360" w:lineRule="auto"/>
        <w:jc w:val="both"/>
        <w:rPr>
          <w:rFonts w:ascii="Times New Roman" w:hAnsi="Times New Roman" w:cs="Times New Roman"/>
          <w:noProof/>
          <w:color w:val="auto"/>
          <w:sz w:val="28"/>
          <w:szCs w:val="28"/>
          <w:lang w:eastAsia="ru-RU"/>
        </w:rPr>
      </w:pPr>
    </w:p>
    <w:p w:rsidR="00AF418B" w:rsidRPr="00BE086B" w:rsidRDefault="009B135A" w:rsidP="00990ED4">
      <w:pPr>
        <w:pStyle w:val="WW-"/>
        <w:spacing w:after="0" w:line="360" w:lineRule="auto"/>
        <w:jc w:val="center"/>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lastRenderedPageBreak/>
        <w:drawing>
          <wp:inline distT="0" distB="0" distL="0" distR="0">
            <wp:extent cx="5943600" cy="4456800"/>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4456800"/>
                    </a:xfrm>
                    <a:prstGeom prst="rect">
                      <a:avLst/>
                    </a:prstGeom>
                  </pic:spPr>
                </pic:pic>
              </a:graphicData>
            </a:graphic>
          </wp:inline>
        </w:drawing>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b/>
          <w:noProof/>
          <w:color w:val="auto"/>
          <w:sz w:val="28"/>
          <w:szCs w:val="28"/>
          <w:lang w:val="uk-UA" w:eastAsia="ru-RU"/>
        </w:rPr>
        <w:t>Рис. 5.1.</w:t>
      </w:r>
      <w:r w:rsidRPr="00BE086B">
        <w:rPr>
          <w:rFonts w:ascii="Times New Roman" w:hAnsi="Times New Roman" w:cs="Times New Roman"/>
          <w:noProof/>
          <w:color w:val="auto"/>
          <w:sz w:val="28"/>
          <w:szCs w:val="28"/>
          <w:lang w:val="uk-UA" w:eastAsia="ru-RU"/>
        </w:rPr>
        <w:t xml:space="preserve"> Зміни показників концентрації </w:t>
      </w:r>
      <w:r w:rsidRPr="00BE086B">
        <w:rPr>
          <w:rFonts w:ascii="Times New Roman" w:hAnsi="Times New Roman" w:cs="Times New Roman"/>
          <w:bCs/>
          <w:color w:val="auto"/>
          <w:sz w:val="28"/>
          <w:szCs w:val="28"/>
          <w:lang w:val="uk-UA"/>
        </w:rPr>
        <w:t xml:space="preserve">інтерлейкінів 1, 6 та 8 </w:t>
      </w:r>
      <w:r w:rsidRPr="00BE086B">
        <w:rPr>
          <w:rFonts w:ascii="Times New Roman" w:hAnsi="Times New Roman" w:cs="Times New Roman"/>
          <w:noProof/>
          <w:color w:val="auto"/>
          <w:sz w:val="28"/>
          <w:szCs w:val="28"/>
          <w:lang w:val="uk-UA" w:eastAsia="ru-RU"/>
        </w:rPr>
        <w:t xml:space="preserve">у сироватці крові щурів </w:t>
      </w:r>
      <w:r w:rsidRPr="00BE086B">
        <w:rPr>
          <w:rFonts w:ascii="Times New Roman" w:hAnsi="Times New Roman" w:cs="Times New Roman"/>
          <w:color w:val="auto"/>
          <w:sz w:val="28"/>
          <w:szCs w:val="28"/>
          <w:lang w:val="uk-UA"/>
        </w:rPr>
        <w:t>груп дослідження на 47 добу експерименту (% змін показника відносно 42 доби).</w:t>
      </w:r>
    </w:p>
    <w:p w:rsidR="00AF418B" w:rsidRPr="00BE086B" w:rsidRDefault="00AF418B" w:rsidP="005316D2">
      <w:pPr>
        <w:spacing w:line="360" w:lineRule="auto"/>
        <w:ind w:firstLine="709"/>
        <w:jc w:val="both"/>
        <w:rPr>
          <w:sz w:val="28"/>
          <w:szCs w:val="28"/>
          <w:lang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42 доби у відповідній групі</w:t>
      </w:r>
      <w:r w:rsidRPr="00BE086B">
        <w:rPr>
          <w:sz w:val="28"/>
          <w:szCs w:val="28"/>
          <w:lang w:eastAsia="ru-RU"/>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 призначенні ібупрофену (V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на 47 добу визначено достовірне зниження рівнів IL 1, IL 6 та IL 8 на 22,6%, 25,5% і на 22,7% відповідно (р &lt; 0,05). Сумісне призначення ібупрофену та L-тироксину (VІ група) на 47 добу виявило достовірне зниження рівнів IL 1, IL 6 та IL 8 на 49,0%, 51,6% та на 29,1% відповідно (р &lt; 0,05) (рис.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VІІ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на 47 добу визначено достовірне зниження рівнів IL 1, IL 6 та IL 8 на 22,5%, 27,0% і на 11,7% відповідно у порівнянні з 42 добою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 L-</w:t>
      </w:r>
      <w:r w:rsidRPr="00BE086B">
        <w:rPr>
          <w:rFonts w:ascii="Times New Roman" w:hAnsi="Times New Roman" w:cs="Times New Roman"/>
          <w:color w:val="auto"/>
          <w:sz w:val="28"/>
          <w:szCs w:val="28"/>
          <w:lang w:val="uk-UA"/>
        </w:rPr>
        <w:lastRenderedPageBreak/>
        <w:t>тироксин на 47 добу визначено достовірне зниження рівнів IL 1, IL 6 та IL 8 на 41,5%, 46,2% та на 18,8% відповідно (р &lt; 0,05) (рис.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Призначення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парацетамолу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(ІХ група</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 ЕГ + ЕОА + парацетамол)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на</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 47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добу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призвело до зниження рівнів IL 1 та IL 6 на 10,4% та 6,3% відповідно (р &gt; 0,05) та підвищення рівню IL 8 на 8,5% (р &lt; 0,05). При сумісному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призначенні</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 з</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 L-тироксином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парацетамол +L-тироксин)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визначено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достовірне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зниження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рівнів IL 1 та IL 6 на 33,3% та 35,6% відповідно (р &lt; 0,05) та підвищення рівню IL 8 на 6,0% (р &lt; 0,05) (рис.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ХІ групі (ЕГ + ЕОА + німесулід) на 47 добу експерименту визначено достовірне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зниження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рівнів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IL 1,</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 IL 6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та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IL 8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на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18,3%, </w:t>
      </w:r>
      <w:r w:rsidR="0053007C"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26,7% та на 12,3% відповідно (р &lt; 0,05). При призначенні німесуліду та L-тироксину (ХІІ група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ЕГ + ЕОА + німесулід +L-тироксин)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визначено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достовірне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зниження рівнів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IL 1, IL 6 та IL 8 на 42,3%, 41,0% та на 19,4% відповідно (р &lt; 0,05) (рис.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Призначення целекоксибу (ХІІІ група ЕГ + ЕОА + целекоксиб) визначило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достовірне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зниження рівнів IL 1 та IL 6 на 15,8% та 18,1% (р &lt; 0,05)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і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тенденцію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зниження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IL 8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на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4,1%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відповідно (р &gt; 0,05). При призначенні целекоксибу та L-тироксину (ХІV група ЕГ + ЕОА + целекоксиб +L-тироксин)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визначено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достовірне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зниження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рівнів IL 1, IL 6 та IL 8 на 38,0%, 38,7% і на 6,4% відповідно (р &lt; 0,05).</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підставі отриманих даних встановлено, що у групах експериментальних тварин, які отримували ЛЗ сумісно з L-тироксином визначено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більше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зниження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рівнів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IL 1,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IL 6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та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IL 8,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ніж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при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монотерапії (рис. 5.2-5.4).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Проте,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звертає </w:t>
      </w:r>
      <w:r w:rsidR="001C0E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увагу парацетамол, який не призвів до зниження рівня IL 8 (ІХ та Х групи) (табл. 5.1, рис. 5.1).</w:t>
      </w:r>
    </w:p>
    <w:p w:rsidR="00AF418B" w:rsidRPr="00BE086B" w:rsidRDefault="009B135A" w:rsidP="003E42CF">
      <w:pPr>
        <w:pStyle w:val="WW-"/>
        <w:spacing w:after="0" w:line="360" w:lineRule="auto"/>
        <w:jc w:val="center"/>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lastRenderedPageBreak/>
        <w:drawing>
          <wp:inline distT="0" distB="0" distL="0" distR="0">
            <wp:extent cx="5772150" cy="45529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2.jpg"/>
                    <pic:cNvPicPr/>
                  </pic:nvPicPr>
                  <pic:blipFill>
                    <a:blip r:embed="rId29">
                      <a:extLst>
                        <a:ext uri="{28A0092B-C50C-407E-A947-70E740481C1C}">
                          <a14:useLocalDpi xmlns:a14="http://schemas.microsoft.com/office/drawing/2010/main" val="0"/>
                        </a:ext>
                      </a:extLst>
                    </a:blip>
                    <a:stretch>
                      <a:fillRect/>
                    </a:stretch>
                  </pic:blipFill>
                  <pic:spPr>
                    <a:xfrm>
                      <a:off x="0" y="0"/>
                      <a:ext cx="5772150" cy="4552950"/>
                    </a:xfrm>
                    <a:prstGeom prst="rect">
                      <a:avLst/>
                    </a:prstGeom>
                  </pic:spPr>
                </pic:pic>
              </a:graphicData>
            </a:graphic>
          </wp:inline>
        </w:drawing>
      </w:r>
    </w:p>
    <w:p w:rsidR="00AF418B" w:rsidRPr="00BE086B" w:rsidRDefault="00AF418B" w:rsidP="005316D2">
      <w:pPr>
        <w:spacing w:line="360" w:lineRule="auto"/>
        <w:ind w:firstLine="709"/>
        <w:jc w:val="both"/>
        <w:rPr>
          <w:sz w:val="28"/>
          <w:szCs w:val="28"/>
        </w:rPr>
      </w:pPr>
      <w:r w:rsidRPr="00BE086B">
        <w:rPr>
          <w:b/>
          <w:noProof/>
          <w:sz w:val="28"/>
          <w:szCs w:val="28"/>
          <w:lang w:val="uk-UA" w:eastAsia="ru-RU"/>
        </w:rPr>
        <w:t>Рис. 5.2.</w:t>
      </w:r>
      <w:r w:rsidRPr="00BE086B">
        <w:rPr>
          <w:noProof/>
          <w:sz w:val="28"/>
          <w:szCs w:val="28"/>
          <w:lang w:val="uk-UA" w:eastAsia="ru-RU"/>
        </w:rPr>
        <w:t xml:space="preserve"> Зміни показників концентрації </w:t>
      </w:r>
      <w:r w:rsidRPr="00BE086B">
        <w:rPr>
          <w:bCs/>
          <w:sz w:val="28"/>
          <w:szCs w:val="28"/>
          <w:lang w:val="uk-UA"/>
        </w:rPr>
        <w:t xml:space="preserve">інтерлейкіну 1 </w:t>
      </w:r>
      <w:r w:rsidRPr="00BE086B">
        <w:rPr>
          <w:noProof/>
          <w:sz w:val="28"/>
          <w:szCs w:val="28"/>
          <w:lang w:val="uk-UA" w:eastAsia="ru-RU"/>
        </w:rPr>
        <w:t xml:space="preserve">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p>
    <w:p w:rsidR="00AF418B" w:rsidRPr="00BE086B" w:rsidRDefault="00AF418B" w:rsidP="005316D2">
      <w:pPr>
        <w:spacing w:line="360" w:lineRule="auto"/>
        <w:ind w:firstLine="709"/>
        <w:jc w:val="both"/>
        <w:rPr>
          <w:sz w:val="28"/>
          <w:szCs w:val="28"/>
          <w:lang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r w:rsidRPr="00BE086B">
        <w:rPr>
          <w:sz w:val="28"/>
          <w:szCs w:val="28"/>
          <w:lang w:eastAsia="ru-RU"/>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8E41C8" w:rsidRPr="00BE086B" w:rsidRDefault="008E41C8" w:rsidP="000E312B">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Я</w:t>
      </w:r>
      <w:r w:rsidR="00FD4672" w:rsidRPr="00BE086B">
        <w:rPr>
          <w:rFonts w:ascii="Times New Roman" w:hAnsi="Times New Roman" w:cs="Times New Roman"/>
          <w:color w:val="auto"/>
          <w:sz w:val="28"/>
          <w:szCs w:val="28"/>
          <w:lang w:val="uk-UA"/>
        </w:rPr>
        <w:t xml:space="preserve">к видно з рис. 5.2, </w:t>
      </w:r>
      <w:r w:rsidR="00FD4672" w:rsidRPr="00BE086B">
        <w:rPr>
          <w:rFonts w:ascii="Times New Roman" w:hAnsi="Times New Roman" w:cs="Times New Roman"/>
          <w:noProof/>
          <w:color w:val="auto"/>
          <w:sz w:val="28"/>
          <w:szCs w:val="28"/>
          <w:lang w:val="uk-UA" w:eastAsia="ru-RU"/>
        </w:rPr>
        <w:t xml:space="preserve">концентрація </w:t>
      </w:r>
      <w:r w:rsidR="00FD4672" w:rsidRPr="00BE086B">
        <w:rPr>
          <w:rFonts w:ascii="Times New Roman" w:hAnsi="Times New Roman" w:cs="Times New Roman"/>
          <w:color w:val="auto"/>
          <w:sz w:val="28"/>
          <w:szCs w:val="28"/>
          <w:lang w:val="uk-UA"/>
        </w:rPr>
        <w:t>IL</w:t>
      </w:r>
      <w:r w:rsidR="00FD4672" w:rsidRPr="00BE086B">
        <w:rPr>
          <w:rFonts w:ascii="Times New Roman" w:hAnsi="Times New Roman" w:cs="Times New Roman"/>
          <w:bCs/>
          <w:color w:val="auto"/>
          <w:sz w:val="28"/>
          <w:szCs w:val="28"/>
          <w:lang w:val="uk-UA"/>
        </w:rPr>
        <w:t xml:space="preserve"> 1 </w:t>
      </w:r>
      <w:r w:rsidR="00FD4672" w:rsidRPr="00BE086B">
        <w:rPr>
          <w:rFonts w:ascii="Times New Roman" w:hAnsi="Times New Roman" w:cs="Times New Roman"/>
          <w:noProof/>
          <w:color w:val="auto"/>
          <w:sz w:val="28"/>
          <w:szCs w:val="28"/>
          <w:lang w:val="uk-UA" w:eastAsia="ru-RU"/>
        </w:rPr>
        <w:t xml:space="preserve">у сироватці крові щурів </w:t>
      </w:r>
      <w:r w:rsidR="00FD4672" w:rsidRPr="00BE086B">
        <w:rPr>
          <w:rFonts w:ascii="Times New Roman" w:hAnsi="Times New Roman" w:cs="Times New Roman"/>
          <w:color w:val="auto"/>
          <w:sz w:val="28"/>
          <w:szCs w:val="28"/>
          <w:lang w:val="uk-UA"/>
        </w:rPr>
        <w:t xml:space="preserve">на 47 добу експерименту </w:t>
      </w:r>
      <w:r w:rsidR="00FD4672" w:rsidRPr="00BE086B">
        <w:rPr>
          <w:rFonts w:ascii="Times New Roman" w:eastAsia="Times New Roman" w:hAnsi="Times New Roman" w:cs="Times New Roman"/>
          <w:bCs/>
          <w:color w:val="auto"/>
          <w:sz w:val="28"/>
          <w:szCs w:val="28"/>
        </w:rPr>
        <w:t xml:space="preserve">відносно групи активного контролю </w:t>
      </w:r>
      <w:r w:rsidR="00FD4672" w:rsidRPr="00BE086B">
        <w:rPr>
          <w:rFonts w:ascii="Times New Roman" w:eastAsia="Calibri" w:hAnsi="Times New Roman" w:cs="Times New Roman"/>
          <w:iCs/>
          <w:color w:val="auto"/>
          <w:sz w:val="28"/>
          <w:szCs w:val="28"/>
          <w:lang w:eastAsia="en-US"/>
        </w:rPr>
        <w:t>(</w:t>
      </w:r>
      <w:r w:rsidR="00FD4672" w:rsidRPr="00BE086B">
        <w:rPr>
          <w:rFonts w:ascii="Times New Roman" w:hAnsi="Times New Roman" w:cs="Times New Roman"/>
          <w:color w:val="auto"/>
          <w:sz w:val="28"/>
          <w:szCs w:val="28"/>
        </w:rPr>
        <w:t xml:space="preserve">І група </w:t>
      </w:r>
      <w:r w:rsidR="00FD4672" w:rsidRPr="00BE086B">
        <w:rPr>
          <w:rFonts w:ascii="Times New Roman" w:hAnsi="Times New Roman" w:cs="Times New Roman"/>
          <w:color w:val="auto"/>
          <w:sz w:val="28"/>
          <w:szCs w:val="28"/>
          <w:lang w:val="uk-UA"/>
        </w:rPr>
        <w:t xml:space="preserve">ЕГ + </w:t>
      </w:r>
      <w:r w:rsidR="00FD4672" w:rsidRPr="00BE086B">
        <w:rPr>
          <w:rFonts w:ascii="Times New Roman" w:hAnsi="Times New Roman" w:cs="Times New Roman"/>
          <w:color w:val="auto"/>
          <w:sz w:val="28"/>
          <w:szCs w:val="28"/>
        </w:rPr>
        <w:t>ЕОА)</w:t>
      </w:r>
      <w:r w:rsidR="00FD4672" w:rsidRPr="00BE086B">
        <w:rPr>
          <w:rFonts w:ascii="Times New Roman" w:hAnsi="Times New Roman" w:cs="Times New Roman"/>
          <w:color w:val="auto"/>
          <w:sz w:val="28"/>
          <w:szCs w:val="28"/>
          <w:lang w:val="uk-UA"/>
        </w:rPr>
        <w:t xml:space="preserve"> була різноманітною та залежала від групи дослідження. Так, </w:t>
      </w:r>
      <w:r w:rsidR="006462F7" w:rsidRPr="00BE086B">
        <w:rPr>
          <w:rFonts w:ascii="Times New Roman" w:hAnsi="Times New Roman" w:cs="Times New Roman"/>
          <w:color w:val="auto"/>
          <w:sz w:val="28"/>
          <w:szCs w:val="28"/>
          <w:lang w:val="uk-UA"/>
        </w:rPr>
        <w:t>звертає увагу, що призначення тільки L-тироксину при коморбідній патології (</w:t>
      </w:r>
      <w:r w:rsidR="006462F7" w:rsidRPr="00BE086B">
        <w:rPr>
          <w:rFonts w:ascii="Times New Roman" w:eastAsia="Calibri" w:hAnsi="Times New Roman" w:cs="Times New Roman"/>
          <w:iCs/>
          <w:color w:val="auto"/>
          <w:sz w:val="28"/>
          <w:szCs w:val="28"/>
          <w:lang w:val="uk-UA" w:eastAsia="en-US"/>
        </w:rPr>
        <w:t>І</w:t>
      </w:r>
      <w:r w:rsidR="006462F7" w:rsidRPr="00BE086B">
        <w:rPr>
          <w:rFonts w:ascii="Times New Roman" w:hAnsi="Times New Roman" w:cs="Times New Roman"/>
          <w:color w:val="auto"/>
          <w:sz w:val="28"/>
          <w:szCs w:val="28"/>
        </w:rPr>
        <w:t xml:space="preserve">І група </w:t>
      </w:r>
      <w:r w:rsidR="006462F7" w:rsidRPr="00BE086B">
        <w:rPr>
          <w:rFonts w:ascii="Times New Roman" w:hAnsi="Times New Roman" w:cs="Times New Roman"/>
          <w:color w:val="auto"/>
          <w:sz w:val="28"/>
          <w:szCs w:val="28"/>
          <w:lang w:val="uk-UA"/>
        </w:rPr>
        <w:t xml:space="preserve">ЕГ + </w:t>
      </w:r>
      <w:r w:rsidR="006462F7" w:rsidRPr="00BE086B">
        <w:rPr>
          <w:rFonts w:ascii="Times New Roman" w:hAnsi="Times New Roman" w:cs="Times New Roman"/>
          <w:color w:val="auto"/>
          <w:sz w:val="28"/>
          <w:szCs w:val="28"/>
        </w:rPr>
        <w:t>ЕОА</w:t>
      </w:r>
      <w:r w:rsidR="006462F7" w:rsidRPr="00BE086B">
        <w:rPr>
          <w:rFonts w:ascii="Times New Roman" w:hAnsi="Times New Roman" w:cs="Times New Roman"/>
          <w:color w:val="auto"/>
          <w:sz w:val="28"/>
          <w:szCs w:val="28"/>
          <w:lang w:val="uk-UA"/>
        </w:rPr>
        <w:t xml:space="preserve"> + Т</w:t>
      </w:r>
      <w:r w:rsidR="006462F7" w:rsidRPr="00BE086B">
        <w:rPr>
          <w:rFonts w:ascii="Times New Roman" w:hAnsi="Times New Roman" w:cs="Times New Roman"/>
          <w:color w:val="auto"/>
          <w:sz w:val="28"/>
          <w:szCs w:val="28"/>
        </w:rPr>
        <w:t>)</w:t>
      </w:r>
      <w:r w:rsidR="006462F7" w:rsidRPr="00BE086B">
        <w:rPr>
          <w:rFonts w:ascii="Times New Roman" w:hAnsi="Times New Roman" w:cs="Times New Roman"/>
          <w:color w:val="auto"/>
          <w:sz w:val="28"/>
          <w:szCs w:val="28"/>
          <w:lang w:val="uk-UA"/>
        </w:rPr>
        <w:t xml:space="preserve"> призвело до зниження IL</w:t>
      </w:r>
      <w:r w:rsidR="006462F7" w:rsidRPr="00BE086B">
        <w:rPr>
          <w:rFonts w:ascii="Times New Roman" w:hAnsi="Times New Roman" w:cs="Times New Roman"/>
          <w:bCs/>
          <w:color w:val="auto"/>
          <w:sz w:val="28"/>
          <w:szCs w:val="28"/>
          <w:lang w:val="uk-UA"/>
        </w:rPr>
        <w:t xml:space="preserve"> 1 </w:t>
      </w:r>
      <w:r w:rsidR="006462F7" w:rsidRPr="00BE086B">
        <w:rPr>
          <w:rFonts w:ascii="Times New Roman" w:hAnsi="Times New Roman" w:cs="Times New Roman"/>
          <w:noProof/>
          <w:color w:val="auto"/>
          <w:sz w:val="28"/>
          <w:szCs w:val="28"/>
          <w:lang w:val="uk-UA" w:eastAsia="ru-RU"/>
        </w:rPr>
        <w:t>у сироватці крові щурів лише на 10,1%</w:t>
      </w:r>
      <w:r w:rsidR="00B071AA" w:rsidRPr="00BE086B">
        <w:rPr>
          <w:rFonts w:ascii="Times New Roman" w:hAnsi="Times New Roman" w:cs="Times New Roman"/>
          <w:noProof/>
          <w:color w:val="auto"/>
          <w:sz w:val="28"/>
          <w:szCs w:val="28"/>
          <w:lang w:val="uk-UA" w:eastAsia="ru-RU"/>
        </w:rPr>
        <w:t xml:space="preserve"> (</w:t>
      </w:r>
      <w:r w:rsidR="00B071AA" w:rsidRPr="00BE086B">
        <w:rPr>
          <w:rFonts w:ascii="Times New Roman" w:hAnsi="Times New Roman" w:cs="Times New Roman"/>
          <w:color w:val="auto"/>
          <w:sz w:val="28"/>
          <w:szCs w:val="28"/>
          <w:lang w:eastAsia="ru-RU"/>
        </w:rPr>
        <w:t>р </w:t>
      </w:r>
      <w:r w:rsidR="00B071AA" w:rsidRPr="00BE086B">
        <w:rPr>
          <w:rFonts w:ascii="Times New Roman" w:eastAsia="Calibri" w:hAnsi="Times New Roman" w:cs="Times New Roman"/>
          <w:iCs/>
          <w:color w:val="auto"/>
          <w:sz w:val="28"/>
          <w:szCs w:val="28"/>
          <w:lang w:eastAsia="en-US"/>
        </w:rPr>
        <w:t>&gt; </w:t>
      </w:r>
      <w:r w:rsidR="00B071AA" w:rsidRPr="00BE086B">
        <w:rPr>
          <w:rFonts w:ascii="Times New Roman" w:hAnsi="Times New Roman" w:cs="Times New Roman"/>
          <w:color w:val="auto"/>
          <w:sz w:val="28"/>
          <w:szCs w:val="28"/>
          <w:lang w:eastAsia="ru-RU"/>
        </w:rPr>
        <w:t>0,05</w:t>
      </w:r>
      <w:r w:rsidR="00B071AA" w:rsidRPr="00BE086B">
        <w:rPr>
          <w:rFonts w:ascii="Times New Roman" w:hAnsi="Times New Roman" w:cs="Times New Roman"/>
          <w:color w:val="auto"/>
          <w:sz w:val="28"/>
          <w:szCs w:val="28"/>
          <w:lang w:val="uk-UA" w:eastAsia="ru-RU"/>
        </w:rPr>
        <w:t>)</w:t>
      </w:r>
      <w:r w:rsidR="000E312B" w:rsidRPr="00BE086B">
        <w:rPr>
          <w:rFonts w:ascii="Times New Roman" w:hAnsi="Times New Roman" w:cs="Times New Roman"/>
          <w:noProof/>
          <w:color w:val="auto"/>
          <w:sz w:val="28"/>
          <w:szCs w:val="28"/>
          <w:lang w:val="uk-UA" w:eastAsia="ru-RU"/>
        </w:rPr>
        <w:t xml:space="preserve">, а сумісне використання </w:t>
      </w:r>
      <w:r w:rsidR="000E312B" w:rsidRPr="00BE086B">
        <w:rPr>
          <w:rFonts w:ascii="Times New Roman" w:hAnsi="Times New Roman" w:cs="Times New Roman"/>
          <w:color w:val="auto"/>
          <w:sz w:val="28"/>
          <w:szCs w:val="28"/>
          <w:lang w:val="uk-UA"/>
        </w:rPr>
        <w:t>L-тироксину з диклофенаком натрію (І</w:t>
      </w:r>
      <w:r w:rsidR="000E312B" w:rsidRPr="00BE086B">
        <w:rPr>
          <w:rFonts w:ascii="Times New Roman" w:eastAsia="Calibri" w:hAnsi="Times New Roman" w:cs="Times New Roman"/>
          <w:iCs/>
          <w:color w:val="auto"/>
          <w:sz w:val="28"/>
          <w:szCs w:val="28"/>
          <w:lang w:val="en-US" w:eastAsia="en-US"/>
        </w:rPr>
        <w:t>V</w:t>
      </w:r>
      <w:r w:rsidR="000E312B" w:rsidRPr="00BE086B">
        <w:rPr>
          <w:rFonts w:ascii="Times New Roman" w:hAnsi="Times New Roman" w:cs="Times New Roman"/>
          <w:color w:val="auto"/>
          <w:sz w:val="28"/>
          <w:szCs w:val="28"/>
        </w:rPr>
        <w:t xml:space="preserve"> група </w:t>
      </w:r>
      <w:r w:rsidR="000E312B" w:rsidRPr="00BE086B">
        <w:rPr>
          <w:rFonts w:ascii="Times New Roman" w:hAnsi="Times New Roman" w:cs="Times New Roman"/>
          <w:color w:val="auto"/>
          <w:sz w:val="28"/>
          <w:szCs w:val="28"/>
          <w:lang w:val="uk-UA"/>
        </w:rPr>
        <w:t xml:space="preserve">ЕГ + </w:t>
      </w:r>
      <w:r w:rsidR="000E312B" w:rsidRPr="00BE086B">
        <w:rPr>
          <w:rFonts w:ascii="Times New Roman" w:hAnsi="Times New Roman" w:cs="Times New Roman"/>
          <w:color w:val="auto"/>
          <w:sz w:val="28"/>
          <w:szCs w:val="28"/>
        </w:rPr>
        <w:t>ЕОА</w:t>
      </w:r>
      <w:r w:rsidR="000E312B" w:rsidRPr="00BE086B">
        <w:rPr>
          <w:rFonts w:ascii="Times New Roman" w:hAnsi="Times New Roman" w:cs="Times New Roman"/>
          <w:color w:val="auto"/>
          <w:sz w:val="28"/>
          <w:szCs w:val="28"/>
          <w:lang w:val="uk-UA"/>
        </w:rPr>
        <w:t xml:space="preserve"> + Д + Т</w:t>
      </w:r>
      <w:r w:rsidR="000E312B" w:rsidRPr="00BE086B">
        <w:rPr>
          <w:rFonts w:ascii="Times New Roman" w:hAnsi="Times New Roman" w:cs="Times New Roman"/>
          <w:color w:val="auto"/>
          <w:sz w:val="28"/>
          <w:szCs w:val="28"/>
        </w:rPr>
        <w:t>)</w:t>
      </w:r>
      <w:r w:rsidR="000E312B" w:rsidRPr="00BE086B">
        <w:rPr>
          <w:rFonts w:ascii="Times New Roman" w:hAnsi="Times New Roman" w:cs="Times New Roman"/>
          <w:color w:val="auto"/>
          <w:sz w:val="28"/>
          <w:szCs w:val="28"/>
          <w:lang w:val="uk-UA"/>
        </w:rPr>
        <w:t xml:space="preserve"> призвело до зниження відповідного показника на 51,4%</w:t>
      </w:r>
      <w:r w:rsidR="00FE2E71" w:rsidRPr="00BE086B">
        <w:rPr>
          <w:rFonts w:ascii="Times New Roman" w:hAnsi="Times New Roman" w:cs="Times New Roman"/>
          <w:color w:val="auto"/>
          <w:sz w:val="28"/>
          <w:szCs w:val="28"/>
          <w:lang w:val="uk-UA"/>
        </w:rPr>
        <w:t xml:space="preserve"> (р &lt; 0,05)</w:t>
      </w:r>
      <w:r w:rsidR="000E312B" w:rsidRPr="00BE086B">
        <w:rPr>
          <w:rFonts w:ascii="Times New Roman" w:hAnsi="Times New Roman" w:cs="Times New Roman"/>
          <w:color w:val="auto"/>
          <w:sz w:val="28"/>
          <w:szCs w:val="28"/>
          <w:lang w:val="uk-UA"/>
        </w:rPr>
        <w:t>.</w:t>
      </w:r>
    </w:p>
    <w:p w:rsidR="00AF418B" w:rsidRPr="00BE086B" w:rsidRDefault="009B135A" w:rsidP="003E42CF">
      <w:pPr>
        <w:pStyle w:val="WW-"/>
        <w:spacing w:after="0" w:line="360" w:lineRule="auto"/>
        <w:jc w:val="center"/>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lastRenderedPageBreak/>
        <w:drawing>
          <wp:inline distT="0" distB="0" distL="0" distR="0">
            <wp:extent cx="5662613" cy="45053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3.jpg"/>
                    <pic:cNvPicPr/>
                  </pic:nvPicPr>
                  <pic:blipFill>
                    <a:blip r:embed="rId30">
                      <a:extLst>
                        <a:ext uri="{28A0092B-C50C-407E-A947-70E740481C1C}">
                          <a14:useLocalDpi xmlns:a14="http://schemas.microsoft.com/office/drawing/2010/main" val="0"/>
                        </a:ext>
                      </a:extLst>
                    </a:blip>
                    <a:stretch>
                      <a:fillRect/>
                    </a:stretch>
                  </pic:blipFill>
                  <pic:spPr>
                    <a:xfrm>
                      <a:off x="0" y="0"/>
                      <a:ext cx="5662613" cy="4505325"/>
                    </a:xfrm>
                    <a:prstGeom prst="rect">
                      <a:avLst/>
                    </a:prstGeom>
                  </pic:spPr>
                </pic:pic>
              </a:graphicData>
            </a:graphic>
          </wp:inline>
        </w:drawing>
      </w:r>
    </w:p>
    <w:p w:rsidR="003E42CF" w:rsidRDefault="003E42CF" w:rsidP="005316D2">
      <w:pPr>
        <w:spacing w:line="360" w:lineRule="auto"/>
        <w:ind w:firstLine="709"/>
        <w:jc w:val="both"/>
        <w:rPr>
          <w:b/>
          <w:noProof/>
          <w:sz w:val="28"/>
          <w:szCs w:val="28"/>
          <w:lang w:val="uk-UA" w:eastAsia="ru-RU"/>
        </w:rPr>
      </w:pPr>
    </w:p>
    <w:p w:rsidR="00AF418B" w:rsidRPr="00BE086B" w:rsidRDefault="00AF418B" w:rsidP="005316D2">
      <w:pPr>
        <w:spacing w:line="360" w:lineRule="auto"/>
        <w:ind w:firstLine="709"/>
        <w:jc w:val="both"/>
        <w:rPr>
          <w:sz w:val="28"/>
          <w:szCs w:val="28"/>
        </w:rPr>
      </w:pPr>
      <w:r w:rsidRPr="00BE086B">
        <w:rPr>
          <w:b/>
          <w:noProof/>
          <w:sz w:val="28"/>
          <w:szCs w:val="28"/>
          <w:lang w:val="uk-UA" w:eastAsia="ru-RU"/>
        </w:rPr>
        <w:t>Рис. 5.3.</w:t>
      </w:r>
      <w:r w:rsidRPr="00BE086B">
        <w:rPr>
          <w:noProof/>
          <w:sz w:val="28"/>
          <w:szCs w:val="28"/>
          <w:lang w:val="uk-UA" w:eastAsia="ru-RU"/>
        </w:rPr>
        <w:t xml:space="preserve"> Зміни показників концентрації </w:t>
      </w:r>
      <w:r w:rsidRPr="00BE086B">
        <w:rPr>
          <w:bCs/>
          <w:sz w:val="28"/>
          <w:szCs w:val="28"/>
          <w:lang w:val="uk-UA"/>
        </w:rPr>
        <w:t xml:space="preserve">інтерлейкіну 6 </w:t>
      </w:r>
      <w:r w:rsidRPr="00BE086B">
        <w:rPr>
          <w:noProof/>
          <w:sz w:val="28"/>
          <w:szCs w:val="28"/>
          <w:lang w:val="uk-UA" w:eastAsia="ru-RU"/>
        </w:rPr>
        <w:t xml:space="preserve">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p>
    <w:p w:rsidR="00AF418B" w:rsidRPr="00BE086B" w:rsidRDefault="00AF418B" w:rsidP="005316D2">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p>
    <w:p w:rsidR="00AF418B" w:rsidRPr="00BE086B" w:rsidRDefault="00AF418B" w:rsidP="005316D2">
      <w:pPr>
        <w:spacing w:line="360" w:lineRule="auto"/>
        <w:ind w:firstLine="709"/>
        <w:jc w:val="both"/>
        <w:rPr>
          <w:sz w:val="28"/>
          <w:szCs w:val="28"/>
          <w:lang w:val="uk-UA" w:eastAsia="ru-RU"/>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Так, як видно з табл. 5.1 і рис. 5.2-5.4, при сумісному призначенні диклофенаку натрію з L-тироксином (ІV група) на 47 добу на фоні експериментальних патологій визначено достовірне зниження рівнів IL 1, IL 6 та IL 8 на 51,4%, 50,3% і на 45,0% відносно показників І групи відповідно (р &lt; 0,05), в той час як зміни цих показників у ІІІ групі тварин були менш виразними – рівень IL 1 відрізнявся на 28,2%, IL 6 – на 35,4%, IL 8 – на 42,8% (р &lt; 0,05). Сумісне призначення ібупрофену та L-тироксину (VІ група) на 47 добу виявило достовірне зниження рівнів IL 1, IL 6 та IL 8 на 44,7%, 48,3% і на 36,5% </w:t>
      </w:r>
      <w:r w:rsidRPr="00BE086B">
        <w:rPr>
          <w:rFonts w:ascii="Times New Roman" w:hAnsi="Times New Roman" w:cs="Times New Roman"/>
          <w:color w:val="auto"/>
          <w:sz w:val="28"/>
          <w:szCs w:val="28"/>
          <w:lang w:val="uk-UA"/>
        </w:rPr>
        <w:lastRenderedPageBreak/>
        <w:t>відносно групи активного контролю «без лікування» (р &lt; 0,05), в той час як в V групі зміни рівнів досліджуваних інтерлейкінів становили 20,7%, 23,5%, 31,4% у порівнянні з І групою (р &lt; 0,05).</w:t>
      </w:r>
    </w:p>
    <w:p w:rsidR="00AF418B" w:rsidRPr="00BE086B" w:rsidRDefault="009B135A" w:rsidP="00A41C4C">
      <w:pPr>
        <w:pStyle w:val="WW-"/>
        <w:spacing w:after="0" w:line="360" w:lineRule="auto"/>
        <w:jc w:val="center"/>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drawing>
          <wp:inline distT="0" distB="0" distL="0" distR="0">
            <wp:extent cx="5943600" cy="4572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4.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572000"/>
                    </a:xfrm>
                    <a:prstGeom prst="rect">
                      <a:avLst/>
                    </a:prstGeom>
                  </pic:spPr>
                </pic:pic>
              </a:graphicData>
            </a:graphic>
          </wp:inline>
        </w:drawing>
      </w:r>
    </w:p>
    <w:p w:rsidR="00AF418B" w:rsidRPr="00BE086B" w:rsidRDefault="00AF418B" w:rsidP="005316D2">
      <w:pPr>
        <w:spacing w:line="360" w:lineRule="auto"/>
        <w:ind w:firstLine="709"/>
        <w:jc w:val="both"/>
        <w:rPr>
          <w:sz w:val="28"/>
          <w:szCs w:val="28"/>
        </w:rPr>
      </w:pPr>
      <w:r w:rsidRPr="00BE086B">
        <w:rPr>
          <w:b/>
          <w:noProof/>
          <w:sz w:val="28"/>
          <w:szCs w:val="28"/>
          <w:lang w:val="uk-UA" w:eastAsia="ru-RU"/>
        </w:rPr>
        <w:t>Рис. 5.4.</w:t>
      </w:r>
      <w:r w:rsidRPr="00BE086B">
        <w:rPr>
          <w:noProof/>
          <w:sz w:val="28"/>
          <w:szCs w:val="28"/>
          <w:lang w:val="uk-UA" w:eastAsia="ru-RU"/>
        </w:rPr>
        <w:t xml:space="preserve"> Зміни показників концентрації </w:t>
      </w:r>
      <w:r w:rsidRPr="00BE086B">
        <w:rPr>
          <w:bCs/>
          <w:sz w:val="28"/>
          <w:szCs w:val="28"/>
          <w:lang w:val="uk-UA"/>
        </w:rPr>
        <w:t xml:space="preserve">інтерлейкіну 8 </w:t>
      </w:r>
      <w:r w:rsidRPr="00BE086B">
        <w:rPr>
          <w:noProof/>
          <w:sz w:val="28"/>
          <w:szCs w:val="28"/>
          <w:lang w:val="uk-UA" w:eastAsia="ru-RU"/>
        </w:rPr>
        <w:t xml:space="preserve">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p>
    <w:p w:rsidR="00AF418B" w:rsidRPr="00BE086B" w:rsidRDefault="00AF418B" w:rsidP="005316D2">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В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 L-тироксин) на 47 добу визначено достовірне зниження рівнів IL 1, IL 6 та IL 8 на 40,5%, 42,9% і на 27,5% відповідно по відношенню до І групи (р &lt; 0,05). Подібні зміни показників у групі VІІ були достовірними лише для IL 6 (на 26,5%) і IL 8 (на 21,2%) (р &lt; 0,05). При сумісному призначенні парацетамолу з L-тироксином (Х група ЕГ </w:t>
      </w:r>
      <w:r w:rsidRPr="00BE086B">
        <w:rPr>
          <w:rFonts w:ascii="Times New Roman" w:hAnsi="Times New Roman" w:cs="Times New Roman"/>
          <w:color w:val="auto"/>
          <w:sz w:val="28"/>
          <w:szCs w:val="28"/>
          <w:lang w:val="uk-UA"/>
        </w:rPr>
        <w:lastRenderedPageBreak/>
        <w:t>+ ЕОА + парацетамол + L-тироксин) визначено достовірне зниження рівнів IL 1 та IL 6 на 31,2% і 31,0% відповідно (р &lt; 0,05), в той час як в ІХ групі тварин рівні інтерлейкінів статистично значимо не відрізнялись від відповідних показників групи активного контролю (</w:t>
      </w:r>
      <w:r w:rsidRPr="00BE086B">
        <w:rPr>
          <w:rFonts w:ascii="Times New Roman" w:hAnsi="Times New Roman" w:cs="Times New Roman"/>
          <w:color w:val="auto"/>
          <w:sz w:val="28"/>
          <w:szCs w:val="28"/>
          <w:lang w:val="en-US"/>
        </w:rPr>
        <w:t>p</w:t>
      </w:r>
      <w:r w:rsidRPr="00BE086B">
        <w:rPr>
          <w:rFonts w:ascii="Times New Roman" w:hAnsi="Times New Roman" w:cs="Times New Roman"/>
          <w:color w:val="auto"/>
          <w:sz w:val="28"/>
          <w:szCs w:val="28"/>
          <w:lang w:val="uk-UA"/>
        </w:rPr>
        <w:t> &gt; 0,05). При призначенні німесуліду та L-тироксину (ХІІ група ЕГ + ЕОА + німесулід +L-тироксин) визначено достовірне зниження рівнів IL 1, IL 6 та IL 8 на 41,3%, 41,8% і на 28,4% відносно І групи (р &lt; 0,05). В ХІ групі без застосування L-тироксину відмінності з показниками групи активного контролю були менш виразними – рівень IL 1 відрізнявся на 18,1% (</w:t>
      </w:r>
      <w:r w:rsidRPr="00BE086B">
        <w:rPr>
          <w:rFonts w:ascii="Times New Roman" w:hAnsi="Times New Roman" w:cs="Times New Roman"/>
          <w:color w:val="auto"/>
          <w:sz w:val="28"/>
          <w:szCs w:val="28"/>
          <w:lang w:val="en-US"/>
        </w:rPr>
        <w:t>p</w:t>
      </w:r>
      <w:r w:rsidRPr="00BE086B">
        <w:rPr>
          <w:rFonts w:ascii="Times New Roman" w:hAnsi="Times New Roman" w:cs="Times New Roman"/>
          <w:color w:val="auto"/>
          <w:sz w:val="28"/>
          <w:szCs w:val="28"/>
          <w:lang w:val="uk-UA"/>
        </w:rPr>
        <w:t> &gt; 0,05), IL 6 – на 25,2%, IL 8 – на 21,9% (р &lt; 0,05).  При призначенні целекоксибу та L-тироксину (ХІV група ЕГ + ЕОА + целекоксиб + L-тироксин) визначено достовірне зниження рівнів IL 1, IL 6 та IL 8 у порівнянні з І групою на 34,6%, 35,4% і на 16,8% (р &lt; 0,05). В ХІІІ групі достовірні відмінності відзначено лише для показника IL 8 – зниження на 14,1 відносно І групи (р &lt; 0,05) (табл. 5.1, рис. 5.2-5.4).</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Отримані дані відображають більш ефективну фармакотерапію та доцільність призначення замісної терапії під час лікування даної коморбідної патології [126].</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Аналіз даних табл. 5.1 та рис. 5.1 визначив зниження рівня IL 8 на 47 добу експерименту в групах III-VІІІ та ХІ- ХІV. В той час як у групах I, II, ІХ та Х на 47 добу експерименту було визначено підвищення цитокіну у порівнянні з 42 добою.</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Як видно з даних табл. 5.1 та рис. 5.2-5.8, при порівнянні результатів з I групою (без «лікування»), значимий (p &lt; 0,05) ефект від застосування НПЗЗ, парацетамолу та L-тироксину на експериментальну патологію вказує на доцільність застосування цих препаратів, проте ступінь їх впливу на рівень IL 8 у сироватці крові був різним. Найменший вплив на рівень IL 8 спостерігався у IX та X групах при застосуванні парацетамолу і парацетамолу з L-тироксином.</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Таким чином, з огляду на отримані результати можна стверджувати, що у групах експериментальних тварин, які отримували ЛЗ сумісно з L-</w:t>
      </w:r>
      <w:r w:rsidRPr="00BE086B">
        <w:rPr>
          <w:rFonts w:ascii="Times New Roman" w:hAnsi="Times New Roman" w:cs="Times New Roman"/>
          <w:color w:val="auto"/>
          <w:sz w:val="28"/>
          <w:szCs w:val="28"/>
          <w:lang w:val="uk-UA"/>
        </w:rPr>
        <w:lastRenderedPageBreak/>
        <w:t>тироксином визначено більше зниження рівнів IL 1, IL 6 та IL 8, ніж при монотерапії, що свідчить про доцільність доповнення фармакотерапії експериментальних патологічних станів засобом базової гормональної терапії. Проте, привертає увагу парацетамол, який не призвів до зниження рівня IL 8 (ІХ та Х групи)</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[126].</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За ступенем впливу на запальні процеси у суглобі за рівнем маркерів IL 1, IL 6 та IL 8 досліджені препарати можна розташувати наступним чином: диклофенак натрію &gt; ібупрофен &gt; німесулід = мелоксикам &gt; целекоксиб &gt; парацетамол, що відображає різну ефективність зазначених препаратів (табл. 5.1).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підставі отриманих даних встановлено, що визначення рівня інтерлейкінів IL 1, IL 6 та IL 8 дозволяє оцінити активність запального процесу на фоні експериментального остеоартрозу та гіпотиреозу при призначенні ЛЗ, що досліджувалися [126].</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b/>
          <w:color w:val="auto"/>
          <w:sz w:val="28"/>
          <w:szCs w:val="28"/>
          <w:lang w:val="uk-UA"/>
        </w:rPr>
      </w:pPr>
      <w:r w:rsidRPr="00BE086B">
        <w:rPr>
          <w:rFonts w:ascii="Times New Roman" w:hAnsi="Times New Roman" w:cs="Times New Roman"/>
          <w:b/>
          <w:bCs/>
          <w:color w:val="auto"/>
          <w:sz w:val="28"/>
          <w:szCs w:val="28"/>
          <w:lang w:val="uk-UA"/>
        </w:rPr>
        <w:t xml:space="preserve">5.2. Зміни рівня матриксних металопротеїназ 3, 9 та 13 на фоні введення </w:t>
      </w:r>
      <w:r w:rsidRPr="00BE086B">
        <w:rPr>
          <w:rFonts w:ascii="Times New Roman" w:hAnsi="Times New Roman" w:cs="Times New Roman"/>
          <w:b/>
          <w:color w:val="auto"/>
          <w:sz w:val="28"/>
          <w:szCs w:val="28"/>
          <w:lang w:val="uk-UA"/>
        </w:rPr>
        <w:t>НПЗЗ, парацетамолу та L-тироксину</w:t>
      </w:r>
      <w:r w:rsidRPr="00BE086B">
        <w:rPr>
          <w:rFonts w:ascii="Times New Roman" w:hAnsi="Times New Roman" w:cs="Times New Roman"/>
          <w:b/>
          <w:bCs/>
          <w:color w:val="auto"/>
          <w:sz w:val="28"/>
          <w:szCs w:val="28"/>
          <w:lang w:val="uk-UA"/>
        </w:rPr>
        <w:t xml:space="preserve"> при </w:t>
      </w:r>
      <w:r w:rsidRPr="00BE086B">
        <w:rPr>
          <w:rFonts w:ascii="Times New Roman" w:hAnsi="Times New Roman" w:cs="Times New Roman"/>
          <w:b/>
          <w:color w:val="auto"/>
          <w:sz w:val="28"/>
          <w:szCs w:val="28"/>
          <w:lang w:val="uk-UA"/>
        </w:rPr>
        <w:t>експериментальному остеоартрозі та гіпотиреозі</w:t>
      </w:r>
    </w:p>
    <w:p w:rsidR="00AF418B" w:rsidRPr="00BE086B" w:rsidRDefault="00AF418B" w:rsidP="005316D2">
      <w:pPr>
        <w:pStyle w:val="WW-"/>
        <w:spacing w:after="0" w:line="360" w:lineRule="auto"/>
        <w:ind w:firstLine="709"/>
        <w:jc w:val="both"/>
        <w:rPr>
          <w:rFonts w:ascii="Times New Roman" w:hAnsi="Times New Roman" w:cs="Times New Roman"/>
          <w:b/>
          <w:bCs/>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підрозділі описані результати біохімічного дослідження зміни рівнів матриксних металопротеїназ 3, 9 та 13 (ММП-3, ММП-9 та ММП-13) у сироватці крові щурів під впливом призначення НПЗЗ, парацетамолу та L-тироксину на фоні коморбідної патології (експериментального остеоартрозу та гіпотиреозу) [127, 170-173].</w:t>
      </w:r>
    </w:p>
    <w:p w:rsidR="00AF418B" w:rsidRPr="00BE086B" w:rsidRDefault="00AF418B" w:rsidP="005316D2">
      <w:pPr>
        <w:spacing w:line="360" w:lineRule="auto"/>
        <w:ind w:firstLine="709"/>
        <w:jc w:val="both"/>
        <w:rPr>
          <w:sz w:val="28"/>
          <w:szCs w:val="28"/>
          <w:lang w:val="uk-UA"/>
        </w:rPr>
      </w:pPr>
      <w:r w:rsidRPr="00BE086B">
        <w:rPr>
          <w:sz w:val="28"/>
          <w:szCs w:val="28"/>
          <w:lang w:val="uk-UA"/>
        </w:rPr>
        <w:t>При аналізі отриманих результатів встановлено, що зміни рівнів ММП-3, ММП-9 та ММП-13 у сироватці крові щурів під впливом призначення НПЗЗ, парацетамолу та L-тироксину відбуваються неоднаково (табл. 5.2).</w:t>
      </w:r>
    </w:p>
    <w:p w:rsidR="00AF418B" w:rsidRPr="00BE086B" w:rsidRDefault="00AF418B" w:rsidP="00A258D7">
      <w:pPr>
        <w:pStyle w:val="af3"/>
        <w:snapToGrid w:val="0"/>
        <w:spacing w:before="0" w:after="0" w:line="360" w:lineRule="auto"/>
        <w:ind w:firstLine="709"/>
        <w:jc w:val="both"/>
        <w:rPr>
          <w:sz w:val="28"/>
          <w:szCs w:val="28"/>
          <w:lang w:val="uk-UA"/>
        </w:rPr>
      </w:pPr>
      <w:r w:rsidRPr="00BE086B">
        <w:rPr>
          <w:sz w:val="28"/>
          <w:szCs w:val="28"/>
          <w:lang w:val="uk-UA"/>
        </w:rPr>
        <w:t xml:space="preserve">Так, на 42 добу (після закінчення формування експериментальних моделей ОА та ГІТ) у всіх експериментальних групах спостерігалось підвищення рівня ММП-3, ММП-9 та ММП-13 відносно референсних значень </w:t>
      </w:r>
      <w:r w:rsidRPr="00BE086B">
        <w:rPr>
          <w:sz w:val="28"/>
          <w:szCs w:val="28"/>
          <w:lang w:val="uk-UA"/>
        </w:rPr>
        <w:lastRenderedPageBreak/>
        <w:t>інтактної групи щурів (ІЩ), що відображає розвиток патологічних змін під впливом експериментальних моделей та здатність експериментальних моделей впливати на рівень ММП сироватки крові щурів (р &lt; 0,05).</w:t>
      </w:r>
    </w:p>
    <w:p w:rsidR="00AF418B" w:rsidRPr="00BE086B" w:rsidRDefault="00AF418B" w:rsidP="00A258D7">
      <w:pPr>
        <w:pStyle w:val="af3"/>
        <w:snapToGrid w:val="0"/>
        <w:spacing w:before="0" w:after="0" w:line="360" w:lineRule="auto"/>
        <w:ind w:firstLine="709"/>
        <w:jc w:val="both"/>
        <w:rPr>
          <w:sz w:val="28"/>
          <w:szCs w:val="28"/>
          <w:lang w:val="uk-UA"/>
        </w:rPr>
      </w:pPr>
      <w:r w:rsidRPr="00BE086B">
        <w:rPr>
          <w:sz w:val="28"/>
          <w:szCs w:val="28"/>
          <w:lang w:val="uk-UA"/>
        </w:rPr>
        <w:t>На 47 добу експерименту у І групі ЕГ + ЕОА (без «лікування») у порівнянні з 42 добою, збільшився показник рівня ММП-3, ММП-9 та ММП-13 у 1,16; 1,36 та 1,07 рази відповідно (р &lt; 0,05) (табл. 5.2).</w:t>
      </w:r>
    </w:p>
    <w:p w:rsidR="00AF418B" w:rsidRPr="00BE086B" w:rsidRDefault="00AF418B" w:rsidP="00A258D7">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ІІ групі ЕГ + ЕОА + L-тироксин на 47 добу (наприкінці введення ЛЗ, що досліджувалися) на фоні призначення L-тироксину спостерігалось достовірне зниження рівнів ММП-3, ММП-9 та ММП-13 у 1,02; 1,04 та 1,01 рази відповідно (р &lt; 0,05) у порівнянні з 42 добою. Отримані дані відображають вплив L-тироксину на експериментальну патологію - ЕГ + ЕОА (табл. 5.2).</w:t>
      </w:r>
    </w:p>
    <w:p w:rsidR="00AF418B" w:rsidRPr="00BE086B" w:rsidRDefault="00AF418B" w:rsidP="005316D2">
      <w:pPr>
        <w:pStyle w:val="WW-"/>
        <w:spacing w:after="0" w:line="360" w:lineRule="auto"/>
        <w:ind w:firstLine="709"/>
        <w:jc w:val="right"/>
        <w:rPr>
          <w:rFonts w:ascii="Times New Roman" w:hAnsi="Times New Roman" w:cs="Times New Roman"/>
          <w:color w:val="auto"/>
          <w:sz w:val="28"/>
          <w:szCs w:val="28"/>
          <w:lang w:val="uk-UA"/>
        </w:rPr>
      </w:pPr>
      <w:r w:rsidRPr="00BE086B">
        <w:rPr>
          <w:rFonts w:ascii="Times New Roman" w:hAnsi="Times New Roman" w:cs="Times New Roman"/>
          <w:i/>
          <w:iCs/>
          <w:color w:val="auto"/>
          <w:sz w:val="28"/>
          <w:szCs w:val="28"/>
          <w:lang w:val="uk-UA"/>
        </w:rPr>
        <w:t>Таблиця 5.2</w:t>
      </w:r>
    </w:p>
    <w:p w:rsidR="00AF418B" w:rsidRPr="00BE086B" w:rsidRDefault="00AF418B" w:rsidP="005316D2">
      <w:pPr>
        <w:pStyle w:val="af3"/>
        <w:spacing w:before="0" w:after="0" w:line="360" w:lineRule="auto"/>
        <w:ind w:firstLine="709"/>
        <w:jc w:val="center"/>
        <w:rPr>
          <w:sz w:val="28"/>
          <w:szCs w:val="28"/>
          <w:lang w:val="uk-UA"/>
        </w:rPr>
      </w:pPr>
      <w:r w:rsidRPr="00BE086B">
        <w:rPr>
          <w:b/>
          <w:bCs/>
          <w:sz w:val="28"/>
          <w:szCs w:val="28"/>
          <w:lang w:val="uk-UA"/>
        </w:rPr>
        <w:t>Рівень матриксних металопротеїназ 3, 9 та 13 сироватки крові щурів при введенні ЛЗ на фоні експериментального остеоартрозу та гіпотиреозу (М±m)</w:t>
      </w:r>
    </w:p>
    <w:tbl>
      <w:tblPr>
        <w:tblW w:w="10065" w:type="dxa"/>
        <w:tblInd w:w="-601" w:type="dxa"/>
        <w:tblLayout w:type="fixed"/>
        <w:tblLook w:val="0000" w:firstRow="0" w:lastRow="0" w:firstColumn="0" w:lastColumn="0" w:noHBand="0" w:noVBand="0"/>
      </w:tblPr>
      <w:tblGrid>
        <w:gridCol w:w="2694"/>
        <w:gridCol w:w="1134"/>
        <w:gridCol w:w="1134"/>
        <w:gridCol w:w="1276"/>
        <w:gridCol w:w="1275"/>
        <w:gridCol w:w="1276"/>
        <w:gridCol w:w="1276"/>
      </w:tblGrid>
      <w:tr w:rsidR="00AF418B" w:rsidRPr="00BE086B" w:rsidTr="00A7341E">
        <w:tc>
          <w:tcPr>
            <w:tcW w:w="2694" w:type="dxa"/>
            <w:vMerge w:val="restart"/>
            <w:tcBorders>
              <w:top w:val="single" w:sz="4" w:space="0" w:color="000000"/>
              <w:left w:val="single" w:sz="4" w:space="0" w:color="000000"/>
            </w:tcBorders>
            <w:shd w:val="clear" w:color="auto" w:fill="auto"/>
            <w:vAlign w:val="center"/>
          </w:tcPr>
          <w:p w:rsidR="00AF418B" w:rsidRPr="00BE086B" w:rsidRDefault="00AF418B" w:rsidP="009B7450">
            <w:pPr>
              <w:pStyle w:val="af3"/>
              <w:spacing w:before="0" w:after="0"/>
              <w:jc w:val="center"/>
              <w:rPr>
                <w:sz w:val="28"/>
                <w:szCs w:val="28"/>
                <w:lang w:val="uk-UA"/>
              </w:rPr>
            </w:pPr>
            <w:r w:rsidRPr="00BE086B">
              <w:rPr>
                <w:b/>
                <w:sz w:val="28"/>
                <w:szCs w:val="28"/>
                <w:lang w:val="uk-UA"/>
              </w:rPr>
              <w:t>Група, препарат</w:t>
            </w:r>
          </w:p>
          <w:p w:rsidR="00AF418B" w:rsidRPr="00BE086B" w:rsidRDefault="00AF418B" w:rsidP="009B7450">
            <w:pPr>
              <w:pStyle w:val="af3"/>
              <w:spacing w:before="0" w:after="0"/>
              <w:jc w:val="center"/>
              <w:rPr>
                <w:sz w:val="28"/>
                <w:szCs w:val="28"/>
                <w:lang w:val="uk-UA"/>
              </w:rPr>
            </w:pPr>
            <w:r w:rsidRPr="00BE086B">
              <w:rPr>
                <w:b/>
                <w:sz w:val="28"/>
                <w:szCs w:val="28"/>
                <w:lang w:val="uk-UA"/>
              </w:rPr>
              <w:t>та його доза</w:t>
            </w:r>
          </w:p>
        </w:tc>
        <w:tc>
          <w:tcPr>
            <w:tcW w:w="3544" w:type="dxa"/>
            <w:gridSpan w:val="3"/>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pacing w:before="0" w:after="0"/>
              <w:jc w:val="center"/>
              <w:rPr>
                <w:sz w:val="28"/>
                <w:szCs w:val="28"/>
                <w:lang w:val="uk-UA"/>
              </w:rPr>
            </w:pPr>
            <w:r w:rsidRPr="00BE086B">
              <w:rPr>
                <w:b/>
                <w:sz w:val="28"/>
                <w:szCs w:val="28"/>
                <w:lang w:val="uk-UA"/>
              </w:rPr>
              <w:t>Рівень ММП на 42 добу, нг/мл</w:t>
            </w:r>
          </w:p>
        </w:tc>
        <w:tc>
          <w:tcPr>
            <w:tcW w:w="3827" w:type="dxa"/>
            <w:gridSpan w:val="3"/>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9B7450">
            <w:pPr>
              <w:pStyle w:val="af3"/>
              <w:spacing w:before="0" w:after="0"/>
              <w:jc w:val="center"/>
              <w:rPr>
                <w:sz w:val="28"/>
                <w:szCs w:val="28"/>
                <w:lang w:val="uk-UA"/>
              </w:rPr>
            </w:pPr>
            <w:r w:rsidRPr="00BE086B">
              <w:rPr>
                <w:b/>
                <w:sz w:val="28"/>
                <w:szCs w:val="28"/>
                <w:lang w:val="uk-UA"/>
              </w:rPr>
              <w:t>Рівень ММП на 47 добу, нг/мл</w:t>
            </w:r>
          </w:p>
        </w:tc>
      </w:tr>
      <w:tr w:rsidR="00AF418B" w:rsidRPr="00BE086B" w:rsidTr="00A7341E">
        <w:tc>
          <w:tcPr>
            <w:tcW w:w="2694" w:type="dxa"/>
            <w:vMerge/>
            <w:tcBorders>
              <w:top w:val="single" w:sz="4" w:space="0" w:color="000000"/>
              <w:left w:val="single" w:sz="4" w:space="0" w:color="000000"/>
            </w:tcBorders>
            <w:shd w:val="clear" w:color="auto" w:fill="auto"/>
            <w:vAlign w:val="center"/>
          </w:tcPr>
          <w:p w:rsidR="00AF418B" w:rsidRPr="00BE086B" w:rsidRDefault="00AF418B" w:rsidP="009B7450">
            <w:pPr>
              <w:pStyle w:val="af3"/>
              <w:snapToGrid w:val="0"/>
              <w:spacing w:before="0" w:after="0"/>
              <w:jc w:val="center"/>
              <w:rPr>
                <w:b/>
                <w:i/>
                <w:iCs/>
                <w:sz w:val="28"/>
                <w:szCs w:val="28"/>
                <w:lang w:val="uk-UA"/>
              </w:rPr>
            </w:pP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pacing w:before="0" w:after="0"/>
              <w:jc w:val="center"/>
              <w:rPr>
                <w:sz w:val="28"/>
                <w:szCs w:val="28"/>
                <w:lang w:val="uk-UA"/>
              </w:rPr>
            </w:pPr>
            <w:r w:rsidRPr="00BE086B">
              <w:rPr>
                <w:b/>
                <w:sz w:val="28"/>
                <w:szCs w:val="28"/>
                <w:lang w:val="uk-UA"/>
              </w:rPr>
              <w:t>ММП-3</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pacing w:before="0" w:after="0"/>
              <w:jc w:val="center"/>
              <w:rPr>
                <w:sz w:val="28"/>
                <w:szCs w:val="28"/>
                <w:lang w:val="uk-UA"/>
              </w:rPr>
            </w:pPr>
            <w:r w:rsidRPr="00BE086B">
              <w:rPr>
                <w:b/>
                <w:sz w:val="28"/>
                <w:szCs w:val="28"/>
                <w:lang w:val="uk-UA"/>
              </w:rPr>
              <w:t>ММП-9</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pacing w:before="0" w:after="0"/>
              <w:jc w:val="center"/>
              <w:rPr>
                <w:sz w:val="28"/>
                <w:szCs w:val="28"/>
                <w:lang w:val="uk-UA"/>
              </w:rPr>
            </w:pPr>
            <w:r w:rsidRPr="00BE086B">
              <w:rPr>
                <w:b/>
                <w:sz w:val="28"/>
                <w:szCs w:val="28"/>
                <w:lang w:val="uk-UA"/>
              </w:rPr>
              <w:t>ММП-13</w:t>
            </w:r>
          </w:p>
        </w:tc>
        <w:tc>
          <w:tcPr>
            <w:tcW w:w="1275"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pacing w:before="0" w:after="0"/>
              <w:jc w:val="center"/>
              <w:rPr>
                <w:sz w:val="28"/>
                <w:szCs w:val="28"/>
                <w:lang w:val="uk-UA"/>
              </w:rPr>
            </w:pPr>
            <w:r w:rsidRPr="00BE086B">
              <w:rPr>
                <w:b/>
                <w:sz w:val="28"/>
                <w:szCs w:val="28"/>
                <w:lang w:val="uk-UA"/>
              </w:rPr>
              <w:t>ММП-3</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pacing w:before="0" w:after="0"/>
              <w:jc w:val="center"/>
              <w:rPr>
                <w:sz w:val="28"/>
                <w:szCs w:val="28"/>
                <w:lang w:val="uk-UA"/>
              </w:rPr>
            </w:pPr>
            <w:r w:rsidRPr="00BE086B">
              <w:rPr>
                <w:b/>
                <w:sz w:val="28"/>
                <w:szCs w:val="28"/>
                <w:lang w:val="uk-UA"/>
              </w:rPr>
              <w:t>ММП-9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9B7450">
            <w:pPr>
              <w:pStyle w:val="af3"/>
              <w:spacing w:before="0" w:after="0"/>
              <w:jc w:val="center"/>
              <w:rPr>
                <w:sz w:val="28"/>
                <w:szCs w:val="28"/>
                <w:lang w:val="uk-UA"/>
              </w:rPr>
            </w:pPr>
            <w:r w:rsidRPr="00BE086B">
              <w:rPr>
                <w:b/>
                <w:sz w:val="28"/>
                <w:szCs w:val="28"/>
                <w:lang w:val="uk-UA"/>
              </w:rPr>
              <w:t>ММП-13</w:t>
            </w:r>
          </w:p>
        </w:tc>
      </w:tr>
      <w:tr w:rsidR="00FE7D55" w:rsidRPr="00BE086B" w:rsidTr="00A7341E">
        <w:tc>
          <w:tcPr>
            <w:tcW w:w="2694" w:type="dxa"/>
            <w:tcBorders>
              <w:top w:val="single" w:sz="4" w:space="0" w:color="000000"/>
              <w:left w:val="single" w:sz="4" w:space="0" w:color="000000"/>
              <w:bottom w:val="single" w:sz="4" w:space="0" w:color="000000"/>
            </w:tcBorders>
            <w:shd w:val="clear" w:color="auto" w:fill="auto"/>
          </w:tcPr>
          <w:p w:rsidR="00FE7D55" w:rsidRPr="00BE086B" w:rsidRDefault="00FE7D55" w:rsidP="009B745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1134" w:type="dxa"/>
            <w:tcBorders>
              <w:top w:val="single" w:sz="4" w:space="0" w:color="000000"/>
              <w:left w:val="single" w:sz="4" w:space="0" w:color="000000"/>
              <w:bottom w:val="single" w:sz="4" w:space="0" w:color="000000"/>
            </w:tcBorders>
            <w:shd w:val="clear" w:color="auto" w:fill="auto"/>
          </w:tcPr>
          <w:p w:rsidR="00FE7D55" w:rsidRPr="00BE086B" w:rsidRDefault="00FE7D55" w:rsidP="009B7450">
            <w:pPr>
              <w:pStyle w:val="af3"/>
              <w:snapToGrid w:val="0"/>
              <w:spacing w:before="0" w:after="0"/>
              <w:jc w:val="center"/>
              <w:rPr>
                <w:sz w:val="28"/>
                <w:szCs w:val="28"/>
                <w:lang w:val="uk-UA"/>
              </w:rPr>
            </w:pPr>
            <w:r w:rsidRPr="00BE086B">
              <w:rPr>
                <w:sz w:val="28"/>
                <w:szCs w:val="28"/>
                <w:lang w:val="uk-UA"/>
              </w:rPr>
              <w:t>2</w:t>
            </w:r>
          </w:p>
        </w:tc>
        <w:tc>
          <w:tcPr>
            <w:tcW w:w="1134" w:type="dxa"/>
            <w:tcBorders>
              <w:top w:val="single" w:sz="4" w:space="0" w:color="000000"/>
              <w:left w:val="single" w:sz="4" w:space="0" w:color="000000"/>
              <w:bottom w:val="single" w:sz="4" w:space="0" w:color="000000"/>
            </w:tcBorders>
            <w:shd w:val="clear" w:color="auto" w:fill="auto"/>
          </w:tcPr>
          <w:p w:rsidR="00FE7D55" w:rsidRPr="00BE086B" w:rsidRDefault="00FE7D55" w:rsidP="009B7450">
            <w:pPr>
              <w:pStyle w:val="af3"/>
              <w:snapToGrid w:val="0"/>
              <w:spacing w:before="0" w:after="0"/>
              <w:jc w:val="center"/>
              <w:rPr>
                <w:sz w:val="28"/>
                <w:szCs w:val="28"/>
                <w:lang w:val="uk-UA"/>
              </w:rPr>
            </w:pPr>
            <w:r w:rsidRPr="00BE086B">
              <w:rPr>
                <w:sz w:val="28"/>
                <w:szCs w:val="28"/>
                <w:lang w:val="uk-UA"/>
              </w:rPr>
              <w:t>3</w:t>
            </w:r>
          </w:p>
        </w:tc>
        <w:tc>
          <w:tcPr>
            <w:tcW w:w="1276" w:type="dxa"/>
            <w:tcBorders>
              <w:top w:val="single" w:sz="4" w:space="0" w:color="000000"/>
              <w:left w:val="single" w:sz="4" w:space="0" w:color="000000"/>
              <w:bottom w:val="single" w:sz="4" w:space="0" w:color="000000"/>
            </w:tcBorders>
            <w:shd w:val="clear" w:color="auto" w:fill="auto"/>
          </w:tcPr>
          <w:p w:rsidR="00FE7D55" w:rsidRPr="00BE086B" w:rsidRDefault="00FE7D55" w:rsidP="009B7450">
            <w:pPr>
              <w:pStyle w:val="af3"/>
              <w:snapToGrid w:val="0"/>
              <w:spacing w:before="0" w:after="0"/>
              <w:jc w:val="center"/>
              <w:rPr>
                <w:sz w:val="28"/>
                <w:szCs w:val="28"/>
                <w:lang w:val="uk-UA"/>
              </w:rPr>
            </w:pPr>
            <w:r w:rsidRPr="00BE086B">
              <w:rPr>
                <w:sz w:val="28"/>
                <w:szCs w:val="28"/>
                <w:lang w:val="uk-UA"/>
              </w:rPr>
              <w:t>4</w:t>
            </w:r>
          </w:p>
        </w:tc>
        <w:tc>
          <w:tcPr>
            <w:tcW w:w="1275" w:type="dxa"/>
            <w:tcBorders>
              <w:top w:val="single" w:sz="4" w:space="0" w:color="000000"/>
              <w:left w:val="single" w:sz="4" w:space="0" w:color="000000"/>
              <w:bottom w:val="single" w:sz="4" w:space="0" w:color="000000"/>
            </w:tcBorders>
            <w:shd w:val="clear" w:color="auto" w:fill="auto"/>
          </w:tcPr>
          <w:p w:rsidR="00FE7D55" w:rsidRPr="00BE086B" w:rsidRDefault="00FE7D55" w:rsidP="009B7450">
            <w:pPr>
              <w:pStyle w:val="af3"/>
              <w:snapToGrid w:val="0"/>
              <w:spacing w:before="0" w:after="0"/>
              <w:jc w:val="center"/>
              <w:rPr>
                <w:sz w:val="28"/>
                <w:szCs w:val="28"/>
                <w:lang w:val="uk-UA"/>
              </w:rPr>
            </w:pPr>
            <w:r w:rsidRPr="00BE086B">
              <w:rPr>
                <w:sz w:val="28"/>
                <w:szCs w:val="28"/>
                <w:lang w:val="uk-UA"/>
              </w:rPr>
              <w:t>5</w:t>
            </w:r>
          </w:p>
        </w:tc>
        <w:tc>
          <w:tcPr>
            <w:tcW w:w="1276" w:type="dxa"/>
            <w:tcBorders>
              <w:top w:val="single" w:sz="4" w:space="0" w:color="000000"/>
              <w:left w:val="single" w:sz="4" w:space="0" w:color="000000"/>
              <w:bottom w:val="single" w:sz="4" w:space="0" w:color="000000"/>
            </w:tcBorders>
            <w:shd w:val="clear" w:color="auto" w:fill="auto"/>
          </w:tcPr>
          <w:p w:rsidR="00FE7D55" w:rsidRPr="00BE086B" w:rsidRDefault="00FE7D55" w:rsidP="009B7450">
            <w:pPr>
              <w:pStyle w:val="af3"/>
              <w:snapToGrid w:val="0"/>
              <w:spacing w:before="0" w:after="0"/>
              <w:jc w:val="center"/>
              <w:rPr>
                <w:sz w:val="28"/>
                <w:szCs w:val="28"/>
                <w:lang w:val="uk-UA"/>
              </w:rPr>
            </w:pPr>
            <w:r w:rsidRPr="00BE086B">
              <w:rPr>
                <w:sz w:val="28"/>
                <w:szCs w:val="28"/>
                <w:lang w:val="uk-UA"/>
              </w:rPr>
              <w:t>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FE7D55" w:rsidRPr="00BE086B" w:rsidRDefault="00FE7D55" w:rsidP="009B7450">
            <w:pPr>
              <w:pStyle w:val="af3"/>
              <w:snapToGrid w:val="0"/>
              <w:spacing w:before="0" w:after="0"/>
              <w:jc w:val="center"/>
              <w:rPr>
                <w:sz w:val="28"/>
                <w:szCs w:val="28"/>
                <w:lang w:val="uk-UA"/>
              </w:rPr>
            </w:pPr>
            <w:r w:rsidRPr="00BE086B">
              <w:rPr>
                <w:sz w:val="28"/>
                <w:szCs w:val="28"/>
                <w:lang w:val="uk-UA"/>
              </w:rPr>
              <w:t>7</w:t>
            </w:r>
          </w:p>
        </w:tc>
      </w:tr>
      <w:tr w:rsidR="00AF418B" w:rsidRPr="00BE086B" w:rsidTr="00A7341E">
        <w:tc>
          <w:tcPr>
            <w:tcW w:w="269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AF418B" w:rsidRPr="00BE086B" w:rsidRDefault="00AF418B" w:rsidP="009B745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0,5</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±0,16</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0,22</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±0,13</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0,78</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±0,19</w:t>
            </w:r>
          </w:p>
        </w:tc>
        <w:tc>
          <w:tcPr>
            <w:tcW w:w="1275"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0,48</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±0,15</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0,3</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±0,16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0,7</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±0,22</w:t>
            </w:r>
          </w:p>
        </w:tc>
      </w:tr>
      <w:tr w:rsidR="00AF418B" w:rsidRPr="00BE086B" w:rsidTr="00A7341E">
        <w:tc>
          <w:tcPr>
            <w:tcW w:w="269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 група ЕГ + ЕОА (без «лікування») (n=10)</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49,52*</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±6,29</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22*</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±4,36</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72,8*</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±3,63</w:t>
            </w:r>
          </w:p>
        </w:tc>
        <w:tc>
          <w:tcPr>
            <w:tcW w:w="1275"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57,3*</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±4,37</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29,92*</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±2,29#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77,9*</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±3,44</w:t>
            </w:r>
          </w:p>
        </w:tc>
      </w:tr>
      <w:tr w:rsidR="00AF418B" w:rsidRPr="00BE086B" w:rsidTr="00A7341E">
        <w:tc>
          <w:tcPr>
            <w:tcW w:w="269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ІІ група ЕГ + ЕОА + L-тироксин (Т)</w:t>
            </w:r>
          </w:p>
          <w:p w:rsidR="00AF418B" w:rsidRPr="00BE086B" w:rsidRDefault="00AF418B" w:rsidP="009B745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1,5 мкг/кг (n=10)</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51,74*</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±6,67</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23,8*</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±3,96</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71,28*</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±3,32</w:t>
            </w:r>
          </w:p>
        </w:tc>
        <w:tc>
          <w:tcPr>
            <w:tcW w:w="1275"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50,4*</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±4,56</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22,9*/**</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±3,13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70,64*</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±3,02</w:t>
            </w:r>
          </w:p>
        </w:tc>
      </w:tr>
      <w:tr w:rsidR="00AF418B" w:rsidRPr="00BE086B" w:rsidTr="00A7341E">
        <w:tc>
          <w:tcPr>
            <w:tcW w:w="269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ІІІ група ЕГ + ЕОА + диклофенак натрію (Д) 10 мг/кг (n=10)</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50,52*</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±5,03</w:t>
            </w:r>
          </w:p>
        </w:tc>
        <w:tc>
          <w:tcPr>
            <w:tcW w:w="1134"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22,6*</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±3,85</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71,4*</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±4,04</w:t>
            </w:r>
          </w:p>
        </w:tc>
        <w:tc>
          <w:tcPr>
            <w:tcW w:w="1275"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32,2*/**</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±3,56#</w:t>
            </w:r>
          </w:p>
        </w:tc>
        <w:tc>
          <w:tcPr>
            <w:tcW w:w="1276" w:type="dxa"/>
            <w:tcBorders>
              <w:top w:val="single" w:sz="4" w:space="0" w:color="000000"/>
              <w:left w:val="single" w:sz="4" w:space="0" w:color="000000"/>
              <w:bottom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11,8*/**</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±2,59#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9B7450">
            <w:pPr>
              <w:pStyle w:val="af3"/>
              <w:snapToGrid w:val="0"/>
              <w:spacing w:before="0" w:after="0"/>
              <w:jc w:val="center"/>
              <w:rPr>
                <w:sz w:val="28"/>
                <w:szCs w:val="28"/>
                <w:lang w:val="uk-UA"/>
              </w:rPr>
            </w:pPr>
            <w:r w:rsidRPr="00BE086B">
              <w:rPr>
                <w:sz w:val="28"/>
                <w:szCs w:val="28"/>
                <w:lang w:val="uk-UA"/>
              </w:rPr>
              <w:t>50,6*/**</w:t>
            </w:r>
          </w:p>
          <w:p w:rsidR="00AF418B" w:rsidRPr="00BE086B" w:rsidRDefault="00AF418B" w:rsidP="009B7450">
            <w:pPr>
              <w:pStyle w:val="af3"/>
              <w:snapToGrid w:val="0"/>
              <w:spacing w:before="0" w:after="0"/>
              <w:jc w:val="center"/>
              <w:rPr>
                <w:sz w:val="28"/>
                <w:szCs w:val="28"/>
                <w:lang w:val="uk-UA"/>
              </w:rPr>
            </w:pPr>
            <w:r w:rsidRPr="00BE086B">
              <w:rPr>
                <w:sz w:val="28"/>
                <w:szCs w:val="28"/>
                <w:lang w:val="uk-UA"/>
              </w:rPr>
              <w:t>±3,05#</w:t>
            </w:r>
          </w:p>
        </w:tc>
      </w:tr>
    </w:tbl>
    <w:p w:rsidR="006D56B0" w:rsidRPr="00BE086B" w:rsidRDefault="006D56B0" w:rsidP="005316D2">
      <w:pPr>
        <w:pStyle w:val="western"/>
        <w:spacing w:before="0" w:after="0" w:line="360" w:lineRule="auto"/>
        <w:ind w:firstLine="709"/>
        <w:jc w:val="both"/>
        <w:rPr>
          <w:rFonts w:ascii="Times New Roman" w:hAnsi="Times New Roman" w:cs="Times New Roman"/>
          <w:b/>
          <w:color w:val="auto"/>
          <w:kern w:val="28"/>
          <w:sz w:val="28"/>
          <w:szCs w:val="28"/>
          <w:lang w:val="uk-UA"/>
        </w:rPr>
      </w:pPr>
    </w:p>
    <w:p w:rsidR="00AF27FE" w:rsidRDefault="00AF27FE" w:rsidP="006D56B0">
      <w:pPr>
        <w:pStyle w:val="af0"/>
        <w:spacing w:line="240" w:lineRule="auto"/>
        <w:jc w:val="right"/>
        <w:rPr>
          <w:i/>
          <w:sz w:val="28"/>
          <w:szCs w:val="28"/>
          <w:lang w:val="uk-UA"/>
        </w:rPr>
      </w:pPr>
    </w:p>
    <w:p w:rsidR="006D56B0" w:rsidRPr="00BE086B" w:rsidRDefault="006D56B0" w:rsidP="006D56B0">
      <w:pPr>
        <w:pStyle w:val="af0"/>
        <w:spacing w:line="240" w:lineRule="auto"/>
        <w:jc w:val="right"/>
        <w:rPr>
          <w:i/>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5.2</w:t>
      </w:r>
    </w:p>
    <w:tbl>
      <w:tblPr>
        <w:tblW w:w="10065" w:type="dxa"/>
        <w:tblInd w:w="-601" w:type="dxa"/>
        <w:tblLayout w:type="fixed"/>
        <w:tblLook w:val="0000" w:firstRow="0" w:lastRow="0" w:firstColumn="0" w:lastColumn="0" w:noHBand="0" w:noVBand="0"/>
      </w:tblPr>
      <w:tblGrid>
        <w:gridCol w:w="2836"/>
        <w:gridCol w:w="992"/>
        <w:gridCol w:w="1134"/>
        <w:gridCol w:w="1276"/>
        <w:gridCol w:w="1275"/>
        <w:gridCol w:w="1276"/>
        <w:gridCol w:w="1276"/>
      </w:tblGrid>
      <w:tr w:rsidR="00FE7D55" w:rsidRPr="00BE086B" w:rsidTr="00FE7D55">
        <w:tc>
          <w:tcPr>
            <w:tcW w:w="2836" w:type="dxa"/>
            <w:tcBorders>
              <w:top w:val="single" w:sz="4" w:space="0" w:color="000000"/>
              <w:left w:val="single" w:sz="4" w:space="0" w:color="000000"/>
              <w:bottom w:val="single" w:sz="4" w:space="0" w:color="000000"/>
            </w:tcBorders>
            <w:shd w:val="clear" w:color="auto" w:fill="auto"/>
          </w:tcPr>
          <w:p w:rsidR="00FE7D55" w:rsidRPr="00BE086B" w:rsidRDefault="00FE7D55"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992" w:type="dxa"/>
            <w:tcBorders>
              <w:top w:val="single" w:sz="4" w:space="0" w:color="000000"/>
              <w:left w:val="single" w:sz="4" w:space="0" w:color="000000"/>
              <w:bottom w:val="single" w:sz="4" w:space="0" w:color="000000"/>
            </w:tcBorders>
            <w:shd w:val="clear" w:color="auto" w:fill="auto"/>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2</w:t>
            </w:r>
          </w:p>
        </w:tc>
        <w:tc>
          <w:tcPr>
            <w:tcW w:w="1134" w:type="dxa"/>
            <w:tcBorders>
              <w:top w:val="single" w:sz="4" w:space="0" w:color="000000"/>
              <w:left w:val="single" w:sz="4" w:space="0" w:color="000000"/>
              <w:bottom w:val="single" w:sz="4" w:space="0" w:color="000000"/>
            </w:tcBorders>
            <w:shd w:val="clear" w:color="auto" w:fill="auto"/>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3</w:t>
            </w:r>
          </w:p>
        </w:tc>
        <w:tc>
          <w:tcPr>
            <w:tcW w:w="1276" w:type="dxa"/>
            <w:tcBorders>
              <w:top w:val="single" w:sz="4" w:space="0" w:color="000000"/>
              <w:left w:val="single" w:sz="4" w:space="0" w:color="000000"/>
              <w:bottom w:val="single" w:sz="4" w:space="0" w:color="000000"/>
            </w:tcBorders>
            <w:shd w:val="clear" w:color="auto" w:fill="auto"/>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4</w:t>
            </w:r>
          </w:p>
        </w:tc>
        <w:tc>
          <w:tcPr>
            <w:tcW w:w="1275" w:type="dxa"/>
            <w:tcBorders>
              <w:top w:val="single" w:sz="4" w:space="0" w:color="000000"/>
              <w:left w:val="single" w:sz="4" w:space="0" w:color="000000"/>
              <w:bottom w:val="single" w:sz="4" w:space="0" w:color="000000"/>
            </w:tcBorders>
            <w:shd w:val="clear" w:color="auto" w:fill="auto"/>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5</w:t>
            </w:r>
          </w:p>
        </w:tc>
        <w:tc>
          <w:tcPr>
            <w:tcW w:w="1276" w:type="dxa"/>
            <w:tcBorders>
              <w:top w:val="single" w:sz="4" w:space="0" w:color="000000"/>
              <w:left w:val="single" w:sz="4" w:space="0" w:color="000000"/>
              <w:bottom w:val="single" w:sz="4" w:space="0" w:color="000000"/>
            </w:tcBorders>
            <w:shd w:val="clear" w:color="auto" w:fill="auto"/>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FE7D55" w:rsidRPr="00BE086B" w:rsidRDefault="00FE7D55" w:rsidP="00335630">
            <w:pPr>
              <w:pStyle w:val="af3"/>
              <w:snapToGrid w:val="0"/>
              <w:spacing w:before="0" w:after="0"/>
              <w:jc w:val="center"/>
              <w:rPr>
                <w:sz w:val="28"/>
                <w:szCs w:val="28"/>
                <w:lang w:val="uk-UA"/>
              </w:rPr>
            </w:pPr>
            <w:r w:rsidRPr="00BE086B">
              <w:rPr>
                <w:sz w:val="28"/>
                <w:szCs w:val="28"/>
                <w:lang w:val="uk-UA"/>
              </w:rPr>
              <w:t>7</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ІV група ЕГ + ЕОА + диклофенак натрію (Д) + L-тироксин (Т)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50*</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±5,70</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23,3*</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±4,84</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70,26*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±5,94</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30*/**</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±3,24#</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10,6*/**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±2,51#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47,8*/**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±2,39#</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 група ЕГ + ЕОА + ібупрофен (І)</w:t>
            </w:r>
          </w:p>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 мг/кг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51,2*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±5,63</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22,4*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±4,72</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71,2*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±5,81</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36,8*/**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±3,11#</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15,2*/**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±2,59#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56,2*/**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±3,70#</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VІ група ЕГ + ЕОА + ібупрофен (І) + L-тироксин (Т)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49,4*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±6,02</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22,8*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±4,21</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72,6*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±6,19</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34,8*/**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±3,03#</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14*/**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±2,92#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54,2*/**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±3,70#</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VІІ група ЕГ + ЕОА + мелоксикам (Мел)</w:t>
            </w:r>
          </w:p>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 мг/кг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51,6*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±7,06</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22,2*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±3,96</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71,8*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±6,76</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41,2*/**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±2,59#</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17,6*/**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±2,41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60*/**</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±2,24#</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VІІІ група ЕГ + ЕОА + мелоксикам (Мел) + L-тироксин (Т)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50,2*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±6,53</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±4,16</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72,4*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±5,59</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39,8*/**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±2,39#</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16,4*/**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±2,79#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57*/**</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±2,24#</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ІХ група ЕГ + ЕОА + парацетамол (П)</w:t>
            </w:r>
          </w:p>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150 мг/кг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50,4*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±4,62</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±5,15</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±6,52</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±2,24</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±2,65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69,4*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±2,70</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Х група ЕГ + ЕОА + парацетамол (П) + L-тироксин (Т)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49,6*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±4,39</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23,1*</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±4,95</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70,6*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±4,16</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47,4*/**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±2,30</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20,6*/**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±2,88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68,2*/**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±2,59</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ХІ група ЕГ + ЕОА + німесулід (Н)</w:t>
            </w:r>
          </w:p>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80 мг/кг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50,28*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±4,35</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±4,72</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71,6*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±4,83</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41,8*/**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±2,59#</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17*/**</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±2,92#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59,6*/**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±2,41#</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ХІІ група ЕГ + ЕОА + німесулід (Н) + L-тироксин (Т)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50,6*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±5,46</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22,46*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±4,74</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72,1*</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±5,53</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39,6*/**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±2,61#</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16,2*/**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56,8*/**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±2,39#</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6D56B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ХІІІ група ЕГ + ЕОА + целекоксиб (Ц) 50 мг/кг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51,28*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±4,55</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22,88*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±4,55</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71,6*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±4,22</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45,8*/**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±2,77</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20,4*/**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±2,41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65,4*/**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±2,70</w:t>
            </w:r>
          </w:p>
        </w:tc>
      </w:tr>
      <w:tr w:rsidR="006D56B0" w:rsidRPr="00BE086B" w:rsidTr="00FE7D55">
        <w:tc>
          <w:tcPr>
            <w:tcW w:w="283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ХІV група ЕГ + ЕОА + целекоксиб (Ц) + L-тироксин (Т) (n=10)</w:t>
            </w:r>
          </w:p>
        </w:tc>
        <w:tc>
          <w:tcPr>
            <w:tcW w:w="992"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50,24*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±5,0</w:t>
            </w:r>
          </w:p>
        </w:tc>
        <w:tc>
          <w:tcPr>
            <w:tcW w:w="1134"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23,4*</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±5,41</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70,8*</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±6,1</w:t>
            </w:r>
          </w:p>
        </w:tc>
        <w:tc>
          <w:tcPr>
            <w:tcW w:w="1275"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43,6*/**</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±2,30</w:t>
            </w:r>
          </w:p>
        </w:tc>
        <w:tc>
          <w:tcPr>
            <w:tcW w:w="1276" w:type="dxa"/>
            <w:tcBorders>
              <w:top w:val="single" w:sz="4" w:space="0" w:color="000000"/>
              <w:left w:val="single" w:sz="4" w:space="0" w:color="000000"/>
              <w:bottom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19,2*/**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±2,59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D56B0" w:rsidRPr="00BE086B" w:rsidRDefault="006D56B0" w:rsidP="00335630">
            <w:pPr>
              <w:pStyle w:val="af3"/>
              <w:snapToGrid w:val="0"/>
              <w:spacing w:before="0" w:after="0"/>
              <w:jc w:val="center"/>
              <w:rPr>
                <w:sz w:val="28"/>
                <w:szCs w:val="28"/>
                <w:lang w:val="uk-UA"/>
              </w:rPr>
            </w:pPr>
            <w:r w:rsidRPr="00BE086B">
              <w:rPr>
                <w:sz w:val="28"/>
                <w:szCs w:val="28"/>
                <w:lang w:val="uk-UA"/>
              </w:rPr>
              <w:t>64,2*/**</w:t>
            </w:r>
          </w:p>
          <w:p w:rsidR="006D56B0" w:rsidRPr="00BE086B" w:rsidRDefault="006D56B0" w:rsidP="00335630">
            <w:pPr>
              <w:pStyle w:val="af3"/>
              <w:snapToGrid w:val="0"/>
              <w:spacing w:before="0" w:after="0"/>
              <w:jc w:val="center"/>
              <w:rPr>
                <w:sz w:val="28"/>
                <w:szCs w:val="28"/>
                <w:lang w:val="uk-UA"/>
              </w:rPr>
            </w:pPr>
            <w:r w:rsidRPr="00BE086B">
              <w:rPr>
                <w:sz w:val="28"/>
                <w:szCs w:val="28"/>
                <w:lang w:val="uk-UA"/>
              </w:rPr>
              <w:t>±2,77</w:t>
            </w:r>
          </w:p>
        </w:tc>
      </w:tr>
    </w:tbl>
    <w:p w:rsidR="00AF418B" w:rsidRPr="00BE086B" w:rsidRDefault="00AF418B" w:rsidP="005316D2">
      <w:pPr>
        <w:pStyle w:val="western"/>
        <w:spacing w:before="0"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b/>
          <w:color w:val="auto"/>
          <w:kern w:val="28"/>
          <w:sz w:val="28"/>
          <w:szCs w:val="28"/>
          <w:lang w:val="uk-UA"/>
        </w:rPr>
        <w:t>Примітки:</w:t>
      </w:r>
      <w:r w:rsidRPr="00BE086B">
        <w:rPr>
          <w:rFonts w:ascii="Times New Roman" w:hAnsi="Times New Roman" w:cs="Times New Roman"/>
          <w:color w:val="auto"/>
          <w:kern w:val="28"/>
          <w:sz w:val="28"/>
          <w:szCs w:val="28"/>
          <w:lang w:val="uk-UA"/>
        </w:rPr>
        <w:t xml:space="preserve"> * - значення </w:t>
      </w:r>
      <w:r w:rsidR="00DE3CE9"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xml:space="preserve">достовірні </w:t>
      </w:r>
      <w:r w:rsidR="00DE3CE9"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(р &lt; 0,05) по відношенню до ІЩ;</w:t>
      </w:r>
      <w:r w:rsidR="006D56B0"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 значення достовірні (р &lt; 0,05) по відношенню до І групи (ЕГ + ЕОА - без «лікування»);</w:t>
      </w:r>
      <w:r w:rsidR="006D56B0"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 значення достовірні (р &lt; 0,05) по відношенню до 42 доби в середині групи.</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У табл. 5.2 та на рис. 5.5-5.6 висвітлені зміни рівня ММП-3, ММП-9 та ММП-13 у сироватці крові щурів під впливом призначення НПЗЗ, парацетамолу та L-тироксину. Так, у ІІІ групі ЕГ + ЕОА + диклофенак натрію визначено на 47 добу експерименту достовірне зниження рівнів ММП-3, ММП-9 та ММП-13 у 1,57; 1,9 та 1,4 рази відповідно (р &lt; 0,05). При сумісному призначенні диклофенаку натрію з L-тироксином (ІV група) на 47 добу на фоні експериментальних патологій визначено достовірне зниження рівнів ММП-3, ММП-9 та ММП-13 у 1,67; 2,2 та 1,47 рази відповідно (р &lt; 0,05) (рис. 5.5).</w:t>
      </w:r>
    </w:p>
    <w:p w:rsidR="00AF418B" w:rsidRPr="00BE086B" w:rsidRDefault="009B135A" w:rsidP="003446DD">
      <w:pPr>
        <w:pStyle w:val="WW-"/>
        <w:spacing w:after="0" w:line="360" w:lineRule="auto"/>
        <w:jc w:val="center"/>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drawing>
          <wp:inline distT="0" distB="0" distL="0" distR="0">
            <wp:extent cx="5943600" cy="34488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5.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3448800"/>
                    </a:xfrm>
                    <a:prstGeom prst="rect">
                      <a:avLst/>
                    </a:prstGeom>
                  </pic:spPr>
                </pic:pic>
              </a:graphicData>
            </a:graphic>
          </wp:inline>
        </w:drawing>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b/>
          <w:noProof/>
          <w:color w:val="auto"/>
          <w:sz w:val="28"/>
          <w:szCs w:val="28"/>
          <w:lang w:val="uk-UA" w:eastAsia="ru-RU"/>
        </w:rPr>
        <w:t>Рис. 5.5.</w:t>
      </w:r>
      <w:r w:rsidRPr="00BE086B">
        <w:rPr>
          <w:rFonts w:ascii="Times New Roman" w:hAnsi="Times New Roman" w:cs="Times New Roman"/>
          <w:noProof/>
          <w:color w:val="auto"/>
          <w:sz w:val="28"/>
          <w:szCs w:val="28"/>
          <w:lang w:val="uk-UA" w:eastAsia="ru-RU"/>
        </w:rPr>
        <w:t xml:space="preserve"> Зміни рівнів матриксних металопротеїназ 3, 9 та 13 у сироватці крові щурів груп дослідження без застосування L-тироксину</w:t>
      </w:r>
      <w:r w:rsidRPr="00BE086B">
        <w:rPr>
          <w:rFonts w:ascii="Times New Roman" w:hAnsi="Times New Roman" w:cs="Times New Roman"/>
          <w:color w:val="auto"/>
          <w:sz w:val="28"/>
          <w:szCs w:val="28"/>
          <w:lang w:val="uk-UA"/>
        </w:rPr>
        <w:t xml:space="preserve"> </w:t>
      </w:r>
      <w:r w:rsidRPr="00BE086B">
        <w:rPr>
          <w:rFonts w:ascii="Times New Roman" w:hAnsi="Times New Roman" w:cs="Times New Roman"/>
          <w:noProof/>
          <w:color w:val="auto"/>
          <w:sz w:val="28"/>
          <w:szCs w:val="28"/>
          <w:lang w:val="uk-UA" w:eastAsia="ru-RU"/>
        </w:rPr>
        <w:t>на 47 добу експерименту (%</w:t>
      </w:r>
      <w:r w:rsidRPr="00BE086B">
        <w:rPr>
          <w:rFonts w:ascii="Times New Roman" w:hAnsi="Times New Roman" w:cs="Times New Roman"/>
          <w:color w:val="auto"/>
          <w:sz w:val="28"/>
          <w:szCs w:val="28"/>
          <w:lang w:val="uk-UA"/>
        </w:rPr>
        <w:t xml:space="preserve"> змін показника відносно 42 доби).</w:t>
      </w:r>
    </w:p>
    <w:p w:rsidR="00AF418B" w:rsidRPr="00BE086B" w:rsidRDefault="00AF418B" w:rsidP="005316D2">
      <w:pPr>
        <w:spacing w:line="360" w:lineRule="auto"/>
        <w:ind w:firstLine="709"/>
        <w:jc w:val="both"/>
        <w:rPr>
          <w:sz w:val="28"/>
          <w:szCs w:val="28"/>
          <w:lang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42 доби у відповідній групі</w:t>
      </w:r>
      <w:r w:rsidRPr="00BE086B">
        <w:rPr>
          <w:sz w:val="28"/>
          <w:szCs w:val="28"/>
          <w:lang w:eastAsia="ru-RU"/>
        </w:rPr>
        <w:t>.</w:t>
      </w:r>
    </w:p>
    <w:p w:rsidR="00AF418B" w:rsidRPr="00BE086B" w:rsidRDefault="00AF418B" w:rsidP="005316D2">
      <w:pPr>
        <w:spacing w:line="360" w:lineRule="auto"/>
        <w:ind w:firstLine="709"/>
        <w:jc w:val="both"/>
        <w:rPr>
          <w:sz w:val="28"/>
          <w:szCs w:val="28"/>
          <w:lang w:eastAsia="ru-RU"/>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 призначенні ібупрофену (V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на 47 добу визначено достовірне зниження рівнів ММП-3, ММП-9 та ММП-13 у 1,39; 1,47 та 1,27 рази відповідно (р &lt; 0,05). Сумісне призначення ібупрофену та L-</w:t>
      </w:r>
      <w:r w:rsidRPr="00BE086B">
        <w:rPr>
          <w:rFonts w:ascii="Times New Roman" w:hAnsi="Times New Roman" w:cs="Times New Roman"/>
          <w:color w:val="auto"/>
          <w:sz w:val="28"/>
          <w:szCs w:val="28"/>
          <w:lang w:val="uk-UA"/>
        </w:rPr>
        <w:lastRenderedPageBreak/>
        <w:t>тироксину (VІ група) на 47 добу виявило достовірне зниження рівнів ММП-3, ММП-9 та ММП-13 у 1,42; 1,63 та 1,34 рази відповідно (р &lt; 0,05)</w:t>
      </w:r>
      <w:r w:rsidR="00711BB4" w:rsidRPr="00BE086B">
        <w:rPr>
          <w:rFonts w:ascii="Times New Roman" w:hAnsi="Times New Roman" w:cs="Times New Roman"/>
          <w:color w:val="auto"/>
          <w:sz w:val="28"/>
          <w:szCs w:val="28"/>
          <w:lang w:val="uk-UA"/>
        </w:rPr>
        <w:t xml:space="preserve"> (рис. 5.5-5.6)</w:t>
      </w:r>
      <w:r w:rsidRPr="00BE086B">
        <w:rPr>
          <w:rFonts w:ascii="Times New Roman" w:hAnsi="Times New Roman" w:cs="Times New Roman"/>
          <w:color w:val="auto"/>
          <w:sz w:val="28"/>
          <w:szCs w:val="28"/>
          <w:lang w:val="uk-UA"/>
        </w:rPr>
        <w:t>.</w:t>
      </w:r>
    </w:p>
    <w:p w:rsidR="00AF418B" w:rsidRPr="00BE086B" w:rsidRDefault="009B135A" w:rsidP="006D2F9B">
      <w:pPr>
        <w:pStyle w:val="WW-"/>
        <w:spacing w:after="0" w:line="360" w:lineRule="auto"/>
        <w:jc w:val="center"/>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drawing>
          <wp:inline distT="0" distB="0" distL="0" distR="0">
            <wp:extent cx="5943600" cy="3438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6.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3438000"/>
                    </a:xfrm>
                    <a:prstGeom prst="rect">
                      <a:avLst/>
                    </a:prstGeom>
                  </pic:spPr>
                </pic:pic>
              </a:graphicData>
            </a:graphic>
          </wp:inline>
        </w:drawing>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b/>
          <w:noProof/>
          <w:color w:val="auto"/>
          <w:sz w:val="28"/>
          <w:szCs w:val="28"/>
          <w:lang w:val="uk-UA" w:eastAsia="ru-RU"/>
        </w:rPr>
        <w:t>Рис. 5.6.</w:t>
      </w:r>
      <w:r w:rsidRPr="00BE086B">
        <w:rPr>
          <w:rFonts w:ascii="Times New Roman" w:hAnsi="Times New Roman" w:cs="Times New Roman"/>
          <w:noProof/>
          <w:color w:val="auto"/>
          <w:sz w:val="28"/>
          <w:szCs w:val="28"/>
          <w:lang w:val="uk-UA" w:eastAsia="ru-RU"/>
        </w:rPr>
        <w:t xml:space="preserve"> Зміни рівнів матриксних металопротеїназ 3, 9 та 13 у сироватці крові щурів груп дослідження на тлі терапії L-тироксином на 47 добу експерименту (%</w:t>
      </w:r>
      <w:r w:rsidRPr="00BE086B">
        <w:rPr>
          <w:rFonts w:ascii="Times New Roman" w:hAnsi="Times New Roman" w:cs="Times New Roman"/>
          <w:color w:val="auto"/>
          <w:sz w:val="28"/>
          <w:szCs w:val="28"/>
          <w:lang w:val="uk-UA"/>
        </w:rPr>
        <w:t xml:space="preserve"> змін показника відносно 42 доби).</w:t>
      </w:r>
    </w:p>
    <w:p w:rsidR="00AF418B" w:rsidRPr="00BE086B" w:rsidRDefault="00AF418B" w:rsidP="005316D2">
      <w:pPr>
        <w:spacing w:line="360" w:lineRule="auto"/>
        <w:ind w:firstLine="709"/>
        <w:jc w:val="both"/>
        <w:rPr>
          <w:sz w:val="28"/>
          <w:szCs w:val="28"/>
          <w:lang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42 доби у відповідній групі</w:t>
      </w:r>
      <w:r w:rsidRPr="00BE086B">
        <w:rPr>
          <w:sz w:val="28"/>
          <w:szCs w:val="28"/>
          <w:lang w:eastAsia="ru-RU"/>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rPr>
      </w:pPr>
    </w:p>
    <w:p w:rsidR="00AF418B" w:rsidRPr="00BE086B" w:rsidRDefault="00AF418B" w:rsidP="005316D2">
      <w:pPr>
        <w:spacing w:line="360" w:lineRule="auto"/>
        <w:ind w:firstLine="709"/>
        <w:jc w:val="both"/>
        <w:rPr>
          <w:sz w:val="28"/>
          <w:szCs w:val="28"/>
          <w:lang w:val="uk-UA"/>
        </w:rPr>
      </w:pPr>
      <w:r w:rsidRPr="00BE086B">
        <w:rPr>
          <w:sz w:val="28"/>
          <w:szCs w:val="28"/>
          <w:lang w:val="uk-UA"/>
        </w:rPr>
        <w:t xml:space="preserve">У VІІ групі ЕГ + ЕОА </w:t>
      </w:r>
      <w:r w:rsidRPr="00BE086B">
        <w:rPr>
          <w:sz w:val="28"/>
          <w:szCs w:val="28"/>
        </w:rPr>
        <w:t xml:space="preserve">+ </w:t>
      </w:r>
      <w:r w:rsidRPr="00BE086B">
        <w:rPr>
          <w:sz w:val="28"/>
          <w:szCs w:val="28"/>
          <w:lang w:val="uk-UA"/>
        </w:rPr>
        <w:t xml:space="preserve">мелоксикам на 47 добу визначено достовірне зниження рівнів ММП-3, ММП-9 та ММП-13 у 1,25; 1,26 та 1,2 рази відповідно (р &lt; 0,05). У VІІІ групі ЕГ + ЕОА </w:t>
      </w:r>
      <w:r w:rsidRPr="00BE086B">
        <w:rPr>
          <w:sz w:val="28"/>
          <w:szCs w:val="28"/>
        </w:rPr>
        <w:t xml:space="preserve">+ </w:t>
      </w:r>
      <w:r w:rsidRPr="00BE086B">
        <w:rPr>
          <w:sz w:val="28"/>
          <w:szCs w:val="28"/>
          <w:lang w:val="uk-UA"/>
        </w:rPr>
        <w:t>мелоксикам + L-тироксин на 47 добу визначено достовірне зниження рівнів ММП-3, ММП-9 та ММП-13 у 1,26; 1,41 та 1,27 рази відповідно (р &lt; 0,05)</w:t>
      </w:r>
      <w:r w:rsidR="00711BB4" w:rsidRPr="00BE086B">
        <w:rPr>
          <w:sz w:val="28"/>
          <w:szCs w:val="28"/>
          <w:lang w:val="uk-UA"/>
        </w:rPr>
        <w:t xml:space="preserve"> (рис. 5.5-5.6)</w:t>
      </w:r>
      <w:r w:rsidRPr="00BE086B">
        <w:rPr>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Призначення парацетамолу (ІХ група ЕГ + ЕОА + парацетамол) на 47 добу призвело до достовірного зниження рівнів ММП-3 та ММП-13 у 1,05 та 1,04 рази відповідно (р &lt; 0,05) та на рівень ММП-9 впливу не виявлено (р &lt; 0,05). При сумісному призначені з L-тироксином (Х група ЕГ + ЕОА + </w:t>
      </w:r>
      <w:r w:rsidRPr="00BE086B">
        <w:rPr>
          <w:rFonts w:ascii="Times New Roman" w:hAnsi="Times New Roman" w:cs="Times New Roman"/>
          <w:color w:val="auto"/>
          <w:sz w:val="28"/>
          <w:szCs w:val="28"/>
          <w:lang w:val="uk-UA"/>
        </w:rPr>
        <w:lastRenderedPageBreak/>
        <w:t>парацетамол +L-тироксин) визначено достовірне зниження рівнів ММП-3, ММП-9 та ММП-13 у 1,05; 1,12 та 1,03 рази відповідно (р &lt; 0,05)</w:t>
      </w:r>
      <w:r w:rsidR="00711BB4" w:rsidRPr="00BE086B">
        <w:rPr>
          <w:rFonts w:ascii="Times New Roman" w:hAnsi="Times New Roman" w:cs="Times New Roman"/>
          <w:color w:val="auto"/>
          <w:sz w:val="28"/>
          <w:szCs w:val="28"/>
          <w:lang w:val="uk-UA"/>
        </w:rPr>
        <w:t xml:space="preserve"> (рис. 5.5-5.6)</w:t>
      </w:r>
      <w:r w:rsidRPr="00BE086B">
        <w:rPr>
          <w:rFonts w:ascii="Times New Roman" w:hAnsi="Times New Roman" w:cs="Times New Roman"/>
          <w:color w:val="auto"/>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ХІ групі ЕГ + ЕОА + німесулід на 47 добу експерименту визначено достовірне зниження рівнів ММП-3, ММП-9 та ММП-13 у 1,2; 1,39 та 1,2 рази відповідно (р &lt; 0,05). При призначені німесуліду та L-тироксину (ХІІ група ЕГ + ЕОА + німесулід +L-тироксин) визначено достовірне зниження рівнів ММП-3, ММП-9 та ММП-13 у 1,28; 1,39 та 1,27 рази відповідно (р &lt; 0,05)</w:t>
      </w:r>
      <w:r w:rsidR="00711BB4" w:rsidRPr="00BE086B">
        <w:rPr>
          <w:rFonts w:ascii="Times New Roman" w:hAnsi="Times New Roman" w:cs="Times New Roman"/>
          <w:color w:val="auto"/>
          <w:sz w:val="28"/>
          <w:szCs w:val="28"/>
          <w:lang w:val="uk-UA"/>
        </w:rPr>
        <w:t xml:space="preserve"> (рис. 5.5-5.6)</w:t>
      </w:r>
      <w:r w:rsidRPr="00BE086B">
        <w:rPr>
          <w:rFonts w:ascii="Times New Roman" w:hAnsi="Times New Roman" w:cs="Times New Roman"/>
          <w:color w:val="auto"/>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Призначення целекоксибу (ХІІІ група ЕГ + ЕОА + целекоксиб) визначило достовірне зниження рівнів ММП-3, ММП-9 та ММП-13 у 1,12; 1,12 та 1,09 рази відповідно (р &lt; 0,05). При призначені целекоксибу та L-тироксину (ХІV група ЕГ + ЕОА + целекоксиб +L-тироксин) визначено достовірне зниження рівнів ММП-3, ММП-9 та ММП-13 у 1,15; 1,22 та 1,1 рази відповідно (р &lt; 0,05)</w:t>
      </w:r>
      <w:r w:rsidR="00711BB4" w:rsidRPr="00BE086B">
        <w:rPr>
          <w:rFonts w:ascii="Times New Roman" w:hAnsi="Times New Roman" w:cs="Times New Roman"/>
          <w:color w:val="auto"/>
          <w:sz w:val="28"/>
          <w:szCs w:val="28"/>
          <w:lang w:val="uk-UA"/>
        </w:rPr>
        <w:t xml:space="preserve"> (рис. 5.5-5.6)</w:t>
      </w:r>
      <w:r w:rsidRPr="00BE086B">
        <w:rPr>
          <w:rFonts w:ascii="Times New Roman" w:hAnsi="Times New Roman" w:cs="Times New Roman"/>
          <w:color w:val="auto"/>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підставі отриманих даних встановлено, що у групах експериментальних тварин, які отримували ЛЗ сумісно з L-тироксином, визначено більше зниження рівнів ММП-3, ММП-9 та ММП-13 ніж при монотерапії (рис. 5.7-5.9).</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Проте, звертає увагу парацетамол, який при монотерапії не впливав на рівень ММП-9 (р &lt; 0,05) на 47 добу експерименту (ІХ група), а при сумісному призначені з L-тироксином (Х група) зменшив рівень ММП-9 у 1,12 рази (р &gt; 0,05) та не змінив рівень ММП-3 та ММП-13 (р &gt; 0,05) при порівнянні відповідних показників у ІХ групі (табл. 5.2, рис. 5.5-5.6).</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Так, при сумісному призначені диклофенаку натрію з L-тироксином (ІV група) на 47 добу на фоні експериментальних патологій визначено достовірне зниження рівнів ММП-3, ММП-9 та ММП-13 у 1,67; 2,2 та 1,47 рази відповідно (р &lt; 0,05) (рис. 5.7).</w:t>
      </w:r>
    </w:p>
    <w:p w:rsidR="00AF418B" w:rsidRPr="00BE086B" w:rsidRDefault="009B135A" w:rsidP="00A1657B">
      <w:pPr>
        <w:pStyle w:val="WW-"/>
        <w:spacing w:after="0" w:line="360" w:lineRule="auto"/>
        <w:jc w:val="center"/>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lastRenderedPageBreak/>
        <w:drawing>
          <wp:inline distT="0" distB="0" distL="0" distR="0">
            <wp:extent cx="5614988" cy="3109913"/>
            <wp:effectExtent l="0" t="0" r="508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7.jpg"/>
                    <pic:cNvPicPr/>
                  </pic:nvPicPr>
                  <pic:blipFill>
                    <a:blip r:embed="rId34">
                      <a:extLst>
                        <a:ext uri="{28A0092B-C50C-407E-A947-70E740481C1C}">
                          <a14:useLocalDpi xmlns:a14="http://schemas.microsoft.com/office/drawing/2010/main" val="0"/>
                        </a:ext>
                      </a:extLst>
                    </a:blip>
                    <a:stretch>
                      <a:fillRect/>
                    </a:stretch>
                  </pic:blipFill>
                  <pic:spPr>
                    <a:xfrm>
                      <a:off x="0" y="0"/>
                      <a:ext cx="5614988" cy="3109913"/>
                    </a:xfrm>
                    <a:prstGeom prst="rect">
                      <a:avLst/>
                    </a:prstGeom>
                  </pic:spPr>
                </pic:pic>
              </a:graphicData>
            </a:graphic>
          </wp:inline>
        </w:drawing>
      </w:r>
    </w:p>
    <w:p w:rsidR="00AF418B" w:rsidRPr="00BE086B" w:rsidRDefault="00AF418B" w:rsidP="005316D2">
      <w:pPr>
        <w:spacing w:line="360" w:lineRule="auto"/>
        <w:ind w:firstLine="709"/>
        <w:jc w:val="both"/>
        <w:rPr>
          <w:sz w:val="28"/>
          <w:szCs w:val="28"/>
        </w:rPr>
      </w:pPr>
      <w:r w:rsidRPr="00BE086B">
        <w:rPr>
          <w:b/>
          <w:noProof/>
          <w:sz w:val="28"/>
          <w:szCs w:val="28"/>
          <w:lang w:val="uk-UA" w:eastAsia="ru-RU"/>
        </w:rPr>
        <w:t>Рис. 5.7.</w:t>
      </w:r>
      <w:r w:rsidRPr="00BE086B">
        <w:rPr>
          <w:noProof/>
          <w:sz w:val="28"/>
          <w:szCs w:val="28"/>
          <w:lang w:val="uk-UA" w:eastAsia="ru-RU"/>
        </w:rPr>
        <w:t xml:space="preserve"> Зміни рівнів матриксних металопротеїназ 3 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p>
    <w:p w:rsidR="00AF418B" w:rsidRPr="00BE086B" w:rsidRDefault="00AF418B" w:rsidP="005316D2">
      <w:pPr>
        <w:spacing w:line="360" w:lineRule="auto"/>
        <w:ind w:firstLine="709"/>
        <w:jc w:val="both"/>
        <w:rPr>
          <w:sz w:val="28"/>
          <w:szCs w:val="28"/>
          <w:lang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 ЕОА)</w:t>
      </w:r>
      <w:r w:rsidRPr="00BE086B">
        <w:rPr>
          <w:sz w:val="28"/>
          <w:szCs w:val="28"/>
          <w:lang w:eastAsia="ru-RU"/>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Сумісне призначення ібупрофену та L-тироксину (VІ група) на 47 добу виявило достовірне зниження рівнів ММП-3, ММП-9 та ММП-13 у 1,42; 1,63 та 1,34 рази відповідно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 L-тироксин на 47 добу визначено достовірне зниження рівнів ММП-3, ММП-9 та ММП-13 у 1,26; 1,41 та 1,27 рази відповідно (р &lt; 0,05). При призначені німесуліду та L-тироксину (ХІІ група ЕГ + ЕОА + німесулід + L-тироксин) визначено достовірне зниження рівнів ММП-3, ММП-9 та ММП-13 у 1,28; 1,39 та 1,27 рази відповідно (р &lt; 0,05). При призначені целекоксибу та L-тироксину (ХІV група ЕГ + ЕОА + целекоксиб +L-тироксин) визначено достовірне зниження рівнів ММП-3, ММП-9 та ММП-13 у 1,15; 1,22 та 1,1 рази відповідно (р &lt; 0,05)</w:t>
      </w:r>
      <w:r w:rsidR="00711BB4" w:rsidRPr="00BE086B">
        <w:rPr>
          <w:rFonts w:ascii="Times New Roman" w:hAnsi="Times New Roman" w:cs="Times New Roman"/>
          <w:color w:val="auto"/>
          <w:sz w:val="28"/>
          <w:szCs w:val="28"/>
          <w:lang w:val="uk-UA"/>
        </w:rPr>
        <w:t xml:space="preserve"> (рис. 5.7-5.9)</w:t>
      </w:r>
      <w:r w:rsidRPr="00BE086B">
        <w:rPr>
          <w:rFonts w:ascii="Times New Roman" w:hAnsi="Times New Roman" w:cs="Times New Roman"/>
          <w:color w:val="auto"/>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Таким чином, на підставі отриманих даних встановлено, що у групах експериментальних тварин, які отримували ЛЗ сумісно з L-тироксином </w:t>
      </w:r>
      <w:r w:rsidRPr="00BE086B">
        <w:rPr>
          <w:rFonts w:ascii="Times New Roman" w:hAnsi="Times New Roman" w:cs="Times New Roman"/>
          <w:color w:val="auto"/>
          <w:sz w:val="28"/>
          <w:szCs w:val="28"/>
          <w:lang w:val="uk-UA"/>
        </w:rPr>
        <w:lastRenderedPageBreak/>
        <w:t>визначено більше зниження рівнів ММП-3, ММП-9 та ММП-13 ніж при монотерапії, що свідчить про доцільність доповнення фармакотерапії експериментальних патологічних станів L-тироксином [127].</w:t>
      </w:r>
    </w:p>
    <w:p w:rsidR="00AF418B" w:rsidRPr="00BE086B" w:rsidRDefault="009B135A" w:rsidP="00206017">
      <w:pPr>
        <w:pStyle w:val="WW-"/>
        <w:spacing w:after="0" w:line="360" w:lineRule="auto"/>
        <w:jc w:val="both"/>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drawing>
          <wp:inline distT="0" distB="0" distL="0" distR="0">
            <wp:extent cx="5662613" cy="345281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8.jpg"/>
                    <pic:cNvPicPr/>
                  </pic:nvPicPr>
                  <pic:blipFill>
                    <a:blip r:embed="rId35">
                      <a:extLst>
                        <a:ext uri="{28A0092B-C50C-407E-A947-70E740481C1C}">
                          <a14:useLocalDpi xmlns:a14="http://schemas.microsoft.com/office/drawing/2010/main" val="0"/>
                        </a:ext>
                      </a:extLst>
                    </a:blip>
                    <a:stretch>
                      <a:fillRect/>
                    </a:stretch>
                  </pic:blipFill>
                  <pic:spPr>
                    <a:xfrm>
                      <a:off x="0" y="0"/>
                      <a:ext cx="5662613" cy="3452813"/>
                    </a:xfrm>
                    <a:prstGeom prst="rect">
                      <a:avLst/>
                    </a:prstGeom>
                  </pic:spPr>
                </pic:pic>
              </a:graphicData>
            </a:graphic>
          </wp:inline>
        </w:drawing>
      </w:r>
    </w:p>
    <w:p w:rsidR="00AF418B" w:rsidRPr="00BE086B" w:rsidRDefault="00AF418B" w:rsidP="005316D2">
      <w:pPr>
        <w:pStyle w:val="WW-"/>
        <w:spacing w:after="0" w:line="360" w:lineRule="auto"/>
        <w:ind w:firstLine="709"/>
        <w:jc w:val="both"/>
        <w:rPr>
          <w:rFonts w:ascii="Times New Roman" w:eastAsia="Times New Roman" w:hAnsi="Times New Roman" w:cs="Times New Roman"/>
          <w:bCs/>
          <w:color w:val="auto"/>
          <w:sz w:val="28"/>
          <w:szCs w:val="28"/>
        </w:rPr>
      </w:pPr>
      <w:r w:rsidRPr="00BE086B">
        <w:rPr>
          <w:rFonts w:ascii="Times New Roman" w:hAnsi="Times New Roman" w:cs="Times New Roman"/>
          <w:b/>
          <w:noProof/>
          <w:color w:val="auto"/>
          <w:sz w:val="28"/>
          <w:szCs w:val="28"/>
          <w:lang w:val="uk-UA" w:eastAsia="ru-RU"/>
        </w:rPr>
        <w:t>Рис. 5.8.</w:t>
      </w:r>
      <w:r w:rsidRPr="00BE086B">
        <w:rPr>
          <w:rFonts w:ascii="Times New Roman" w:hAnsi="Times New Roman" w:cs="Times New Roman"/>
          <w:noProof/>
          <w:color w:val="auto"/>
          <w:sz w:val="28"/>
          <w:szCs w:val="28"/>
          <w:lang w:val="uk-UA" w:eastAsia="ru-RU"/>
        </w:rPr>
        <w:t xml:space="preserve"> Зміни рівнів матриксних металопротеїназ 9 у сироватці крові щурів </w:t>
      </w:r>
      <w:r w:rsidRPr="00BE086B">
        <w:rPr>
          <w:rFonts w:ascii="Times New Roman" w:hAnsi="Times New Roman" w:cs="Times New Roman"/>
          <w:color w:val="auto"/>
          <w:sz w:val="28"/>
          <w:szCs w:val="28"/>
          <w:lang w:val="uk-UA"/>
        </w:rPr>
        <w:t xml:space="preserve">груп дослідження на 47 добу експерименту </w:t>
      </w:r>
      <w:r w:rsidRPr="00BE086B">
        <w:rPr>
          <w:rFonts w:ascii="Times New Roman" w:eastAsia="Times New Roman" w:hAnsi="Times New Roman" w:cs="Times New Roman"/>
          <w:bCs/>
          <w:color w:val="auto"/>
          <w:sz w:val="28"/>
          <w:szCs w:val="28"/>
        </w:rPr>
        <w:t xml:space="preserve">відносно групи активного контролю </w:t>
      </w:r>
      <w:r w:rsidRPr="00BE086B">
        <w:rPr>
          <w:rFonts w:ascii="Times New Roman" w:eastAsia="Calibri" w:hAnsi="Times New Roman" w:cs="Times New Roman"/>
          <w:iCs/>
          <w:color w:val="auto"/>
          <w:sz w:val="28"/>
          <w:szCs w:val="28"/>
          <w:lang w:eastAsia="en-US"/>
        </w:rPr>
        <w:t>(</w:t>
      </w:r>
      <w:r w:rsidRPr="00BE086B">
        <w:rPr>
          <w:rFonts w:ascii="Times New Roman" w:hAnsi="Times New Roman" w:cs="Times New Roman"/>
          <w:color w:val="auto"/>
          <w:sz w:val="28"/>
          <w:szCs w:val="28"/>
        </w:rPr>
        <w:t xml:space="preserve">І група </w:t>
      </w:r>
      <w:r w:rsidRPr="00BE086B">
        <w:rPr>
          <w:rFonts w:ascii="Times New Roman" w:hAnsi="Times New Roman" w:cs="Times New Roman"/>
          <w:color w:val="auto"/>
          <w:sz w:val="28"/>
          <w:szCs w:val="28"/>
          <w:lang w:val="uk-UA"/>
        </w:rPr>
        <w:t xml:space="preserve">ЕГ + </w:t>
      </w:r>
      <w:r w:rsidRPr="00BE086B">
        <w:rPr>
          <w:rFonts w:ascii="Times New Roman" w:hAnsi="Times New Roman" w:cs="Times New Roman"/>
          <w:color w:val="auto"/>
          <w:sz w:val="28"/>
          <w:szCs w:val="28"/>
        </w:rPr>
        <w:t>ЕОА)</w:t>
      </w:r>
      <w:r w:rsidRPr="00BE086B">
        <w:rPr>
          <w:rFonts w:ascii="Times New Roman" w:eastAsia="Times New Roman" w:hAnsi="Times New Roman" w:cs="Times New Roman"/>
          <w:bCs/>
          <w:color w:val="auto"/>
          <w:sz w:val="28"/>
          <w:szCs w:val="28"/>
        </w:rPr>
        <w:t>.</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eastAsia="ru-RU"/>
        </w:rPr>
      </w:pPr>
      <w:r w:rsidRPr="00BE086B">
        <w:rPr>
          <w:rFonts w:ascii="Times New Roman" w:hAnsi="Times New Roman" w:cs="Times New Roman"/>
          <w:b/>
          <w:color w:val="auto"/>
          <w:sz w:val="28"/>
          <w:szCs w:val="28"/>
          <w:lang w:val="uk-UA"/>
        </w:rPr>
        <w:t xml:space="preserve">Примітка. </w:t>
      </w:r>
      <w:r w:rsidRPr="00BE086B">
        <w:rPr>
          <w:rFonts w:ascii="Times New Roman" w:hAnsi="Times New Roman" w:cs="Times New Roman"/>
          <w:color w:val="auto"/>
          <w:sz w:val="28"/>
          <w:szCs w:val="28"/>
          <w:lang w:val="uk-UA"/>
        </w:rPr>
        <w:t xml:space="preserve">* - </w:t>
      </w:r>
      <w:r w:rsidRPr="00BE086B">
        <w:rPr>
          <w:rFonts w:ascii="Times New Roman" w:hAnsi="Times New Roman" w:cs="Times New Roman"/>
          <w:color w:val="auto"/>
          <w:sz w:val="28"/>
          <w:szCs w:val="28"/>
          <w:lang w:eastAsia="ru-RU"/>
        </w:rPr>
        <w:t>р </w:t>
      </w:r>
      <w:r w:rsidRPr="00BE086B">
        <w:rPr>
          <w:rFonts w:ascii="Times New Roman" w:eastAsia="Calibri" w:hAnsi="Times New Roman" w:cs="Times New Roman"/>
          <w:iCs/>
          <w:color w:val="auto"/>
          <w:sz w:val="28"/>
          <w:szCs w:val="28"/>
          <w:lang w:eastAsia="en-US"/>
        </w:rPr>
        <w:t>&gt; </w:t>
      </w:r>
      <w:r w:rsidRPr="00BE086B">
        <w:rPr>
          <w:rFonts w:ascii="Times New Roman" w:hAnsi="Times New Roman" w:cs="Times New Roman"/>
          <w:color w:val="auto"/>
          <w:sz w:val="28"/>
          <w:szCs w:val="28"/>
          <w:lang w:eastAsia="ru-RU"/>
        </w:rPr>
        <w:t>0,05; в інших випадках – р </w:t>
      </w:r>
      <w:r w:rsidRPr="00BE086B">
        <w:rPr>
          <w:rFonts w:ascii="Times New Roman" w:eastAsia="Calibri" w:hAnsi="Times New Roman" w:cs="Times New Roman"/>
          <w:iCs/>
          <w:color w:val="auto"/>
          <w:sz w:val="28"/>
          <w:szCs w:val="28"/>
          <w:lang w:eastAsia="en-US"/>
        </w:rPr>
        <w:t>&lt; </w:t>
      </w:r>
      <w:r w:rsidRPr="00BE086B">
        <w:rPr>
          <w:rFonts w:ascii="Times New Roman" w:hAnsi="Times New Roman" w:cs="Times New Roman"/>
          <w:color w:val="auto"/>
          <w:sz w:val="28"/>
          <w:szCs w:val="28"/>
          <w:lang w:eastAsia="ru-RU"/>
        </w:rPr>
        <w:t xml:space="preserve">0,05 по відношенню до показників </w:t>
      </w:r>
      <w:r w:rsidRPr="00BE086B">
        <w:rPr>
          <w:rFonts w:ascii="Times New Roman" w:hAnsi="Times New Roman" w:cs="Times New Roman"/>
          <w:color w:val="auto"/>
          <w:sz w:val="28"/>
          <w:szCs w:val="28"/>
          <w:lang w:val="uk-UA" w:eastAsia="ru-RU"/>
        </w:rPr>
        <w:t>групи активного контролю (ЕГ +ЕОА).</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rPr>
      </w:pPr>
    </w:p>
    <w:p w:rsidR="00A1373E" w:rsidRPr="00BE086B" w:rsidRDefault="00206017" w:rsidP="00A1373E">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Як видно з рис. 5.8, рівень ММП</w:t>
      </w:r>
      <w:r w:rsidR="00D05799" w:rsidRPr="00BE086B">
        <w:rPr>
          <w:rFonts w:ascii="Times New Roman" w:hAnsi="Times New Roman" w:cs="Times New Roman"/>
          <w:color w:val="auto"/>
          <w:sz w:val="28"/>
          <w:szCs w:val="28"/>
          <w:lang w:val="uk-UA"/>
        </w:rPr>
        <w:t xml:space="preserve">-9 </w:t>
      </w:r>
      <w:r w:rsidR="00B0443E" w:rsidRPr="00BE086B">
        <w:rPr>
          <w:rFonts w:ascii="Times New Roman" w:hAnsi="Times New Roman" w:cs="Times New Roman"/>
          <w:noProof/>
          <w:color w:val="auto"/>
          <w:sz w:val="28"/>
          <w:szCs w:val="28"/>
          <w:lang w:val="uk-UA" w:eastAsia="ru-RU"/>
        </w:rPr>
        <w:t xml:space="preserve">у сироватці крові щурів </w:t>
      </w:r>
      <w:r w:rsidR="00B0443E" w:rsidRPr="00BE086B">
        <w:rPr>
          <w:rFonts w:ascii="Times New Roman" w:hAnsi="Times New Roman" w:cs="Times New Roman"/>
          <w:color w:val="auto"/>
          <w:sz w:val="28"/>
          <w:szCs w:val="28"/>
          <w:lang w:val="uk-UA"/>
        </w:rPr>
        <w:t xml:space="preserve">на 47 добу експерименту </w:t>
      </w:r>
      <w:r w:rsidR="00B0443E" w:rsidRPr="00BE086B">
        <w:rPr>
          <w:rFonts w:ascii="Times New Roman" w:eastAsia="Times New Roman" w:hAnsi="Times New Roman" w:cs="Times New Roman"/>
          <w:bCs/>
          <w:color w:val="auto"/>
          <w:sz w:val="28"/>
          <w:szCs w:val="28"/>
        </w:rPr>
        <w:t xml:space="preserve">відносно групи активного контролю </w:t>
      </w:r>
      <w:r w:rsidR="00B0443E" w:rsidRPr="00BE086B">
        <w:rPr>
          <w:rFonts w:ascii="Times New Roman" w:eastAsia="Calibri" w:hAnsi="Times New Roman" w:cs="Times New Roman"/>
          <w:iCs/>
          <w:color w:val="auto"/>
          <w:sz w:val="28"/>
          <w:szCs w:val="28"/>
          <w:lang w:eastAsia="en-US"/>
        </w:rPr>
        <w:t>(</w:t>
      </w:r>
      <w:r w:rsidR="00B0443E" w:rsidRPr="00BE086B">
        <w:rPr>
          <w:rFonts w:ascii="Times New Roman" w:hAnsi="Times New Roman" w:cs="Times New Roman"/>
          <w:color w:val="auto"/>
          <w:sz w:val="28"/>
          <w:szCs w:val="28"/>
        </w:rPr>
        <w:t xml:space="preserve">І група </w:t>
      </w:r>
      <w:r w:rsidR="00B0443E" w:rsidRPr="00BE086B">
        <w:rPr>
          <w:rFonts w:ascii="Times New Roman" w:hAnsi="Times New Roman" w:cs="Times New Roman"/>
          <w:color w:val="auto"/>
          <w:sz w:val="28"/>
          <w:szCs w:val="28"/>
          <w:lang w:val="uk-UA"/>
        </w:rPr>
        <w:t xml:space="preserve">ЕГ + </w:t>
      </w:r>
      <w:r w:rsidR="00B0443E" w:rsidRPr="00BE086B">
        <w:rPr>
          <w:rFonts w:ascii="Times New Roman" w:hAnsi="Times New Roman" w:cs="Times New Roman"/>
          <w:color w:val="auto"/>
          <w:sz w:val="28"/>
          <w:szCs w:val="28"/>
        </w:rPr>
        <w:t>ЕОА)</w:t>
      </w:r>
      <w:r w:rsidR="00B0443E" w:rsidRPr="00BE086B">
        <w:rPr>
          <w:rFonts w:ascii="Times New Roman" w:hAnsi="Times New Roman" w:cs="Times New Roman"/>
          <w:color w:val="auto"/>
          <w:sz w:val="28"/>
          <w:szCs w:val="28"/>
          <w:lang w:val="uk-UA"/>
        </w:rPr>
        <w:t xml:space="preserve"> бу</w:t>
      </w:r>
      <w:r w:rsidR="00A1373E" w:rsidRPr="00BE086B">
        <w:rPr>
          <w:rFonts w:ascii="Times New Roman" w:hAnsi="Times New Roman" w:cs="Times New Roman"/>
          <w:color w:val="auto"/>
          <w:sz w:val="28"/>
          <w:szCs w:val="28"/>
          <w:lang w:val="uk-UA"/>
        </w:rPr>
        <w:t>в</w:t>
      </w:r>
      <w:r w:rsidR="00B0443E" w:rsidRPr="00BE086B">
        <w:rPr>
          <w:rFonts w:ascii="Times New Roman" w:hAnsi="Times New Roman" w:cs="Times New Roman"/>
          <w:color w:val="auto"/>
          <w:sz w:val="28"/>
          <w:szCs w:val="28"/>
          <w:lang w:val="uk-UA"/>
        </w:rPr>
        <w:t xml:space="preserve"> різноманітн</w:t>
      </w:r>
      <w:r w:rsidR="00A1373E" w:rsidRPr="00BE086B">
        <w:rPr>
          <w:rFonts w:ascii="Times New Roman" w:hAnsi="Times New Roman" w:cs="Times New Roman"/>
          <w:color w:val="auto"/>
          <w:sz w:val="28"/>
          <w:szCs w:val="28"/>
          <w:lang w:val="uk-UA"/>
        </w:rPr>
        <w:t>им</w:t>
      </w:r>
      <w:r w:rsidR="00B0443E" w:rsidRPr="00BE086B">
        <w:rPr>
          <w:rFonts w:ascii="Times New Roman" w:hAnsi="Times New Roman" w:cs="Times New Roman"/>
          <w:color w:val="auto"/>
          <w:sz w:val="28"/>
          <w:szCs w:val="28"/>
          <w:lang w:val="uk-UA"/>
        </w:rPr>
        <w:t xml:space="preserve"> та залежа</w:t>
      </w:r>
      <w:r w:rsidR="00A1373E" w:rsidRPr="00BE086B">
        <w:rPr>
          <w:rFonts w:ascii="Times New Roman" w:hAnsi="Times New Roman" w:cs="Times New Roman"/>
          <w:color w:val="auto"/>
          <w:sz w:val="28"/>
          <w:szCs w:val="28"/>
          <w:lang w:val="uk-UA"/>
        </w:rPr>
        <w:t>в</w:t>
      </w:r>
      <w:r w:rsidR="00B0443E" w:rsidRPr="00BE086B">
        <w:rPr>
          <w:rFonts w:ascii="Times New Roman" w:hAnsi="Times New Roman" w:cs="Times New Roman"/>
          <w:color w:val="auto"/>
          <w:sz w:val="28"/>
          <w:szCs w:val="28"/>
          <w:lang w:val="uk-UA"/>
        </w:rPr>
        <w:t xml:space="preserve"> від групи дослідження. Так, звертає увагу,</w:t>
      </w:r>
      <w:r w:rsidR="00A1373E" w:rsidRPr="00BE086B">
        <w:rPr>
          <w:rFonts w:ascii="Times New Roman" w:hAnsi="Times New Roman" w:cs="Times New Roman"/>
          <w:color w:val="auto"/>
          <w:sz w:val="28"/>
          <w:szCs w:val="28"/>
          <w:lang w:val="uk-UA"/>
        </w:rPr>
        <w:t xml:space="preserve"> що призначення тільки парацетамолу (</w:t>
      </w:r>
      <w:r w:rsidR="00A1373E" w:rsidRPr="00BE086B">
        <w:rPr>
          <w:rFonts w:ascii="Times New Roman" w:eastAsia="Calibri" w:hAnsi="Times New Roman" w:cs="Times New Roman"/>
          <w:iCs/>
          <w:color w:val="auto"/>
          <w:sz w:val="28"/>
          <w:szCs w:val="28"/>
          <w:lang w:val="uk-UA" w:eastAsia="en-US"/>
        </w:rPr>
        <w:t>І</w:t>
      </w:r>
      <w:r w:rsidR="00A1373E" w:rsidRPr="00BE086B">
        <w:rPr>
          <w:rFonts w:ascii="Times New Roman" w:hAnsi="Times New Roman" w:cs="Times New Roman"/>
          <w:color w:val="auto"/>
          <w:sz w:val="28"/>
          <w:szCs w:val="28"/>
          <w:lang w:val="uk-UA"/>
        </w:rPr>
        <w:t>Х група ЕГ + ЕОА + П) та L-тироксину при коморбідній патології (</w:t>
      </w:r>
      <w:r w:rsidR="00A1373E" w:rsidRPr="00BE086B">
        <w:rPr>
          <w:rFonts w:ascii="Times New Roman" w:eastAsia="Calibri" w:hAnsi="Times New Roman" w:cs="Times New Roman"/>
          <w:iCs/>
          <w:color w:val="auto"/>
          <w:sz w:val="28"/>
          <w:szCs w:val="28"/>
          <w:lang w:val="uk-UA" w:eastAsia="en-US"/>
        </w:rPr>
        <w:t>І</w:t>
      </w:r>
      <w:r w:rsidR="00A1373E" w:rsidRPr="00BE086B">
        <w:rPr>
          <w:rFonts w:ascii="Times New Roman" w:hAnsi="Times New Roman" w:cs="Times New Roman"/>
          <w:color w:val="auto"/>
          <w:sz w:val="28"/>
          <w:szCs w:val="28"/>
          <w:lang w:val="uk-UA"/>
        </w:rPr>
        <w:t xml:space="preserve">І група ЕГ + ЕОА + Т) призвело до зниження </w:t>
      </w:r>
      <w:r w:rsidR="0088510B" w:rsidRPr="00BE086B">
        <w:rPr>
          <w:rFonts w:ascii="Times New Roman" w:hAnsi="Times New Roman" w:cs="Times New Roman"/>
          <w:color w:val="auto"/>
          <w:sz w:val="28"/>
          <w:szCs w:val="28"/>
          <w:lang w:val="uk-UA"/>
        </w:rPr>
        <w:t>ММП-9</w:t>
      </w:r>
      <w:r w:rsidR="00A1373E" w:rsidRPr="00BE086B">
        <w:rPr>
          <w:rFonts w:ascii="Times New Roman" w:hAnsi="Times New Roman" w:cs="Times New Roman"/>
          <w:bCs/>
          <w:color w:val="auto"/>
          <w:sz w:val="28"/>
          <w:szCs w:val="28"/>
          <w:lang w:val="uk-UA"/>
        </w:rPr>
        <w:t xml:space="preserve"> </w:t>
      </w:r>
      <w:r w:rsidR="00A1373E" w:rsidRPr="00BE086B">
        <w:rPr>
          <w:rFonts w:ascii="Times New Roman" w:hAnsi="Times New Roman" w:cs="Times New Roman"/>
          <w:noProof/>
          <w:color w:val="auto"/>
          <w:sz w:val="28"/>
          <w:szCs w:val="28"/>
          <w:lang w:val="uk-UA" w:eastAsia="ru-RU"/>
        </w:rPr>
        <w:t xml:space="preserve">у сироватці крові щурів на </w:t>
      </w:r>
      <w:r w:rsidR="0088510B" w:rsidRPr="00BE086B">
        <w:rPr>
          <w:rFonts w:ascii="Times New Roman" w:hAnsi="Times New Roman" w:cs="Times New Roman"/>
          <w:noProof/>
          <w:color w:val="auto"/>
          <w:sz w:val="28"/>
          <w:szCs w:val="28"/>
          <w:lang w:val="uk-UA" w:eastAsia="ru-RU"/>
        </w:rPr>
        <w:t>23,1 та 23,5</w:t>
      </w:r>
      <w:r w:rsidR="00A1373E" w:rsidRPr="00BE086B">
        <w:rPr>
          <w:rFonts w:ascii="Times New Roman" w:hAnsi="Times New Roman" w:cs="Times New Roman"/>
          <w:noProof/>
          <w:color w:val="auto"/>
          <w:sz w:val="28"/>
          <w:szCs w:val="28"/>
          <w:lang w:val="uk-UA" w:eastAsia="ru-RU"/>
        </w:rPr>
        <w:t>%</w:t>
      </w:r>
      <w:r w:rsidR="0088510B" w:rsidRPr="00BE086B">
        <w:rPr>
          <w:rFonts w:ascii="Times New Roman" w:hAnsi="Times New Roman" w:cs="Times New Roman"/>
          <w:noProof/>
          <w:color w:val="auto"/>
          <w:sz w:val="28"/>
          <w:szCs w:val="28"/>
          <w:lang w:val="uk-UA" w:eastAsia="ru-RU"/>
        </w:rPr>
        <w:t xml:space="preserve"> </w:t>
      </w:r>
      <w:r w:rsidR="00DC5691" w:rsidRPr="00BE086B">
        <w:rPr>
          <w:rFonts w:ascii="Times New Roman" w:hAnsi="Times New Roman" w:cs="Times New Roman"/>
          <w:color w:val="auto"/>
          <w:sz w:val="28"/>
          <w:szCs w:val="28"/>
          <w:lang w:val="uk-UA"/>
        </w:rPr>
        <w:t xml:space="preserve">(р &lt; 0,05) </w:t>
      </w:r>
      <w:r w:rsidR="0088510B" w:rsidRPr="00BE086B">
        <w:rPr>
          <w:rFonts w:ascii="Times New Roman" w:hAnsi="Times New Roman" w:cs="Times New Roman"/>
          <w:noProof/>
          <w:color w:val="auto"/>
          <w:sz w:val="28"/>
          <w:szCs w:val="28"/>
          <w:lang w:val="uk-UA" w:eastAsia="ru-RU"/>
        </w:rPr>
        <w:t>відповідно</w:t>
      </w:r>
      <w:r w:rsidR="00A1373E" w:rsidRPr="00BE086B">
        <w:rPr>
          <w:rFonts w:ascii="Times New Roman" w:hAnsi="Times New Roman" w:cs="Times New Roman"/>
          <w:noProof/>
          <w:color w:val="auto"/>
          <w:sz w:val="28"/>
          <w:szCs w:val="28"/>
          <w:lang w:val="uk-UA" w:eastAsia="ru-RU"/>
        </w:rPr>
        <w:t xml:space="preserve">, а сумісне використання </w:t>
      </w:r>
      <w:r w:rsidR="00A1373E" w:rsidRPr="00BE086B">
        <w:rPr>
          <w:rFonts w:ascii="Times New Roman" w:hAnsi="Times New Roman" w:cs="Times New Roman"/>
          <w:color w:val="auto"/>
          <w:sz w:val="28"/>
          <w:szCs w:val="28"/>
          <w:lang w:val="uk-UA"/>
        </w:rPr>
        <w:t>L-тироксину з диклофенаком натрію (І</w:t>
      </w:r>
      <w:r w:rsidR="00A1373E" w:rsidRPr="00BE086B">
        <w:rPr>
          <w:rFonts w:ascii="Times New Roman" w:eastAsia="Calibri" w:hAnsi="Times New Roman" w:cs="Times New Roman"/>
          <w:iCs/>
          <w:color w:val="auto"/>
          <w:sz w:val="28"/>
          <w:szCs w:val="28"/>
          <w:lang w:val="en-US" w:eastAsia="en-US"/>
        </w:rPr>
        <w:t>V</w:t>
      </w:r>
      <w:r w:rsidR="00A1373E" w:rsidRPr="00BE086B">
        <w:rPr>
          <w:rFonts w:ascii="Times New Roman" w:hAnsi="Times New Roman" w:cs="Times New Roman"/>
          <w:color w:val="auto"/>
          <w:sz w:val="28"/>
          <w:szCs w:val="28"/>
        </w:rPr>
        <w:t xml:space="preserve"> група </w:t>
      </w:r>
      <w:r w:rsidR="00A1373E" w:rsidRPr="00BE086B">
        <w:rPr>
          <w:rFonts w:ascii="Times New Roman" w:hAnsi="Times New Roman" w:cs="Times New Roman"/>
          <w:color w:val="auto"/>
          <w:sz w:val="28"/>
          <w:szCs w:val="28"/>
          <w:lang w:val="uk-UA"/>
        </w:rPr>
        <w:t xml:space="preserve">ЕГ + </w:t>
      </w:r>
      <w:r w:rsidR="00A1373E" w:rsidRPr="00BE086B">
        <w:rPr>
          <w:rFonts w:ascii="Times New Roman" w:hAnsi="Times New Roman" w:cs="Times New Roman"/>
          <w:color w:val="auto"/>
          <w:sz w:val="28"/>
          <w:szCs w:val="28"/>
        </w:rPr>
        <w:t>ЕОА</w:t>
      </w:r>
      <w:r w:rsidR="00A1373E" w:rsidRPr="00BE086B">
        <w:rPr>
          <w:rFonts w:ascii="Times New Roman" w:hAnsi="Times New Roman" w:cs="Times New Roman"/>
          <w:color w:val="auto"/>
          <w:sz w:val="28"/>
          <w:szCs w:val="28"/>
          <w:lang w:val="uk-UA"/>
        </w:rPr>
        <w:t xml:space="preserve"> + Д + Т</w:t>
      </w:r>
      <w:r w:rsidR="00A1373E" w:rsidRPr="00BE086B">
        <w:rPr>
          <w:rFonts w:ascii="Times New Roman" w:hAnsi="Times New Roman" w:cs="Times New Roman"/>
          <w:color w:val="auto"/>
          <w:sz w:val="28"/>
          <w:szCs w:val="28"/>
        </w:rPr>
        <w:t>)</w:t>
      </w:r>
      <w:r w:rsidR="00A1373E" w:rsidRPr="00BE086B">
        <w:rPr>
          <w:rFonts w:ascii="Times New Roman" w:hAnsi="Times New Roman" w:cs="Times New Roman"/>
          <w:color w:val="auto"/>
          <w:sz w:val="28"/>
          <w:szCs w:val="28"/>
          <w:lang w:val="uk-UA"/>
        </w:rPr>
        <w:t xml:space="preserve"> призвело до зниження відповідного показника на </w:t>
      </w:r>
      <w:r w:rsidR="0088510B" w:rsidRPr="00BE086B">
        <w:rPr>
          <w:rFonts w:ascii="Times New Roman" w:hAnsi="Times New Roman" w:cs="Times New Roman"/>
          <w:color w:val="auto"/>
          <w:sz w:val="28"/>
          <w:szCs w:val="28"/>
          <w:lang w:val="uk-UA"/>
        </w:rPr>
        <w:t>64,6</w:t>
      </w:r>
      <w:r w:rsidR="00A1373E" w:rsidRPr="00BE086B">
        <w:rPr>
          <w:rFonts w:ascii="Times New Roman" w:hAnsi="Times New Roman" w:cs="Times New Roman"/>
          <w:color w:val="auto"/>
          <w:sz w:val="28"/>
          <w:szCs w:val="28"/>
          <w:lang w:val="uk-UA"/>
        </w:rPr>
        <w:t>%</w:t>
      </w:r>
      <w:r w:rsidR="00DC5691" w:rsidRPr="00BE086B">
        <w:rPr>
          <w:rFonts w:ascii="Times New Roman" w:hAnsi="Times New Roman" w:cs="Times New Roman"/>
          <w:color w:val="auto"/>
          <w:sz w:val="28"/>
          <w:szCs w:val="28"/>
          <w:lang w:val="uk-UA"/>
        </w:rPr>
        <w:t xml:space="preserve"> (р &lt; 0,05)</w:t>
      </w:r>
      <w:r w:rsidR="00A1373E" w:rsidRPr="00BE086B">
        <w:rPr>
          <w:rFonts w:ascii="Times New Roman" w:hAnsi="Times New Roman" w:cs="Times New Roman"/>
          <w:color w:val="auto"/>
          <w:sz w:val="28"/>
          <w:szCs w:val="28"/>
          <w:lang w:val="uk-UA"/>
        </w:rPr>
        <w:t>.</w:t>
      </w:r>
    </w:p>
    <w:p w:rsidR="006D2F9B" w:rsidRDefault="009B135A" w:rsidP="00BD76DF">
      <w:pPr>
        <w:spacing w:line="360" w:lineRule="auto"/>
        <w:jc w:val="center"/>
        <w:rPr>
          <w:b/>
          <w:noProof/>
          <w:sz w:val="28"/>
          <w:szCs w:val="28"/>
          <w:lang w:eastAsia="ru-RU"/>
        </w:rPr>
      </w:pPr>
      <w:r>
        <w:rPr>
          <w:b/>
          <w:noProof/>
          <w:sz w:val="28"/>
          <w:szCs w:val="28"/>
          <w:lang w:eastAsia="ru-RU"/>
        </w:rPr>
        <w:lastRenderedPageBreak/>
        <w:drawing>
          <wp:inline distT="0" distB="0" distL="0" distR="0">
            <wp:extent cx="5943600" cy="3438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9.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3438000"/>
                    </a:xfrm>
                    <a:prstGeom prst="rect">
                      <a:avLst/>
                    </a:prstGeom>
                  </pic:spPr>
                </pic:pic>
              </a:graphicData>
            </a:graphic>
          </wp:inline>
        </w:drawing>
      </w:r>
    </w:p>
    <w:p w:rsidR="00AF418B" w:rsidRPr="00BE086B" w:rsidRDefault="00AF418B" w:rsidP="006D2F9B">
      <w:pPr>
        <w:spacing w:line="360" w:lineRule="auto"/>
        <w:jc w:val="both"/>
        <w:rPr>
          <w:sz w:val="28"/>
          <w:szCs w:val="28"/>
        </w:rPr>
      </w:pPr>
      <w:r w:rsidRPr="00BE086B">
        <w:rPr>
          <w:b/>
          <w:noProof/>
          <w:sz w:val="28"/>
          <w:szCs w:val="28"/>
          <w:lang w:val="uk-UA" w:eastAsia="ru-RU"/>
        </w:rPr>
        <w:t>Рис. 5.9.</w:t>
      </w:r>
      <w:r w:rsidRPr="00BE086B">
        <w:rPr>
          <w:noProof/>
          <w:sz w:val="28"/>
          <w:szCs w:val="28"/>
          <w:lang w:val="uk-UA" w:eastAsia="ru-RU"/>
        </w:rPr>
        <w:t xml:space="preserve"> Зміни рівнів матриксних металопротеїназ 13 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p>
    <w:p w:rsidR="00AF418B" w:rsidRPr="00BE086B" w:rsidRDefault="00AF418B" w:rsidP="005316D2">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Проте, звертає на себе увагу парацетамол, який при монотерапії не впливав на рівень ММП-9 (р &lt; 0,05) на 47 добу експерименту (ІХ група), а при сумісному призначені з L-тироксином (Х група) зменшив рівень ММП-9 у 1,12 рази (р &gt; 0,05) та не змінив рівень ММП-3 та ММП-13 (р &gt; 0,05) при порівнянні відповідних показників у ІХ групі (табл. 5.2, рис. 5.9).</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В цілому, з огляду на отримані результати, за ступенем впливу на рівень ММП-3, ММП-9 та ММП-13 сироватки крові щурів досліджені препарати можна розташувати наступним чином: диклофенак натрію &gt; ібупрофен &gt; німесулід = мелоксикам &gt; целекоксиб &gt; парацетамол, що відображає різну ефективність та фармакологічну активність ЛЗ, які досліджувалися при лікуванні експериментальних патологічних станів ОА та ГІТ [127].</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lastRenderedPageBreak/>
        <w:t>Визначення рівня матриксних металопротеїназ (ММП-3, ММП-9 та ММП-13) дозволяє оцінити активність запального процесу на фоні експериментального остеоартрозу і гіпотиреозу та визначити динаміку показників при призначені ЛЗ, які досліджувалися</w:t>
      </w:r>
      <w:r w:rsidRPr="00BE086B">
        <w:rPr>
          <w:sz w:val="28"/>
          <w:szCs w:val="28"/>
        </w:rPr>
        <w:t xml:space="preserve"> </w:t>
      </w:r>
      <w:r w:rsidRPr="00BE086B">
        <w:rPr>
          <w:sz w:val="28"/>
          <w:szCs w:val="28"/>
          <w:lang w:val="uk-UA"/>
        </w:rPr>
        <w:t>[127].</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b/>
          <w:color w:val="auto"/>
          <w:sz w:val="28"/>
          <w:szCs w:val="28"/>
          <w:lang w:val="uk-UA"/>
        </w:rPr>
      </w:pPr>
      <w:r w:rsidRPr="00BE086B">
        <w:rPr>
          <w:rFonts w:ascii="Times New Roman" w:hAnsi="Times New Roman" w:cs="Times New Roman"/>
          <w:b/>
          <w:bCs/>
          <w:color w:val="auto"/>
          <w:sz w:val="28"/>
          <w:szCs w:val="28"/>
          <w:lang w:val="uk-UA"/>
        </w:rPr>
        <w:t xml:space="preserve">5.3. </w:t>
      </w:r>
      <w:r w:rsidRPr="00BE086B">
        <w:rPr>
          <w:rFonts w:ascii="Times New Roman" w:hAnsi="Times New Roman" w:cs="Times New Roman"/>
          <w:b/>
          <w:color w:val="auto"/>
          <w:sz w:val="28"/>
          <w:szCs w:val="28"/>
          <w:lang w:val="uk-UA"/>
        </w:rPr>
        <w:t xml:space="preserve">Зміни рівня маркеру СТХ I </w:t>
      </w:r>
      <w:r w:rsidRPr="00BE086B">
        <w:rPr>
          <w:rFonts w:ascii="Times New Roman" w:hAnsi="Times New Roman" w:cs="Times New Roman"/>
          <w:b/>
          <w:bCs/>
          <w:color w:val="auto"/>
          <w:sz w:val="28"/>
          <w:szCs w:val="28"/>
          <w:lang w:val="uk-UA"/>
        </w:rPr>
        <w:t xml:space="preserve">при </w:t>
      </w:r>
      <w:r w:rsidRPr="00BE086B">
        <w:rPr>
          <w:rFonts w:ascii="Times New Roman" w:hAnsi="Times New Roman" w:cs="Times New Roman"/>
          <w:b/>
          <w:color w:val="auto"/>
          <w:sz w:val="28"/>
          <w:szCs w:val="28"/>
          <w:lang w:val="uk-UA"/>
        </w:rPr>
        <w:t>експериментальному остеоартрозі та гіпотиреозі</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підрозділі описані результати біохімічного дослідження зміни рівня маркеру СТХ-I у сироватці крові щурів під впливом призначення нестероїдних протизапальних засобів, парацетамолу та L-тироксину за умов коморбідної патології (експериментального остеоартрозу та гіпотиреозу) [125, 136, 139, 148].</w:t>
      </w:r>
    </w:p>
    <w:p w:rsidR="00AF418B" w:rsidRPr="00BE086B" w:rsidRDefault="00AF418B" w:rsidP="00711BB4">
      <w:pPr>
        <w:spacing w:line="360" w:lineRule="auto"/>
        <w:ind w:firstLine="709"/>
        <w:jc w:val="both"/>
        <w:rPr>
          <w:sz w:val="28"/>
          <w:szCs w:val="28"/>
          <w:lang w:val="uk-UA"/>
        </w:rPr>
      </w:pPr>
      <w:r w:rsidRPr="00BE086B">
        <w:rPr>
          <w:sz w:val="28"/>
          <w:szCs w:val="28"/>
          <w:lang w:val="uk-UA"/>
        </w:rPr>
        <w:t>При аналізі отриманих результатів встановлено, що зміни рівня кінцевого С-тілопептиду колагену І типу (СТХ-І) у сироватці крові щурів під впливом призначення НПЗЗ, парацетамолу та L-тироксину відбуваються неоднаково (табл. 5.3).</w:t>
      </w:r>
    </w:p>
    <w:p w:rsidR="00AF418B" w:rsidRPr="00BE086B" w:rsidRDefault="00AF418B" w:rsidP="00711BB4">
      <w:pPr>
        <w:pStyle w:val="af3"/>
        <w:snapToGrid w:val="0"/>
        <w:spacing w:before="0" w:after="0" w:line="360" w:lineRule="auto"/>
        <w:ind w:firstLine="709"/>
        <w:jc w:val="both"/>
        <w:rPr>
          <w:sz w:val="28"/>
          <w:szCs w:val="28"/>
          <w:lang w:val="uk-UA"/>
        </w:rPr>
      </w:pPr>
      <w:r w:rsidRPr="00BE086B">
        <w:rPr>
          <w:sz w:val="28"/>
          <w:szCs w:val="28"/>
          <w:lang w:val="uk-UA"/>
        </w:rPr>
        <w:t>Так, на 42 добу (після закінчення формування експериментальних моделей ОА та ГІТ) у всіх експериментальних групах спостерігався високий рівень маркеру СТХ-І, який в групі інтактних щурів (ІЩ) не був визначений, що відображає розвиток патологічних змін під впливом експериментальних моделей та здатність експериментальних моделей впливати на рівень СТХ-І сироватки крові щурів (р &lt; 0,05).</w:t>
      </w:r>
    </w:p>
    <w:p w:rsidR="00AF418B" w:rsidRPr="00BE086B" w:rsidRDefault="00AF418B" w:rsidP="00711BB4">
      <w:pPr>
        <w:pStyle w:val="af3"/>
        <w:snapToGrid w:val="0"/>
        <w:spacing w:before="0" w:after="0" w:line="360" w:lineRule="auto"/>
        <w:ind w:firstLine="709"/>
        <w:jc w:val="both"/>
        <w:rPr>
          <w:sz w:val="28"/>
          <w:szCs w:val="28"/>
          <w:lang w:val="uk-UA"/>
        </w:rPr>
      </w:pPr>
      <w:r w:rsidRPr="00BE086B">
        <w:rPr>
          <w:sz w:val="28"/>
          <w:szCs w:val="28"/>
          <w:lang w:val="uk-UA"/>
        </w:rPr>
        <w:t>На 47 добу експерименту у І групі ЕГ + ЕОА (без «лікування») у порівнянні з 42 добою, показник рівня СТХ-І збільшився у 1,003 рази (р &lt; 0,05) (табл. 5.3).</w:t>
      </w:r>
    </w:p>
    <w:p w:rsidR="00AF418B" w:rsidRPr="00BE086B" w:rsidRDefault="00AF418B" w:rsidP="00711BB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ІІ групі ЕГ + ЕОА + L-тироксин на 47 добу, наприкінці 5-добового введення ЛЗ, що досліджувалися, на фоні призначення L-тироксину спостерігалось достовірне зниження рівнів СТХ-І у 1,03 рази (р &lt; 0,05) у </w:t>
      </w:r>
      <w:r w:rsidRPr="00BE086B">
        <w:rPr>
          <w:rFonts w:ascii="Times New Roman" w:hAnsi="Times New Roman" w:cs="Times New Roman"/>
          <w:color w:val="auto"/>
          <w:sz w:val="28"/>
          <w:szCs w:val="28"/>
          <w:lang w:val="uk-UA"/>
        </w:rPr>
        <w:lastRenderedPageBreak/>
        <w:t>порівнянні з 42 добою. Отримані дані відображають вплив L-тироксину на експериментальну патологію - ЕГ + ЕОА (табл. 5.3).</w:t>
      </w:r>
    </w:p>
    <w:p w:rsidR="00AF418B" w:rsidRPr="00BE086B" w:rsidRDefault="00AF418B" w:rsidP="005316D2">
      <w:pPr>
        <w:pStyle w:val="WW-"/>
        <w:spacing w:after="0" w:line="360" w:lineRule="auto"/>
        <w:ind w:firstLine="709"/>
        <w:jc w:val="right"/>
        <w:rPr>
          <w:rFonts w:ascii="Times New Roman" w:hAnsi="Times New Roman" w:cs="Times New Roman"/>
          <w:color w:val="auto"/>
          <w:sz w:val="28"/>
          <w:szCs w:val="28"/>
          <w:lang w:val="uk-UA"/>
        </w:rPr>
      </w:pPr>
      <w:r w:rsidRPr="00BE086B">
        <w:rPr>
          <w:rFonts w:ascii="Times New Roman" w:hAnsi="Times New Roman" w:cs="Times New Roman"/>
          <w:i/>
          <w:color w:val="auto"/>
          <w:sz w:val="28"/>
          <w:szCs w:val="28"/>
          <w:lang w:val="uk-UA"/>
        </w:rPr>
        <w:t>Таблиця 5.3</w:t>
      </w:r>
    </w:p>
    <w:p w:rsidR="00AF418B" w:rsidRPr="00BE086B" w:rsidRDefault="00AF418B" w:rsidP="005316D2">
      <w:pPr>
        <w:pStyle w:val="af3"/>
        <w:spacing w:before="0" w:after="0" w:line="360" w:lineRule="auto"/>
        <w:ind w:firstLine="709"/>
        <w:jc w:val="center"/>
        <w:rPr>
          <w:sz w:val="28"/>
          <w:szCs w:val="28"/>
          <w:lang w:val="uk-UA"/>
        </w:rPr>
      </w:pPr>
      <w:r w:rsidRPr="00BE086B">
        <w:rPr>
          <w:b/>
          <w:sz w:val="28"/>
          <w:szCs w:val="28"/>
          <w:lang w:val="uk-UA"/>
        </w:rPr>
        <w:t xml:space="preserve">Рівень СТХ-І сироватки крові щурів на фоні введення ЛЗ </w:t>
      </w:r>
      <w:r w:rsidRPr="00BE086B">
        <w:rPr>
          <w:b/>
          <w:bCs/>
          <w:sz w:val="28"/>
          <w:szCs w:val="28"/>
          <w:lang w:val="uk-UA"/>
        </w:rPr>
        <w:t>при експериментальному остеоартрозі та гіпотиреозі</w:t>
      </w:r>
      <w:r w:rsidRPr="00BE086B">
        <w:rPr>
          <w:b/>
          <w:sz w:val="28"/>
          <w:szCs w:val="28"/>
          <w:lang w:val="uk-UA"/>
        </w:rPr>
        <w:t xml:space="preserve"> </w:t>
      </w:r>
      <w:r w:rsidRPr="00BE086B">
        <w:rPr>
          <w:b/>
          <w:bCs/>
          <w:sz w:val="28"/>
          <w:szCs w:val="28"/>
          <w:lang w:val="uk-UA"/>
        </w:rPr>
        <w:t>(М±m)</w:t>
      </w:r>
    </w:p>
    <w:tbl>
      <w:tblPr>
        <w:tblW w:w="0" w:type="auto"/>
        <w:jc w:val="center"/>
        <w:tblLayout w:type="fixed"/>
        <w:tblCellMar>
          <w:left w:w="10" w:type="dxa"/>
          <w:right w:w="10" w:type="dxa"/>
        </w:tblCellMar>
        <w:tblLook w:val="0000" w:firstRow="0" w:lastRow="0" w:firstColumn="0" w:lastColumn="0" w:noHBand="0" w:noVBand="0"/>
      </w:tblPr>
      <w:tblGrid>
        <w:gridCol w:w="3881"/>
        <w:gridCol w:w="2268"/>
        <w:gridCol w:w="2159"/>
      </w:tblGrid>
      <w:tr w:rsidR="00AF418B" w:rsidRPr="00BE086B" w:rsidTr="00711BB4">
        <w:trPr>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Група, препарат та його доза</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СТХ-І</w:t>
            </w:r>
          </w:p>
          <w:p w:rsidR="00AF418B" w:rsidRPr="00BE086B" w:rsidRDefault="00AF418B" w:rsidP="00CA490A">
            <w:pPr>
              <w:pStyle w:val="western"/>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на 42 добу, пг/мл</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СТХ-І</w:t>
            </w:r>
          </w:p>
          <w:p w:rsidR="00AF418B" w:rsidRPr="00BE086B" w:rsidRDefault="00AF418B" w:rsidP="00CA490A">
            <w:pPr>
              <w:pStyle w:val="western"/>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на 47 добу, пг/мл</w:t>
            </w:r>
          </w:p>
        </w:tc>
      </w:tr>
      <w:tr w:rsidR="00851285" w:rsidRPr="00BE086B" w:rsidTr="00711BB4">
        <w:trPr>
          <w:jc w:val="center"/>
        </w:trPr>
        <w:tc>
          <w:tcPr>
            <w:tcW w:w="3881" w:type="dxa"/>
            <w:tcBorders>
              <w:top w:val="dotted" w:sz="4" w:space="0" w:color="000000"/>
              <w:left w:val="dotted" w:sz="4" w:space="0" w:color="000000"/>
              <w:bottom w:val="dotted" w:sz="4" w:space="0" w:color="000000"/>
            </w:tcBorders>
            <w:shd w:val="clear" w:color="auto" w:fill="FFFFFF"/>
          </w:tcPr>
          <w:p w:rsidR="00851285" w:rsidRPr="00BE086B" w:rsidRDefault="00851285"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268" w:type="dxa"/>
            <w:tcBorders>
              <w:top w:val="dotted" w:sz="4" w:space="0" w:color="000000"/>
              <w:left w:val="dotted" w:sz="4" w:space="0" w:color="000000"/>
              <w:bottom w:val="dotted" w:sz="4" w:space="0" w:color="000000"/>
            </w:tcBorders>
            <w:shd w:val="clear" w:color="auto" w:fill="FFFFFF"/>
          </w:tcPr>
          <w:p w:rsidR="00851285" w:rsidRPr="00BE086B" w:rsidRDefault="00851285" w:rsidP="00CA490A">
            <w:pPr>
              <w:snapToGrid w:val="0"/>
              <w:jc w:val="center"/>
              <w:rPr>
                <w:sz w:val="28"/>
                <w:szCs w:val="28"/>
                <w:lang w:val="uk-UA"/>
              </w:rPr>
            </w:pPr>
            <w:r w:rsidRPr="00BE086B">
              <w:rPr>
                <w:sz w:val="28"/>
                <w:szCs w:val="28"/>
                <w:lang w:val="uk-UA"/>
              </w:rPr>
              <w:t>2</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851285" w:rsidRPr="00BE086B" w:rsidRDefault="00851285" w:rsidP="00CA490A">
            <w:pPr>
              <w:snapToGrid w:val="0"/>
              <w:jc w:val="center"/>
              <w:rPr>
                <w:sz w:val="28"/>
                <w:szCs w:val="28"/>
                <w:lang w:val="uk-UA"/>
              </w:rPr>
            </w:pPr>
            <w:r w:rsidRPr="00BE086B">
              <w:rPr>
                <w:sz w:val="28"/>
                <w:szCs w:val="28"/>
                <w:lang w:val="uk-UA"/>
              </w:rPr>
              <w:t>3</w:t>
            </w:r>
          </w:p>
        </w:tc>
      </w:tr>
      <w:tr w:rsidR="00AF418B" w:rsidRPr="00BE086B" w:rsidTr="00711BB4">
        <w:trPr>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snapToGrid w:val="0"/>
              <w:jc w:val="center"/>
              <w:rPr>
                <w:sz w:val="28"/>
                <w:szCs w:val="28"/>
                <w:lang w:val="uk-UA"/>
              </w:rPr>
            </w:pPr>
            <w:r w:rsidRPr="00BE086B">
              <w:rPr>
                <w:sz w:val="28"/>
                <w:szCs w:val="28"/>
                <w:lang w:val="uk-UA"/>
              </w:rPr>
              <w:t>-</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snapToGrid w:val="0"/>
              <w:jc w:val="center"/>
              <w:rPr>
                <w:sz w:val="28"/>
                <w:szCs w:val="28"/>
                <w:lang w:val="uk-UA"/>
              </w:rPr>
            </w:pPr>
            <w:r w:rsidRPr="00BE086B">
              <w:rPr>
                <w:sz w:val="28"/>
                <w:szCs w:val="28"/>
                <w:lang w:val="uk-UA"/>
              </w:rPr>
              <w:t>-</w:t>
            </w:r>
          </w:p>
        </w:tc>
      </w:tr>
      <w:tr w:rsidR="00AF418B" w:rsidRPr="00BE086B" w:rsidTr="00711BB4">
        <w:trPr>
          <w:jc w:val="center"/>
        </w:trPr>
        <w:tc>
          <w:tcPr>
            <w:tcW w:w="3881" w:type="dxa"/>
            <w:tcBorders>
              <w:left w:val="dotted" w:sz="4" w:space="0" w:color="000000"/>
              <w:bottom w:val="dotted" w:sz="4" w:space="0" w:color="000000"/>
            </w:tcBorders>
            <w:shd w:val="clear" w:color="auto" w:fill="FFFFFF"/>
          </w:tcPr>
          <w:p w:rsidR="00711BB4"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 група ЕГ+ЕОА (без «лікування»)</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2268" w:type="dxa"/>
            <w:tcBorders>
              <w:left w:val="dotted" w:sz="4" w:space="0" w:color="000000"/>
              <w:bottom w:val="dotted" w:sz="4" w:space="0" w:color="000000"/>
            </w:tcBorders>
            <w:shd w:val="clear" w:color="auto" w:fill="FFFFFF"/>
          </w:tcPr>
          <w:p w:rsidR="00AF418B" w:rsidRPr="00BE086B" w:rsidRDefault="00AF418B" w:rsidP="00CA490A">
            <w:pPr>
              <w:jc w:val="center"/>
              <w:rPr>
                <w:sz w:val="28"/>
                <w:szCs w:val="28"/>
                <w:lang w:val="uk-UA"/>
              </w:rPr>
            </w:pPr>
            <w:r w:rsidRPr="00BE086B">
              <w:rPr>
                <w:sz w:val="28"/>
                <w:szCs w:val="28"/>
                <w:lang w:val="uk-UA"/>
              </w:rPr>
              <w:t>122,4</w:t>
            </w:r>
          </w:p>
          <w:p w:rsidR="00AF418B" w:rsidRPr="00BE086B" w:rsidRDefault="00AF418B" w:rsidP="00CA490A">
            <w:pPr>
              <w:jc w:val="center"/>
              <w:rPr>
                <w:sz w:val="28"/>
                <w:szCs w:val="28"/>
                <w:lang w:val="uk-UA"/>
              </w:rPr>
            </w:pPr>
            <w:r w:rsidRPr="00BE086B">
              <w:rPr>
                <w:sz w:val="28"/>
                <w:szCs w:val="28"/>
                <w:lang w:val="uk-UA"/>
              </w:rPr>
              <w:t>±0,72</w:t>
            </w:r>
          </w:p>
        </w:tc>
        <w:tc>
          <w:tcPr>
            <w:tcW w:w="2159" w:type="dxa"/>
            <w:tcBorders>
              <w:left w:val="dotted" w:sz="4" w:space="0" w:color="000000"/>
              <w:bottom w:val="dotted" w:sz="4" w:space="0" w:color="000000"/>
              <w:right w:val="dotted" w:sz="4" w:space="0" w:color="000000"/>
            </w:tcBorders>
            <w:shd w:val="clear" w:color="auto" w:fill="FFFFFF"/>
          </w:tcPr>
          <w:p w:rsidR="00AF418B" w:rsidRPr="00BE086B" w:rsidRDefault="00AF418B" w:rsidP="00CA490A">
            <w:pPr>
              <w:jc w:val="center"/>
              <w:rPr>
                <w:sz w:val="28"/>
                <w:szCs w:val="28"/>
                <w:lang w:val="uk-UA"/>
              </w:rPr>
            </w:pPr>
            <w:r w:rsidRPr="00BE086B">
              <w:rPr>
                <w:sz w:val="28"/>
                <w:szCs w:val="28"/>
                <w:lang w:val="uk-UA"/>
              </w:rPr>
              <w:t>122,76*</w:t>
            </w:r>
          </w:p>
          <w:p w:rsidR="00AF418B" w:rsidRPr="00BE086B" w:rsidRDefault="00AF418B" w:rsidP="00CA490A">
            <w:pPr>
              <w:jc w:val="center"/>
              <w:rPr>
                <w:sz w:val="28"/>
                <w:szCs w:val="28"/>
                <w:lang w:val="uk-UA"/>
              </w:rPr>
            </w:pPr>
            <w:r w:rsidRPr="00BE086B">
              <w:rPr>
                <w:sz w:val="28"/>
                <w:szCs w:val="28"/>
                <w:lang w:val="uk-UA"/>
              </w:rPr>
              <w:t>±0,56</w:t>
            </w:r>
          </w:p>
        </w:tc>
      </w:tr>
      <w:tr w:rsidR="00AF418B" w:rsidRPr="00BE086B" w:rsidTr="00711BB4">
        <w:trPr>
          <w:trHeight w:val="677"/>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L-тироксин (Т) 1,5 мкг/кг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jc w:val="center"/>
              <w:rPr>
                <w:sz w:val="28"/>
                <w:szCs w:val="28"/>
                <w:lang w:val="uk-UA"/>
              </w:rPr>
            </w:pPr>
            <w:r w:rsidRPr="00BE086B">
              <w:rPr>
                <w:sz w:val="28"/>
                <w:szCs w:val="28"/>
                <w:lang w:val="uk-UA"/>
              </w:rPr>
              <w:t>122,08</w:t>
            </w:r>
          </w:p>
          <w:p w:rsidR="00AF418B" w:rsidRPr="00BE086B" w:rsidRDefault="00AF418B" w:rsidP="00CA490A">
            <w:pPr>
              <w:jc w:val="center"/>
              <w:rPr>
                <w:sz w:val="28"/>
                <w:szCs w:val="28"/>
                <w:lang w:val="uk-UA"/>
              </w:rPr>
            </w:pPr>
            <w:r w:rsidRPr="00BE086B">
              <w:rPr>
                <w:sz w:val="28"/>
                <w:szCs w:val="28"/>
                <w:lang w:val="uk-UA"/>
              </w:rPr>
              <w:t>±0,99</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117,96#</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±1,22</w:t>
            </w:r>
          </w:p>
        </w:tc>
      </w:tr>
      <w:tr w:rsidR="00AF418B" w:rsidRPr="00BE086B" w:rsidTr="00711BB4">
        <w:trPr>
          <w:trHeight w:val="701"/>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10 мг/кг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122,04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±1,11</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92,74#*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±2,44</w:t>
            </w:r>
          </w:p>
        </w:tc>
      </w:tr>
      <w:tr w:rsidR="00AF418B" w:rsidRPr="00BE086B" w:rsidTr="00711BB4">
        <w:trPr>
          <w:trHeight w:val="792"/>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 L-тироксин (Т)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121,78</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±1,28</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85,76#*</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±1,10</w:t>
            </w:r>
          </w:p>
        </w:tc>
      </w:tr>
      <w:tr w:rsidR="00AF418B" w:rsidRPr="00BE086B" w:rsidTr="00711BB4">
        <w:trPr>
          <w:trHeight w:val="736"/>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711BB4">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 група ЕГ + ЕОА + ібупрофен (І)</w:t>
            </w:r>
            <w:r w:rsidR="00711B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5 мг/кг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121,7</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±1,18</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97,84#*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±2,34</w:t>
            </w:r>
          </w:p>
        </w:tc>
      </w:tr>
      <w:tr w:rsidR="00AF418B" w:rsidRPr="00BE086B" w:rsidTr="00711BB4">
        <w:trPr>
          <w:trHeight w:val="705"/>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 + L-тироксин (Т)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122,1</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±1,10</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95,04#*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±1,06</w:t>
            </w:r>
          </w:p>
        </w:tc>
      </w:tr>
      <w:tr w:rsidR="00AF418B" w:rsidRPr="00BE086B" w:rsidTr="00711BB4">
        <w:trPr>
          <w:trHeight w:val="701"/>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10 мг/кг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121,64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±1,45</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110,8#*</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±1,40</w:t>
            </w:r>
          </w:p>
        </w:tc>
      </w:tr>
      <w:tr w:rsidR="00AF418B" w:rsidRPr="00BE086B" w:rsidTr="00711BB4">
        <w:trPr>
          <w:trHeight w:val="696"/>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 L-тироксин (Т)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122,38</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±1,05</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104,42#*</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±1,65</w:t>
            </w:r>
          </w:p>
        </w:tc>
      </w:tr>
      <w:tr w:rsidR="00AF418B" w:rsidRPr="00BE086B" w:rsidTr="00711BB4">
        <w:trPr>
          <w:trHeight w:val="706"/>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150 мг/кг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121,86</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±0,89</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120,74#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±1,21</w:t>
            </w:r>
          </w:p>
        </w:tc>
      </w:tr>
      <w:tr w:rsidR="00AF418B" w:rsidRPr="00BE086B" w:rsidTr="00711BB4">
        <w:trPr>
          <w:trHeight w:val="689"/>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 L-тироксин (Т)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121,58</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±1,20</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117,1#</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±1,24</w:t>
            </w:r>
          </w:p>
        </w:tc>
      </w:tr>
      <w:tr w:rsidR="00AF418B" w:rsidRPr="00BE086B" w:rsidTr="00711BB4">
        <w:trPr>
          <w:trHeight w:val="757"/>
          <w:jc w:val="center"/>
        </w:trPr>
        <w:tc>
          <w:tcPr>
            <w:tcW w:w="3881" w:type="dxa"/>
            <w:tcBorders>
              <w:top w:val="dotted" w:sz="4" w:space="0" w:color="000000"/>
              <w:left w:val="dotted" w:sz="4" w:space="0" w:color="000000"/>
              <w:bottom w:val="dotted" w:sz="4" w:space="0" w:color="000000"/>
            </w:tcBorders>
            <w:shd w:val="clear" w:color="auto" w:fill="FFFFFF"/>
          </w:tcPr>
          <w:p w:rsidR="00AF418B" w:rsidRPr="00BE086B" w:rsidRDefault="00AF418B" w:rsidP="00711BB4">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w:t>
            </w:r>
            <w:r w:rsidR="00711BB4"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80 мг/кг (n=10)</w:t>
            </w:r>
          </w:p>
        </w:tc>
        <w:tc>
          <w:tcPr>
            <w:tcW w:w="2268" w:type="dxa"/>
            <w:tcBorders>
              <w:top w:val="dotted" w:sz="4" w:space="0" w:color="000000"/>
              <w:left w:val="dotted" w:sz="4" w:space="0" w:color="000000"/>
              <w:bottom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122,12</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±0,93</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110,98#*</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±1,07</w:t>
            </w:r>
          </w:p>
        </w:tc>
      </w:tr>
    </w:tbl>
    <w:p w:rsidR="00711BB4" w:rsidRPr="00BE086B" w:rsidRDefault="00711BB4" w:rsidP="005316D2">
      <w:pPr>
        <w:pStyle w:val="western"/>
        <w:spacing w:before="0" w:after="0" w:line="360" w:lineRule="auto"/>
        <w:ind w:firstLine="709"/>
        <w:jc w:val="both"/>
        <w:rPr>
          <w:rFonts w:ascii="Times New Roman" w:hAnsi="Times New Roman" w:cs="Times New Roman"/>
          <w:b/>
          <w:color w:val="auto"/>
          <w:kern w:val="28"/>
          <w:sz w:val="28"/>
          <w:szCs w:val="28"/>
          <w:lang w:val="uk-UA"/>
        </w:rPr>
      </w:pPr>
    </w:p>
    <w:p w:rsidR="00711BB4" w:rsidRPr="00BE086B" w:rsidRDefault="00711BB4" w:rsidP="00711BB4">
      <w:pPr>
        <w:pStyle w:val="af0"/>
        <w:spacing w:line="240" w:lineRule="auto"/>
        <w:jc w:val="right"/>
        <w:rPr>
          <w:i/>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5.3</w:t>
      </w:r>
    </w:p>
    <w:tbl>
      <w:tblPr>
        <w:tblW w:w="0" w:type="auto"/>
        <w:jc w:val="center"/>
        <w:tblLayout w:type="fixed"/>
        <w:tblCellMar>
          <w:left w:w="10" w:type="dxa"/>
          <w:right w:w="10" w:type="dxa"/>
        </w:tblCellMar>
        <w:tblLook w:val="0000" w:firstRow="0" w:lastRow="0" w:firstColumn="0" w:lastColumn="0" w:noHBand="0" w:noVBand="0"/>
      </w:tblPr>
      <w:tblGrid>
        <w:gridCol w:w="3881"/>
        <w:gridCol w:w="2268"/>
        <w:gridCol w:w="2159"/>
      </w:tblGrid>
      <w:tr w:rsidR="00851285" w:rsidRPr="00BE086B" w:rsidTr="00851285">
        <w:trPr>
          <w:trHeight w:val="208"/>
          <w:jc w:val="center"/>
        </w:trPr>
        <w:tc>
          <w:tcPr>
            <w:tcW w:w="3881" w:type="dxa"/>
            <w:tcBorders>
              <w:top w:val="dotted" w:sz="4" w:space="0" w:color="000000"/>
              <w:left w:val="dotted" w:sz="4" w:space="0" w:color="000000"/>
              <w:bottom w:val="dotted" w:sz="4" w:space="0" w:color="000000"/>
            </w:tcBorders>
            <w:shd w:val="clear" w:color="auto" w:fill="FFFFFF"/>
          </w:tcPr>
          <w:p w:rsidR="00851285" w:rsidRPr="00BE086B" w:rsidRDefault="00851285"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268" w:type="dxa"/>
            <w:tcBorders>
              <w:top w:val="dotted" w:sz="4" w:space="0" w:color="000000"/>
              <w:left w:val="dotted" w:sz="4" w:space="0" w:color="000000"/>
              <w:bottom w:val="dotted" w:sz="4" w:space="0" w:color="000000"/>
            </w:tcBorders>
            <w:shd w:val="clear" w:color="auto" w:fill="FFFFFF"/>
          </w:tcPr>
          <w:p w:rsidR="00851285" w:rsidRPr="00BE086B" w:rsidRDefault="00851285"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851285" w:rsidRPr="00BE086B" w:rsidRDefault="00851285"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3</w:t>
            </w:r>
          </w:p>
        </w:tc>
      </w:tr>
      <w:tr w:rsidR="0014682B" w:rsidRPr="00BE086B" w:rsidTr="00335630">
        <w:trPr>
          <w:trHeight w:val="638"/>
          <w:jc w:val="center"/>
        </w:trPr>
        <w:tc>
          <w:tcPr>
            <w:tcW w:w="3881" w:type="dxa"/>
            <w:tcBorders>
              <w:top w:val="dotted" w:sz="4" w:space="0" w:color="000000"/>
              <w:left w:val="dotted" w:sz="4" w:space="0" w:color="000000"/>
              <w:bottom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 L-тироксин (Т) (n=10)</w:t>
            </w:r>
          </w:p>
        </w:tc>
        <w:tc>
          <w:tcPr>
            <w:tcW w:w="2268" w:type="dxa"/>
            <w:tcBorders>
              <w:top w:val="dotted" w:sz="4" w:space="0" w:color="000000"/>
              <w:left w:val="dotted" w:sz="4" w:space="0" w:color="000000"/>
              <w:bottom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121,84</w:t>
            </w:r>
          </w:p>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±1,17</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104,48#*</w:t>
            </w:r>
          </w:p>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±1,47</w:t>
            </w:r>
          </w:p>
        </w:tc>
      </w:tr>
      <w:tr w:rsidR="0014682B" w:rsidRPr="00BE086B" w:rsidTr="00335630">
        <w:trPr>
          <w:trHeight w:val="658"/>
          <w:jc w:val="center"/>
        </w:trPr>
        <w:tc>
          <w:tcPr>
            <w:tcW w:w="3881" w:type="dxa"/>
            <w:tcBorders>
              <w:top w:val="dotted" w:sz="4" w:space="0" w:color="000000"/>
              <w:left w:val="dotted" w:sz="4" w:space="0" w:color="000000"/>
              <w:bottom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50 мг/кг (n=10)</w:t>
            </w:r>
          </w:p>
        </w:tc>
        <w:tc>
          <w:tcPr>
            <w:tcW w:w="2268" w:type="dxa"/>
            <w:tcBorders>
              <w:top w:val="dotted" w:sz="4" w:space="0" w:color="000000"/>
              <w:left w:val="dotted" w:sz="4" w:space="0" w:color="000000"/>
              <w:bottom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122,02</w:t>
            </w:r>
          </w:p>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±1,12</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114,42#</w:t>
            </w:r>
          </w:p>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±1,51</w:t>
            </w:r>
          </w:p>
        </w:tc>
      </w:tr>
      <w:tr w:rsidR="0014682B" w:rsidRPr="00BE086B" w:rsidTr="00335630">
        <w:trPr>
          <w:trHeight w:val="743"/>
          <w:jc w:val="center"/>
        </w:trPr>
        <w:tc>
          <w:tcPr>
            <w:tcW w:w="3881" w:type="dxa"/>
            <w:tcBorders>
              <w:top w:val="dotted" w:sz="4" w:space="0" w:color="000000"/>
              <w:left w:val="dotted" w:sz="4" w:space="0" w:color="000000"/>
              <w:bottom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+L-тироксин (Т) (n=10)</w:t>
            </w:r>
          </w:p>
        </w:tc>
        <w:tc>
          <w:tcPr>
            <w:tcW w:w="2268" w:type="dxa"/>
            <w:tcBorders>
              <w:top w:val="dotted" w:sz="4" w:space="0" w:color="000000"/>
              <w:left w:val="dotted" w:sz="4" w:space="0" w:color="000000"/>
              <w:bottom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122,54</w:t>
            </w:r>
          </w:p>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±0,73</w:t>
            </w:r>
          </w:p>
        </w:tc>
        <w:tc>
          <w:tcPr>
            <w:tcW w:w="2159" w:type="dxa"/>
            <w:tcBorders>
              <w:top w:val="dotted" w:sz="4" w:space="0" w:color="000000"/>
              <w:left w:val="dotted" w:sz="4" w:space="0" w:color="000000"/>
              <w:bottom w:val="dotted" w:sz="4" w:space="0" w:color="000000"/>
              <w:right w:val="dotted" w:sz="4" w:space="0" w:color="000000"/>
            </w:tcBorders>
            <w:shd w:val="clear" w:color="auto" w:fill="FFFFFF"/>
          </w:tcPr>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112,82#*</w:t>
            </w:r>
          </w:p>
          <w:p w:rsidR="0014682B" w:rsidRPr="00BE086B" w:rsidRDefault="0014682B"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±1,22</w:t>
            </w:r>
          </w:p>
        </w:tc>
      </w:tr>
    </w:tbl>
    <w:p w:rsidR="00AF418B" w:rsidRPr="00BE086B" w:rsidRDefault="00AF418B" w:rsidP="005316D2">
      <w:pPr>
        <w:pStyle w:val="western"/>
        <w:spacing w:before="0"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b/>
          <w:color w:val="auto"/>
          <w:kern w:val="28"/>
          <w:sz w:val="28"/>
          <w:szCs w:val="28"/>
          <w:lang w:val="uk-UA"/>
        </w:rPr>
        <w:t>Примітка:</w:t>
      </w:r>
      <w:r w:rsidRPr="00BE086B">
        <w:rPr>
          <w:rFonts w:ascii="Times New Roman" w:hAnsi="Times New Roman" w:cs="Times New Roman"/>
          <w:color w:val="auto"/>
          <w:kern w:val="28"/>
          <w:sz w:val="28"/>
          <w:szCs w:val="28"/>
          <w:lang w:val="uk-UA"/>
        </w:rPr>
        <w:t xml:space="preserve"> # - значення достовірні (р &lt; 0,05) по відношенню до відповідного показника I групи (ЕГ + ЕОА - без «лікування»);</w:t>
      </w:r>
      <w:r w:rsidR="00851285"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 значення достовірні (р &lt; 0,05) по відношенню до відповідного показника II групи</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ЕГ + ЕОА</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L-тироксин</w:t>
      </w:r>
      <w:r w:rsidRPr="00BE086B">
        <w:rPr>
          <w:rFonts w:ascii="Times New Roman" w:hAnsi="Times New Roman" w:cs="Times New Roman"/>
          <w:color w:val="auto"/>
          <w:kern w:val="28"/>
          <w:sz w:val="28"/>
          <w:szCs w:val="28"/>
        </w:rPr>
        <w:t>)</w:t>
      </w:r>
      <w:r w:rsidRPr="00BE086B">
        <w:rPr>
          <w:rFonts w:ascii="Times New Roman" w:hAnsi="Times New Roman" w:cs="Times New Roman"/>
          <w:color w:val="auto"/>
          <w:kern w:val="28"/>
          <w:sz w:val="28"/>
          <w:szCs w:val="28"/>
          <w:lang w:val="uk-UA"/>
        </w:rPr>
        <w:t>.</w:t>
      </w:r>
    </w:p>
    <w:p w:rsidR="00AF418B" w:rsidRPr="00BE086B" w:rsidRDefault="00AF418B" w:rsidP="005316D2">
      <w:pPr>
        <w:pStyle w:val="western"/>
        <w:spacing w:before="0"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табл. 5.3 висвітлені зміни рівня маркеру СТХ-І у сироватці крові щурів під впливом призначення НПЗЗ, парацетамолу та L-тироксину. Так, у ІІІ групі ЕГ + ЕОА + диклофенак натрію визначено на 47 добу експерименту достовірне зниження рівня СТХ-І у 1,32 рази (р &lt; 0,05). При сумісному призначені диклофенаку натрію з L-тироксином (ІV група) на 47 добу на фоні експериментальних патологій визначено достовірне зниження рівня СТХ-І у 1,42 рази (р &lt; 0,05) (рис. 5.10).</w:t>
      </w:r>
    </w:p>
    <w:p w:rsidR="00EE57D8" w:rsidRPr="00BE086B" w:rsidRDefault="00EE57D8" w:rsidP="00EE57D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 призначені ібупрофену (V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на 47 добу визначено достовірне зниження рівня СТХ І у 1,24 рази (р &lt; 0,05). Сумісне призначення ібупрофену та L-тироксину (VІ група) на 47 добу виявило достовірне зниження рівня СТХ І у 1,28 рази (р &lt; 0,05) (рис. 5.10).</w:t>
      </w:r>
    </w:p>
    <w:p w:rsidR="00EE57D8" w:rsidRPr="00BE086B" w:rsidRDefault="00EE57D8" w:rsidP="00EE57D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VІІ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на 47 добу визначено достовірне зниження рівня СТХ І у 1,1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 L-тироксин на 47 добу визначено достовірне зниження рівня СТХ І у 1,17 рази (р &lt; 0,05) (рис. 5.10).</w:t>
      </w:r>
    </w:p>
    <w:p w:rsidR="00EE57D8" w:rsidRPr="00BE086B" w:rsidRDefault="00EE57D8" w:rsidP="00EE57D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Призначення парацетамолу (ІХ група ЕГ + ЕОА + парацетамол) на 47 добу призвело до достовірного зниження рівня СТХ І у 1,01 рази (р &lt; 0,05). При сумісному призначені з L-тироксином (Х група ЕГ + ЕОА + парацетамол </w:t>
      </w:r>
      <w:r w:rsidRPr="00BE086B">
        <w:rPr>
          <w:rFonts w:ascii="Times New Roman" w:hAnsi="Times New Roman" w:cs="Times New Roman"/>
          <w:color w:val="auto"/>
          <w:sz w:val="28"/>
          <w:szCs w:val="28"/>
          <w:lang w:val="uk-UA"/>
        </w:rPr>
        <w:lastRenderedPageBreak/>
        <w:t>+</w:t>
      </w:r>
      <w:r w:rsidR="0085128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L-тироксин) визначено достовірне зниження рівня СТХ І у 1,04 рази (р &lt; 0,05) (рис. 5.10).</w:t>
      </w:r>
    </w:p>
    <w:p w:rsidR="00F27D84" w:rsidRDefault="00E530F5" w:rsidP="004B6204">
      <w:pPr>
        <w:spacing w:line="360" w:lineRule="auto"/>
        <w:jc w:val="center"/>
        <w:rPr>
          <w:b/>
          <w:noProof/>
          <w:sz w:val="28"/>
          <w:szCs w:val="28"/>
          <w:lang w:val="uk-UA" w:eastAsia="ru-RU"/>
        </w:rPr>
      </w:pPr>
      <w:r>
        <w:rPr>
          <w:b/>
          <w:noProof/>
          <w:sz w:val="28"/>
          <w:szCs w:val="28"/>
          <w:lang w:eastAsia="ru-RU"/>
        </w:rPr>
        <w:drawing>
          <wp:inline distT="0" distB="0" distL="0" distR="0">
            <wp:extent cx="5947200" cy="32976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5.10.jpg"/>
                    <pic:cNvPicPr/>
                  </pic:nvPicPr>
                  <pic:blipFill>
                    <a:blip r:embed="rId37">
                      <a:extLst>
                        <a:ext uri="{28A0092B-C50C-407E-A947-70E740481C1C}">
                          <a14:useLocalDpi xmlns:a14="http://schemas.microsoft.com/office/drawing/2010/main" val="0"/>
                        </a:ext>
                      </a:extLst>
                    </a:blip>
                    <a:stretch>
                      <a:fillRect/>
                    </a:stretch>
                  </pic:blipFill>
                  <pic:spPr>
                    <a:xfrm>
                      <a:off x="0" y="0"/>
                      <a:ext cx="5947200" cy="3297600"/>
                    </a:xfrm>
                    <a:prstGeom prst="rect">
                      <a:avLst/>
                    </a:prstGeom>
                  </pic:spPr>
                </pic:pic>
              </a:graphicData>
            </a:graphic>
          </wp:inline>
        </w:drawing>
      </w:r>
    </w:p>
    <w:p w:rsidR="00F27D84" w:rsidRDefault="00F27D84" w:rsidP="00F27D84">
      <w:pPr>
        <w:spacing w:line="360" w:lineRule="auto"/>
        <w:jc w:val="both"/>
        <w:rPr>
          <w:b/>
          <w:noProof/>
          <w:sz w:val="28"/>
          <w:szCs w:val="28"/>
          <w:lang w:val="uk-UA" w:eastAsia="ru-RU"/>
        </w:rPr>
      </w:pPr>
    </w:p>
    <w:p w:rsidR="00AF418B" w:rsidRPr="00BE086B" w:rsidRDefault="00AF418B" w:rsidP="00F27D84">
      <w:pPr>
        <w:spacing w:line="360" w:lineRule="auto"/>
        <w:ind w:firstLine="709"/>
        <w:jc w:val="both"/>
        <w:rPr>
          <w:sz w:val="28"/>
          <w:szCs w:val="28"/>
        </w:rPr>
      </w:pPr>
      <w:r w:rsidRPr="00BE086B">
        <w:rPr>
          <w:b/>
          <w:noProof/>
          <w:sz w:val="28"/>
          <w:szCs w:val="28"/>
          <w:lang w:val="uk-UA" w:eastAsia="ru-RU"/>
        </w:rPr>
        <w:t>Рис. 5.10.</w:t>
      </w:r>
      <w:r w:rsidRPr="00BE086B">
        <w:rPr>
          <w:noProof/>
          <w:sz w:val="28"/>
          <w:szCs w:val="28"/>
          <w:lang w:val="uk-UA" w:eastAsia="ru-RU"/>
        </w:rPr>
        <w:t xml:space="preserve"> Зміни рівня </w:t>
      </w:r>
      <w:r w:rsidRPr="00BE086B">
        <w:rPr>
          <w:sz w:val="28"/>
          <w:szCs w:val="28"/>
          <w:lang w:val="uk-UA"/>
        </w:rPr>
        <w:t xml:space="preserve">СТХ І </w:t>
      </w:r>
      <w:r w:rsidRPr="00BE086B">
        <w:rPr>
          <w:noProof/>
          <w:sz w:val="28"/>
          <w:szCs w:val="28"/>
          <w:lang w:val="uk-UA" w:eastAsia="ru-RU"/>
        </w:rPr>
        <w:t xml:space="preserve">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p>
    <w:p w:rsidR="00AF418B" w:rsidRPr="00BE086B" w:rsidRDefault="00AF418B" w:rsidP="00F27D84">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ХІ групі ЕГ + ЕОА + німесулід на 47 добу експерименту визначено достовірне зниження рівня СТХ І у 1,1 рази (р &lt; 0,05). При призначені німесуліду та L-тироксину (ХІІ група ЕГ + ЕОА + німесулід +L-тироксин) визначено достовірне зниження рівня СТХ І у 1,17 рази (р &lt; 0,05).</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Призначення целекоксибу (ХІІІ група ЕГ + ЕОА + целекоксиб) визначило достовірне зниження рівня СТХ І у 1,07 рази (р &lt; 0,05). При призначені целекоксибу та L-тироксину (ХІV група ЕГ + ЕОА + целекоксиб +L-тироксин) визначено достовірне зниження рівня СТХ І у 1,09 рази (р &lt; 0,05) (рис. 5.10).</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підставі отриманих даних встановлено, що у групах експериментальних тварин, які отримували ЛЗ сумісно з L-тироксином </w:t>
      </w:r>
      <w:r w:rsidRPr="00BE086B">
        <w:rPr>
          <w:rFonts w:ascii="Times New Roman" w:hAnsi="Times New Roman" w:cs="Times New Roman"/>
          <w:color w:val="auto"/>
          <w:sz w:val="28"/>
          <w:szCs w:val="28"/>
          <w:lang w:val="uk-UA"/>
        </w:rPr>
        <w:lastRenderedPageBreak/>
        <w:t>визначено більше зниження рівня маркеру СТХ І ніж при монотерапії (табл. 5.3) (рис. 5.10).</w:t>
      </w:r>
    </w:p>
    <w:p w:rsidR="00AF418B" w:rsidRPr="00BE086B" w:rsidRDefault="00AF418B" w:rsidP="005316D2">
      <w:pPr>
        <w:pStyle w:val="western"/>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Так, при сумісному призначені диклофенаку натрію з L-тироксином (ІV група) на 47 добу на фоні експериментальних патологій визначено достовірне зниження рівня СТХ І у 1,42 рази (р &lt; 0,05). Сумісне призначення ібупрофену та L-тироксину (VІ група) на 47 добу виявило достовірне зниження рівня СТХ І у 1,28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 L-тироксин на 47 добу визначено достовірне зниження рівня СТХ І у 1,17 рази (р &lt; 0,05). При сумісному призначені з L-тироксином (Х група ЕГ + ЕОА + парацетамол +L-тироксин) визначено достовірне зниження рівня СТХ І у 1,04 рази (р &lt; 0,05). При призначенні німесуліду та L-тироксину (ХІІ група ЕГ + ЕОА + німесулід +L-тироксин) визначено достовірне зниження рівня СТХ І у 1,17 рази (р &lt; 0,05). При призначенні целекоксибу та L-тироксину (ХІV група ЕГ + ЕОА + целекоксиб +L-тироксин) визначено достовірне зниження рівня СТХ І у 1,09 рази (р &lt; 0,05) (рис. 5.10).</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З огляду на вищевикладене, проведене дослідження має важливе значення для визначення питання про вплив НПЗЗ, парацетамолу та L-тироксину на активність остеобластів та остеокластів під час фармакотерапії проявів ОА на фоні гіпотиреозу та відображає ефективність лікування різними групами НПЗЗ [125].</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підставі отриманих даних встановлено, що у групах експериментальних тварин, які отримували ЛЗ сумісно з L-тироксином визначено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більше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зниження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рівня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маркеру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СТХ І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ніж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при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монотерапії,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що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свідчить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про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доцільність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доповнення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фармакотерапії </w:t>
      </w:r>
      <w:r w:rsidR="004B6204">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експериментальних патологічних станів засобом базової гормональної терапії [125].</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bCs/>
          <w:color w:val="auto"/>
          <w:sz w:val="28"/>
          <w:szCs w:val="28"/>
          <w:lang w:val="uk-UA"/>
        </w:rPr>
        <w:t xml:space="preserve">За ступенем впливу на дегенеративно-дистрофічні процеси у кістковій тканині, які оцінені за рівнем маркеру </w:t>
      </w:r>
      <w:r w:rsidRPr="00BE086B">
        <w:rPr>
          <w:rFonts w:ascii="Times New Roman" w:hAnsi="Times New Roman" w:cs="Times New Roman"/>
          <w:color w:val="auto"/>
          <w:sz w:val="28"/>
          <w:szCs w:val="28"/>
          <w:lang w:val="uk-UA"/>
        </w:rPr>
        <w:t xml:space="preserve">СТХ I у сироватці крові щурів </w:t>
      </w:r>
      <w:r w:rsidRPr="00BE086B">
        <w:rPr>
          <w:rFonts w:ascii="Times New Roman" w:hAnsi="Times New Roman" w:cs="Times New Roman"/>
          <w:bCs/>
          <w:color w:val="auto"/>
          <w:sz w:val="28"/>
          <w:szCs w:val="28"/>
          <w:lang w:val="uk-UA"/>
        </w:rPr>
        <w:t xml:space="preserve">досліджені препарати можна розташувати наступним чином: диклофенак </w:t>
      </w:r>
      <w:r w:rsidRPr="00BE086B">
        <w:rPr>
          <w:rFonts w:ascii="Times New Roman" w:hAnsi="Times New Roman" w:cs="Times New Roman"/>
          <w:bCs/>
          <w:color w:val="auto"/>
          <w:sz w:val="28"/>
          <w:szCs w:val="28"/>
          <w:lang w:val="uk-UA"/>
        </w:rPr>
        <w:lastRenderedPageBreak/>
        <w:t xml:space="preserve">натрію &gt; ібупрофен &gt; німесулід = мелоксикам &gt; целекоксиб &gt; парацетамол </w:t>
      </w:r>
      <w:r w:rsidRPr="00BE086B">
        <w:rPr>
          <w:rFonts w:ascii="Times New Roman" w:hAnsi="Times New Roman" w:cs="Times New Roman"/>
          <w:color w:val="auto"/>
          <w:sz w:val="28"/>
          <w:szCs w:val="28"/>
          <w:lang w:val="uk-UA"/>
        </w:rPr>
        <w:t>[125]</w:t>
      </w:r>
      <w:r w:rsidRPr="00BE086B">
        <w:rPr>
          <w:rFonts w:ascii="Times New Roman" w:hAnsi="Times New Roman" w:cs="Times New Roman"/>
          <w:bCs/>
          <w:color w:val="auto"/>
          <w:sz w:val="28"/>
          <w:szCs w:val="28"/>
          <w:lang w:val="uk-UA"/>
        </w:rPr>
        <w:t>.</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Визначення рівня СТХ I дозволяє оцінити активність остеокластів за кількістю продуктів розпаду колагену I типу на фоні експериментальних еквівалентів остеоартрозу та гіпотиреозу. При остеоартрозі найбільші патологічні зміни виражені у хрящовій тканині ніж у кістковій, внаслідок чого маркер СТХ I має допоміжній характер та відображає ступінь руйнування кісткової тканини на кінцевих стадіях патологічного процесу [125].</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b/>
          <w:color w:val="auto"/>
          <w:sz w:val="28"/>
          <w:szCs w:val="28"/>
          <w:lang w:val="uk-UA"/>
        </w:rPr>
      </w:pPr>
      <w:r w:rsidRPr="00BE086B">
        <w:rPr>
          <w:rFonts w:ascii="Times New Roman" w:hAnsi="Times New Roman" w:cs="Times New Roman"/>
          <w:b/>
          <w:bCs/>
          <w:color w:val="auto"/>
          <w:sz w:val="28"/>
          <w:szCs w:val="28"/>
          <w:lang w:val="uk-UA"/>
        </w:rPr>
        <w:t xml:space="preserve">5.4. </w:t>
      </w:r>
      <w:r w:rsidRPr="00BE086B">
        <w:rPr>
          <w:rFonts w:ascii="Times New Roman" w:hAnsi="Times New Roman" w:cs="Times New Roman"/>
          <w:b/>
          <w:color w:val="auto"/>
          <w:sz w:val="28"/>
          <w:szCs w:val="28"/>
          <w:lang w:val="uk-UA"/>
        </w:rPr>
        <w:t xml:space="preserve">Зміни рівня маркеру СТХ II </w:t>
      </w:r>
      <w:r w:rsidRPr="00BE086B">
        <w:rPr>
          <w:rFonts w:ascii="Times New Roman" w:hAnsi="Times New Roman" w:cs="Times New Roman"/>
          <w:b/>
          <w:bCs/>
          <w:color w:val="auto"/>
          <w:sz w:val="28"/>
          <w:szCs w:val="28"/>
          <w:lang w:val="uk-UA"/>
        </w:rPr>
        <w:t xml:space="preserve">при </w:t>
      </w:r>
      <w:r w:rsidRPr="00BE086B">
        <w:rPr>
          <w:rFonts w:ascii="Times New Roman" w:hAnsi="Times New Roman" w:cs="Times New Roman"/>
          <w:b/>
          <w:color w:val="auto"/>
          <w:sz w:val="28"/>
          <w:szCs w:val="28"/>
          <w:lang w:val="uk-UA"/>
        </w:rPr>
        <w:t>експериментальному остеоартрозі та гіпотиреозі</w:t>
      </w:r>
    </w:p>
    <w:p w:rsidR="00AF418B" w:rsidRPr="00BE086B" w:rsidRDefault="00AF418B" w:rsidP="005316D2">
      <w:pPr>
        <w:pStyle w:val="WW-"/>
        <w:spacing w:after="0" w:line="360" w:lineRule="auto"/>
        <w:ind w:firstLine="709"/>
        <w:jc w:val="both"/>
        <w:rPr>
          <w:rFonts w:ascii="Times New Roman" w:hAnsi="Times New Roman" w:cs="Times New Roman"/>
          <w:b/>
          <w:bCs/>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bCs/>
          <w:color w:val="auto"/>
          <w:sz w:val="28"/>
          <w:szCs w:val="28"/>
          <w:lang w:val="uk-UA"/>
        </w:rPr>
      </w:pPr>
      <w:r w:rsidRPr="00BE086B">
        <w:rPr>
          <w:rFonts w:ascii="Times New Roman" w:hAnsi="Times New Roman" w:cs="Times New Roman"/>
          <w:bCs/>
          <w:color w:val="auto"/>
          <w:sz w:val="28"/>
          <w:szCs w:val="28"/>
          <w:lang w:val="uk-UA"/>
        </w:rPr>
        <w:t xml:space="preserve">У підрозділі описані результати біохімічного дослідження зміни рівня маркеру СТХ-II під впливом призначення нестероїдних протизапальних засобів, парацетамолу </w:t>
      </w:r>
      <w:r w:rsidRPr="00BE086B">
        <w:rPr>
          <w:rFonts w:ascii="Times New Roman" w:hAnsi="Times New Roman" w:cs="Times New Roman"/>
          <w:color w:val="auto"/>
          <w:sz w:val="28"/>
          <w:szCs w:val="28"/>
          <w:lang w:val="uk-UA"/>
        </w:rPr>
        <w:t xml:space="preserve">та L-тироксину </w:t>
      </w:r>
      <w:r w:rsidRPr="00BE086B">
        <w:rPr>
          <w:rFonts w:ascii="Times New Roman" w:hAnsi="Times New Roman" w:cs="Times New Roman"/>
          <w:bCs/>
          <w:color w:val="auto"/>
          <w:sz w:val="28"/>
          <w:szCs w:val="28"/>
          <w:lang w:val="uk-UA"/>
        </w:rPr>
        <w:t>за умов коморбідної патології (експериментального остеоартрозу та гіпотиреозу).</w:t>
      </w:r>
      <w:r w:rsidRPr="00BE086B">
        <w:rPr>
          <w:rFonts w:ascii="Times New Roman" w:hAnsi="Times New Roman" w:cs="Times New Roman"/>
          <w:color w:val="auto"/>
          <w:sz w:val="28"/>
          <w:szCs w:val="28"/>
          <w:lang w:val="uk-UA"/>
        </w:rPr>
        <w:t xml:space="preserve"> [124, 136, 139, 148]</w:t>
      </w:r>
      <w:r w:rsidRPr="00BE086B">
        <w:rPr>
          <w:rFonts w:ascii="Times New Roman" w:hAnsi="Times New Roman" w:cs="Times New Roman"/>
          <w:bCs/>
          <w:color w:val="auto"/>
          <w:sz w:val="28"/>
          <w:szCs w:val="28"/>
          <w:lang w:val="uk-UA"/>
        </w:rPr>
        <w:t>.</w:t>
      </w:r>
    </w:p>
    <w:p w:rsidR="00AF418B" w:rsidRPr="00BE086B" w:rsidRDefault="00AF418B" w:rsidP="003A0991">
      <w:pPr>
        <w:spacing w:line="360" w:lineRule="auto"/>
        <w:ind w:firstLine="709"/>
        <w:jc w:val="both"/>
        <w:rPr>
          <w:sz w:val="28"/>
          <w:szCs w:val="28"/>
          <w:lang w:val="uk-UA"/>
        </w:rPr>
      </w:pPr>
      <w:r w:rsidRPr="00BE086B">
        <w:rPr>
          <w:sz w:val="28"/>
          <w:szCs w:val="28"/>
          <w:lang w:val="uk-UA"/>
        </w:rPr>
        <w:t>При аналізі отриманих результатів встановлено, що зміни рівня кінцевого С-телопептиду колагену ІІ типу (СТХ ІІ) у сироватці крові щурів під впливом призначення НПЗЗ, парацетамолу та L-тироксину відбуваються неоднаково (табл. 5.4).</w:t>
      </w:r>
      <w:r w:rsidR="003A0991" w:rsidRPr="00BE086B">
        <w:rPr>
          <w:sz w:val="28"/>
          <w:szCs w:val="28"/>
          <w:lang w:val="uk-UA"/>
        </w:rPr>
        <w:t xml:space="preserve"> </w:t>
      </w:r>
      <w:r w:rsidRPr="00BE086B">
        <w:rPr>
          <w:sz w:val="28"/>
          <w:szCs w:val="28"/>
          <w:lang w:val="uk-UA"/>
        </w:rPr>
        <w:t>Так, на 42 добу (після закінчення формування експериментальних моделей ОА та ГІТ) у всіх експериментальних групах спостерігався високий рівень маркеру СТХ ІІ, який в групі інтактних щурів (ІЩ) не був визначений, що відображає розвиток патологічних змін під впливом експериментальних моделей та здатність експериментальних моделей впливати на рівень СТХ ІІ сироватки крові щурів (р &lt; 0,05).</w:t>
      </w:r>
      <w:r w:rsidR="003A0991" w:rsidRPr="00BE086B">
        <w:rPr>
          <w:sz w:val="28"/>
          <w:szCs w:val="28"/>
          <w:lang w:val="uk-UA"/>
        </w:rPr>
        <w:t xml:space="preserve"> </w:t>
      </w:r>
      <w:r w:rsidRPr="00BE086B">
        <w:rPr>
          <w:sz w:val="28"/>
          <w:szCs w:val="28"/>
          <w:lang w:val="uk-UA"/>
        </w:rPr>
        <w:t>На 47 добу експерименту у І групі ЕГ + ЕОА (без «лікування») у порівнянні з 42 добою, показник рівня СТХ ІІ збільшився у 1,002 рази (р &lt; 0,05) (табл. 5.4).</w:t>
      </w:r>
    </w:p>
    <w:p w:rsidR="00AF418B" w:rsidRPr="00BE086B" w:rsidRDefault="00AF418B" w:rsidP="00CA490A">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ІІ групі ЕГ + ЕОА + L-тироксин на 47 добу, наприкінці 5-добового введення ЛЗ, що досліджувалися, на фоні призначення L-тироксину спостерігалось достовірне зниження рівнів СТХ ІІ у 1,04 рази (р &lt; 0,05) у </w:t>
      </w:r>
      <w:r w:rsidRPr="00BE086B">
        <w:rPr>
          <w:rFonts w:ascii="Times New Roman" w:hAnsi="Times New Roman" w:cs="Times New Roman"/>
          <w:color w:val="auto"/>
          <w:sz w:val="28"/>
          <w:szCs w:val="28"/>
          <w:lang w:val="uk-UA"/>
        </w:rPr>
        <w:lastRenderedPageBreak/>
        <w:t>порівнянні з 42 добою. Отримані дані відображають вплив L-тироксину на експериментальну патологію - ЕГ + ЕОА (табл. 5.4).</w:t>
      </w:r>
    </w:p>
    <w:p w:rsidR="00AF418B" w:rsidRPr="00BE086B" w:rsidRDefault="00AF418B" w:rsidP="005316D2">
      <w:pPr>
        <w:pStyle w:val="WW-"/>
        <w:spacing w:after="0" w:line="360" w:lineRule="auto"/>
        <w:ind w:firstLine="709"/>
        <w:jc w:val="right"/>
        <w:rPr>
          <w:rFonts w:ascii="Times New Roman" w:hAnsi="Times New Roman" w:cs="Times New Roman"/>
          <w:color w:val="auto"/>
          <w:sz w:val="28"/>
          <w:szCs w:val="28"/>
          <w:lang w:val="uk-UA"/>
        </w:rPr>
      </w:pPr>
      <w:r w:rsidRPr="00BE086B">
        <w:rPr>
          <w:rFonts w:ascii="Times New Roman" w:hAnsi="Times New Roman" w:cs="Times New Roman"/>
          <w:i/>
          <w:color w:val="auto"/>
          <w:sz w:val="28"/>
          <w:szCs w:val="28"/>
          <w:lang w:val="uk-UA"/>
        </w:rPr>
        <w:t>Таблиця 5.4</w:t>
      </w:r>
    </w:p>
    <w:p w:rsidR="00AF418B" w:rsidRPr="00BE086B" w:rsidRDefault="00AF418B" w:rsidP="005316D2">
      <w:pPr>
        <w:pStyle w:val="af3"/>
        <w:spacing w:before="0" w:after="0" w:line="360" w:lineRule="auto"/>
        <w:ind w:firstLine="709"/>
        <w:jc w:val="center"/>
        <w:rPr>
          <w:sz w:val="28"/>
          <w:szCs w:val="28"/>
          <w:lang w:val="uk-UA"/>
        </w:rPr>
      </w:pPr>
      <w:r w:rsidRPr="00BE086B">
        <w:rPr>
          <w:b/>
          <w:sz w:val="28"/>
          <w:szCs w:val="28"/>
          <w:lang w:val="uk-UA"/>
        </w:rPr>
        <w:t xml:space="preserve">Рівень СТХ ІІ сироватки крові щурів на фоні введення ЛЗ </w:t>
      </w:r>
      <w:r w:rsidRPr="00BE086B">
        <w:rPr>
          <w:b/>
          <w:bCs/>
          <w:sz w:val="28"/>
          <w:szCs w:val="28"/>
          <w:lang w:val="uk-UA"/>
        </w:rPr>
        <w:t>при експериментальному остеоартрозі та гіпотиреозі</w:t>
      </w:r>
      <w:r w:rsidRPr="00BE086B">
        <w:rPr>
          <w:b/>
          <w:sz w:val="28"/>
          <w:szCs w:val="28"/>
          <w:lang w:val="uk-UA"/>
        </w:rPr>
        <w:t xml:space="preserve"> </w:t>
      </w:r>
      <w:r w:rsidRPr="00BE086B">
        <w:rPr>
          <w:b/>
          <w:bCs/>
          <w:sz w:val="28"/>
          <w:szCs w:val="28"/>
          <w:lang w:val="uk-UA"/>
        </w:rPr>
        <w:t>(М±m)</w:t>
      </w:r>
    </w:p>
    <w:tbl>
      <w:tblPr>
        <w:tblW w:w="0" w:type="auto"/>
        <w:jc w:val="center"/>
        <w:tblLayout w:type="fixed"/>
        <w:tblCellMar>
          <w:left w:w="10" w:type="dxa"/>
          <w:right w:w="10" w:type="dxa"/>
        </w:tblCellMar>
        <w:tblLook w:val="0000" w:firstRow="0" w:lastRow="0" w:firstColumn="0" w:lastColumn="0" w:noHBand="0" w:noVBand="0"/>
      </w:tblPr>
      <w:tblGrid>
        <w:gridCol w:w="4498"/>
        <w:gridCol w:w="2217"/>
        <w:gridCol w:w="2177"/>
      </w:tblGrid>
      <w:tr w:rsidR="00AF418B" w:rsidRPr="00BE086B" w:rsidTr="00A7341E">
        <w:trPr>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Група, препарат та його доза</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СТХ ІІ</w:t>
            </w:r>
          </w:p>
          <w:p w:rsidR="00AF418B" w:rsidRPr="00BE086B" w:rsidRDefault="00AF418B" w:rsidP="00CA490A">
            <w:pPr>
              <w:pStyle w:val="western"/>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на 42 добу, пг/мл</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СТХ ІІ</w:t>
            </w:r>
          </w:p>
          <w:p w:rsidR="00AF418B" w:rsidRPr="00BE086B" w:rsidRDefault="00AF418B" w:rsidP="00CA490A">
            <w:pPr>
              <w:pStyle w:val="western"/>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на 47 добу, пг/мл</w:t>
            </w:r>
          </w:p>
        </w:tc>
      </w:tr>
      <w:tr w:rsidR="003A0991" w:rsidRPr="00BE086B" w:rsidTr="00A7341E">
        <w:trPr>
          <w:jc w:val="center"/>
        </w:trPr>
        <w:tc>
          <w:tcPr>
            <w:tcW w:w="4498" w:type="dxa"/>
            <w:tcBorders>
              <w:top w:val="single" w:sz="4" w:space="0" w:color="00000A"/>
              <w:left w:val="single" w:sz="4" w:space="0" w:color="00000A"/>
              <w:bottom w:val="single" w:sz="4" w:space="0" w:color="00000A"/>
            </w:tcBorders>
            <w:shd w:val="clear" w:color="auto" w:fill="FFFFFF"/>
          </w:tcPr>
          <w:p w:rsidR="003A0991" w:rsidRPr="00BE086B" w:rsidRDefault="003A0991"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217" w:type="dxa"/>
            <w:tcBorders>
              <w:top w:val="single" w:sz="4" w:space="0" w:color="00000A"/>
              <w:left w:val="single" w:sz="4" w:space="0" w:color="00000A"/>
              <w:bottom w:val="single" w:sz="4" w:space="0" w:color="00000A"/>
            </w:tcBorders>
            <w:shd w:val="clear" w:color="auto" w:fill="FFFFFF"/>
          </w:tcPr>
          <w:p w:rsidR="003A0991" w:rsidRPr="00BE086B" w:rsidRDefault="003A0991" w:rsidP="00CA490A">
            <w:pPr>
              <w:snapToGrid w:val="0"/>
              <w:jc w:val="center"/>
              <w:rPr>
                <w:sz w:val="28"/>
                <w:szCs w:val="28"/>
                <w:lang w:val="uk-UA"/>
              </w:rPr>
            </w:pPr>
            <w:r w:rsidRPr="00BE086B">
              <w:rPr>
                <w:sz w:val="28"/>
                <w:szCs w:val="28"/>
                <w:lang w:val="uk-UA"/>
              </w:rPr>
              <w:t>2</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3A0991" w:rsidRPr="00BE086B" w:rsidRDefault="003A0991" w:rsidP="00CA490A">
            <w:pPr>
              <w:snapToGrid w:val="0"/>
              <w:jc w:val="center"/>
              <w:rPr>
                <w:sz w:val="28"/>
                <w:szCs w:val="28"/>
                <w:lang w:val="uk-UA"/>
              </w:rPr>
            </w:pPr>
            <w:r w:rsidRPr="00BE086B">
              <w:rPr>
                <w:sz w:val="28"/>
                <w:szCs w:val="28"/>
                <w:lang w:val="uk-UA"/>
              </w:rPr>
              <w:t>3</w:t>
            </w:r>
          </w:p>
        </w:tc>
      </w:tr>
      <w:tr w:rsidR="00AF418B" w:rsidRPr="00BE086B" w:rsidTr="00A7341E">
        <w:trPr>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snapToGrid w:val="0"/>
              <w:jc w:val="center"/>
              <w:rPr>
                <w:sz w:val="28"/>
                <w:szCs w:val="28"/>
                <w:lang w:val="uk-UA"/>
              </w:rPr>
            </w:pPr>
            <w:r w:rsidRPr="00BE086B">
              <w:rPr>
                <w:sz w:val="28"/>
                <w:szCs w:val="28"/>
                <w:lang w:val="uk-UA"/>
              </w:rPr>
              <w:t>-</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snapToGrid w:val="0"/>
              <w:jc w:val="center"/>
              <w:rPr>
                <w:sz w:val="28"/>
                <w:szCs w:val="28"/>
                <w:lang w:val="uk-UA"/>
              </w:rPr>
            </w:pPr>
            <w:r w:rsidRPr="00BE086B">
              <w:rPr>
                <w:sz w:val="28"/>
                <w:szCs w:val="28"/>
                <w:lang w:val="uk-UA"/>
              </w:rPr>
              <w:t>-</w:t>
            </w:r>
          </w:p>
        </w:tc>
      </w:tr>
      <w:tr w:rsidR="00AF418B" w:rsidRPr="00BE086B" w:rsidTr="00A7341E">
        <w:trPr>
          <w:jc w:val="center"/>
        </w:trPr>
        <w:tc>
          <w:tcPr>
            <w:tcW w:w="4498" w:type="dxa"/>
            <w:tcBorders>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 група ЕГ+ЕОА (без «лікування») (n=10)</w:t>
            </w:r>
          </w:p>
        </w:tc>
        <w:tc>
          <w:tcPr>
            <w:tcW w:w="2217" w:type="dxa"/>
            <w:tcBorders>
              <w:left w:val="single" w:sz="4" w:space="0" w:color="00000A"/>
              <w:bottom w:val="single" w:sz="4" w:space="0" w:color="00000A"/>
            </w:tcBorders>
            <w:shd w:val="clear" w:color="auto" w:fill="FFFFFF"/>
          </w:tcPr>
          <w:p w:rsidR="00AF418B" w:rsidRPr="00BE086B" w:rsidRDefault="00AF418B" w:rsidP="00CA490A">
            <w:pPr>
              <w:jc w:val="center"/>
              <w:rPr>
                <w:sz w:val="28"/>
                <w:szCs w:val="28"/>
                <w:lang w:val="uk-UA"/>
              </w:rPr>
            </w:pPr>
            <w:r w:rsidRPr="00BE086B">
              <w:rPr>
                <w:sz w:val="28"/>
                <w:szCs w:val="28"/>
                <w:lang w:val="uk-UA"/>
              </w:rPr>
              <w:t>294,9</w:t>
            </w:r>
          </w:p>
          <w:p w:rsidR="00AF418B" w:rsidRPr="00BE086B" w:rsidRDefault="00AF418B" w:rsidP="00CA490A">
            <w:pPr>
              <w:jc w:val="center"/>
              <w:rPr>
                <w:sz w:val="28"/>
                <w:szCs w:val="28"/>
                <w:lang w:val="uk-UA"/>
              </w:rPr>
            </w:pPr>
            <w:r w:rsidRPr="00BE086B">
              <w:rPr>
                <w:sz w:val="28"/>
                <w:szCs w:val="28"/>
                <w:lang w:val="uk-UA"/>
              </w:rPr>
              <w:t>±1,27</w:t>
            </w:r>
          </w:p>
        </w:tc>
        <w:tc>
          <w:tcPr>
            <w:tcW w:w="2177" w:type="dxa"/>
            <w:tcBorders>
              <w:left w:val="single" w:sz="4" w:space="0" w:color="00000A"/>
              <w:bottom w:val="single" w:sz="4" w:space="0" w:color="00000A"/>
              <w:right w:val="single" w:sz="4" w:space="0" w:color="00000A"/>
            </w:tcBorders>
            <w:shd w:val="clear" w:color="auto" w:fill="FFFFFF"/>
          </w:tcPr>
          <w:p w:rsidR="00AF418B" w:rsidRPr="00BE086B" w:rsidRDefault="00AF418B" w:rsidP="00CA490A">
            <w:pPr>
              <w:jc w:val="center"/>
              <w:rPr>
                <w:sz w:val="28"/>
                <w:szCs w:val="28"/>
                <w:lang w:val="uk-UA"/>
              </w:rPr>
            </w:pPr>
            <w:r w:rsidRPr="00BE086B">
              <w:rPr>
                <w:sz w:val="28"/>
                <w:szCs w:val="28"/>
                <w:lang w:val="uk-UA"/>
              </w:rPr>
              <w:t>295,5*</w:t>
            </w:r>
          </w:p>
          <w:p w:rsidR="00AF418B" w:rsidRPr="00BE086B" w:rsidRDefault="00AF418B" w:rsidP="00CA490A">
            <w:pPr>
              <w:jc w:val="center"/>
              <w:rPr>
                <w:sz w:val="28"/>
                <w:szCs w:val="28"/>
                <w:lang w:val="uk-UA"/>
              </w:rPr>
            </w:pPr>
            <w:r w:rsidRPr="00BE086B">
              <w:rPr>
                <w:sz w:val="28"/>
                <w:szCs w:val="28"/>
                <w:lang w:val="uk-UA"/>
              </w:rPr>
              <w:t>±0,88</w:t>
            </w:r>
          </w:p>
        </w:tc>
      </w:tr>
      <w:tr w:rsidR="00AF418B" w:rsidRPr="00BE086B" w:rsidTr="00A7341E">
        <w:trPr>
          <w:trHeight w:val="649"/>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L-тироксин (Т)</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1,5 мкг/кг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jc w:val="center"/>
              <w:rPr>
                <w:sz w:val="28"/>
                <w:szCs w:val="28"/>
                <w:lang w:val="uk-UA"/>
              </w:rPr>
            </w:pPr>
            <w:r w:rsidRPr="00BE086B">
              <w:rPr>
                <w:sz w:val="28"/>
                <w:szCs w:val="28"/>
                <w:lang w:val="uk-UA"/>
              </w:rPr>
              <w:t>294,8</w:t>
            </w:r>
          </w:p>
          <w:p w:rsidR="00AF418B" w:rsidRPr="00BE086B" w:rsidRDefault="00AF418B" w:rsidP="00CA490A">
            <w:pPr>
              <w:jc w:val="center"/>
              <w:rPr>
                <w:sz w:val="28"/>
                <w:szCs w:val="28"/>
                <w:lang w:val="uk-UA"/>
              </w:rPr>
            </w:pPr>
            <w:r w:rsidRPr="00BE086B">
              <w:rPr>
                <w:sz w:val="28"/>
                <w:szCs w:val="28"/>
                <w:lang w:val="uk-UA"/>
              </w:rPr>
              <w:t>±0,95</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282,8#</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±2,63</w:t>
            </w:r>
          </w:p>
        </w:tc>
      </w:tr>
      <w:tr w:rsidR="00AF418B" w:rsidRPr="00BE086B" w:rsidTr="00A7341E">
        <w:trPr>
          <w:trHeight w:val="701"/>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10 мг/кг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295,0#*</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232,2#*</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±1,38</w:t>
            </w:r>
          </w:p>
        </w:tc>
      </w:tr>
      <w:tr w:rsidR="00AF418B" w:rsidRPr="00BE086B" w:rsidTr="00A7341E">
        <w:trPr>
          <w:trHeight w:val="696"/>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 L-тироксин (Т)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294,9</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±0,91</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227,0#*</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±1,08</w:t>
            </w:r>
          </w:p>
        </w:tc>
      </w:tr>
      <w:tr w:rsidR="00AF418B" w:rsidRPr="00BE086B" w:rsidTr="00A7341E">
        <w:trPr>
          <w:trHeight w:val="693"/>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 мг/кг (n=10)</w:t>
            </w:r>
          </w:p>
        </w:tc>
        <w:tc>
          <w:tcPr>
            <w:tcW w:w="2217" w:type="dxa"/>
            <w:tcBorders>
              <w:top w:val="single" w:sz="4" w:space="0" w:color="00000A"/>
              <w:lef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295,3#*</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±0,91</w:t>
            </w:r>
          </w:p>
        </w:tc>
        <w:tc>
          <w:tcPr>
            <w:tcW w:w="2177" w:type="dxa"/>
            <w:tcBorders>
              <w:top w:val="single" w:sz="4" w:space="0" w:color="00000A"/>
              <w:left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220,4#*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±1,55</w:t>
            </w:r>
          </w:p>
        </w:tc>
      </w:tr>
      <w:tr w:rsidR="00AF418B" w:rsidRPr="00BE086B" w:rsidTr="00A7341E">
        <w:trPr>
          <w:trHeight w:val="703"/>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 + L-тироксин (Т) (n=10)</w:t>
            </w:r>
          </w:p>
        </w:tc>
        <w:tc>
          <w:tcPr>
            <w:tcW w:w="2217" w:type="dxa"/>
            <w:tcBorders>
              <w:top w:val="single" w:sz="4" w:space="0" w:color="00000A"/>
              <w:lef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295,2#*</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±1,23</w:t>
            </w:r>
          </w:p>
        </w:tc>
        <w:tc>
          <w:tcPr>
            <w:tcW w:w="2177" w:type="dxa"/>
            <w:tcBorders>
              <w:top w:val="single" w:sz="4" w:space="0" w:color="00000A"/>
              <w:left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216,0#*</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±1,05</w:t>
            </w:r>
          </w:p>
        </w:tc>
      </w:tr>
      <w:tr w:rsidR="00AF418B" w:rsidRPr="00BE086B" w:rsidTr="00A7341E">
        <w:trPr>
          <w:trHeight w:val="699"/>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10 мг/кг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295,3#*</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±1,09</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213,4#*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±1,96</w:t>
            </w:r>
          </w:p>
        </w:tc>
      </w:tr>
      <w:tr w:rsidR="00AF418B" w:rsidRPr="00BE086B" w:rsidTr="00A7341E">
        <w:trPr>
          <w:trHeight w:val="694"/>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 L-тироксин (Т)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295,1#*</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±1,24</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207,6#*</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±1,18</w:t>
            </w:r>
          </w:p>
        </w:tc>
      </w:tr>
      <w:tr w:rsidR="00AF418B" w:rsidRPr="00BE086B" w:rsidTr="00A7341E">
        <w:trPr>
          <w:trHeight w:val="704"/>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150 мг/кг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295,0*</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±1,18</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256,8#*</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±1,93</w:t>
            </w:r>
          </w:p>
        </w:tc>
      </w:tr>
      <w:tr w:rsidR="00AF418B" w:rsidRPr="00BE086B" w:rsidTr="00A7341E">
        <w:trPr>
          <w:trHeight w:val="701"/>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 L-тироксин (Т)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294,6#*</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±1,17</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246,9#*</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±0,99</w:t>
            </w:r>
          </w:p>
        </w:tc>
      </w:tr>
      <w:tr w:rsidR="00AF418B" w:rsidRPr="00BE086B" w:rsidTr="00A7341E">
        <w:trPr>
          <w:trHeight w:val="697"/>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80 мг/кг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295,1#*</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±0,8</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197,4#*</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w:t>
            </w:r>
          </w:p>
        </w:tc>
      </w:tr>
      <w:tr w:rsidR="00AF418B" w:rsidRPr="00BE086B" w:rsidTr="00A7341E">
        <w:trPr>
          <w:trHeight w:val="706"/>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 L-тироксин (Т)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294,5#*</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±0,7</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193,6#*</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±1,19</w:t>
            </w:r>
          </w:p>
        </w:tc>
      </w:tr>
      <w:tr w:rsidR="00AF418B" w:rsidRPr="00BE086B" w:rsidTr="00A7341E">
        <w:trPr>
          <w:trHeight w:val="689"/>
          <w:jc w:val="center"/>
        </w:trPr>
        <w:tc>
          <w:tcPr>
            <w:tcW w:w="4498"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50 мг/кг (n=10)</w:t>
            </w:r>
          </w:p>
        </w:tc>
        <w:tc>
          <w:tcPr>
            <w:tcW w:w="2217" w:type="dxa"/>
            <w:tcBorders>
              <w:top w:val="single" w:sz="4" w:space="0" w:color="00000A"/>
              <w:left w:val="single" w:sz="4" w:space="0" w:color="00000A"/>
              <w:bottom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295,3#*</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±0,8</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204,0#*</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±2,02</w:t>
            </w:r>
          </w:p>
        </w:tc>
      </w:tr>
    </w:tbl>
    <w:p w:rsidR="003A0991" w:rsidRPr="00BE086B" w:rsidRDefault="003A0991" w:rsidP="005124F1">
      <w:pPr>
        <w:pStyle w:val="af0"/>
        <w:spacing w:line="240" w:lineRule="auto"/>
        <w:jc w:val="right"/>
        <w:rPr>
          <w:i/>
          <w:sz w:val="28"/>
          <w:szCs w:val="28"/>
          <w:lang w:val="uk-UA"/>
        </w:rPr>
      </w:pPr>
    </w:p>
    <w:p w:rsidR="003A0991" w:rsidRDefault="003A0991" w:rsidP="005124F1">
      <w:pPr>
        <w:pStyle w:val="af0"/>
        <w:spacing w:line="240" w:lineRule="auto"/>
        <w:jc w:val="right"/>
        <w:rPr>
          <w:i/>
          <w:sz w:val="28"/>
          <w:szCs w:val="28"/>
          <w:lang w:val="uk-UA"/>
        </w:rPr>
      </w:pPr>
    </w:p>
    <w:p w:rsidR="00125A5A" w:rsidRDefault="00125A5A" w:rsidP="005124F1">
      <w:pPr>
        <w:pStyle w:val="af0"/>
        <w:spacing w:line="240" w:lineRule="auto"/>
        <w:jc w:val="right"/>
        <w:rPr>
          <w:i/>
          <w:sz w:val="28"/>
          <w:szCs w:val="28"/>
          <w:lang w:val="uk-UA"/>
        </w:rPr>
      </w:pPr>
    </w:p>
    <w:p w:rsidR="005124F1" w:rsidRPr="00BE086B" w:rsidRDefault="005124F1" w:rsidP="005124F1">
      <w:pPr>
        <w:pStyle w:val="af0"/>
        <w:spacing w:line="240" w:lineRule="auto"/>
        <w:jc w:val="right"/>
        <w:rPr>
          <w:i/>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5.4</w:t>
      </w:r>
    </w:p>
    <w:tbl>
      <w:tblPr>
        <w:tblW w:w="0" w:type="auto"/>
        <w:jc w:val="center"/>
        <w:tblLayout w:type="fixed"/>
        <w:tblCellMar>
          <w:left w:w="10" w:type="dxa"/>
          <w:right w:w="10" w:type="dxa"/>
        </w:tblCellMar>
        <w:tblLook w:val="0000" w:firstRow="0" w:lastRow="0" w:firstColumn="0" w:lastColumn="0" w:noHBand="0" w:noVBand="0"/>
      </w:tblPr>
      <w:tblGrid>
        <w:gridCol w:w="4498"/>
        <w:gridCol w:w="2217"/>
        <w:gridCol w:w="2177"/>
      </w:tblGrid>
      <w:tr w:rsidR="00351234" w:rsidRPr="00BE086B" w:rsidTr="00351234">
        <w:trPr>
          <w:trHeight w:val="208"/>
          <w:jc w:val="center"/>
        </w:trPr>
        <w:tc>
          <w:tcPr>
            <w:tcW w:w="4498" w:type="dxa"/>
            <w:tcBorders>
              <w:top w:val="single" w:sz="4" w:space="0" w:color="00000A"/>
              <w:left w:val="single" w:sz="4" w:space="0" w:color="00000A"/>
              <w:bottom w:val="single" w:sz="4" w:space="0" w:color="00000A"/>
            </w:tcBorders>
            <w:shd w:val="clear" w:color="auto" w:fill="FFFFFF"/>
          </w:tcPr>
          <w:p w:rsidR="00351234" w:rsidRPr="00BE086B" w:rsidRDefault="00351234" w:rsidP="00351234">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217" w:type="dxa"/>
            <w:tcBorders>
              <w:top w:val="single" w:sz="4" w:space="0" w:color="00000A"/>
              <w:left w:val="single" w:sz="4" w:space="0" w:color="00000A"/>
              <w:bottom w:val="single" w:sz="4" w:space="0" w:color="00000A"/>
            </w:tcBorders>
            <w:shd w:val="clear" w:color="auto" w:fill="FFFFFF"/>
          </w:tcPr>
          <w:p w:rsidR="00351234" w:rsidRPr="00BE086B" w:rsidRDefault="00351234" w:rsidP="00351234">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351234" w:rsidRPr="00BE086B" w:rsidRDefault="00351234" w:rsidP="00351234">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3</w:t>
            </w:r>
          </w:p>
        </w:tc>
      </w:tr>
      <w:tr w:rsidR="005124F1" w:rsidRPr="00BE086B" w:rsidTr="00335630">
        <w:trPr>
          <w:trHeight w:val="699"/>
          <w:jc w:val="center"/>
        </w:trPr>
        <w:tc>
          <w:tcPr>
            <w:tcW w:w="4498" w:type="dxa"/>
            <w:tcBorders>
              <w:top w:val="single" w:sz="4" w:space="0" w:color="00000A"/>
              <w:left w:val="single" w:sz="4" w:space="0" w:color="00000A"/>
              <w:bottom w:val="single" w:sz="4" w:space="0" w:color="00000A"/>
            </w:tcBorders>
            <w:shd w:val="clear" w:color="auto" w:fill="FFFFFF"/>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 L-тироксин (Т) (n=10)</w:t>
            </w:r>
          </w:p>
        </w:tc>
        <w:tc>
          <w:tcPr>
            <w:tcW w:w="2217" w:type="dxa"/>
            <w:tcBorders>
              <w:top w:val="single" w:sz="4" w:space="0" w:color="00000A"/>
              <w:left w:val="single" w:sz="4" w:space="0" w:color="00000A"/>
              <w:bottom w:val="single" w:sz="4" w:space="0" w:color="00000A"/>
            </w:tcBorders>
            <w:shd w:val="clear" w:color="auto" w:fill="FFFFFF"/>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294,8</w:t>
            </w:r>
          </w:p>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±1,08</w:t>
            </w:r>
          </w:p>
        </w:tc>
        <w:tc>
          <w:tcPr>
            <w:tcW w:w="2177" w:type="dxa"/>
            <w:tcBorders>
              <w:top w:val="single" w:sz="4" w:space="0" w:color="00000A"/>
              <w:left w:val="single" w:sz="4" w:space="0" w:color="00000A"/>
              <w:bottom w:val="single" w:sz="4" w:space="0" w:color="00000A"/>
              <w:right w:val="single" w:sz="4" w:space="0" w:color="00000A"/>
            </w:tcBorders>
            <w:shd w:val="clear" w:color="auto" w:fill="FFFFFF"/>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201,3#*</w:t>
            </w:r>
          </w:p>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±0,54</w:t>
            </w:r>
          </w:p>
        </w:tc>
      </w:tr>
    </w:tbl>
    <w:p w:rsidR="00AF418B" w:rsidRPr="00BE086B" w:rsidRDefault="00AF418B" w:rsidP="005316D2">
      <w:pPr>
        <w:pStyle w:val="western"/>
        <w:spacing w:before="0"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b/>
          <w:color w:val="auto"/>
          <w:sz w:val="28"/>
          <w:szCs w:val="28"/>
          <w:lang w:val="uk-UA"/>
        </w:rPr>
        <w:t>Примітк</w:t>
      </w:r>
      <w:r w:rsidR="005124F1" w:rsidRPr="00BE086B">
        <w:rPr>
          <w:rFonts w:ascii="Times New Roman" w:hAnsi="Times New Roman" w:cs="Times New Roman"/>
          <w:b/>
          <w:color w:val="auto"/>
          <w:sz w:val="28"/>
          <w:szCs w:val="28"/>
          <w:lang w:val="uk-UA"/>
        </w:rPr>
        <w:t>и</w:t>
      </w:r>
      <w:r w:rsidRPr="00BE086B">
        <w:rPr>
          <w:rFonts w:ascii="Times New Roman" w:hAnsi="Times New Roman" w:cs="Times New Roman"/>
          <w:b/>
          <w:color w:val="auto"/>
          <w:sz w:val="28"/>
          <w:szCs w:val="28"/>
          <w:lang w:val="uk-UA"/>
        </w:rPr>
        <w:t>:</w:t>
      </w:r>
      <w:r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kern w:val="28"/>
          <w:sz w:val="28"/>
          <w:szCs w:val="28"/>
          <w:lang w:val="uk-UA"/>
        </w:rPr>
        <w:t># - значення достовірні (р &lt; 0,05) по відношенню до відповідного показника I групи (ЕГ + ЕОА - без «лікування»);</w:t>
      </w:r>
      <w:r w:rsidR="005124F1"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 значення достовірні (р &lt; 0,05) по відношенню до відповідного показника II групи</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ЕГ + ЕОА</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L-тироксин</w:t>
      </w:r>
      <w:r w:rsidRPr="00BE086B">
        <w:rPr>
          <w:rFonts w:ascii="Times New Roman" w:hAnsi="Times New Roman" w:cs="Times New Roman"/>
          <w:color w:val="auto"/>
          <w:kern w:val="28"/>
          <w:sz w:val="28"/>
          <w:szCs w:val="28"/>
        </w:rPr>
        <w:t>)</w:t>
      </w:r>
      <w:r w:rsidRPr="00BE086B">
        <w:rPr>
          <w:rFonts w:ascii="Times New Roman" w:hAnsi="Times New Roman" w:cs="Times New Roman"/>
          <w:color w:val="auto"/>
          <w:kern w:val="28"/>
          <w:sz w:val="28"/>
          <w:szCs w:val="28"/>
          <w:lang w:val="uk-UA"/>
        </w:rPr>
        <w:t>.</w:t>
      </w:r>
    </w:p>
    <w:p w:rsidR="005124F1" w:rsidRPr="00BE086B" w:rsidRDefault="005124F1"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табл. 5.4 висвітлені зміни рівня маркеру СТХ ІІ у сироватці крові щурів під впливом призначення НПЗЗ, парацетамолу та L-тироксину. Так, у ІІІ групі ЕГ + ЕОА + диклофенак натрію визначено на 47 добу експерименту достовірне зниження рівня СТХ ІІ у 1,27 рази (р &lt; 0,05). При сумісному призначені диклофенаку натрію з L-тироксином (ІV група) на 47 добу на фоні експериментальних патологій визначено достовірне зниження рівня СТХ ІІ у 1,3 рази (р &lt; 0,05) (рис. 5.11).</w:t>
      </w:r>
    </w:p>
    <w:p w:rsidR="00DC72D4" w:rsidRDefault="00E530F5" w:rsidP="00B30266">
      <w:pPr>
        <w:spacing w:line="360" w:lineRule="auto"/>
        <w:jc w:val="center"/>
        <w:rPr>
          <w:noProof/>
          <w:sz w:val="28"/>
          <w:szCs w:val="28"/>
          <w:lang w:eastAsia="ru-RU"/>
        </w:rPr>
      </w:pPr>
      <w:r>
        <w:rPr>
          <w:noProof/>
          <w:sz w:val="28"/>
          <w:szCs w:val="28"/>
          <w:lang w:eastAsia="ru-RU"/>
        </w:rPr>
        <w:drawing>
          <wp:inline distT="0" distB="0" distL="0" distR="0">
            <wp:extent cx="5943600" cy="3258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11.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3258000"/>
                    </a:xfrm>
                    <a:prstGeom prst="rect">
                      <a:avLst/>
                    </a:prstGeom>
                  </pic:spPr>
                </pic:pic>
              </a:graphicData>
            </a:graphic>
          </wp:inline>
        </w:drawing>
      </w:r>
    </w:p>
    <w:p w:rsidR="00AF418B" w:rsidRPr="00BE086B" w:rsidRDefault="00AF418B" w:rsidP="005316D2">
      <w:pPr>
        <w:spacing w:line="360" w:lineRule="auto"/>
        <w:ind w:firstLine="709"/>
        <w:jc w:val="both"/>
        <w:rPr>
          <w:sz w:val="28"/>
          <w:szCs w:val="28"/>
          <w:lang w:val="uk-UA" w:eastAsia="ru-RU"/>
        </w:rPr>
      </w:pPr>
      <w:r w:rsidRPr="00BE086B">
        <w:rPr>
          <w:b/>
          <w:noProof/>
          <w:sz w:val="28"/>
          <w:szCs w:val="28"/>
          <w:lang w:val="uk-UA" w:eastAsia="ru-RU"/>
        </w:rPr>
        <w:t>Рис. 5.11.</w:t>
      </w:r>
      <w:r w:rsidRPr="00BE086B">
        <w:rPr>
          <w:noProof/>
          <w:sz w:val="28"/>
          <w:szCs w:val="28"/>
          <w:lang w:val="uk-UA" w:eastAsia="ru-RU"/>
        </w:rPr>
        <w:t xml:space="preserve"> Зміни рівня </w:t>
      </w:r>
      <w:r w:rsidRPr="00BE086B">
        <w:rPr>
          <w:sz w:val="28"/>
          <w:szCs w:val="28"/>
          <w:lang w:val="uk-UA"/>
        </w:rPr>
        <w:t xml:space="preserve">СТХ ІІ </w:t>
      </w:r>
      <w:r w:rsidRPr="00BE086B">
        <w:rPr>
          <w:noProof/>
          <w:sz w:val="28"/>
          <w:szCs w:val="28"/>
          <w:lang w:val="uk-UA" w:eastAsia="ru-RU"/>
        </w:rPr>
        <w:t xml:space="preserve">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r w:rsidR="008C7AEF" w:rsidRPr="00BE086B">
        <w:rPr>
          <w:bCs/>
          <w:sz w:val="28"/>
          <w:szCs w:val="28"/>
          <w:lang w:val="uk-UA"/>
        </w:rPr>
        <w:t xml:space="preserve"> </w:t>
      </w: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sz w:val="28"/>
          <w:szCs w:val="28"/>
          <w:lang w:val="uk-UA"/>
        </w:rPr>
        <w:lastRenderedPageBreak/>
        <w:t xml:space="preserve">При призначені ібупрофену (V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на 47 добу визначено достовірне зниження рівня СТХ ІІ у 1,34 рази (р &lt; 0,05). Сумісне призначення ібупрофену та L-тироксину (VІ група) на 47 добу виявило достовірне зниження рівня СТХ ІІ у 1,37 рази (р &lt; 0,05) (рис. 5.11).</w:t>
      </w:r>
      <w:r w:rsidR="005124F1"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У VІІ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на 47 добу визначено достовірне зниження рівня СТХ ІІ у 1,38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 L-тироксин на 47 добу визначено достовірне зниження рівня СТХ ІІ у 1,42 рази (р &lt; 0,05) (рис. 5.11).</w:t>
      </w:r>
      <w:r w:rsidR="005124F1"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Призначення парацетамолу (ІХ група ЕГ + ЕОА + парацетамол) на 47 добу призвело до достовірного зниження рівня СТХ ІІ у 1,15 рази (р &lt; 0,05). При сумісному призначені з L-тироксином (Х група ЕГ + ЕОА + парацетамол + L-тироксин</w:t>
      </w:r>
      <w:r w:rsidRPr="00BE086B">
        <w:rPr>
          <w:rFonts w:ascii="Times New Roman" w:hAnsi="Times New Roman" w:cs="Times New Roman"/>
          <w:color w:val="auto"/>
          <w:kern w:val="28"/>
          <w:sz w:val="28"/>
          <w:szCs w:val="28"/>
          <w:lang w:val="uk-UA"/>
        </w:rPr>
        <w:t xml:space="preserve">) визначено достовірне зниження рівня СТХ І у 1,19 рази (р &lt; 0,05) </w:t>
      </w:r>
      <w:r w:rsidRPr="00BE086B">
        <w:rPr>
          <w:rFonts w:ascii="Times New Roman" w:hAnsi="Times New Roman" w:cs="Times New Roman"/>
          <w:color w:val="auto"/>
          <w:sz w:val="28"/>
          <w:szCs w:val="28"/>
          <w:lang w:val="uk-UA"/>
        </w:rPr>
        <w:t>(рис. 5.11)</w:t>
      </w:r>
      <w:r w:rsidRPr="00BE086B">
        <w:rPr>
          <w:rFonts w:ascii="Times New Roman" w:hAnsi="Times New Roman" w:cs="Times New Roman"/>
          <w:color w:val="auto"/>
          <w:kern w:val="28"/>
          <w:sz w:val="28"/>
          <w:szCs w:val="28"/>
          <w:lang w:val="uk-UA"/>
        </w:rPr>
        <w:t>.</w:t>
      </w:r>
      <w:r w:rsidR="005124F1"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xml:space="preserve">У ХІ групі ЕГ + ЕОА + німесулід на 47 добу експерименту визначено достовірне зниження рівня СТХ ІІ у 1,49 рази (р &lt; 0,05). При призначені німесуліду та L-тироксину (ХІІ група ЕГ + ЕОА + німесулід +L-тироксин) визначено достовірне зниження рівня СТХ ІІ у 1,52 рази (р &lt; 0,05) </w:t>
      </w:r>
      <w:r w:rsidRPr="00BE086B">
        <w:rPr>
          <w:rFonts w:ascii="Times New Roman" w:hAnsi="Times New Roman" w:cs="Times New Roman"/>
          <w:color w:val="auto"/>
          <w:sz w:val="28"/>
          <w:szCs w:val="28"/>
          <w:lang w:val="uk-UA"/>
        </w:rPr>
        <w:t>(рис. 5.11)</w:t>
      </w:r>
      <w:r w:rsidRPr="00BE086B">
        <w:rPr>
          <w:rFonts w:ascii="Times New Roman" w:hAnsi="Times New Roman" w:cs="Times New Roman"/>
          <w:color w:val="auto"/>
          <w:kern w:val="28"/>
          <w:sz w:val="28"/>
          <w:szCs w:val="28"/>
          <w:lang w:val="uk-UA"/>
        </w:rPr>
        <w:t>.</w:t>
      </w:r>
      <w:r w:rsidR="005124F1"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xml:space="preserve">Призначення целекоксибу (ХІІІ група ЕГ + ЕОА + целекоксиб) визначило достовірне зниження рівня СТХ ІІ у 1,45 рази (р &lt; 0,05). При призначені целекоксибу та L-тироксину (ХІV група ЕГ + ЕОА + целекоксиб +L-тироксин) визначено достовірне зниження рівня СТХ ІІ у 1,46 рази (р &lt; 0,05) </w:t>
      </w:r>
      <w:r w:rsidRPr="00BE086B">
        <w:rPr>
          <w:rFonts w:ascii="Times New Roman" w:hAnsi="Times New Roman" w:cs="Times New Roman"/>
          <w:color w:val="auto"/>
          <w:sz w:val="28"/>
          <w:szCs w:val="28"/>
          <w:lang w:val="uk-UA"/>
        </w:rPr>
        <w:t>(рис. 5.11)</w:t>
      </w:r>
      <w:r w:rsidRPr="00BE086B">
        <w:rPr>
          <w:rFonts w:ascii="Times New Roman" w:hAnsi="Times New Roman" w:cs="Times New Roman"/>
          <w:color w:val="auto"/>
          <w:kern w:val="28"/>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sz w:val="28"/>
          <w:szCs w:val="28"/>
          <w:lang w:val="uk-UA"/>
        </w:rPr>
        <w:t xml:space="preserve">На підставі отриманих даних встановлено, що у групах експериментальних тварин, які отримували ЛЗ сумісно з L-тироксином визначено більше зниження рівня маркеру СТХ ІІ ніж при монотерапії (табл. 5.4) </w:t>
      </w:r>
      <w:r w:rsidRPr="00BE086B">
        <w:rPr>
          <w:rFonts w:ascii="Times New Roman" w:hAnsi="Times New Roman" w:cs="Times New Roman"/>
          <w:color w:val="auto"/>
          <w:sz w:val="28"/>
          <w:szCs w:val="28"/>
        </w:rPr>
        <w:t>[124]</w:t>
      </w:r>
      <w:r w:rsidRPr="00BE086B">
        <w:rPr>
          <w:rFonts w:ascii="Times New Roman" w:hAnsi="Times New Roman" w:cs="Times New Roman"/>
          <w:color w:val="auto"/>
          <w:sz w:val="28"/>
          <w:szCs w:val="28"/>
          <w:lang w:val="uk-UA"/>
        </w:rPr>
        <w:t>.</w:t>
      </w:r>
      <w:r w:rsidR="005124F1"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Так, при сумісному призначені диклофенаку натрію з L-тироксином (ІV група) на 47 добу на фоні експериментальних патологій визначено достовірне зниження рівня СТХ ІІ у 1,3 рази (р &lt; 0,05). Сумісне призначення ібупрофену та L-тироксину (VІ група) на 47 добу виявило достовірне зниження рівня СТХ ІІ у 1,37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 L-тироксин на 47 добу визначено достовірне зниження рівня СТХ ІІ у 1,42 рази (р &lt; 0,05). При сумісному призначені з L-тироксином (Х група ЕГ + ЕОА + </w:t>
      </w:r>
      <w:r w:rsidRPr="00BE086B">
        <w:rPr>
          <w:rFonts w:ascii="Times New Roman" w:hAnsi="Times New Roman" w:cs="Times New Roman"/>
          <w:color w:val="auto"/>
          <w:sz w:val="28"/>
          <w:szCs w:val="28"/>
          <w:lang w:val="uk-UA"/>
        </w:rPr>
        <w:lastRenderedPageBreak/>
        <w:t>парацетамол + L-тироксин</w:t>
      </w:r>
      <w:r w:rsidRPr="00BE086B">
        <w:rPr>
          <w:rFonts w:ascii="Times New Roman" w:hAnsi="Times New Roman" w:cs="Times New Roman"/>
          <w:color w:val="auto"/>
          <w:kern w:val="28"/>
          <w:sz w:val="28"/>
          <w:szCs w:val="28"/>
          <w:lang w:val="uk-UA"/>
        </w:rPr>
        <w:t>) визначено достовірне зниження рівня СТХ І у 1,19 рази (р &lt; 0,05). При призначені німесуліду та L-тироксину (ХІІ група ЕГ + ЕОА + німесулід +L-тироксин) визначено достовірне зниження рівня СТХ ІІ у 1,52 рази (р &lt; 0,05). При призначені целекоксибу та L-тироксину (ХІV група ЕГ + ЕОА + целекоксиб +L-тироксин) визначено достовірне зниження рівня СТХ ІІ у 1,46 рази (р &lt; 0,05).</w:t>
      </w:r>
    </w:p>
    <w:p w:rsidR="00AF418B" w:rsidRPr="00BE086B" w:rsidRDefault="00AF418B" w:rsidP="005124F1">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Таким чином, на підставі отриманих даних встановлено, що у групах експериментальних тварин, які отримували ЛЗ сумісно з L-тироксином визначено більше зниження рівня маркеру СТХ ІІ ніж при монотерапії, що свідчить про раціональність доповнення фармакотерапії експериментальних патологічних станів L-тироксином.</w:t>
      </w:r>
      <w:r w:rsidR="005124F1"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kern w:val="28"/>
          <w:sz w:val="28"/>
          <w:szCs w:val="28"/>
          <w:lang w:val="uk-UA"/>
        </w:rPr>
        <w:t>Взагалі, з</w:t>
      </w:r>
      <w:r w:rsidRPr="00BE086B">
        <w:rPr>
          <w:rFonts w:ascii="Times New Roman" w:hAnsi="Times New Roman" w:cs="Times New Roman"/>
          <w:color w:val="auto"/>
          <w:sz w:val="28"/>
          <w:szCs w:val="28"/>
          <w:lang w:val="uk-UA"/>
        </w:rPr>
        <w:t>а ступенем впливу на дегенеративно-дистрофічні процеси у хрящовій тканині,</w:t>
      </w:r>
      <w:r w:rsidRPr="00BE086B">
        <w:rPr>
          <w:rFonts w:ascii="Times New Roman" w:hAnsi="Times New Roman" w:cs="Times New Roman"/>
          <w:bCs/>
          <w:color w:val="auto"/>
          <w:sz w:val="28"/>
          <w:szCs w:val="28"/>
          <w:lang w:val="uk-UA"/>
        </w:rPr>
        <w:t xml:space="preserve"> які оцінені за рівнем маркеру </w:t>
      </w:r>
      <w:r w:rsidRPr="00BE086B">
        <w:rPr>
          <w:rFonts w:ascii="Times New Roman" w:hAnsi="Times New Roman" w:cs="Times New Roman"/>
          <w:color w:val="auto"/>
          <w:sz w:val="28"/>
          <w:szCs w:val="28"/>
          <w:lang w:val="uk-UA"/>
        </w:rPr>
        <w:t xml:space="preserve">СТХ IІ у сироватці крові щурів досліджені препарати можна розташувати наступним чином: німесулід &gt; целекоксиб &gt; мелоксикам &gt; ібупрофен &gt; диклофенак натрію &gt; парацетамол </w:t>
      </w:r>
      <w:r w:rsidRPr="00BE086B">
        <w:rPr>
          <w:rFonts w:ascii="Times New Roman" w:hAnsi="Times New Roman" w:cs="Times New Roman"/>
          <w:color w:val="auto"/>
          <w:kern w:val="28"/>
          <w:sz w:val="28"/>
          <w:szCs w:val="28"/>
          <w:lang w:val="uk-UA"/>
        </w:rPr>
        <w:t xml:space="preserve">(р &lt; 0,05) </w:t>
      </w:r>
      <w:r w:rsidRPr="00BE086B">
        <w:rPr>
          <w:rFonts w:ascii="Times New Roman" w:hAnsi="Times New Roman" w:cs="Times New Roman"/>
          <w:color w:val="auto"/>
          <w:sz w:val="28"/>
          <w:szCs w:val="28"/>
          <w:lang w:val="uk-UA"/>
        </w:rPr>
        <w:t>[124].</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Визначення рівня маркеру СТХ II дозволяє оцінити вираженість дегенеративно-дистрофічних змін у хрящовій тканині за рівнем продуктів розпаду колагену ІІ типу на фоні експериментальних еквівалентів остеоартрозу та гіпотиреозу та при призначені ЛЗ, які досліджувалися [124].</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b/>
          <w:color w:val="auto"/>
          <w:sz w:val="28"/>
          <w:szCs w:val="28"/>
          <w:lang w:val="uk-UA"/>
        </w:rPr>
      </w:pPr>
      <w:r w:rsidRPr="00BE086B">
        <w:rPr>
          <w:rFonts w:ascii="Times New Roman" w:hAnsi="Times New Roman" w:cs="Times New Roman"/>
          <w:b/>
          <w:bCs/>
          <w:color w:val="auto"/>
          <w:sz w:val="28"/>
          <w:szCs w:val="28"/>
          <w:lang w:val="uk-UA"/>
        </w:rPr>
        <w:t xml:space="preserve">5.5. </w:t>
      </w:r>
      <w:r w:rsidRPr="00BE086B">
        <w:rPr>
          <w:rFonts w:ascii="Times New Roman" w:hAnsi="Times New Roman" w:cs="Times New Roman"/>
          <w:b/>
          <w:color w:val="auto"/>
          <w:sz w:val="28"/>
          <w:szCs w:val="28"/>
          <w:lang w:val="uk-UA"/>
        </w:rPr>
        <w:t xml:space="preserve">Фармакологічна активність НПЗЗ та парацетамолу за рівнем фактору некрозу пухлин у сироватці крові щурів </w:t>
      </w:r>
      <w:r w:rsidRPr="00BE086B">
        <w:rPr>
          <w:rFonts w:ascii="Times New Roman" w:hAnsi="Times New Roman" w:cs="Times New Roman"/>
          <w:b/>
          <w:bCs/>
          <w:color w:val="auto"/>
          <w:sz w:val="28"/>
          <w:szCs w:val="28"/>
          <w:lang w:val="uk-UA"/>
        </w:rPr>
        <w:t xml:space="preserve">при </w:t>
      </w:r>
      <w:r w:rsidRPr="00BE086B">
        <w:rPr>
          <w:rFonts w:ascii="Times New Roman" w:hAnsi="Times New Roman" w:cs="Times New Roman"/>
          <w:b/>
          <w:color w:val="auto"/>
          <w:sz w:val="28"/>
          <w:szCs w:val="28"/>
          <w:lang w:val="uk-UA"/>
        </w:rPr>
        <w:t>експериментальному остеоартрозі та гіпотиреозі</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EE57D8">
      <w:pPr>
        <w:spacing w:line="360" w:lineRule="auto"/>
        <w:ind w:firstLine="709"/>
        <w:jc w:val="both"/>
        <w:rPr>
          <w:sz w:val="28"/>
          <w:szCs w:val="28"/>
          <w:lang w:val="uk-UA"/>
        </w:rPr>
      </w:pPr>
      <w:r w:rsidRPr="00BE086B">
        <w:rPr>
          <w:bCs/>
          <w:sz w:val="28"/>
          <w:szCs w:val="28"/>
          <w:lang w:val="uk-UA"/>
        </w:rPr>
        <w:t xml:space="preserve">У підрозділі описані результати біохімічного дослідження зміни рівня фактору некрозу пухлин (ФНП) під впливом призначення нестероїдних протизапальних засобів, парацетамолу </w:t>
      </w:r>
      <w:r w:rsidRPr="00BE086B">
        <w:rPr>
          <w:sz w:val="28"/>
          <w:szCs w:val="28"/>
          <w:lang w:val="uk-UA"/>
        </w:rPr>
        <w:t xml:space="preserve">та L-тироксину </w:t>
      </w:r>
      <w:r w:rsidRPr="00BE086B">
        <w:rPr>
          <w:bCs/>
          <w:sz w:val="28"/>
          <w:szCs w:val="28"/>
          <w:lang w:val="uk-UA"/>
        </w:rPr>
        <w:t xml:space="preserve">за умов коморбідної патології (експериментального остеоартрозу та гіпотиреозу) </w:t>
      </w:r>
      <w:r w:rsidRPr="00BE086B">
        <w:rPr>
          <w:sz w:val="28"/>
          <w:szCs w:val="28"/>
          <w:lang w:val="uk-UA"/>
        </w:rPr>
        <w:t>[135, 141, 440, 461]</w:t>
      </w:r>
      <w:r w:rsidRPr="00BE086B">
        <w:rPr>
          <w:bCs/>
          <w:sz w:val="28"/>
          <w:szCs w:val="28"/>
          <w:lang w:val="uk-UA"/>
        </w:rPr>
        <w:t>.</w:t>
      </w:r>
    </w:p>
    <w:p w:rsidR="00AF418B" w:rsidRPr="00BE086B" w:rsidRDefault="00AF418B" w:rsidP="00EE57D8">
      <w:pPr>
        <w:spacing w:line="360" w:lineRule="auto"/>
        <w:ind w:firstLine="709"/>
        <w:jc w:val="both"/>
        <w:rPr>
          <w:sz w:val="28"/>
          <w:szCs w:val="28"/>
          <w:lang w:val="uk-UA"/>
        </w:rPr>
      </w:pPr>
      <w:r w:rsidRPr="00BE086B">
        <w:rPr>
          <w:sz w:val="28"/>
          <w:szCs w:val="28"/>
          <w:lang w:val="uk-UA"/>
        </w:rPr>
        <w:lastRenderedPageBreak/>
        <w:t xml:space="preserve">При аналізі отриманих результатів встановлено, що зміни рівня ФНП у сироватці крові щурів під впливом призначення НПЗЗ, парацетамолу </w:t>
      </w:r>
      <w:r w:rsidRPr="00BE086B">
        <w:rPr>
          <w:bCs/>
          <w:sz w:val="28"/>
          <w:szCs w:val="28"/>
          <w:lang w:val="uk-UA"/>
        </w:rPr>
        <w:t xml:space="preserve">та </w:t>
      </w:r>
      <w:r w:rsidRPr="00BE086B">
        <w:rPr>
          <w:sz w:val="28"/>
          <w:szCs w:val="28"/>
          <w:lang w:val="uk-UA"/>
        </w:rPr>
        <w:t>L-тироксину відбуваються неоднаково (табл. 5.5).</w:t>
      </w:r>
    </w:p>
    <w:p w:rsidR="00AF418B" w:rsidRPr="00BE086B" w:rsidRDefault="00AF418B" w:rsidP="00EE57D8">
      <w:pPr>
        <w:pStyle w:val="af3"/>
        <w:snapToGrid w:val="0"/>
        <w:spacing w:before="0" w:after="0" w:line="360" w:lineRule="auto"/>
        <w:ind w:firstLine="709"/>
        <w:jc w:val="both"/>
        <w:rPr>
          <w:sz w:val="28"/>
          <w:szCs w:val="28"/>
          <w:lang w:val="uk-UA"/>
        </w:rPr>
      </w:pPr>
      <w:r w:rsidRPr="00BE086B">
        <w:rPr>
          <w:sz w:val="28"/>
          <w:szCs w:val="28"/>
          <w:lang w:val="uk-UA"/>
        </w:rPr>
        <w:t>Так, на 42 добу (після закінчення формування експериментальних моделей ОА та ГІТ) у всіх експериментальних групах спостерігалось підвищення рівня ФНП відносно референсних значень інтактної групи щурів (ІЩ), що відображає розвиток патологічних змін під впливом експериментальних моделей та здатність експериментальних моделей впливати на рівень ФНП сироватки крові щурів (р &lt; 0,05).</w:t>
      </w:r>
    </w:p>
    <w:p w:rsidR="00AF418B" w:rsidRPr="00BE086B" w:rsidRDefault="00AF418B" w:rsidP="005124F1">
      <w:pPr>
        <w:pStyle w:val="af3"/>
        <w:snapToGrid w:val="0"/>
        <w:spacing w:before="0" w:after="0" w:line="360" w:lineRule="auto"/>
        <w:ind w:firstLine="709"/>
        <w:jc w:val="both"/>
        <w:rPr>
          <w:sz w:val="28"/>
          <w:szCs w:val="28"/>
          <w:lang w:val="uk-UA"/>
        </w:rPr>
      </w:pPr>
      <w:r w:rsidRPr="00BE086B">
        <w:rPr>
          <w:sz w:val="28"/>
          <w:szCs w:val="28"/>
          <w:lang w:val="uk-UA"/>
        </w:rPr>
        <w:t>На 47 добу експерименту у І групі ЕГ + ЕОА (без «лікування») у порівнянні з 42 добою, показник рівня ФНП збільшився у 1,18 рази (р &lt; 0,05), що відображає наростання патологічних змін за відсутності лікування (табл. 5.5).</w:t>
      </w:r>
      <w:r w:rsidR="005124F1" w:rsidRPr="00BE086B">
        <w:rPr>
          <w:sz w:val="28"/>
          <w:szCs w:val="28"/>
          <w:lang w:val="uk-UA"/>
        </w:rPr>
        <w:t xml:space="preserve"> </w:t>
      </w:r>
      <w:r w:rsidRPr="00BE086B">
        <w:rPr>
          <w:sz w:val="28"/>
          <w:szCs w:val="28"/>
          <w:lang w:val="uk-UA"/>
        </w:rPr>
        <w:t>У ІІ групі ЕГ + ЕОА + L-тироксин на 47 добу, наприкінці 5-добового введення ЛЗ, що досліджувалися, на фоні призначення L-тироксину спостерігалось достовірне зниження рівня ФНП у 1,01 рази (р &lt; 0,05) у порівнянні з 42 добою. Отримані дані відображають вплив L-тироксину на експериментальну патологію - ЕГ + ЕОА (табл. 5.5).</w:t>
      </w:r>
    </w:p>
    <w:p w:rsidR="00AF418B" w:rsidRPr="00BE086B" w:rsidRDefault="00AF418B" w:rsidP="005316D2">
      <w:pPr>
        <w:pStyle w:val="WW-"/>
        <w:spacing w:after="0" w:line="360" w:lineRule="auto"/>
        <w:ind w:firstLine="709"/>
        <w:jc w:val="right"/>
        <w:rPr>
          <w:rFonts w:ascii="Times New Roman" w:hAnsi="Times New Roman" w:cs="Times New Roman"/>
          <w:color w:val="auto"/>
          <w:sz w:val="28"/>
          <w:szCs w:val="28"/>
          <w:lang w:val="uk-UA"/>
        </w:rPr>
      </w:pPr>
      <w:r w:rsidRPr="00BE086B">
        <w:rPr>
          <w:rFonts w:ascii="Times New Roman" w:hAnsi="Times New Roman" w:cs="Times New Roman"/>
          <w:i/>
          <w:iCs/>
          <w:color w:val="auto"/>
          <w:sz w:val="28"/>
          <w:szCs w:val="28"/>
          <w:lang w:val="uk-UA"/>
        </w:rPr>
        <w:t>Таблиця 5.5</w:t>
      </w:r>
    </w:p>
    <w:p w:rsidR="00AF418B" w:rsidRPr="00BE086B" w:rsidRDefault="00AF418B" w:rsidP="005316D2">
      <w:pPr>
        <w:pStyle w:val="af3"/>
        <w:spacing w:before="0" w:after="0" w:line="360" w:lineRule="auto"/>
        <w:ind w:firstLine="709"/>
        <w:jc w:val="center"/>
        <w:rPr>
          <w:sz w:val="28"/>
          <w:szCs w:val="28"/>
          <w:lang w:val="uk-UA"/>
        </w:rPr>
      </w:pPr>
      <w:r w:rsidRPr="00BE086B">
        <w:rPr>
          <w:b/>
          <w:bCs/>
          <w:iCs/>
          <w:sz w:val="28"/>
          <w:szCs w:val="28"/>
          <w:lang w:val="uk-UA"/>
        </w:rPr>
        <w:t xml:space="preserve">Рівень фактору некрозу пухлин (ФНП) сироватки крові щурів на фоні введення ЛЗ за умов </w:t>
      </w:r>
      <w:r w:rsidR="00930504" w:rsidRPr="00BE086B">
        <w:rPr>
          <w:b/>
          <w:bCs/>
          <w:iCs/>
          <w:sz w:val="28"/>
          <w:szCs w:val="28"/>
          <w:lang w:val="uk-UA"/>
        </w:rPr>
        <w:t>коморбідної патології</w:t>
      </w:r>
      <w:r w:rsidRPr="00BE086B">
        <w:rPr>
          <w:b/>
          <w:bCs/>
          <w:iCs/>
          <w:sz w:val="28"/>
          <w:szCs w:val="28"/>
          <w:lang w:val="uk-UA"/>
        </w:rPr>
        <w:t xml:space="preserve"> (М±m)</w:t>
      </w:r>
    </w:p>
    <w:tbl>
      <w:tblPr>
        <w:tblW w:w="0" w:type="auto"/>
        <w:jc w:val="center"/>
        <w:tblLayout w:type="fixed"/>
        <w:tblLook w:val="0000" w:firstRow="0" w:lastRow="0" w:firstColumn="0" w:lastColumn="0" w:noHBand="0" w:noVBand="0"/>
      </w:tblPr>
      <w:tblGrid>
        <w:gridCol w:w="4679"/>
        <w:gridCol w:w="2409"/>
        <w:gridCol w:w="2268"/>
      </w:tblGrid>
      <w:tr w:rsidR="00AF418B" w:rsidRPr="00BE086B" w:rsidTr="00C62AD3">
        <w:trPr>
          <w:trHeight w:val="562"/>
          <w:jc w:val="center"/>
        </w:trPr>
        <w:tc>
          <w:tcPr>
            <w:tcW w:w="4679" w:type="dxa"/>
            <w:tcBorders>
              <w:top w:val="single" w:sz="4" w:space="0" w:color="000000"/>
              <w:left w:val="single" w:sz="4" w:space="0" w:color="000000"/>
            </w:tcBorders>
            <w:shd w:val="clear" w:color="auto" w:fill="auto"/>
            <w:vAlign w:val="center"/>
          </w:tcPr>
          <w:p w:rsidR="00AF418B" w:rsidRPr="00BE086B" w:rsidRDefault="00AF418B" w:rsidP="00CA490A">
            <w:pPr>
              <w:pStyle w:val="af3"/>
              <w:spacing w:before="0" w:after="0"/>
              <w:jc w:val="center"/>
              <w:rPr>
                <w:sz w:val="28"/>
                <w:szCs w:val="28"/>
                <w:lang w:val="uk-UA"/>
              </w:rPr>
            </w:pPr>
            <w:r w:rsidRPr="00BE086B">
              <w:rPr>
                <w:b/>
                <w:sz w:val="28"/>
                <w:szCs w:val="28"/>
                <w:lang w:val="uk-UA"/>
              </w:rPr>
              <w:t>Група, препарат</w:t>
            </w:r>
          </w:p>
          <w:p w:rsidR="00AF418B" w:rsidRPr="00BE086B" w:rsidRDefault="00AF418B" w:rsidP="00CA490A">
            <w:pPr>
              <w:pStyle w:val="af3"/>
              <w:spacing w:before="0" w:after="0"/>
              <w:jc w:val="center"/>
              <w:rPr>
                <w:sz w:val="28"/>
                <w:szCs w:val="28"/>
                <w:lang w:val="uk-UA"/>
              </w:rPr>
            </w:pPr>
            <w:r w:rsidRPr="00BE086B">
              <w:rPr>
                <w:b/>
                <w:sz w:val="28"/>
                <w:szCs w:val="28"/>
                <w:lang w:val="uk-UA"/>
              </w:rPr>
              <w:t>та його доза</w:t>
            </w:r>
          </w:p>
        </w:tc>
        <w:tc>
          <w:tcPr>
            <w:tcW w:w="2409" w:type="dxa"/>
            <w:tcBorders>
              <w:top w:val="single" w:sz="4" w:space="0" w:color="000000"/>
              <w:left w:val="single" w:sz="4" w:space="0" w:color="000000"/>
            </w:tcBorders>
            <w:shd w:val="clear" w:color="auto" w:fill="auto"/>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ФНП на 42 добу, пг/мл</w:t>
            </w:r>
          </w:p>
        </w:tc>
        <w:tc>
          <w:tcPr>
            <w:tcW w:w="2268" w:type="dxa"/>
            <w:tcBorders>
              <w:top w:val="single" w:sz="4" w:space="0" w:color="000000"/>
              <w:left w:val="single" w:sz="4" w:space="0" w:color="000000"/>
              <w:right w:val="single" w:sz="4" w:space="0" w:color="000000"/>
            </w:tcBorders>
            <w:shd w:val="clear" w:color="auto" w:fill="auto"/>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ФНП на 47 добу, пг/мл</w:t>
            </w:r>
          </w:p>
        </w:tc>
      </w:tr>
      <w:tr w:rsidR="00930504" w:rsidRPr="00BE086B" w:rsidTr="00C62AD3">
        <w:trPr>
          <w:jc w:val="center"/>
        </w:trPr>
        <w:tc>
          <w:tcPr>
            <w:tcW w:w="4679" w:type="dxa"/>
            <w:tcBorders>
              <w:top w:val="single" w:sz="4" w:space="0" w:color="000000"/>
              <w:left w:val="single" w:sz="4" w:space="0" w:color="000000"/>
              <w:bottom w:val="single" w:sz="4" w:space="0" w:color="000000"/>
            </w:tcBorders>
            <w:shd w:val="clear" w:color="auto" w:fill="auto"/>
          </w:tcPr>
          <w:p w:rsidR="00930504" w:rsidRPr="00BE086B" w:rsidRDefault="00930504"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409" w:type="dxa"/>
            <w:tcBorders>
              <w:top w:val="single" w:sz="4" w:space="0" w:color="000000"/>
              <w:left w:val="single" w:sz="4" w:space="0" w:color="000000"/>
              <w:bottom w:val="single" w:sz="4" w:space="0" w:color="000000"/>
            </w:tcBorders>
            <w:shd w:val="clear" w:color="auto" w:fill="auto"/>
          </w:tcPr>
          <w:p w:rsidR="00930504" w:rsidRPr="00BE086B" w:rsidRDefault="00930504" w:rsidP="00CA490A">
            <w:pPr>
              <w:pStyle w:val="af3"/>
              <w:snapToGrid w:val="0"/>
              <w:spacing w:before="0" w:after="0"/>
              <w:jc w:val="center"/>
              <w:rPr>
                <w:sz w:val="28"/>
                <w:szCs w:val="28"/>
                <w:lang w:val="uk-UA"/>
              </w:rPr>
            </w:pPr>
            <w:r w:rsidRPr="00BE086B">
              <w:rPr>
                <w:sz w:val="28"/>
                <w:szCs w:val="28"/>
                <w:lang w:val="uk-UA"/>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930504" w:rsidRPr="00BE086B" w:rsidRDefault="00930504" w:rsidP="00CA490A">
            <w:pPr>
              <w:pStyle w:val="af3"/>
              <w:snapToGrid w:val="0"/>
              <w:spacing w:before="0" w:after="0"/>
              <w:jc w:val="center"/>
              <w:rPr>
                <w:sz w:val="28"/>
                <w:szCs w:val="28"/>
                <w:lang w:val="uk-UA"/>
              </w:rPr>
            </w:pPr>
            <w:r w:rsidRPr="00BE086B">
              <w:rPr>
                <w:sz w:val="28"/>
                <w:szCs w:val="28"/>
                <w:lang w:val="uk-UA"/>
              </w:rPr>
              <w:t>3</w:t>
            </w:r>
          </w:p>
        </w:tc>
      </w:tr>
      <w:tr w:rsidR="00AF418B" w:rsidRPr="00BE086B" w:rsidTr="00C62AD3">
        <w:trPr>
          <w:jc w:val="center"/>
        </w:trPr>
        <w:tc>
          <w:tcPr>
            <w:tcW w:w="467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240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6,0</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±1,49</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6,3</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±1,25</w:t>
            </w:r>
          </w:p>
        </w:tc>
      </w:tr>
      <w:tr w:rsidR="00AF418B" w:rsidRPr="00BE086B" w:rsidTr="00C62AD3">
        <w:trPr>
          <w:jc w:val="center"/>
        </w:trPr>
        <w:tc>
          <w:tcPr>
            <w:tcW w:w="467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 група ЕГ+ЕОА (без «лікування») (n=10)</w:t>
            </w:r>
          </w:p>
        </w:tc>
        <w:tc>
          <w:tcPr>
            <w:tcW w:w="240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150,6</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±3,58*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177,4</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±4,04*</w:t>
            </w:r>
          </w:p>
        </w:tc>
      </w:tr>
      <w:tr w:rsidR="00AF418B" w:rsidRPr="00BE086B" w:rsidTr="00C62AD3">
        <w:trPr>
          <w:jc w:val="center"/>
        </w:trPr>
        <w:tc>
          <w:tcPr>
            <w:tcW w:w="467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L-тироксин (Т) 1,5 мкг/кг (n=10)</w:t>
            </w:r>
          </w:p>
        </w:tc>
        <w:tc>
          <w:tcPr>
            <w:tcW w:w="240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151,4</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±3,44*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149,4</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±3,51*</w:t>
            </w:r>
          </w:p>
        </w:tc>
      </w:tr>
      <w:tr w:rsidR="00AF418B" w:rsidRPr="00BE086B" w:rsidTr="00C62AD3">
        <w:trPr>
          <w:jc w:val="center"/>
        </w:trPr>
        <w:tc>
          <w:tcPr>
            <w:tcW w:w="467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10 мг/кг (n=10)</w:t>
            </w:r>
          </w:p>
        </w:tc>
        <w:tc>
          <w:tcPr>
            <w:tcW w:w="240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149,8</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±3,96*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75,2</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±3,42*</w:t>
            </w:r>
          </w:p>
        </w:tc>
      </w:tr>
      <w:tr w:rsidR="00AF418B" w:rsidRPr="00BE086B" w:rsidTr="00C62AD3">
        <w:trPr>
          <w:jc w:val="center"/>
        </w:trPr>
        <w:tc>
          <w:tcPr>
            <w:tcW w:w="467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(Д)+L-тироксин (Т) (n=10)</w:t>
            </w:r>
          </w:p>
        </w:tc>
        <w:tc>
          <w:tcPr>
            <w:tcW w:w="2409"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150,8</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±3,70*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72,2</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±3,27*</w:t>
            </w:r>
          </w:p>
        </w:tc>
      </w:tr>
    </w:tbl>
    <w:p w:rsidR="00930504" w:rsidRPr="00BE086B" w:rsidRDefault="00930504" w:rsidP="005124F1">
      <w:pPr>
        <w:pStyle w:val="af0"/>
        <w:spacing w:line="240" w:lineRule="auto"/>
        <w:jc w:val="right"/>
        <w:rPr>
          <w:i/>
          <w:sz w:val="28"/>
          <w:szCs w:val="28"/>
          <w:lang w:val="uk-UA"/>
        </w:rPr>
      </w:pPr>
    </w:p>
    <w:p w:rsidR="005124F1" w:rsidRPr="00BE086B" w:rsidRDefault="005124F1" w:rsidP="005124F1">
      <w:pPr>
        <w:pStyle w:val="af0"/>
        <w:spacing w:line="240" w:lineRule="auto"/>
        <w:jc w:val="right"/>
        <w:rPr>
          <w:i/>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5.5</w:t>
      </w:r>
    </w:p>
    <w:tbl>
      <w:tblPr>
        <w:tblW w:w="0" w:type="auto"/>
        <w:jc w:val="center"/>
        <w:tblLayout w:type="fixed"/>
        <w:tblLook w:val="0000" w:firstRow="0" w:lastRow="0" w:firstColumn="0" w:lastColumn="0" w:noHBand="0" w:noVBand="0"/>
      </w:tblPr>
      <w:tblGrid>
        <w:gridCol w:w="4679"/>
        <w:gridCol w:w="2409"/>
        <w:gridCol w:w="2268"/>
      </w:tblGrid>
      <w:tr w:rsidR="00930504"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930504" w:rsidRPr="00BE086B" w:rsidRDefault="00930504"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409" w:type="dxa"/>
            <w:tcBorders>
              <w:top w:val="single" w:sz="4" w:space="0" w:color="000000"/>
              <w:left w:val="single" w:sz="4" w:space="0" w:color="000000"/>
              <w:bottom w:val="single" w:sz="4" w:space="0" w:color="000000"/>
            </w:tcBorders>
            <w:shd w:val="clear" w:color="auto" w:fill="auto"/>
          </w:tcPr>
          <w:p w:rsidR="00930504" w:rsidRPr="00BE086B" w:rsidRDefault="00930504" w:rsidP="00335630">
            <w:pPr>
              <w:pStyle w:val="af3"/>
              <w:snapToGrid w:val="0"/>
              <w:spacing w:before="0" w:after="0"/>
              <w:jc w:val="center"/>
              <w:rPr>
                <w:sz w:val="28"/>
                <w:szCs w:val="28"/>
                <w:lang w:val="uk-UA"/>
              </w:rPr>
            </w:pPr>
            <w:r w:rsidRPr="00BE086B">
              <w:rPr>
                <w:sz w:val="28"/>
                <w:szCs w:val="28"/>
                <w:lang w:val="uk-UA"/>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930504" w:rsidRPr="00BE086B" w:rsidRDefault="00930504" w:rsidP="00335630">
            <w:pPr>
              <w:pStyle w:val="af3"/>
              <w:snapToGrid w:val="0"/>
              <w:spacing w:before="0" w:after="0"/>
              <w:jc w:val="center"/>
              <w:rPr>
                <w:sz w:val="28"/>
                <w:szCs w:val="28"/>
                <w:lang w:val="uk-UA"/>
              </w:rPr>
            </w:pPr>
            <w:r w:rsidRPr="00BE086B">
              <w:rPr>
                <w:sz w:val="28"/>
                <w:szCs w:val="28"/>
                <w:lang w:val="uk-UA"/>
              </w:rPr>
              <w:t>3</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w:t>
            </w:r>
          </w:p>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 мг/кг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152,4</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±3,71*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84,4</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±3,85*</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 + L-тироксин (Т)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148,8</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±3,63*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81,6</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±3,44*</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10 мг/кг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150,2</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±3,83*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96,8</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±3,77*</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 L-тироксин (Т)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151,6</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±3,71*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95,8</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±3,70*</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150 мг/кг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149,4</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±3,97*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135,2</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±4,09*</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 L-тироксин (Т)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151,8</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±3,83*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132,6</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±4,16*</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80 мг/кг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150,4</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±3,51*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97,2</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±3,56*</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 L-тироксин (Т)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151,2</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±3,42*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95,8</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±3,70*</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50 мг/кг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149,6</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±3,36*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127,2</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±3,49*</w:t>
            </w:r>
          </w:p>
        </w:tc>
      </w:tr>
      <w:tr w:rsidR="005124F1" w:rsidRPr="00BE086B" w:rsidTr="00351234">
        <w:trPr>
          <w:jc w:val="center"/>
        </w:trPr>
        <w:tc>
          <w:tcPr>
            <w:tcW w:w="467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 L-тироксин (Т) (n=10)</w:t>
            </w:r>
          </w:p>
        </w:tc>
        <w:tc>
          <w:tcPr>
            <w:tcW w:w="2409" w:type="dxa"/>
            <w:tcBorders>
              <w:top w:val="single" w:sz="4" w:space="0" w:color="000000"/>
              <w:left w:val="single" w:sz="4" w:space="0" w:color="000000"/>
              <w:bottom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149</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±3,67*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124F1" w:rsidRPr="00BE086B" w:rsidRDefault="005124F1" w:rsidP="00335630">
            <w:pPr>
              <w:pStyle w:val="af3"/>
              <w:snapToGrid w:val="0"/>
              <w:spacing w:before="0" w:after="0"/>
              <w:jc w:val="center"/>
              <w:rPr>
                <w:sz w:val="28"/>
                <w:szCs w:val="28"/>
                <w:lang w:val="uk-UA"/>
              </w:rPr>
            </w:pPr>
            <w:r w:rsidRPr="00BE086B">
              <w:rPr>
                <w:sz w:val="28"/>
                <w:szCs w:val="28"/>
                <w:lang w:val="uk-UA"/>
              </w:rPr>
              <w:t>123,6</w:t>
            </w:r>
          </w:p>
          <w:p w:rsidR="005124F1" w:rsidRPr="00BE086B" w:rsidRDefault="005124F1" w:rsidP="00335630">
            <w:pPr>
              <w:pStyle w:val="af3"/>
              <w:snapToGrid w:val="0"/>
              <w:spacing w:before="0" w:after="0"/>
              <w:jc w:val="center"/>
              <w:rPr>
                <w:sz w:val="28"/>
                <w:szCs w:val="28"/>
                <w:lang w:val="uk-UA"/>
              </w:rPr>
            </w:pPr>
            <w:r w:rsidRPr="00BE086B">
              <w:rPr>
                <w:sz w:val="28"/>
                <w:szCs w:val="28"/>
                <w:lang w:val="uk-UA"/>
              </w:rPr>
              <w:t>±3,91*</w:t>
            </w:r>
          </w:p>
        </w:tc>
      </w:tr>
    </w:tbl>
    <w:p w:rsidR="00AF418B" w:rsidRPr="00BE086B" w:rsidRDefault="00AF418B" w:rsidP="005316D2">
      <w:pPr>
        <w:pStyle w:val="western"/>
        <w:spacing w:before="0"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b/>
          <w:color w:val="auto"/>
          <w:kern w:val="28"/>
          <w:sz w:val="28"/>
          <w:szCs w:val="28"/>
          <w:lang w:val="uk-UA"/>
        </w:rPr>
        <w:t>Примітк</w:t>
      </w:r>
      <w:r w:rsidR="00C62AD3" w:rsidRPr="00BE086B">
        <w:rPr>
          <w:rFonts w:ascii="Times New Roman" w:hAnsi="Times New Roman" w:cs="Times New Roman"/>
          <w:b/>
          <w:color w:val="auto"/>
          <w:kern w:val="28"/>
          <w:sz w:val="28"/>
          <w:szCs w:val="28"/>
          <w:lang w:val="uk-UA"/>
        </w:rPr>
        <w:t>и</w:t>
      </w:r>
      <w:r w:rsidRPr="00BE086B">
        <w:rPr>
          <w:rFonts w:ascii="Times New Roman" w:hAnsi="Times New Roman" w:cs="Times New Roman"/>
          <w:b/>
          <w:color w:val="auto"/>
          <w:kern w:val="28"/>
          <w:sz w:val="28"/>
          <w:szCs w:val="28"/>
          <w:lang w:val="uk-UA"/>
        </w:rPr>
        <w:t>:</w:t>
      </w:r>
      <w:r w:rsidRPr="00BE086B">
        <w:rPr>
          <w:rFonts w:ascii="Times New Roman" w:hAnsi="Times New Roman" w:cs="Times New Roman"/>
          <w:color w:val="auto"/>
          <w:kern w:val="28"/>
          <w:sz w:val="28"/>
          <w:szCs w:val="28"/>
          <w:lang w:val="uk-UA"/>
        </w:rPr>
        <w:t xml:space="preserve"> # - значення достовірні (р &lt; 0,05) по відношенню до відповідного показника I групи (ЕГ + ЕОА - без «лікування»);</w:t>
      </w:r>
      <w:r w:rsidR="00C62AD3"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 значення достовірні (р &lt; 0,05) по відношенню до відповідного показника II групи</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ЕГ + ЕОА</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L-тироксин</w:t>
      </w:r>
      <w:r w:rsidRPr="00BE086B">
        <w:rPr>
          <w:rFonts w:ascii="Times New Roman" w:hAnsi="Times New Roman" w:cs="Times New Roman"/>
          <w:color w:val="auto"/>
          <w:kern w:val="28"/>
          <w:sz w:val="28"/>
          <w:szCs w:val="28"/>
        </w:rPr>
        <w:t>)</w:t>
      </w:r>
      <w:r w:rsidRPr="00BE086B">
        <w:rPr>
          <w:rFonts w:ascii="Times New Roman" w:hAnsi="Times New Roman" w:cs="Times New Roman"/>
          <w:color w:val="auto"/>
          <w:kern w:val="28"/>
          <w:sz w:val="28"/>
          <w:szCs w:val="28"/>
          <w:lang w:val="uk-UA"/>
        </w:rPr>
        <w:t>.</w:t>
      </w:r>
    </w:p>
    <w:p w:rsidR="00AF418B" w:rsidRPr="00BE086B" w:rsidRDefault="00AF418B" w:rsidP="005316D2">
      <w:pPr>
        <w:pStyle w:val="western"/>
        <w:spacing w:before="0"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табл. 5.5 висвітлені зміни рівня маркеру ФНП у сироватці крові щурів під впливом призначення НПЗЗ, парацетамолу та L-тироксину. Так, у ІІІ групі ЕГ + ЕОА + диклофенак натрію визначено на 47 добу експерименту достовірне зниження рівня ФНП у 1,99 рази (р &lt; 0,05). При сумісному призначені диклофенаку натрію з L-тироксином (ІV група) на 47 добу на фоні експериментальних патологій визначено достовірне зниження рівня ФНП у 2,09 рази (р &lt; 0,05) (рис. 5.12).</w:t>
      </w:r>
    </w:p>
    <w:p w:rsidR="00B8275F" w:rsidRDefault="00E530F5" w:rsidP="00FF5675">
      <w:pPr>
        <w:pStyle w:val="WW-"/>
        <w:spacing w:after="0" w:line="360" w:lineRule="auto"/>
        <w:jc w:val="center"/>
        <w:rPr>
          <w:rFonts w:ascii="Times New Roman" w:hAnsi="Times New Roman" w:cs="Times New Roman"/>
          <w:b/>
          <w:noProof/>
          <w:color w:val="auto"/>
          <w:sz w:val="28"/>
          <w:szCs w:val="28"/>
          <w:lang w:val="uk-UA" w:eastAsia="ru-RU"/>
        </w:rPr>
      </w:pPr>
      <w:r>
        <w:rPr>
          <w:rFonts w:ascii="Times New Roman" w:hAnsi="Times New Roman" w:cs="Times New Roman"/>
          <w:b/>
          <w:noProof/>
          <w:color w:val="auto"/>
          <w:sz w:val="28"/>
          <w:szCs w:val="28"/>
          <w:lang w:eastAsia="ru-RU"/>
        </w:rPr>
        <w:lastRenderedPageBreak/>
        <w:drawing>
          <wp:inline distT="0" distB="0" distL="0" distR="0">
            <wp:extent cx="5943600" cy="4514400"/>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5.12.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4514400"/>
                    </a:xfrm>
                    <a:prstGeom prst="rect">
                      <a:avLst/>
                    </a:prstGeom>
                  </pic:spPr>
                </pic:pic>
              </a:graphicData>
            </a:graphic>
          </wp:inline>
        </w:drawing>
      </w:r>
    </w:p>
    <w:p w:rsidR="00AF418B" w:rsidRPr="00BE086B" w:rsidRDefault="00AF418B" w:rsidP="00B8275F">
      <w:pPr>
        <w:pStyle w:val="WW-"/>
        <w:spacing w:after="0" w:line="360" w:lineRule="auto"/>
        <w:ind w:firstLine="709"/>
        <w:jc w:val="both"/>
        <w:rPr>
          <w:rFonts w:ascii="Times New Roman" w:hAnsi="Times New Roman" w:cs="Times New Roman"/>
          <w:color w:val="auto"/>
          <w:sz w:val="28"/>
          <w:szCs w:val="28"/>
        </w:rPr>
      </w:pPr>
      <w:r w:rsidRPr="00BE086B">
        <w:rPr>
          <w:rFonts w:ascii="Times New Roman" w:hAnsi="Times New Roman" w:cs="Times New Roman"/>
          <w:b/>
          <w:noProof/>
          <w:color w:val="auto"/>
          <w:sz w:val="28"/>
          <w:szCs w:val="28"/>
          <w:lang w:val="uk-UA" w:eastAsia="ru-RU"/>
        </w:rPr>
        <w:t>Рис. 5.12.</w:t>
      </w:r>
      <w:r w:rsidRPr="00BE086B">
        <w:rPr>
          <w:rFonts w:ascii="Times New Roman" w:hAnsi="Times New Roman" w:cs="Times New Roman"/>
          <w:noProof/>
          <w:color w:val="auto"/>
          <w:sz w:val="28"/>
          <w:szCs w:val="28"/>
          <w:lang w:val="uk-UA" w:eastAsia="ru-RU"/>
        </w:rPr>
        <w:t xml:space="preserve"> Зміни рівня </w:t>
      </w:r>
      <w:r w:rsidRPr="00BE086B">
        <w:rPr>
          <w:rFonts w:ascii="Times New Roman" w:hAnsi="Times New Roman" w:cs="Times New Roman"/>
          <w:bCs/>
          <w:iCs/>
          <w:color w:val="auto"/>
          <w:sz w:val="28"/>
          <w:szCs w:val="28"/>
          <w:lang w:val="uk-UA"/>
        </w:rPr>
        <w:t>фактору некрозу пухлин (</w:t>
      </w:r>
      <w:r w:rsidRPr="00BE086B">
        <w:rPr>
          <w:rFonts w:ascii="Times New Roman" w:hAnsi="Times New Roman" w:cs="Times New Roman"/>
          <w:color w:val="auto"/>
          <w:sz w:val="28"/>
          <w:szCs w:val="28"/>
          <w:lang w:val="uk-UA"/>
        </w:rPr>
        <w:t xml:space="preserve">ФНП) </w:t>
      </w:r>
      <w:r w:rsidRPr="00BE086B">
        <w:rPr>
          <w:rFonts w:ascii="Times New Roman" w:hAnsi="Times New Roman" w:cs="Times New Roman"/>
          <w:noProof/>
          <w:color w:val="auto"/>
          <w:sz w:val="28"/>
          <w:szCs w:val="28"/>
          <w:lang w:val="uk-UA" w:eastAsia="ru-RU"/>
        </w:rPr>
        <w:t xml:space="preserve">у сироватці крові щурів </w:t>
      </w:r>
      <w:r w:rsidRPr="00BE086B">
        <w:rPr>
          <w:rFonts w:ascii="Times New Roman" w:hAnsi="Times New Roman" w:cs="Times New Roman"/>
          <w:color w:val="auto"/>
          <w:sz w:val="28"/>
          <w:szCs w:val="28"/>
          <w:lang w:val="uk-UA"/>
        </w:rPr>
        <w:t xml:space="preserve">груп дослідження на 47 добу експерименту </w:t>
      </w:r>
      <w:r w:rsidRPr="00BE086B">
        <w:rPr>
          <w:rFonts w:ascii="Times New Roman" w:eastAsia="Times New Roman" w:hAnsi="Times New Roman" w:cs="Times New Roman"/>
          <w:bCs/>
          <w:color w:val="auto"/>
          <w:sz w:val="28"/>
          <w:szCs w:val="28"/>
        </w:rPr>
        <w:t xml:space="preserve">відносно групи активного контролю </w:t>
      </w:r>
      <w:r w:rsidRPr="00BE086B">
        <w:rPr>
          <w:rFonts w:ascii="Times New Roman" w:eastAsia="Calibri" w:hAnsi="Times New Roman" w:cs="Times New Roman"/>
          <w:iCs/>
          <w:color w:val="auto"/>
          <w:sz w:val="28"/>
          <w:szCs w:val="28"/>
          <w:lang w:eastAsia="en-US"/>
        </w:rPr>
        <w:t>(</w:t>
      </w:r>
      <w:r w:rsidRPr="00BE086B">
        <w:rPr>
          <w:rFonts w:ascii="Times New Roman" w:hAnsi="Times New Roman" w:cs="Times New Roman"/>
          <w:color w:val="auto"/>
          <w:sz w:val="28"/>
          <w:szCs w:val="28"/>
        </w:rPr>
        <w:t xml:space="preserve">І група </w:t>
      </w:r>
      <w:r w:rsidRPr="00BE086B">
        <w:rPr>
          <w:rFonts w:ascii="Times New Roman" w:hAnsi="Times New Roman" w:cs="Times New Roman"/>
          <w:color w:val="auto"/>
          <w:sz w:val="28"/>
          <w:szCs w:val="28"/>
          <w:lang w:val="uk-UA"/>
        </w:rPr>
        <w:t xml:space="preserve">ЕГ + </w:t>
      </w:r>
      <w:r w:rsidRPr="00BE086B">
        <w:rPr>
          <w:rFonts w:ascii="Times New Roman" w:hAnsi="Times New Roman" w:cs="Times New Roman"/>
          <w:color w:val="auto"/>
          <w:sz w:val="28"/>
          <w:szCs w:val="28"/>
        </w:rPr>
        <w:t>ЕОА)</w:t>
      </w:r>
      <w:r w:rsidRPr="00BE086B">
        <w:rPr>
          <w:rFonts w:ascii="Times New Roman" w:eastAsia="Times New Roman" w:hAnsi="Times New Roman" w:cs="Times New Roman"/>
          <w:bCs/>
          <w:color w:val="auto"/>
          <w:sz w:val="28"/>
          <w:szCs w:val="28"/>
        </w:rPr>
        <w:t>.</w:t>
      </w:r>
    </w:p>
    <w:p w:rsidR="00AF418B" w:rsidRPr="00BE086B" w:rsidRDefault="00AF418B" w:rsidP="00B8275F">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 призначені ібупрофену (V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на 47 добу визначено достовірне зниження рівня ФНП у 1,8 рази (р &lt; 0,05). Сумісне призначення ібупрофену та L-тироксину (VІ група) на 47 добу виявило достовірне зниження рівня ФНП у 1,82 рази (р &lt; 0,05) (рис. 5.12).</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VІІ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на 47 добу визначено достовірне зниження рівня ФНП у 1,55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 L-тироксин на 47 добу визначено достовірне зниження рівня ФНП у 1,58 рази (р &lt; 0,05) (рис. 5.12).</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sz w:val="28"/>
          <w:szCs w:val="28"/>
          <w:lang w:val="uk-UA"/>
        </w:rPr>
        <w:lastRenderedPageBreak/>
        <w:t>Призначення парацетамолу (ІХ група ЕГ + ЕОА + парацетамол) на 47 добу призвело до достовірного зниження рівня ФНП у 1,1 рази (р &lt; 0,05). При сумісному призначені з L-тироксином (Х група ЕГ + ЕОА + парацетамол + L-тироксин</w:t>
      </w:r>
      <w:r w:rsidRPr="00BE086B">
        <w:rPr>
          <w:rFonts w:ascii="Times New Roman" w:hAnsi="Times New Roman" w:cs="Times New Roman"/>
          <w:color w:val="auto"/>
          <w:kern w:val="28"/>
          <w:sz w:val="28"/>
          <w:szCs w:val="28"/>
          <w:lang w:val="uk-UA"/>
        </w:rPr>
        <w:t xml:space="preserve">) визначено достовірне зниження рівня </w:t>
      </w:r>
      <w:r w:rsidRPr="00BE086B">
        <w:rPr>
          <w:rFonts w:ascii="Times New Roman" w:hAnsi="Times New Roman" w:cs="Times New Roman"/>
          <w:color w:val="auto"/>
          <w:sz w:val="28"/>
          <w:szCs w:val="28"/>
          <w:lang w:val="uk-UA"/>
        </w:rPr>
        <w:t>ФНП</w:t>
      </w:r>
      <w:r w:rsidRPr="00BE086B">
        <w:rPr>
          <w:rFonts w:ascii="Times New Roman" w:hAnsi="Times New Roman" w:cs="Times New Roman"/>
          <w:color w:val="auto"/>
          <w:kern w:val="28"/>
          <w:sz w:val="28"/>
          <w:szCs w:val="28"/>
          <w:lang w:val="uk-UA"/>
        </w:rPr>
        <w:t xml:space="preserve"> у 1,14 рази (р &lt; 0,05) </w:t>
      </w:r>
      <w:r w:rsidRPr="00BE086B">
        <w:rPr>
          <w:rFonts w:ascii="Times New Roman" w:hAnsi="Times New Roman" w:cs="Times New Roman"/>
          <w:color w:val="auto"/>
          <w:sz w:val="28"/>
          <w:szCs w:val="28"/>
          <w:lang w:val="uk-UA"/>
        </w:rPr>
        <w:t>(рис. 5.12)</w:t>
      </w:r>
      <w:r w:rsidRPr="00BE086B">
        <w:rPr>
          <w:rFonts w:ascii="Times New Roman" w:hAnsi="Times New Roman" w:cs="Times New Roman"/>
          <w:color w:val="auto"/>
          <w:kern w:val="28"/>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kern w:val="28"/>
          <w:sz w:val="28"/>
          <w:szCs w:val="28"/>
          <w:lang w:val="uk-UA"/>
        </w:rPr>
        <w:t xml:space="preserve">У ХІ групі ЕГ + ЕОА + німесулід на 47 добу експерименту визначено достовірне зниження рівня </w:t>
      </w:r>
      <w:r w:rsidRPr="00BE086B">
        <w:rPr>
          <w:rFonts w:ascii="Times New Roman" w:hAnsi="Times New Roman" w:cs="Times New Roman"/>
          <w:color w:val="auto"/>
          <w:sz w:val="28"/>
          <w:szCs w:val="28"/>
          <w:lang w:val="uk-UA"/>
        </w:rPr>
        <w:t>ФНП</w:t>
      </w:r>
      <w:r w:rsidRPr="00BE086B">
        <w:rPr>
          <w:rFonts w:ascii="Times New Roman" w:hAnsi="Times New Roman" w:cs="Times New Roman"/>
          <w:color w:val="auto"/>
          <w:kern w:val="28"/>
          <w:sz w:val="28"/>
          <w:szCs w:val="28"/>
          <w:lang w:val="uk-UA"/>
        </w:rPr>
        <w:t xml:space="preserve"> у 1,55 рази (р &lt; 0,05). При призначені німесуліду та L-тироксину (ХІІ група ЕГ + ЕОА + німесулід +L-тироксин) визначено достовірне зниження рівня </w:t>
      </w:r>
      <w:r w:rsidRPr="00BE086B">
        <w:rPr>
          <w:rFonts w:ascii="Times New Roman" w:hAnsi="Times New Roman" w:cs="Times New Roman"/>
          <w:color w:val="auto"/>
          <w:sz w:val="28"/>
          <w:szCs w:val="28"/>
          <w:lang w:val="uk-UA"/>
        </w:rPr>
        <w:t>ФНП</w:t>
      </w:r>
      <w:r w:rsidRPr="00BE086B">
        <w:rPr>
          <w:rFonts w:ascii="Times New Roman" w:hAnsi="Times New Roman" w:cs="Times New Roman"/>
          <w:color w:val="auto"/>
          <w:kern w:val="28"/>
          <w:sz w:val="28"/>
          <w:szCs w:val="28"/>
          <w:lang w:val="uk-UA"/>
        </w:rPr>
        <w:t xml:space="preserve"> у 1,58 рази (р &lt; 0,05) </w:t>
      </w:r>
      <w:r w:rsidRPr="00BE086B">
        <w:rPr>
          <w:rFonts w:ascii="Times New Roman" w:hAnsi="Times New Roman" w:cs="Times New Roman"/>
          <w:color w:val="auto"/>
          <w:sz w:val="28"/>
          <w:szCs w:val="28"/>
          <w:lang w:val="uk-UA"/>
        </w:rPr>
        <w:t>(рис. 5.12)</w:t>
      </w:r>
      <w:r w:rsidRPr="00BE086B">
        <w:rPr>
          <w:rFonts w:ascii="Times New Roman" w:hAnsi="Times New Roman" w:cs="Times New Roman"/>
          <w:color w:val="auto"/>
          <w:kern w:val="28"/>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kern w:val="28"/>
          <w:sz w:val="28"/>
          <w:szCs w:val="28"/>
          <w:lang w:val="uk-UA"/>
        </w:rPr>
        <w:t xml:space="preserve">Призначення целекоксибу (ХІІІ група ЕГ + ЕОА + целекоксиб) визначило достовірне зниження рівня </w:t>
      </w:r>
      <w:r w:rsidRPr="00BE086B">
        <w:rPr>
          <w:rFonts w:ascii="Times New Roman" w:hAnsi="Times New Roman" w:cs="Times New Roman"/>
          <w:color w:val="auto"/>
          <w:sz w:val="28"/>
          <w:szCs w:val="28"/>
          <w:lang w:val="uk-UA"/>
        </w:rPr>
        <w:t>ФНП</w:t>
      </w:r>
      <w:r w:rsidRPr="00BE086B">
        <w:rPr>
          <w:rFonts w:ascii="Times New Roman" w:hAnsi="Times New Roman" w:cs="Times New Roman"/>
          <w:color w:val="auto"/>
          <w:kern w:val="28"/>
          <w:sz w:val="28"/>
          <w:szCs w:val="28"/>
          <w:lang w:val="uk-UA"/>
        </w:rPr>
        <w:t xml:space="preserve"> у 1,17 рази (р &lt; 0,05). При призначені целекоксибу та L-тироксину (ХІV група ЕГ + ЕОА + целекоксиб +L-тироксин) визначено достовірне зниження рівня </w:t>
      </w:r>
      <w:r w:rsidRPr="00BE086B">
        <w:rPr>
          <w:rFonts w:ascii="Times New Roman" w:hAnsi="Times New Roman" w:cs="Times New Roman"/>
          <w:color w:val="auto"/>
          <w:sz w:val="28"/>
          <w:szCs w:val="28"/>
          <w:lang w:val="uk-UA"/>
        </w:rPr>
        <w:t>ФНП</w:t>
      </w:r>
      <w:r w:rsidRPr="00BE086B">
        <w:rPr>
          <w:rFonts w:ascii="Times New Roman" w:hAnsi="Times New Roman" w:cs="Times New Roman"/>
          <w:color w:val="auto"/>
          <w:kern w:val="28"/>
          <w:sz w:val="28"/>
          <w:szCs w:val="28"/>
          <w:lang w:val="uk-UA"/>
        </w:rPr>
        <w:t xml:space="preserve"> у 1,21 рази (р &lt; 0,05) </w:t>
      </w:r>
      <w:r w:rsidRPr="00BE086B">
        <w:rPr>
          <w:rFonts w:ascii="Times New Roman" w:hAnsi="Times New Roman" w:cs="Times New Roman"/>
          <w:color w:val="auto"/>
          <w:sz w:val="28"/>
          <w:szCs w:val="28"/>
          <w:lang w:val="uk-UA"/>
        </w:rPr>
        <w:t>(рис. 5.12)</w:t>
      </w:r>
      <w:r w:rsidRPr="00BE086B">
        <w:rPr>
          <w:rFonts w:ascii="Times New Roman" w:hAnsi="Times New Roman" w:cs="Times New Roman"/>
          <w:color w:val="auto"/>
          <w:kern w:val="28"/>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підставі отриманих даних встановлено, що у групах експериментальних тварин, які отримували ЛЗ сумісно з L-тироксином визначено більше зниження рівня маркеру ФНП ніж при монотерапії (табл. 5.5).</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sz w:val="28"/>
          <w:szCs w:val="28"/>
          <w:lang w:val="uk-UA"/>
        </w:rPr>
        <w:t xml:space="preserve">Так, при сумісному призначені диклофенаку натрію з L-тироксином (ІV група) на 47 добу на фоні експериментальних патологій визначено достовірне зниження рівня ФНП у 2,09 рази (р &lt; 0,05). Сумісне призначення ібупрофену та L-тироксину (VІ група) на 47 добу виявило достовірне зниження рівня ФНП у 1,82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 L-тироксин на 47 добу визначено достовірне зниження рівня ФНП у 1,58 рази (р &lt; 0,05). При сумісному призначені з L-тироксином (Х група ЕГ + ЕОА + парацетамол + L-тироксин</w:t>
      </w:r>
      <w:r w:rsidRPr="00BE086B">
        <w:rPr>
          <w:rFonts w:ascii="Times New Roman" w:hAnsi="Times New Roman" w:cs="Times New Roman"/>
          <w:color w:val="auto"/>
          <w:kern w:val="28"/>
          <w:sz w:val="28"/>
          <w:szCs w:val="28"/>
          <w:lang w:val="uk-UA"/>
        </w:rPr>
        <w:t xml:space="preserve">) визначено достовірне зниження рівня </w:t>
      </w:r>
      <w:r w:rsidRPr="00BE086B">
        <w:rPr>
          <w:rFonts w:ascii="Times New Roman" w:hAnsi="Times New Roman" w:cs="Times New Roman"/>
          <w:color w:val="auto"/>
          <w:sz w:val="28"/>
          <w:szCs w:val="28"/>
          <w:lang w:val="uk-UA"/>
        </w:rPr>
        <w:t>ФНП</w:t>
      </w:r>
      <w:r w:rsidRPr="00BE086B">
        <w:rPr>
          <w:rFonts w:ascii="Times New Roman" w:hAnsi="Times New Roman" w:cs="Times New Roman"/>
          <w:color w:val="auto"/>
          <w:kern w:val="28"/>
          <w:sz w:val="28"/>
          <w:szCs w:val="28"/>
          <w:lang w:val="uk-UA"/>
        </w:rPr>
        <w:t xml:space="preserve"> у 1,14 рази (р &lt; 0,05). При призначені німесуліду та L-тироксину (ХІІ група ЕГ + ЕОА + німесулід +L-тироксин) визначено достовірне зниження рівня </w:t>
      </w:r>
      <w:r w:rsidRPr="00BE086B">
        <w:rPr>
          <w:rFonts w:ascii="Times New Roman" w:hAnsi="Times New Roman" w:cs="Times New Roman"/>
          <w:color w:val="auto"/>
          <w:sz w:val="28"/>
          <w:szCs w:val="28"/>
          <w:lang w:val="uk-UA"/>
        </w:rPr>
        <w:t>ФНП</w:t>
      </w:r>
      <w:r w:rsidRPr="00BE086B">
        <w:rPr>
          <w:rFonts w:ascii="Times New Roman" w:hAnsi="Times New Roman" w:cs="Times New Roman"/>
          <w:color w:val="auto"/>
          <w:kern w:val="28"/>
          <w:sz w:val="28"/>
          <w:szCs w:val="28"/>
          <w:lang w:val="uk-UA"/>
        </w:rPr>
        <w:t xml:space="preserve"> у 1,58 рази (р &lt; 0,05). При призначені целекоксибу та L-тироксину (ХІV група ЕГ + ЕОА + целекоксиб +L-тироксин) визначено достовірне зниження рівня </w:t>
      </w:r>
      <w:r w:rsidRPr="00BE086B">
        <w:rPr>
          <w:rFonts w:ascii="Times New Roman" w:hAnsi="Times New Roman" w:cs="Times New Roman"/>
          <w:color w:val="auto"/>
          <w:sz w:val="28"/>
          <w:szCs w:val="28"/>
          <w:lang w:val="uk-UA"/>
        </w:rPr>
        <w:t>ФНП</w:t>
      </w:r>
      <w:r w:rsidRPr="00BE086B">
        <w:rPr>
          <w:rFonts w:ascii="Times New Roman" w:hAnsi="Times New Roman" w:cs="Times New Roman"/>
          <w:color w:val="auto"/>
          <w:kern w:val="28"/>
          <w:sz w:val="28"/>
          <w:szCs w:val="28"/>
          <w:lang w:val="uk-UA"/>
        </w:rPr>
        <w:t xml:space="preserve"> у 1,21 рази (р &lt; 0,05) </w:t>
      </w:r>
      <w:r w:rsidRPr="00BE086B">
        <w:rPr>
          <w:rFonts w:ascii="Times New Roman" w:hAnsi="Times New Roman" w:cs="Times New Roman"/>
          <w:color w:val="auto"/>
          <w:sz w:val="28"/>
          <w:szCs w:val="28"/>
          <w:lang w:val="uk-UA"/>
        </w:rPr>
        <w:t>(рис. 5.12)</w:t>
      </w:r>
      <w:r w:rsidRPr="00BE086B">
        <w:rPr>
          <w:rFonts w:ascii="Times New Roman" w:hAnsi="Times New Roman" w:cs="Times New Roman"/>
          <w:color w:val="auto"/>
          <w:kern w:val="28"/>
          <w:sz w:val="28"/>
          <w:szCs w:val="28"/>
          <w:lang w:val="uk-UA"/>
        </w:rPr>
        <w:t>.</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lastRenderedPageBreak/>
        <w:t xml:space="preserve">Таким чином, на підставі проведеного дослідження визначена фармакологічна активність НПЗЗ, парацетамолу </w:t>
      </w:r>
      <w:r w:rsidRPr="00BE086B">
        <w:rPr>
          <w:kern w:val="28"/>
          <w:sz w:val="28"/>
          <w:szCs w:val="28"/>
          <w:lang w:val="uk-UA"/>
        </w:rPr>
        <w:t xml:space="preserve">та L-тироксину </w:t>
      </w:r>
      <w:r w:rsidRPr="00BE086B">
        <w:rPr>
          <w:sz w:val="28"/>
          <w:szCs w:val="28"/>
          <w:lang w:val="uk-UA"/>
        </w:rPr>
        <w:t>при експериментальних еквівалентах гіпотиреозу і ОА та визначені зміни рівня ФНП у сироватці крові щурів під впливом базової замісної та симптоматичної фармакотерапії [135, 141, 440, 461].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підставі отриманих даних встановлено, що у групах експериментальних тварин, які отримували ЛЗ сумісно з L-тироксином визначено більше зниження рівня маркеру ФНП ніж при монотерапії, що свідчить про доцільність доповнення фармакотерапії експериментальних патологічних станів засобом базової гормональної терапії [135, 141, 440, 461].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З огляду на отримані результати, за ступенем впливу на запальні процеси за рівнем фактору некрозу пухлин у суглобі, досліджені ЛЗ можна розташувати наступним чином: диклофенак натрію &gt; ібупрофен &gt; німесулід = мелоксикам &gt; целекоксиб &gt; парацетамол, що відображає різну ефективність зазначених препаратів (табл. 5.5).</w:t>
      </w:r>
    </w:p>
    <w:p w:rsidR="00AF418B" w:rsidRPr="00BE086B" w:rsidRDefault="00AF418B" w:rsidP="005316D2">
      <w:pPr>
        <w:pStyle w:val="af0"/>
        <w:ind w:firstLine="709"/>
        <w:jc w:val="both"/>
        <w:rPr>
          <w:sz w:val="28"/>
          <w:szCs w:val="28"/>
          <w:lang w:val="uk-UA"/>
        </w:rPr>
      </w:pPr>
      <w:r w:rsidRPr="00BE086B">
        <w:rPr>
          <w:sz w:val="28"/>
          <w:szCs w:val="28"/>
          <w:lang w:val="uk-UA"/>
        </w:rPr>
        <w:t>Визначення рівня фактору некрозу пухлин дозволяє оцінити активність запального процесу на фоні експериментального остеоартрозу та гіпотиреозу та при призначені ЛЗ, що досліджувалися [135, 141, 440, 461].</w:t>
      </w:r>
    </w:p>
    <w:p w:rsidR="00AF418B" w:rsidRPr="00BE086B" w:rsidRDefault="00AF418B" w:rsidP="005316D2">
      <w:pPr>
        <w:pStyle w:val="af0"/>
        <w:ind w:firstLine="709"/>
        <w:jc w:val="both"/>
        <w:rPr>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b/>
          <w:color w:val="auto"/>
          <w:sz w:val="28"/>
          <w:szCs w:val="28"/>
          <w:lang w:val="uk-UA"/>
        </w:rPr>
      </w:pPr>
      <w:r w:rsidRPr="00BE086B">
        <w:rPr>
          <w:rFonts w:ascii="Times New Roman" w:hAnsi="Times New Roman" w:cs="Times New Roman"/>
          <w:b/>
          <w:bCs/>
          <w:color w:val="auto"/>
          <w:sz w:val="28"/>
          <w:szCs w:val="28"/>
          <w:lang w:val="uk-UA"/>
        </w:rPr>
        <w:t xml:space="preserve">5.6. </w:t>
      </w:r>
      <w:r w:rsidRPr="00BE086B">
        <w:rPr>
          <w:rFonts w:ascii="Times New Roman" w:hAnsi="Times New Roman" w:cs="Times New Roman"/>
          <w:b/>
          <w:color w:val="auto"/>
          <w:sz w:val="28"/>
          <w:szCs w:val="28"/>
          <w:lang w:val="uk-UA"/>
        </w:rPr>
        <w:t xml:space="preserve">Фармакологічна активність НПЗЗ та парацетамолу за рівнем С-реактивного протеїну у сироватці крові щурів </w:t>
      </w:r>
      <w:r w:rsidRPr="00BE086B">
        <w:rPr>
          <w:rFonts w:ascii="Times New Roman" w:hAnsi="Times New Roman" w:cs="Times New Roman"/>
          <w:b/>
          <w:bCs/>
          <w:color w:val="auto"/>
          <w:sz w:val="28"/>
          <w:szCs w:val="28"/>
          <w:lang w:val="uk-UA"/>
        </w:rPr>
        <w:t xml:space="preserve">при </w:t>
      </w:r>
      <w:r w:rsidRPr="00BE086B">
        <w:rPr>
          <w:rFonts w:ascii="Times New Roman" w:hAnsi="Times New Roman" w:cs="Times New Roman"/>
          <w:b/>
          <w:color w:val="auto"/>
          <w:sz w:val="28"/>
          <w:szCs w:val="28"/>
          <w:lang w:val="uk-UA"/>
        </w:rPr>
        <w:t>експериментальному остеоартрозі та гіпотиреозі</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C62AD3">
      <w:pPr>
        <w:spacing w:line="360" w:lineRule="auto"/>
        <w:ind w:firstLine="709"/>
        <w:jc w:val="both"/>
        <w:rPr>
          <w:sz w:val="28"/>
          <w:szCs w:val="28"/>
          <w:lang w:val="uk-UA"/>
        </w:rPr>
      </w:pPr>
      <w:r w:rsidRPr="00BE086B">
        <w:rPr>
          <w:bCs/>
          <w:sz w:val="28"/>
          <w:szCs w:val="28"/>
          <w:lang w:val="uk-UA"/>
        </w:rPr>
        <w:t xml:space="preserve">У підрозділі описані результати біохімічного дослідження зміни рівня С-реактивного протеїну (СРП) під впливом призначення нестероїдних протизапальних засобів, парацетамолу </w:t>
      </w:r>
      <w:r w:rsidRPr="00BE086B">
        <w:rPr>
          <w:sz w:val="28"/>
          <w:szCs w:val="28"/>
          <w:lang w:val="uk-UA"/>
        </w:rPr>
        <w:t xml:space="preserve">та L-тироксину </w:t>
      </w:r>
      <w:r w:rsidRPr="00BE086B">
        <w:rPr>
          <w:bCs/>
          <w:sz w:val="28"/>
          <w:szCs w:val="28"/>
          <w:lang w:val="uk-UA"/>
        </w:rPr>
        <w:t xml:space="preserve">за умов коморбідної патології (експериментального остеоартрозу та гіпотиреозу) </w:t>
      </w:r>
      <w:r w:rsidRPr="00BE086B">
        <w:rPr>
          <w:sz w:val="28"/>
          <w:szCs w:val="28"/>
          <w:lang w:val="uk-UA"/>
        </w:rPr>
        <w:t>[135, 141, 440, 461].</w:t>
      </w:r>
    </w:p>
    <w:p w:rsidR="00AF418B" w:rsidRPr="00BE086B" w:rsidRDefault="00AF418B" w:rsidP="00C62AD3">
      <w:pPr>
        <w:spacing w:line="360" w:lineRule="auto"/>
        <w:ind w:firstLine="709"/>
        <w:jc w:val="both"/>
        <w:rPr>
          <w:sz w:val="28"/>
          <w:szCs w:val="28"/>
          <w:lang w:val="uk-UA"/>
        </w:rPr>
      </w:pPr>
      <w:r w:rsidRPr="00BE086B">
        <w:rPr>
          <w:sz w:val="28"/>
          <w:szCs w:val="28"/>
          <w:lang w:val="uk-UA"/>
        </w:rPr>
        <w:lastRenderedPageBreak/>
        <w:t xml:space="preserve">При аналізі отриманих результатів встановлено, що зміни рівня </w:t>
      </w:r>
      <w:r w:rsidRPr="00BE086B">
        <w:rPr>
          <w:bCs/>
          <w:sz w:val="28"/>
          <w:szCs w:val="28"/>
          <w:lang w:val="uk-UA"/>
        </w:rPr>
        <w:t>СРП</w:t>
      </w:r>
      <w:r w:rsidRPr="00BE086B">
        <w:rPr>
          <w:sz w:val="28"/>
          <w:szCs w:val="28"/>
          <w:lang w:val="uk-UA"/>
        </w:rPr>
        <w:t xml:space="preserve"> у сироватці крові щурів під впливом призначення НПЗЗ, парацетамолу </w:t>
      </w:r>
      <w:r w:rsidRPr="00BE086B">
        <w:rPr>
          <w:bCs/>
          <w:sz w:val="28"/>
          <w:szCs w:val="28"/>
          <w:lang w:val="uk-UA"/>
        </w:rPr>
        <w:t xml:space="preserve">та </w:t>
      </w:r>
      <w:r w:rsidRPr="00BE086B">
        <w:rPr>
          <w:sz w:val="28"/>
          <w:szCs w:val="28"/>
          <w:lang w:val="uk-UA"/>
        </w:rPr>
        <w:t xml:space="preserve">L-тироксину відбуваються неоднаково (табл. 5.6) </w:t>
      </w:r>
      <w:r w:rsidRPr="00BE086B">
        <w:rPr>
          <w:sz w:val="28"/>
          <w:szCs w:val="28"/>
        </w:rPr>
        <w:t>[</w:t>
      </w:r>
      <w:r w:rsidRPr="00BE086B">
        <w:rPr>
          <w:sz w:val="28"/>
          <w:szCs w:val="28"/>
          <w:lang w:val="uk-UA"/>
        </w:rPr>
        <w:t>128</w:t>
      </w:r>
      <w:r w:rsidRPr="00BE086B">
        <w:rPr>
          <w:sz w:val="28"/>
          <w:szCs w:val="28"/>
        </w:rPr>
        <w:t>]</w:t>
      </w:r>
      <w:r w:rsidRPr="00BE086B">
        <w:rPr>
          <w:sz w:val="28"/>
          <w:szCs w:val="28"/>
          <w:lang w:val="uk-UA"/>
        </w:rPr>
        <w:t>.</w:t>
      </w:r>
    </w:p>
    <w:p w:rsidR="00AF418B" w:rsidRPr="00BE086B" w:rsidRDefault="00AF418B" w:rsidP="00C62AD3">
      <w:pPr>
        <w:pStyle w:val="af3"/>
        <w:snapToGrid w:val="0"/>
        <w:spacing w:before="0" w:after="0" w:line="360" w:lineRule="auto"/>
        <w:ind w:firstLine="709"/>
        <w:jc w:val="both"/>
        <w:rPr>
          <w:sz w:val="28"/>
          <w:szCs w:val="28"/>
          <w:lang w:val="uk-UA"/>
        </w:rPr>
      </w:pPr>
      <w:r w:rsidRPr="00BE086B">
        <w:rPr>
          <w:sz w:val="28"/>
          <w:szCs w:val="28"/>
          <w:lang w:val="uk-UA"/>
        </w:rPr>
        <w:t xml:space="preserve">Так, на 42 добу (після закінчення формування експериментальних моделей ОА та ГІТ) у всіх експериментальних групах спостерігалось підвищення рівня </w:t>
      </w:r>
      <w:r w:rsidRPr="00BE086B">
        <w:rPr>
          <w:bCs/>
          <w:sz w:val="28"/>
          <w:szCs w:val="28"/>
          <w:lang w:val="uk-UA"/>
        </w:rPr>
        <w:t xml:space="preserve">СРП, </w:t>
      </w:r>
      <w:r w:rsidRPr="00BE086B">
        <w:rPr>
          <w:sz w:val="28"/>
          <w:szCs w:val="28"/>
          <w:lang w:val="uk-UA"/>
        </w:rPr>
        <w:t>який в групі інтактних щурів (ІЩ) не був визначений, що відображає розвиток патологічних змін під впливом експериментальних моделей та здатність експериментальних моделей впливати на рівень СРП сироватки крові щурів (р &lt; 0,05).</w:t>
      </w:r>
    </w:p>
    <w:p w:rsidR="00AF418B" w:rsidRPr="00BE086B" w:rsidRDefault="00AF418B" w:rsidP="00C62AD3">
      <w:pPr>
        <w:pStyle w:val="af3"/>
        <w:snapToGrid w:val="0"/>
        <w:spacing w:before="0" w:after="0" w:line="360" w:lineRule="auto"/>
        <w:ind w:firstLine="709"/>
        <w:jc w:val="both"/>
        <w:rPr>
          <w:sz w:val="28"/>
          <w:szCs w:val="28"/>
          <w:lang w:val="uk-UA"/>
        </w:rPr>
      </w:pPr>
      <w:r w:rsidRPr="00BE086B">
        <w:rPr>
          <w:sz w:val="28"/>
          <w:szCs w:val="28"/>
          <w:lang w:val="uk-UA"/>
        </w:rPr>
        <w:t xml:space="preserve">На 47 добу експерименту у І групі ЕГ + ЕОА (без «лікування») у порівнянні з 42 добою, показник рівня </w:t>
      </w:r>
      <w:r w:rsidRPr="00BE086B">
        <w:rPr>
          <w:bCs/>
          <w:sz w:val="28"/>
          <w:szCs w:val="28"/>
          <w:lang w:val="uk-UA"/>
        </w:rPr>
        <w:t>СРП</w:t>
      </w:r>
      <w:r w:rsidRPr="00BE086B">
        <w:rPr>
          <w:sz w:val="28"/>
          <w:szCs w:val="28"/>
          <w:lang w:val="uk-UA"/>
        </w:rPr>
        <w:t xml:space="preserve"> збільшився у 1,12 рази (р &lt; 0,05), що відображає наростання патологічних змін за відсутності лікування (табл. 5.6).</w:t>
      </w:r>
    </w:p>
    <w:p w:rsidR="00AF418B" w:rsidRPr="00BE086B" w:rsidRDefault="00AF418B" w:rsidP="00C62AD3">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ІІ групі ЕГ + ЕОА + L-тироксин на 47 добу, наприкінці 5-добового введення ЛЗ, що досліджувалися, на фоні призначення L-тироксину спостерігалось підвищення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1,007 рази (р &lt; 0,05) у порівнянні з 42 добою. Отримані дані відображають вплив L-тироксину на експериментальну патологію - ЕГ + ЕОА (табл. 5.6).</w:t>
      </w:r>
    </w:p>
    <w:p w:rsidR="00AF418B" w:rsidRPr="00BE086B" w:rsidRDefault="00AF418B" w:rsidP="005316D2">
      <w:pPr>
        <w:pStyle w:val="af3"/>
        <w:spacing w:before="0" w:after="0" w:line="360" w:lineRule="auto"/>
        <w:ind w:firstLine="709"/>
        <w:jc w:val="right"/>
        <w:rPr>
          <w:sz w:val="28"/>
          <w:szCs w:val="28"/>
          <w:lang w:val="uk-UA"/>
        </w:rPr>
      </w:pPr>
      <w:r w:rsidRPr="00BE086B">
        <w:rPr>
          <w:i/>
          <w:iCs/>
          <w:sz w:val="28"/>
          <w:szCs w:val="28"/>
          <w:lang w:val="uk-UA"/>
        </w:rPr>
        <w:t>Таблиця 5.6</w:t>
      </w:r>
    </w:p>
    <w:p w:rsidR="00AF418B" w:rsidRPr="00BE086B" w:rsidRDefault="00AF418B" w:rsidP="005316D2">
      <w:pPr>
        <w:pStyle w:val="af3"/>
        <w:spacing w:before="0" w:after="0" w:line="360" w:lineRule="auto"/>
        <w:ind w:firstLine="709"/>
        <w:jc w:val="center"/>
        <w:rPr>
          <w:sz w:val="28"/>
          <w:szCs w:val="28"/>
          <w:lang w:val="uk-UA"/>
        </w:rPr>
      </w:pPr>
      <w:r w:rsidRPr="00BE086B">
        <w:rPr>
          <w:b/>
          <w:bCs/>
          <w:sz w:val="28"/>
          <w:szCs w:val="28"/>
          <w:lang w:val="uk-UA"/>
        </w:rPr>
        <w:t xml:space="preserve">Рівень С-реактивного протеїну (СРП) сироватки крові у щурів на фоні введення ЛЗ </w:t>
      </w:r>
      <w:r w:rsidRPr="00BE086B">
        <w:rPr>
          <w:b/>
          <w:bCs/>
          <w:iCs/>
          <w:sz w:val="28"/>
          <w:szCs w:val="28"/>
          <w:lang w:val="uk-UA"/>
        </w:rPr>
        <w:t>за умов експериментального остеоартрозу та гіпотиреозу</w:t>
      </w:r>
      <w:r w:rsidRPr="00BE086B">
        <w:rPr>
          <w:b/>
          <w:bCs/>
          <w:sz w:val="28"/>
          <w:szCs w:val="28"/>
          <w:lang w:val="uk-UA"/>
        </w:rPr>
        <w:t xml:space="preserve"> (М±m)</w:t>
      </w:r>
    </w:p>
    <w:tbl>
      <w:tblPr>
        <w:tblW w:w="0" w:type="auto"/>
        <w:tblInd w:w="108" w:type="dxa"/>
        <w:tblLayout w:type="fixed"/>
        <w:tblLook w:val="0000" w:firstRow="0" w:lastRow="0" w:firstColumn="0" w:lastColumn="0" w:noHBand="0" w:noVBand="0"/>
      </w:tblPr>
      <w:tblGrid>
        <w:gridCol w:w="4678"/>
        <w:gridCol w:w="2126"/>
        <w:gridCol w:w="2127"/>
      </w:tblGrid>
      <w:tr w:rsidR="00AF418B" w:rsidRPr="00BE086B" w:rsidTr="00A7341E">
        <w:trPr>
          <w:trHeight w:val="562"/>
        </w:trPr>
        <w:tc>
          <w:tcPr>
            <w:tcW w:w="4678" w:type="dxa"/>
            <w:tcBorders>
              <w:top w:val="single" w:sz="4" w:space="0" w:color="000000"/>
              <w:left w:val="single" w:sz="4" w:space="0" w:color="000000"/>
            </w:tcBorders>
            <w:shd w:val="clear" w:color="auto" w:fill="auto"/>
            <w:vAlign w:val="center"/>
          </w:tcPr>
          <w:p w:rsidR="00AF418B" w:rsidRPr="00BE086B" w:rsidRDefault="00AF418B" w:rsidP="00CA490A">
            <w:pPr>
              <w:pStyle w:val="af3"/>
              <w:spacing w:before="0" w:after="0"/>
              <w:jc w:val="center"/>
              <w:rPr>
                <w:sz w:val="28"/>
                <w:szCs w:val="28"/>
                <w:lang w:val="uk-UA"/>
              </w:rPr>
            </w:pPr>
            <w:r w:rsidRPr="00BE086B">
              <w:rPr>
                <w:b/>
                <w:sz w:val="28"/>
                <w:szCs w:val="28"/>
                <w:lang w:val="uk-UA"/>
              </w:rPr>
              <w:t>Група, препарат</w:t>
            </w:r>
          </w:p>
          <w:p w:rsidR="00AF418B" w:rsidRPr="00BE086B" w:rsidRDefault="00AF418B" w:rsidP="00CA490A">
            <w:pPr>
              <w:pStyle w:val="af3"/>
              <w:spacing w:before="0" w:after="0"/>
              <w:jc w:val="center"/>
              <w:rPr>
                <w:sz w:val="28"/>
                <w:szCs w:val="28"/>
                <w:lang w:val="uk-UA"/>
              </w:rPr>
            </w:pPr>
            <w:r w:rsidRPr="00BE086B">
              <w:rPr>
                <w:b/>
                <w:sz w:val="28"/>
                <w:szCs w:val="28"/>
                <w:lang w:val="uk-UA"/>
              </w:rPr>
              <w:t>та його доза</w:t>
            </w:r>
          </w:p>
        </w:tc>
        <w:tc>
          <w:tcPr>
            <w:tcW w:w="2126" w:type="dxa"/>
            <w:tcBorders>
              <w:top w:val="single" w:sz="4" w:space="0" w:color="000000"/>
              <w:left w:val="single" w:sz="4" w:space="0" w:color="000000"/>
            </w:tcBorders>
            <w:shd w:val="clear" w:color="auto" w:fill="auto"/>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СРП на 42 добу, мг/л</w:t>
            </w:r>
          </w:p>
        </w:tc>
        <w:tc>
          <w:tcPr>
            <w:tcW w:w="2127" w:type="dxa"/>
            <w:tcBorders>
              <w:top w:val="single" w:sz="4" w:space="0" w:color="000000"/>
              <w:left w:val="single" w:sz="4" w:space="0" w:color="000000"/>
              <w:right w:val="single" w:sz="4" w:space="0" w:color="000000"/>
            </w:tcBorders>
            <w:shd w:val="clear" w:color="auto" w:fill="auto"/>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СРП на 47 добу, мг/л</w:t>
            </w:r>
          </w:p>
        </w:tc>
      </w:tr>
      <w:tr w:rsidR="00703D85" w:rsidRPr="00BE086B" w:rsidTr="00A7341E">
        <w:tc>
          <w:tcPr>
            <w:tcW w:w="4678" w:type="dxa"/>
            <w:tcBorders>
              <w:top w:val="single" w:sz="4" w:space="0" w:color="000000"/>
              <w:left w:val="single" w:sz="4" w:space="0" w:color="000000"/>
              <w:bottom w:val="single" w:sz="4" w:space="0" w:color="000000"/>
            </w:tcBorders>
            <w:shd w:val="clear" w:color="auto" w:fill="auto"/>
          </w:tcPr>
          <w:p w:rsidR="00703D85" w:rsidRPr="00BE086B" w:rsidRDefault="00703D85"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126" w:type="dxa"/>
            <w:tcBorders>
              <w:top w:val="single" w:sz="4" w:space="0" w:color="000000"/>
              <w:left w:val="single" w:sz="4" w:space="0" w:color="000000"/>
              <w:bottom w:val="single" w:sz="4" w:space="0" w:color="000000"/>
            </w:tcBorders>
            <w:shd w:val="clear" w:color="auto" w:fill="auto"/>
          </w:tcPr>
          <w:p w:rsidR="00703D85" w:rsidRPr="00BE086B" w:rsidRDefault="00703D85" w:rsidP="00CA490A">
            <w:pPr>
              <w:pStyle w:val="af3"/>
              <w:snapToGrid w:val="0"/>
              <w:spacing w:before="0" w:after="0"/>
              <w:jc w:val="center"/>
              <w:rPr>
                <w:sz w:val="28"/>
                <w:szCs w:val="28"/>
                <w:lang w:val="uk-UA"/>
              </w:rPr>
            </w:pPr>
            <w:r w:rsidRPr="00BE086B">
              <w:rPr>
                <w:sz w:val="28"/>
                <w:szCs w:val="28"/>
                <w:lang w:val="uk-UA"/>
              </w:rPr>
              <w:t>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703D85" w:rsidRPr="00BE086B" w:rsidRDefault="00703D85" w:rsidP="00CA490A">
            <w:pPr>
              <w:pStyle w:val="af3"/>
              <w:snapToGrid w:val="0"/>
              <w:spacing w:before="0" w:after="0"/>
              <w:jc w:val="center"/>
              <w:rPr>
                <w:sz w:val="28"/>
                <w:szCs w:val="28"/>
                <w:lang w:val="uk-UA"/>
              </w:rPr>
            </w:pPr>
            <w:r w:rsidRPr="00BE086B">
              <w:rPr>
                <w:sz w:val="28"/>
                <w:szCs w:val="28"/>
                <w:lang w:val="uk-UA"/>
              </w:rPr>
              <w:t>3</w:t>
            </w:r>
          </w:p>
        </w:tc>
      </w:tr>
      <w:tr w:rsidR="00AF418B" w:rsidRPr="00BE086B" w:rsidTr="00A7341E">
        <w:tc>
          <w:tcPr>
            <w:tcW w:w="467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212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w:t>
            </w:r>
          </w:p>
        </w:tc>
      </w:tr>
      <w:tr w:rsidR="00AF418B" w:rsidRPr="00BE086B" w:rsidTr="00A7341E">
        <w:tc>
          <w:tcPr>
            <w:tcW w:w="4678" w:type="dxa"/>
            <w:tcBorders>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 група ЕГ + ЕОА (без «лікування») (n=10)</w:t>
            </w:r>
          </w:p>
        </w:tc>
        <w:tc>
          <w:tcPr>
            <w:tcW w:w="2126" w:type="dxa"/>
            <w:tcBorders>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27,0</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±1,58</w:t>
            </w:r>
          </w:p>
        </w:tc>
        <w:tc>
          <w:tcPr>
            <w:tcW w:w="2127" w:type="dxa"/>
            <w:tcBorders>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30,1*</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±1,60</w:t>
            </w:r>
          </w:p>
        </w:tc>
      </w:tr>
      <w:tr w:rsidR="00AF418B" w:rsidRPr="00BE086B" w:rsidTr="00A7341E">
        <w:tc>
          <w:tcPr>
            <w:tcW w:w="467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L-тироксин (Т) 1,5 мкг/кг (n=10)</w:t>
            </w:r>
          </w:p>
        </w:tc>
        <w:tc>
          <w:tcPr>
            <w:tcW w:w="212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28,4</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±2,07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28,6#</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±2,51</w:t>
            </w:r>
          </w:p>
        </w:tc>
      </w:tr>
      <w:tr w:rsidR="00AF418B" w:rsidRPr="00BE086B" w:rsidTr="00A7341E">
        <w:tc>
          <w:tcPr>
            <w:tcW w:w="467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10 мг/кг (n=10)</w:t>
            </w:r>
          </w:p>
        </w:tc>
        <w:tc>
          <w:tcPr>
            <w:tcW w:w="212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27,72</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±1,48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14,3#*</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±2,44</w:t>
            </w:r>
          </w:p>
        </w:tc>
      </w:tr>
    </w:tbl>
    <w:p w:rsidR="00303110" w:rsidRPr="00BE086B" w:rsidRDefault="00303110" w:rsidP="00303110">
      <w:pPr>
        <w:pStyle w:val="af0"/>
        <w:spacing w:line="240" w:lineRule="auto"/>
        <w:jc w:val="right"/>
        <w:rPr>
          <w:i/>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5.6</w:t>
      </w:r>
    </w:p>
    <w:tbl>
      <w:tblPr>
        <w:tblW w:w="0" w:type="auto"/>
        <w:jc w:val="center"/>
        <w:tblLayout w:type="fixed"/>
        <w:tblLook w:val="0000" w:firstRow="0" w:lastRow="0" w:firstColumn="0" w:lastColumn="0" w:noHBand="0" w:noVBand="0"/>
      </w:tblPr>
      <w:tblGrid>
        <w:gridCol w:w="4678"/>
        <w:gridCol w:w="2126"/>
        <w:gridCol w:w="2127"/>
      </w:tblGrid>
      <w:tr w:rsidR="00703D85"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703D85" w:rsidRPr="00BE086B" w:rsidRDefault="00703D85"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2126" w:type="dxa"/>
            <w:tcBorders>
              <w:top w:val="single" w:sz="4" w:space="0" w:color="000000"/>
              <w:left w:val="single" w:sz="4" w:space="0" w:color="000000"/>
              <w:bottom w:val="single" w:sz="4" w:space="0" w:color="000000"/>
            </w:tcBorders>
            <w:shd w:val="clear" w:color="auto" w:fill="auto"/>
          </w:tcPr>
          <w:p w:rsidR="00703D85" w:rsidRPr="00BE086B" w:rsidRDefault="00703D85" w:rsidP="00335630">
            <w:pPr>
              <w:pStyle w:val="af3"/>
              <w:snapToGrid w:val="0"/>
              <w:spacing w:before="0" w:after="0"/>
              <w:jc w:val="center"/>
              <w:rPr>
                <w:sz w:val="28"/>
                <w:szCs w:val="28"/>
                <w:lang w:val="uk-UA"/>
              </w:rPr>
            </w:pPr>
            <w:r w:rsidRPr="00BE086B">
              <w:rPr>
                <w:sz w:val="28"/>
                <w:szCs w:val="28"/>
                <w:lang w:val="uk-UA"/>
              </w:rPr>
              <w:t>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703D85" w:rsidRPr="00BE086B" w:rsidRDefault="00703D85" w:rsidP="00335630">
            <w:pPr>
              <w:pStyle w:val="af3"/>
              <w:snapToGrid w:val="0"/>
              <w:spacing w:before="0" w:after="0"/>
              <w:jc w:val="center"/>
              <w:rPr>
                <w:sz w:val="28"/>
                <w:szCs w:val="28"/>
                <w:lang w:val="uk-UA"/>
              </w:rPr>
            </w:pPr>
            <w:r w:rsidRPr="00BE086B">
              <w:rPr>
                <w:sz w:val="28"/>
                <w:szCs w:val="28"/>
                <w:lang w:val="uk-UA"/>
              </w:rPr>
              <w:t>3</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 L-тироксин (Т)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28,14</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±1,61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12,8#*</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±2,49</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 група ЕГ + ЕОА + ібупрофен (І) 5 мг/кг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26,58#*</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±2,04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17,8#*</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±1,92</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 + L-тироксин (Т)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29,8</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±2,39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15,0#*</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±2,74</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10 мг/кг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29,16</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±2,65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19,24#*</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±1,48</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 L-тироксин (Т)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27,5#*</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±2,24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17,6#*</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±2,07</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150 мг/кг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28,2</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±1,48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23,2#*</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±1,92</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 L-тироксин (Т)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26,94#*</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±1,88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22,2#*</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±1,92</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80 мг/кг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28,8</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±1,79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19,4#*</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±2,07</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 L-тироксин (Т)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29,1</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±2,41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17,2#*</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±2,17</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50 мг/кг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30,2</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±2,59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21,5#*</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±1,12</w:t>
            </w:r>
          </w:p>
        </w:tc>
      </w:tr>
      <w:tr w:rsidR="00303110" w:rsidRPr="00BE086B" w:rsidTr="00303110">
        <w:trPr>
          <w:jc w:val="center"/>
        </w:trPr>
        <w:tc>
          <w:tcPr>
            <w:tcW w:w="4678"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 L-тироксин (Т) (n=10)</w:t>
            </w:r>
          </w:p>
        </w:tc>
        <w:tc>
          <w:tcPr>
            <w:tcW w:w="2126" w:type="dxa"/>
            <w:tcBorders>
              <w:top w:val="single" w:sz="4" w:space="0" w:color="000000"/>
              <w:left w:val="single" w:sz="4" w:space="0" w:color="000000"/>
              <w:bottom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28,4#*</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±2,30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03110" w:rsidRPr="00BE086B" w:rsidRDefault="00303110" w:rsidP="00335630">
            <w:pPr>
              <w:pStyle w:val="af3"/>
              <w:snapToGrid w:val="0"/>
              <w:spacing w:before="0" w:after="0"/>
              <w:jc w:val="center"/>
              <w:rPr>
                <w:sz w:val="28"/>
                <w:szCs w:val="28"/>
                <w:lang w:val="uk-UA"/>
              </w:rPr>
            </w:pPr>
            <w:r w:rsidRPr="00BE086B">
              <w:rPr>
                <w:sz w:val="28"/>
                <w:szCs w:val="28"/>
                <w:lang w:val="uk-UA"/>
              </w:rPr>
              <w:t>19,2#*</w:t>
            </w:r>
          </w:p>
          <w:p w:rsidR="00303110" w:rsidRPr="00BE086B" w:rsidRDefault="00303110" w:rsidP="00335630">
            <w:pPr>
              <w:pStyle w:val="af3"/>
              <w:snapToGrid w:val="0"/>
              <w:spacing w:before="0" w:after="0"/>
              <w:jc w:val="center"/>
              <w:rPr>
                <w:sz w:val="28"/>
                <w:szCs w:val="28"/>
                <w:lang w:val="uk-UA"/>
              </w:rPr>
            </w:pPr>
            <w:r w:rsidRPr="00BE086B">
              <w:rPr>
                <w:sz w:val="28"/>
                <w:szCs w:val="28"/>
                <w:lang w:val="uk-UA"/>
              </w:rPr>
              <w:t>±1,92</w:t>
            </w:r>
          </w:p>
        </w:tc>
      </w:tr>
    </w:tbl>
    <w:p w:rsidR="00AF418B" w:rsidRPr="00BE086B" w:rsidRDefault="00AF418B" w:rsidP="005316D2">
      <w:pPr>
        <w:pStyle w:val="western"/>
        <w:spacing w:before="0"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b/>
          <w:color w:val="auto"/>
          <w:kern w:val="28"/>
          <w:sz w:val="28"/>
          <w:szCs w:val="28"/>
          <w:lang w:val="uk-UA"/>
        </w:rPr>
        <w:t>Примітк</w:t>
      </w:r>
      <w:r w:rsidR="00303110" w:rsidRPr="00BE086B">
        <w:rPr>
          <w:rFonts w:ascii="Times New Roman" w:hAnsi="Times New Roman" w:cs="Times New Roman"/>
          <w:b/>
          <w:color w:val="auto"/>
          <w:kern w:val="28"/>
          <w:sz w:val="28"/>
          <w:szCs w:val="28"/>
          <w:lang w:val="uk-UA"/>
        </w:rPr>
        <w:t>и</w:t>
      </w:r>
      <w:r w:rsidRPr="00BE086B">
        <w:rPr>
          <w:rFonts w:ascii="Times New Roman" w:hAnsi="Times New Roman" w:cs="Times New Roman"/>
          <w:b/>
          <w:color w:val="auto"/>
          <w:kern w:val="28"/>
          <w:sz w:val="28"/>
          <w:szCs w:val="28"/>
          <w:lang w:val="uk-UA"/>
        </w:rPr>
        <w:t>:</w:t>
      </w:r>
      <w:r w:rsidRPr="00BE086B">
        <w:rPr>
          <w:rFonts w:ascii="Times New Roman" w:hAnsi="Times New Roman" w:cs="Times New Roman"/>
          <w:color w:val="auto"/>
          <w:kern w:val="28"/>
          <w:sz w:val="28"/>
          <w:szCs w:val="28"/>
          <w:lang w:val="uk-UA"/>
        </w:rPr>
        <w:t xml:space="preserve"> # - значення достовірні (р &lt; 0,05) по відношенню до відповідного показника I групи (ЕГ + ЕОА - без «лікування»);</w:t>
      </w:r>
      <w:r w:rsidR="00303110" w:rsidRPr="00BE086B">
        <w:rPr>
          <w:rFonts w:ascii="Times New Roman" w:hAnsi="Times New Roman" w:cs="Times New Roman"/>
          <w:color w:val="auto"/>
          <w:kern w:val="28"/>
          <w:sz w:val="28"/>
          <w:szCs w:val="28"/>
          <w:lang w:val="uk-UA"/>
        </w:rPr>
        <w:t xml:space="preserve"> </w:t>
      </w:r>
      <w:r w:rsidRPr="00BE086B">
        <w:rPr>
          <w:rFonts w:ascii="Times New Roman" w:hAnsi="Times New Roman" w:cs="Times New Roman"/>
          <w:color w:val="auto"/>
          <w:kern w:val="28"/>
          <w:sz w:val="28"/>
          <w:szCs w:val="28"/>
          <w:lang w:val="uk-UA"/>
        </w:rPr>
        <w:t>* - значення достовірні (р &lt; 0,05) по відношенню до відповідного показника II групи</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ЕГ + ЕОА</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L-тироксин</w:t>
      </w:r>
      <w:r w:rsidRPr="00BE086B">
        <w:rPr>
          <w:rFonts w:ascii="Times New Roman" w:hAnsi="Times New Roman" w:cs="Times New Roman"/>
          <w:color w:val="auto"/>
          <w:kern w:val="28"/>
          <w:sz w:val="28"/>
          <w:szCs w:val="28"/>
        </w:rPr>
        <w:t>)</w:t>
      </w:r>
      <w:r w:rsidRPr="00BE086B">
        <w:rPr>
          <w:rFonts w:ascii="Times New Roman" w:hAnsi="Times New Roman" w:cs="Times New Roman"/>
          <w:color w:val="auto"/>
          <w:kern w:val="28"/>
          <w:sz w:val="28"/>
          <w:szCs w:val="28"/>
          <w:lang w:val="uk-UA"/>
        </w:rPr>
        <w:t>.</w:t>
      </w:r>
    </w:p>
    <w:p w:rsidR="00AF418B" w:rsidRPr="00BE086B" w:rsidRDefault="00AF418B" w:rsidP="005316D2">
      <w:pPr>
        <w:pStyle w:val="western"/>
        <w:spacing w:before="0"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табл. 5.6 висвітлені зміни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сироватці крові щурів під впливом призначення НПЗЗ, парацетамолу та L-тироксину. Так, у ІІІ групі ЕГ + ЕОА + диклофенак натрію визначено на 47 добу експерименту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1,94 рази (р &lt; 0,05). При сумісному призначені диклофенаку натрію з L-тироксином (ІV група) на 47 добу на фоні експериментальних патологій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2,2 рази (р &lt; 0,05) (рис. 5.13).</w:t>
      </w:r>
    </w:p>
    <w:p w:rsidR="00B8275F" w:rsidRDefault="00B8275F" w:rsidP="00612BF8">
      <w:pPr>
        <w:spacing w:line="360" w:lineRule="auto"/>
        <w:ind w:firstLine="709"/>
        <w:jc w:val="both"/>
        <w:rPr>
          <w:noProof/>
          <w:sz w:val="28"/>
          <w:szCs w:val="28"/>
          <w:lang w:eastAsia="ru-RU"/>
        </w:rPr>
      </w:pPr>
    </w:p>
    <w:p w:rsidR="00B8275F" w:rsidRDefault="00E530F5" w:rsidP="001A1F1F">
      <w:pPr>
        <w:spacing w:line="360" w:lineRule="auto"/>
        <w:jc w:val="center"/>
        <w:rPr>
          <w:noProof/>
          <w:sz w:val="28"/>
          <w:szCs w:val="28"/>
          <w:lang w:eastAsia="ru-RU"/>
        </w:rPr>
      </w:pPr>
      <w:r>
        <w:rPr>
          <w:noProof/>
          <w:sz w:val="28"/>
          <w:szCs w:val="28"/>
          <w:lang w:eastAsia="ru-RU"/>
        </w:rPr>
        <w:lastRenderedPageBreak/>
        <w:drawing>
          <wp:inline distT="0" distB="0" distL="0" distR="0">
            <wp:extent cx="5943600" cy="4924800"/>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13.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4924800"/>
                    </a:xfrm>
                    <a:prstGeom prst="rect">
                      <a:avLst/>
                    </a:prstGeom>
                  </pic:spPr>
                </pic:pic>
              </a:graphicData>
            </a:graphic>
          </wp:inline>
        </w:drawing>
      </w:r>
    </w:p>
    <w:p w:rsidR="00AF418B" w:rsidRPr="00BE086B" w:rsidRDefault="00AF418B" w:rsidP="00612BF8">
      <w:pPr>
        <w:spacing w:line="360" w:lineRule="auto"/>
        <w:ind w:firstLine="709"/>
        <w:jc w:val="both"/>
        <w:rPr>
          <w:sz w:val="28"/>
          <w:szCs w:val="28"/>
        </w:rPr>
      </w:pPr>
      <w:r w:rsidRPr="00BE086B">
        <w:rPr>
          <w:b/>
          <w:noProof/>
          <w:sz w:val="28"/>
          <w:szCs w:val="28"/>
          <w:lang w:val="uk-UA" w:eastAsia="ru-RU"/>
        </w:rPr>
        <w:t>Рис. 5.13.</w:t>
      </w:r>
      <w:r w:rsidRPr="00BE086B">
        <w:rPr>
          <w:noProof/>
          <w:sz w:val="28"/>
          <w:szCs w:val="28"/>
          <w:lang w:val="uk-UA" w:eastAsia="ru-RU"/>
        </w:rPr>
        <w:t xml:space="preserve"> Зміни рівня </w:t>
      </w:r>
      <w:r w:rsidRPr="00BE086B">
        <w:rPr>
          <w:bCs/>
          <w:sz w:val="28"/>
          <w:szCs w:val="28"/>
          <w:lang w:val="uk-UA"/>
        </w:rPr>
        <w:t>С-реактивного протеїну (СРП)</w:t>
      </w:r>
      <w:r w:rsidRPr="00BE086B">
        <w:rPr>
          <w:sz w:val="28"/>
          <w:szCs w:val="28"/>
          <w:lang w:val="uk-UA"/>
        </w:rPr>
        <w:t xml:space="preserve"> </w:t>
      </w:r>
      <w:r w:rsidRPr="00BE086B">
        <w:rPr>
          <w:noProof/>
          <w:sz w:val="28"/>
          <w:szCs w:val="28"/>
          <w:lang w:val="uk-UA" w:eastAsia="ru-RU"/>
        </w:rPr>
        <w:t xml:space="preserve">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p>
    <w:p w:rsidR="00AF418B" w:rsidRPr="00BE086B" w:rsidRDefault="00AF418B" w:rsidP="005316D2">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 призначені ібупрофену (V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ібупрофен) на 47 добу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1,49 рази (р &lt; 0,05). Сумісне призначення ібупрофену та L-тироксину (VІ група) на 47 добу виявило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1,99 рази (р &lt; 0,05).</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VІІ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на 47 добу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1,52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w:t>
      </w:r>
      <w:r w:rsidRPr="00BE086B">
        <w:rPr>
          <w:rFonts w:ascii="Times New Roman" w:hAnsi="Times New Roman" w:cs="Times New Roman"/>
          <w:color w:val="auto"/>
          <w:sz w:val="28"/>
          <w:szCs w:val="28"/>
          <w:lang w:val="uk-UA"/>
        </w:rPr>
        <w:lastRenderedPageBreak/>
        <w:t xml:space="preserve">+ L-тироксин на 47 добу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1,56 рази (р &lt; 0,05) (рис. 5.13).</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sz w:val="28"/>
          <w:szCs w:val="28"/>
          <w:lang w:val="uk-UA"/>
        </w:rPr>
        <w:t xml:space="preserve">Призначення парацетамолу (ІХ група ЕГ + ЕОА + парацетамол) на 47 добу призвело до достовірного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1,21 рази (р &lt; 0,05). При сумісному призначені з L-тироксином (Х група ЕГ + ЕОА + парацетамол + L-тироксин</w:t>
      </w:r>
      <w:r w:rsidRPr="00BE086B">
        <w:rPr>
          <w:rFonts w:ascii="Times New Roman" w:hAnsi="Times New Roman" w:cs="Times New Roman"/>
          <w:color w:val="auto"/>
          <w:kern w:val="28"/>
          <w:sz w:val="28"/>
          <w:szCs w:val="28"/>
          <w:lang w:val="uk-UA"/>
        </w:rPr>
        <w:t xml:space="preserve">)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kern w:val="28"/>
          <w:sz w:val="28"/>
          <w:szCs w:val="28"/>
          <w:lang w:val="uk-UA"/>
        </w:rPr>
        <w:t xml:space="preserve"> у 1,21 рази (р &lt; 0,05) </w:t>
      </w:r>
      <w:r w:rsidRPr="00BE086B">
        <w:rPr>
          <w:rFonts w:ascii="Times New Roman" w:hAnsi="Times New Roman" w:cs="Times New Roman"/>
          <w:color w:val="auto"/>
          <w:sz w:val="28"/>
          <w:szCs w:val="28"/>
          <w:lang w:val="uk-UA"/>
        </w:rPr>
        <w:t>(рис. 5.13)</w:t>
      </w:r>
      <w:r w:rsidRPr="00BE086B">
        <w:rPr>
          <w:rFonts w:ascii="Times New Roman" w:hAnsi="Times New Roman" w:cs="Times New Roman"/>
          <w:color w:val="auto"/>
          <w:kern w:val="28"/>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kern w:val="28"/>
          <w:sz w:val="28"/>
          <w:szCs w:val="28"/>
          <w:lang w:val="uk-UA"/>
        </w:rPr>
        <w:t xml:space="preserve">У ХІ групі ЕГ + ЕОА + німесулід на 47 добу експерименту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kern w:val="28"/>
          <w:sz w:val="28"/>
          <w:szCs w:val="28"/>
          <w:lang w:val="uk-UA"/>
        </w:rPr>
        <w:t xml:space="preserve"> у 1,48 рази (р &lt; 0,05). При призначені німесуліду та L-тироксину (ХІІ група ЕГ + ЕОА + німесулід +L-тироксин)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kern w:val="28"/>
          <w:sz w:val="28"/>
          <w:szCs w:val="28"/>
          <w:lang w:val="uk-UA"/>
        </w:rPr>
        <w:t xml:space="preserve"> у 1,69 рази (р &lt; 0,05).</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kern w:val="28"/>
          <w:sz w:val="28"/>
          <w:szCs w:val="28"/>
          <w:lang w:val="uk-UA"/>
        </w:rPr>
        <w:t xml:space="preserve">Призначення целекоксибу (ХІІІ група ЕГ + ЕОА + целекоксиб) визначило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kern w:val="28"/>
          <w:sz w:val="28"/>
          <w:szCs w:val="28"/>
          <w:lang w:val="uk-UA"/>
        </w:rPr>
        <w:t xml:space="preserve"> у 1,4 рази (р &lt; 0,05). При призначені целекоксибу та L-тироксину (ХІV група ЕГ + ЕОА + целекоксиб +L-тироксин)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kern w:val="28"/>
          <w:sz w:val="28"/>
          <w:szCs w:val="28"/>
          <w:lang w:val="uk-UA"/>
        </w:rPr>
        <w:t xml:space="preserve"> у 1,5 рази (р &lt; 0,05) </w:t>
      </w:r>
      <w:r w:rsidRPr="00BE086B">
        <w:rPr>
          <w:rFonts w:ascii="Times New Roman" w:hAnsi="Times New Roman" w:cs="Times New Roman"/>
          <w:color w:val="auto"/>
          <w:sz w:val="28"/>
          <w:szCs w:val="28"/>
          <w:lang w:val="uk-UA"/>
        </w:rPr>
        <w:t>(рис. 5.13)</w:t>
      </w:r>
      <w:r w:rsidRPr="00BE086B">
        <w:rPr>
          <w:rFonts w:ascii="Times New Roman" w:hAnsi="Times New Roman" w:cs="Times New Roman"/>
          <w:color w:val="auto"/>
          <w:kern w:val="28"/>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підставі отриманих даних встановлено, що у групах експериментальних тварин, які отримували ЛЗ сумісно з L-тироксином визначено більше зниження рівня маркеру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ніж при монотерапії (табл. 5.6.1).</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Звертає увагу ІХ група ЕГ + ЕОА + парацетамол та Х група ЕГ + ЕОА + парацетамол + L-тироксин при порівнянні результатів в яких не визначено різниці між впливу парацетамолу на експериментальних тварин (табл. 5.6) (рис. 5.13).</w:t>
      </w:r>
    </w:p>
    <w:p w:rsidR="00AF418B" w:rsidRPr="00BE086B" w:rsidRDefault="00AF418B" w:rsidP="005316D2">
      <w:pPr>
        <w:pStyle w:val="WW-1"/>
        <w:spacing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sz w:val="28"/>
          <w:szCs w:val="28"/>
          <w:lang w:val="uk-UA"/>
        </w:rPr>
        <w:t xml:space="preserve">Проте, при сумісному призначені диклофенаку натрію з L-тироксином (ІV група) на 47 добу на фоні експериментальних патологій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2,2 рази (р &lt; 0,05). Сумісне призначення ібупрофену та L-тироксину (VІ група) на 47 добу виявило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1,99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 L-тироксин на 47 добу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у 1,56 рази (р &lt; 0,05). </w:t>
      </w:r>
      <w:r w:rsidRPr="00BE086B">
        <w:rPr>
          <w:rFonts w:ascii="Times New Roman" w:hAnsi="Times New Roman" w:cs="Times New Roman"/>
          <w:color w:val="auto"/>
          <w:kern w:val="28"/>
          <w:sz w:val="28"/>
          <w:szCs w:val="28"/>
          <w:lang w:val="uk-UA"/>
        </w:rPr>
        <w:t xml:space="preserve">При призначені німесуліду та L-тироксину (ХІІ група ЕГ + ЕОА + </w:t>
      </w:r>
      <w:r w:rsidRPr="00BE086B">
        <w:rPr>
          <w:rFonts w:ascii="Times New Roman" w:hAnsi="Times New Roman" w:cs="Times New Roman"/>
          <w:color w:val="auto"/>
          <w:kern w:val="28"/>
          <w:sz w:val="28"/>
          <w:szCs w:val="28"/>
          <w:lang w:val="uk-UA"/>
        </w:rPr>
        <w:lastRenderedPageBreak/>
        <w:t xml:space="preserve">німесулід +L-тироксин)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kern w:val="28"/>
          <w:sz w:val="28"/>
          <w:szCs w:val="28"/>
          <w:lang w:val="uk-UA"/>
        </w:rPr>
        <w:t xml:space="preserve"> у 1,69 рази (р &lt; 0,05). При призначені целекоксибу та L-тироксину (ХІV група ЕГ + ЕОА + целекоксиб +L-тироксин) визначено достовірне зниження рівня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kern w:val="28"/>
          <w:sz w:val="28"/>
          <w:szCs w:val="28"/>
          <w:lang w:val="uk-UA"/>
        </w:rPr>
        <w:t xml:space="preserve"> у 1,5 рази (р &lt; 0,05) </w:t>
      </w:r>
      <w:r w:rsidRPr="00BE086B">
        <w:rPr>
          <w:rFonts w:ascii="Times New Roman" w:hAnsi="Times New Roman" w:cs="Times New Roman"/>
          <w:color w:val="auto"/>
          <w:sz w:val="28"/>
          <w:szCs w:val="28"/>
          <w:lang w:val="uk-UA"/>
        </w:rPr>
        <w:t>(рис. 5.13)</w:t>
      </w:r>
      <w:r w:rsidRPr="00BE086B">
        <w:rPr>
          <w:rFonts w:ascii="Times New Roman" w:hAnsi="Times New Roman" w:cs="Times New Roman"/>
          <w:color w:val="auto"/>
          <w:kern w:val="28"/>
          <w:sz w:val="28"/>
          <w:szCs w:val="28"/>
          <w:lang w:val="uk-UA"/>
        </w:rPr>
        <w:t>.</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 xml:space="preserve">Таким чином, на підставі проведеного дослідження вивчена протизапальна </w:t>
      </w:r>
      <w:r w:rsidR="008646C5" w:rsidRPr="00BE086B">
        <w:rPr>
          <w:sz w:val="28"/>
          <w:szCs w:val="28"/>
          <w:lang w:val="uk-UA"/>
        </w:rPr>
        <w:t xml:space="preserve"> </w:t>
      </w:r>
      <w:r w:rsidRPr="00BE086B">
        <w:rPr>
          <w:sz w:val="28"/>
          <w:szCs w:val="28"/>
          <w:lang w:val="uk-UA"/>
        </w:rPr>
        <w:t xml:space="preserve">активність </w:t>
      </w:r>
      <w:r w:rsidR="008646C5" w:rsidRPr="00BE086B">
        <w:rPr>
          <w:sz w:val="28"/>
          <w:szCs w:val="28"/>
          <w:lang w:val="uk-UA"/>
        </w:rPr>
        <w:t xml:space="preserve"> </w:t>
      </w:r>
      <w:r w:rsidRPr="00BE086B">
        <w:rPr>
          <w:sz w:val="28"/>
          <w:szCs w:val="28"/>
          <w:lang w:val="uk-UA"/>
        </w:rPr>
        <w:t xml:space="preserve">НПЗЗ </w:t>
      </w:r>
      <w:r w:rsidR="008646C5" w:rsidRPr="00BE086B">
        <w:rPr>
          <w:sz w:val="28"/>
          <w:szCs w:val="28"/>
          <w:lang w:val="uk-UA"/>
        </w:rPr>
        <w:t xml:space="preserve"> </w:t>
      </w:r>
      <w:r w:rsidRPr="00BE086B">
        <w:rPr>
          <w:sz w:val="28"/>
          <w:szCs w:val="28"/>
          <w:lang w:val="uk-UA"/>
        </w:rPr>
        <w:t xml:space="preserve">та </w:t>
      </w:r>
      <w:r w:rsidR="008646C5" w:rsidRPr="00BE086B">
        <w:rPr>
          <w:sz w:val="28"/>
          <w:szCs w:val="28"/>
          <w:lang w:val="uk-UA"/>
        </w:rPr>
        <w:t xml:space="preserve"> </w:t>
      </w:r>
      <w:r w:rsidRPr="00BE086B">
        <w:rPr>
          <w:sz w:val="28"/>
          <w:szCs w:val="28"/>
          <w:lang w:val="uk-UA"/>
        </w:rPr>
        <w:t xml:space="preserve">парацетамолу </w:t>
      </w:r>
      <w:r w:rsidR="008646C5" w:rsidRPr="00BE086B">
        <w:rPr>
          <w:sz w:val="28"/>
          <w:szCs w:val="28"/>
          <w:lang w:val="uk-UA"/>
        </w:rPr>
        <w:t xml:space="preserve"> </w:t>
      </w:r>
      <w:r w:rsidRPr="00BE086B">
        <w:rPr>
          <w:sz w:val="28"/>
          <w:szCs w:val="28"/>
          <w:lang w:val="uk-UA"/>
        </w:rPr>
        <w:t xml:space="preserve">при </w:t>
      </w:r>
      <w:r w:rsidR="008646C5" w:rsidRPr="00BE086B">
        <w:rPr>
          <w:sz w:val="28"/>
          <w:szCs w:val="28"/>
          <w:lang w:val="uk-UA"/>
        </w:rPr>
        <w:t xml:space="preserve"> </w:t>
      </w:r>
      <w:r w:rsidRPr="00BE086B">
        <w:rPr>
          <w:sz w:val="28"/>
          <w:szCs w:val="28"/>
          <w:lang w:val="uk-UA"/>
        </w:rPr>
        <w:t xml:space="preserve">експериментальному </w:t>
      </w:r>
      <w:r w:rsidR="008646C5" w:rsidRPr="00BE086B">
        <w:rPr>
          <w:sz w:val="28"/>
          <w:szCs w:val="28"/>
          <w:lang w:val="uk-UA"/>
        </w:rPr>
        <w:t xml:space="preserve"> </w:t>
      </w:r>
      <w:r w:rsidRPr="00BE086B">
        <w:rPr>
          <w:sz w:val="28"/>
          <w:szCs w:val="28"/>
          <w:lang w:val="uk-UA"/>
        </w:rPr>
        <w:t xml:space="preserve">остеоартрозі </w:t>
      </w:r>
      <w:r w:rsidR="008646C5" w:rsidRPr="00BE086B">
        <w:rPr>
          <w:sz w:val="28"/>
          <w:szCs w:val="28"/>
          <w:lang w:val="uk-UA"/>
        </w:rPr>
        <w:t xml:space="preserve"> </w:t>
      </w:r>
      <w:r w:rsidRPr="00BE086B">
        <w:rPr>
          <w:sz w:val="28"/>
          <w:szCs w:val="28"/>
          <w:lang w:val="uk-UA"/>
        </w:rPr>
        <w:t xml:space="preserve">та </w:t>
      </w:r>
      <w:r w:rsidR="008646C5" w:rsidRPr="00BE086B">
        <w:rPr>
          <w:sz w:val="28"/>
          <w:szCs w:val="28"/>
          <w:lang w:val="uk-UA"/>
        </w:rPr>
        <w:t xml:space="preserve"> </w:t>
      </w:r>
      <w:r w:rsidRPr="00BE086B">
        <w:rPr>
          <w:sz w:val="28"/>
          <w:szCs w:val="28"/>
          <w:lang w:val="uk-UA"/>
        </w:rPr>
        <w:t xml:space="preserve">гіпотиреозі </w:t>
      </w:r>
      <w:r w:rsidR="008646C5" w:rsidRPr="00BE086B">
        <w:rPr>
          <w:sz w:val="28"/>
          <w:szCs w:val="28"/>
          <w:lang w:val="uk-UA"/>
        </w:rPr>
        <w:t xml:space="preserve"> </w:t>
      </w:r>
      <w:r w:rsidRPr="00BE086B">
        <w:rPr>
          <w:sz w:val="28"/>
          <w:szCs w:val="28"/>
          <w:lang w:val="uk-UA"/>
        </w:rPr>
        <w:t xml:space="preserve">та </w:t>
      </w:r>
      <w:r w:rsidR="008646C5" w:rsidRPr="00BE086B">
        <w:rPr>
          <w:sz w:val="28"/>
          <w:szCs w:val="28"/>
          <w:lang w:val="uk-UA"/>
        </w:rPr>
        <w:t xml:space="preserve"> </w:t>
      </w:r>
      <w:r w:rsidRPr="00BE086B">
        <w:rPr>
          <w:sz w:val="28"/>
          <w:szCs w:val="28"/>
          <w:lang w:val="uk-UA"/>
        </w:rPr>
        <w:t xml:space="preserve">визначені </w:t>
      </w:r>
      <w:r w:rsidR="008646C5" w:rsidRPr="00BE086B">
        <w:rPr>
          <w:sz w:val="28"/>
          <w:szCs w:val="28"/>
          <w:lang w:val="uk-UA"/>
        </w:rPr>
        <w:t xml:space="preserve"> </w:t>
      </w:r>
      <w:r w:rsidRPr="00BE086B">
        <w:rPr>
          <w:sz w:val="28"/>
          <w:szCs w:val="28"/>
          <w:lang w:val="uk-UA"/>
        </w:rPr>
        <w:t xml:space="preserve">зміни </w:t>
      </w:r>
      <w:r w:rsidR="008646C5" w:rsidRPr="00BE086B">
        <w:rPr>
          <w:sz w:val="28"/>
          <w:szCs w:val="28"/>
          <w:lang w:val="uk-UA"/>
        </w:rPr>
        <w:t xml:space="preserve"> </w:t>
      </w:r>
      <w:r w:rsidRPr="00BE086B">
        <w:rPr>
          <w:sz w:val="28"/>
          <w:szCs w:val="28"/>
          <w:lang w:val="uk-UA"/>
        </w:rPr>
        <w:t xml:space="preserve">рівня С-реактивного </w:t>
      </w:r>
      <w:r w:rsidR="008646C5" w:rsidRPr="00BE086B">
        <w:rPr>
          <w:sz w:val="28"/>
          <w:szCs w:val="28"/>
          <w:lang w:val="uk-UA"/>
        </w:rPr>
        <w:t xml:space="preserve"> </w:t>
      </w:r>
      <w:r w:rsidRPr="00BE086B">
        <w:rPr>
          <w:sz w:val="28"/>
          <w:szCs w:val="28"/>
          <w:lang w:val="uk-UA"/>
        </w:rPr>
        <w:t>протеїну у сироватці</w:t>
      </w:r>
      <w:r w:rsidR="008646C5" w:rsidRPr="00BE086B">
        <w:rPr>
          <w:sz w:val="28"/>
          <w:szCs w:val="28"/>
          <w:lang w:val="uk-UA"/>
        </w:rPr>
        <w:t xml:space="preserve"> </w:t>
      </w:r>
      <w:r w:rsidRPr="00BE086B">
        <w:rPr>
          <w:sz w:val="28"/>
          <w:szCs w:val="28"/>
          <w:lang w:val="uk-UA"/>
        </w:rPr>
        <w:t xml:space="preserve"> крові </w:t>
      </w:r>
      <w:r w:rsidR="008646C5" w:rsidRPr="00BE086B">
        <w:rPr>
          <w:sz w:val="28"/>
          <w:szCs w:val="28"/>
          <w:lang w:val="uk-UA"/>
        </w:rPr>
        <w:t xml:space="preserve"> </w:t>
      </w:r>
      <w:r w:rsidRPr="00BE086B">
        <w:rPr>
          <w:sz w:val="28"/>
          <w:szCs w:val="28"/>
          <w:lang w:val="uk-UA"/>
        </w:rPr>
        <w:t xml:space="preserve">щурів </w:t>
      </w:r>
      <w:r w:rsidR="008646C5" w:rsidRPr="00BE086B">
        <w:rPr>
          <w:sz w:val="28"/>
          <w:szCs w:val="28"/>
          <w:lang w:val="uk-UA"/>
        </w:rPr>
        <w:t xml:space="preserve"> </w:t>
      </w:r>
      <w:r w:rsidRPr="00BE086B">
        <w:rPr>
          <w:sz w:val="28"/>
          <w:szCs w:val="28"/>
          <w:lang w:val="uk-UA"/>
        </w:rPr>
        <w:t>під впливом замісної гормональної та аналгетичної фармакотерапії [128].</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підставі отриманих даних встановлено, що у групах експериментальних </w:t>
      </w:r>
      <w:r w:rsidR="008646C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тварин, </w:t>
      </w:r>
      <w:r w:rsidR="008646C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які </w:t>
      </w:r>
      <w:r w:rsidR="008646C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отримували </w:t>
      </w:r>
      <w:r w:rsidR="008646C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ЛЗ </w:t>
      </w:r>
      <w:r w:rsidR="008646C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сумісно </w:t>
      </w:r>
      <w:r w:rsidR="008646C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з </w:t>
      </w:r>
      <w:r w:rsidR="008646C5"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 xml:space="preserve">L-тироксином визначено більше зниження рівня маркеру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ніж при монотерапії, що свідчить про доцільність доповнення фармакотерапії експериментальних патологічних станів L-тироксином </w:t>
      </w:r>
      <w:r w:rsidRPr="00BE086B">
        <w:rPr>
          <w:rFonts w:ascii="Times New Roman" w:hAnsi="Times New Roman" w:cs="Times New Roman"/>
          <w:color w:val="auto"/>
          <w:sz w:val="28"/>
          <w:szCs w:val="28"/>
        </w:rPr>
        <w:t>[</w:t>
      </w:r>
      <w:r w:rsidRPr="00BE086B">
        <w:rPr>
          <w:rFonts w:ascii="Times New Roman" w:hAnsi="Times New Roman" w:cs="Times New Roman"/>
          <w:color w:val="auto"/>
          <w:sz w:val="28"/>
          <w:szCs w:val="28"/>
          <w:lang w:val="uk-UA"/>
        </w:rPr>
        <w:t>128</w:t>
      </w:r>
      <w:r w:rsidRPr="00BE086B">
        <w:rPr>
          <w:rFonts w:ascii="Times New Roman" w:hAnsi="Times New Roman" w:cs="Times New Roman"/>
          <w:color w:val="auto"/>
          <w:sz w:val="28"/>
          <w:szCs w:val="28"/>
        </w:rPr>
        <w:t>]</w:t>
      </w:r>
      <w:r w:rsidRPr="00BE086B">
        <w:rPr>
          <w:rFonts w:ascii="Times New Roman" w:hAnsi="Times New Roman" w:cs="Times New Roman"/>
          <w:color w:val="auto"/>
          <w:sz w:val="28"/>
          <w:szCs w:val="28"/>
          <w:lang w:val="uk-UA"/>
        </w:rPr>
        <w:t>.</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Звертає увагу ІХ група ЕГ + ЕОА + парацетамол та Х група ЕГ + ЕОА + парацетамол + L-тироксин при порівнянні результатів в яких не визначено різниці між впливом парацетамолу на експериментальних тварин за рівнем маркеру </w:t>
      </w:r>
      <w:r w:rsidRPr="00BE086B">
        <w:rPr>
          <w:rFonts w:ascii="Times New Roman" w:hAnsi="Times New Roman" w:cs="Times New Roman"/>
          <w:bCs/>
          <w:color w:val="auto"/>
          <w:sz w:val="28"/>
          <w:szCs w:val="28"/>
          <w:lang w:val="uk-UA"/>
        </w:rPr>
        <w:t>СРП</w:t>
      </w:r>
      <w:r w:rsidRPr="00BE086B">
        <w:rPr>
          <w:rFonts w:ascii="Times New Roman" w:hAnsi="Times New Roman" w:cs="Times New Roman"/>
          <w:color w:val="auto"/>
          <w:sz w:val="28"/>
          <w:szCs w:val="28"/>
          <w:lang w:val="uk-UA"/>
        </w:rPr>
        <w:t xml:space="preserve"> (табл. 5.6) (рис. 5.13).</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 xml:space="preserve">За ступенем впливу на запальні процеси за рівнем С-реактивного протеїну у суглобі досліджені препарати можна розташувати наступним чином: диклофенак натрію &gt; ібупрофен &gt; німесулід = мелоксикам &gt; целекоксиб &gt; парацетамол </w:t>
      </w:r>
      <w:r w:rsidRPr="00BE086B">
        <w:rPr>
          <w:kern w:val="28"/>
          <w:sz w:val="28"/>
          <w:szCs w:val="28"/>
          <w:lang w:val="uk-UA"/>
        </w:rPr>
        <w:t xml:space="preserve">(р &lt; 0,05) </w:t>
      </w:r>
      <w:r w:rsidRPr="00BE086B">
        <w:rPr>
          <w:sz w:val="28"/>
          <w:szCs w:val="28"/>
          <w:lang w:val="uk-UA"/>
        </w:rPr>
        <w:t>[128].</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 xml:space="preserve">Отримані </w:t>
      </w:r>
      <w:r w:rsidR="008646C5" w:rsidRPr="00BE086B">
        <w:rPr>
          <w:sz w:val="28"/>
          <w:szCs w:val="28"/>
          <w:lang w:val="uk-UA"/>
        </w:rPr>
        <w:t xml:space="preserve"> </w:t>
      </w:r>
      <w:r w:rsidRPr="00BE086B">
        <w:rPr>
          <w:sz w:val="28"/>
          <w:szCs w:val="28"/>
          <w:lang w:val="uk-UA"/>
        </w:rPr>
        <w:t xml:space="preserve">дані </w:t>
      </w:r>
      <w:r w:rsidR="008646C5" w:rsidRPr="00BE086B">
        <w:rPr>
          <w:sz w:val="28"/>
          <w:szCs w:val="28"/>
          <w:lang w:val="uk-UA"/>
        </w:rPr>
        <w:t xml:space="preserve"> </w:t>
      </w:r>
      <w:r w:rsidRPr="00BE086B">
        <w:rPr>
          <w:sz w:val="28"/>
          <w:szCs w:val="28"/>
          <w:lang w:val="uk-UA"/>
        </w:rPr>
        <w:t xml:space="preserve">вмісту </w:t>
      </w:r>
      <w:r w:rsidR="008646C5" w:rsidRPr="00BE086B">
        <w:rPr>
          <w:sz w:val="28"/>
          <w:szCs w:val="28"/>
          <w:lang w:val="uk-UA"/>
        </w:rPr>
        <w:t xml:space="preserve"> </w:t>
      </w:r>
      <w:r w:rsidRPr="00BE086B">
        <w:rPr>
          <w:sz w:val="28"/>
          <w:szCs w:val="28"/>
          <w:lang w:val="uk-UA"/>
        </w:rPr>
        <w:t xml:space="preserve">С-реактивного </w:t>
      </w:r>
      <w:r w:rsidR="008646C5" w:rsidRPr="00BE086B">
        <w:rPr>
          <w:sz w:val="28"/>
          <w:szCs w:val="28"/>
          <w:lang w:val="uk-UA"/>
        </w:rPr>
        <w:t xml:space="preserve"> </w:t>
      </w:r>
      <w:r w:rsidRPr="00BE086B">
        <w:rPr>
          <w:sz w:val="28"/>
          <w:szCs w:val="28"/>
          <w:lang w:val="uk-UA"/>
        </w:rPr>
        <w:t xml:space="preserve">протеїну у сироватці крові щурів </w:t>
      </w:r>
      <w:r w:rsidR="008646C5" w:rsidRPr="00BE086B">
        <w:rPr>
          <w:sz w:val="28"/>
          <w:szCs w:val="28"/>
          <w:lang w:val="uk-UA"/>
        </w:rPr>
        <w:t xml:space="preserve"> </w:t>
      </w:r>
      <w:r w:rsidRPr="00BE086B">
        <w:rPr>
          <w:sz w:val="28"/>
          <w:szCs w:val="28"/>
          <w:lang w:val="uk-UA"/>
        </w:rPr>
        <w:t xml:space="preserve">відображають </w:t>
      </w:r>
      <w:r w:rsidR="008646C5" w:rsidRPr="00BE086B">
        <w:rPr>
          <w:sz w:val="28"/>
          <w:szCs w:val="28"/>
          <w:lang w:val="uk-UA"/>
        </w:rPr>
        <w:t xml:space="preserve"> </w:t>
      </w:r>
      <w:r w:rsidRPr="00BE086B">
        <w:rPr>
          <w:sz w:val="28"/>
          <w:szCs w:val="28"/>
          <w:lang w:val="uk-UA"/>
        </w:rPr>
        <w:t xml:space="preserve">ступінь </w:t>
      </w:r>
      <w:r w:rsidR="008646C5" w:rsidRPr="00BE086B">
        <w:rPr>
          <w:sz w:val="28"/>
          <w:szCs w:val="28"/>
          <w:lang w:val="uk-UA"/>
        </w:rPr>
        <w:t xml:space="preserve"> </w:t>
      </w:r>
      <w:r w:rsidRPr="00BE086B">
        <w:rPr>
          <w:sz w:val="28"/>
          <w:szCs w:val="28"/>
          <w:lang w:val="uk-UA"/>
        </w:rPr>
        <w:t xml:space="preserve">впливу </w:t>
      </w:r>
      <w:r w:rsidR="008646C5" w:rsidRPr="00BE086B">
        <w:rPr>
          <w:sz w:val="28"/>
          <w:szCs w:val="28"/>
          <w:lang w:val="uk-UA"/>
        </w:rPr>
        <w:t xml:space="preserve"> </w:t>
      </w:r>
      <w:r w:rsidRPr="00BE086B">
        <w:rPr>
          <w:sz w:val="28"/>
          <w:szCs w:val="28"/>
          <w:lang w:val="uk-UA"/>
        </w:rPr>
        <w:t xml:space="preserve">НПЗЗ, </w:t>
      </w:r>
      <w:r w:rsidR="008646C5" w:rsidRPr="00BE086B">
        <w:rPr>
          <w:sz w:val="28"/>
          <w:szCs w:val="28"/>
          <w:lang w:val="uk-UA"/>
        </w:rPr>
        <w:t xml:space="preserve"> </w:t>
      </w:r>
      <w:r w:rsidRPr="00BE086B">
        <w:rPr>
          <w:sz w:val="28"/>
          <w:szCs w:val="28"/>
          <w:lang w:val="uk-UA"/>
        </w:rPr>
        <w:t xml:space="preserve">парацетамолу </w:t>
      </w:r>
      <w:r w:rsidR="008646C5" w:rsidRPr="00BE086B">
        <w:rPr>
          <w:sz w:val="28"/>
          <w:szCs w:val="28"/>
          <w:lang w:val="uk-UA"/>
        </w:rPr>
        <w:t xml:space="preserve"> </w:t>
      </w:r>
      <w:r w:rsidRPr="00BE086B">
        <w:rPr>
          <w:kern w:val="28"/>
          <w:sz w:val="28"/>
          <w:szCs w:val="28"/>
          <w:lang w:val="uk-UA"/>
        </w:rPr>
        <w:t xml:space="preserve">та </w:t>
      </w:r>
      <w:r w:rsidR="008646C5" w:rsidRPr="00BE086B">
        <w:rPr>
          <w:kern w:val="28"/>
          <w:sz w:val="28"/>
          <w:szCs w:val="28"/>
          <w:lang w:val="uk-UA"/>
        </w:rPr>
        <w:t xml:space="preserve"> </w:t>
      </w:r>
      <w:r w:rsidRPr="00BE086B">
        <w:rPr>
          <w:kern w:val="28"/>
          <w:sz w:val="28"/>
          <w:szCs w:val="28"/>
          <w:lang w:val="uk-UA"/>
        </w:rPr>
        <w:t xml:space="preserve">L-тироксину </w:t>
      </w:r>
      <w:r w:rsidRPr="00BE086B">
        <w:rPr>
          <w:sz w:val="28"/>
          <w:szCs w:val="28"/>
          <w:lang w:val="uk-UA"/>
        </w:rPr>
        <w:t>на</w:t>
      </w:r>
      <w:r w:rsidR="008646C5" w:rsidRPr="00BE086B">
        <w:rPr>
          <w:sz w:val="28"/>
          <w:szCs w:val="28"/>
          <w:lang w:val="uk-UA"/>
        </w:rPr>
        <w:t xml:space="preserve">  </w:t>
      </w:r>
      <w:r w:rsidRPr="00BE086B">
        <w:rPr>
          <w:sz w:val="28"/>
          <w:szCs w:val="28"/>
          <w:lang w:val="uk-UA"/>
        </w:rPr>
        <w:t xml:space="preserve"> </w:t>
      </w:r>
      <w:r w:rsidR="008646C5" w:rsidRPr="00BE086B">
        <w:rPr>
          <w:sz w:val="28"/>
          <w:szCs w:val="28"/>
          <w:lang w:val="uk-UA"/>
        </w:rPr>
        <w:t xml:space="preserve"> </w:t>
      </w:r>
      <w:r w:rsidRPr="00BE086B">
        <w:rPr>
          <w:sz w:val="28"/>
          <w:szCs w:val="28"/>
          <w:lang w:val="uk-UA"/>
        </w:rPr>
        <w:t xml:space="preserve">активність </w:t>
      </w:r>
      <w:r w:rsidR="008646C5" w:rsidRPr="00BE086B">
        <w:rPr>
          <w:sz w:val="28"/>
          <w:szCs w:val="28"/>
          <w:lang w:val="uk-UA"/>
        </w:rPr>
        <w:t xml:space="preserve">  </w:t>
      </w:r>
      <w:r w:rsidRPr="00BE086B">
        <w:rPr>
          <w:sz w:val="28"/>
          <w:szCs w:val="28"/>
          <w:lang w:val="uk-UA"/>
        </w:rPr>
        <w:t xml:space="preserve">запального </w:t>
      </w:r>
      <w:r w:rsidR="008646C5" w:rsidRPr="00BE086B">
        <w:rPr>
          <w:sz w:val="28"/>
          <w:szCs w:val="28"/>
          <w:lang w:val="uk-UA"/>
        </w:rPr>
        <w:t xml:space="preserve">  </w:t>
      </w:r>
      <w:r w:rsidRPr="00BE086B">
        <w:rPr>
          <w:sz w:val="28"/>
          <w:szCs w:val="28"/>
          <w:lang w:val="uk-UA"/>
        </w:rPr>
        <w:t xml:space="preserve">процесу </w:t>
      </w:r>
      <w:r w:rsidR="008646C5" w:rsidRPr="00BE086B">
        <w:rPr>
          <w:sz w:val="28"/>
          <w:szCs w:val="28"/>
          <w:lang w:val="uk-UA"/>
        </w:rPr>
        <w:t xml:space="preserve">  </w:t>
      </w:r>
      <w:r w:rsidRPr="00BE086B">
        <w:rPr>
          <w:sz w:val="28"/>
          <w:szCs w:val="28"/>
          <w:lang w:val="uk-UA"/>
        </w:rPr>
        <w:t xml:space="preserve">внаслідок </w:t>
      </w:r>
      <w:r w:rsidR="008646C5" w:rsidRPr="00BE086B">
        <w:rPr>
          <w:sz w:val="28"/>
          <w:szCs w:val="28"/>
          <w:lang w:val="uk-UA"/>
        </w:rPr>
        <w:t xml:space="preserve">  </w:t>
      </w:r>
      <w:r w:rsidRPr="00BE086B">
        <w:rPr>
          <w:sz w:val="28"/>
          <w:szCs w:val="28"/>
          <w:lang w:val="uk-UA"/>
        </w:rPr>
        <w:t xml:space="preserve">взаємодії </w:t>
      </w:r>
      <w:r w:rsidR="008646C5" w:rsidRPr="00BE086B">
        <w:rPr>
          <w:sz w:val="28"/>
          <w:szCs w:val="28"/>
          <w:lang w:val="uk-UA"/>
        </w:rPr>
        <w:t xml:space="preserve">  </w:t>
      </w:r>
      <w:r w:rsidRPr="00BE086B">
        <w:rPr>
          <w:sz w:val="28"/>
          <w:szCs w:val="28"/>
          <w:lang w:val="uk-UA"/>
        </w:rPr>
        <w:t xml:space="preserve">препаратів </w:t>
      </w:r>
      <w:r w:rsidR="008646C5" w:rsidRPr="00BE086B">
        <w:rPr>
          <w:sz w:val="28"/>
          <w:szCs w:val="28"/>
          <w:lang w:val="uk-UA"/>
        </w:rPr>
        <w:t xml:space="preserve">  </w:t>
      </w:r>
      <w:r w:rsidRPr="00BE086B">
        <w:rPr>
          <w:sz w:val="28"/>
          <w:szCs w:val="28"/>
          <w:lang w:val="uk-UA"/>
        </w:rPr>
        <w:t xml:space="preserve">при </w:t>
      </w:r>
      <w:r w:rsidR="008646C5" w:rsidRPr="00BE086B">
        <w:rPr>
          <w:sz w:val="28"/>
          <w:szCs w:val="28"/>
          <w:lang w:val="uk-UA"/>
        </w:rPr>
        <w:t xml:space="preserve"> </w:t>
      </w:r>
      <w:r w:rsidRPr="00BE086B">
        <w:rPr>
          <w:sz w:val="28"/>
          <w:szCs w:val="28"/>
          <w:lang w:val="uk-UA"/>
        </w:rPr>
        <w:t xml:space="preserve">експериментальному </w:t>
      </w:r>
      <w:r w:rsidR="008646C5" w:rsidRPr="00BE086B">
        <w:rPr>
          <w:sz w:val="28"/>
          <w:szCs w:val="28"/>
          <w:lang w:val="uk-UA"/>
        </w:rPr>
        <w:t xml:space="preserve"> </w:t>
      </w:r>
      <w:r w:rsidRPr="00BE086B">
        <w:rPr>
          <w:sz w:val="28"/>
          <w:szCs w:val="28"/>
          <w:lang w:val="uk-UA"/>
        </w:rPr>
        <w:t xml:space="preserve">остеоартрозі </w:t>
      </w:r>
      <w:r w:rsidR="008646C5" w:rsidRPr="00BE086B">
        <w:rPr>
          <w:sz w:val="28"/>
          <w:szCs w:val="28"/>
          <w:lang w:val="uk-UA"/>
        </w:rPr>
        <w:t xml:space="preserve"> </w:t>
      </w:r>
      <w:r w:rsidRPr="00BE086B">
        <w:rPr>
          <w:sz w:val="28"/>
          <w:szCs w:val="28"/>
          <w:lang w:val="uk-UA"/>
        </w:rPr>
        <w:t xml:space="preserve">та </w:t>
      </w:r>
      <w:r w:rsidR="008646C5" w:rsidRPr="00BE086B">
        <w:rPr>
          <w:sz w:val="28"/>
          <w:szCs w:val="28"/>
          <w:lang w:val="uk-UA"/>
        </w:rPr>
        <w:t xml:space="preserve"> </w:t>
      </w:r>
      <w:r w:rsidRPr="00BE086B">
        <w:rPr>
          <w:sz w:val="28"/>
          <w:szCs w:val="28"/>
          <w:lang w:val="uk-UA"/>
        </w:rPr>
        <w:t>гіпотиреозі [128].</w:t>
      </w:r>
    </w:p>
    <w:p w:rsidR="00AF418B" w:rsidRDefault="00AF418B" w:rsidP="005316D2">
      <w:pPr>
        <w:autoSpaceDE w:val="0"/>
        <w:spacing w:line="360" w:lineRule="auto"/>
        <w:ind w:firstLine="709"/>
        <w:jc w:val="both"/>
        <w:rPr>
          <w:sz w:val="28"/>
          <w:szCs w:val="28"/>
          <w:lang w:val="uk-UA"/>
        </w:rPr>
      </w:pPr>
    </w:p>
    <w:p w:rsidR="00125A5A" w:rsidRPr="00BE086B" w:rsidRDefault="00125A5A" w:rsidP="005316D2">
      <w:pPr>
        <w:autoSpaceDE w:val="0"/>
        <w:spacing w:line="360" w:lineRule="auto"/>
        <w:ind w:firstLine="709"/>
        <w:jc w:val="both"/>
        <w:rPr>
          <w:sz w:val="28"/>
          <w:szCs w:val="28"/>
          <w:lang w:val="uk-UA"/>
        </w:rPr>
      </w:pPr>
    </w:p>
    <w:p w:rsidR="00554B94" w:rsidRPr="00BE086B" w:rsidRDefault="00554B94" w:rsidP="005316D2">
      <w:pPr>
        <w:autoSpaceDE w:val="0"/>
        <w:spacing w:line="360" w:lineRule="auto"/>
        <w:ind w:firstLine="709"/>
        <w:jc w:val="both"/>
        <w:rPr>
          <w:sz w:val="28"/>
          <w:szCs w:val="28"/>
          <w:lang w:val="uk-UA"/>
        </w:rPr>
      </w:pPr>
    </w:p>
    <w:p w:rsidR="00554B94" w:rsidRPr="00BE086B" w:rsidRDefault="00554B94" w:rsidP="005316D2">
      <w:pPr>
        <w:autoSpaceDE w:val="0"/>
        <w:spacing w:line="360" w:lineRule="auto"/>
        <w:ind w:firstLine="709"/>
        <w:jc w:val="both"/>
        <w:rPr>
          <w:sz w:val="28"/>
          <w:szCs w:val="28"/>
          <w:lang w:val="uk-UA"/>
        </w:rPr>
      </w:pPr>
    </w:p>
    <w:p w:rsidR="00AF418B" w:rsidRPr="00BE086B" w:rsidRDefault="00AF418B" w:rsidP="005316D2">
      <w:pPr>
        <w:pStyle w:val="WW-"/>
        <w:spacing w:after="0" w:line="360" w:lineRule="auto"/>
        <w:ind w:firstLine="709"/>
        <w:jc w:val="both"/>
        <w:rPr>
          <w:rFonts w:ascii="Times New Roman" w:hAnsi="Times New Roman" w:cs="Times New Roman"/>
          <w:b/>
          <w:color w:val="auto"/>
          <w:sz w:val="28"/>
          <w:szCs w:val="28"/>
          <w:lang w:val="uk-UA"/>
        </w:rPr>
      </w:pPr>
      <w:r w:rsidRPr="00BE086B">
        <w:rPr>
          <w:rFonts w:ascii="Times New Roman" w:hAnsi="Times New Roman" w:cs="Times New Roman"/>
          <w:b/>
          <w:bCs/>
          <w:color w:val="auto"/>
          <w:sz w:val="28"/>
          <w:szCs w:val="28"/>
          <w:lang w:val="uk-UA"/>
        </w:rPr>
        <w:lastRenderedPageBreak/>
        <w:t xml:space="preserve">5.7. Фармакологічна активність НПЗЗ, парацетамолу та </w:t>
      </w:r>
      <w:r w:rsidRPr="00BE086B">
        <w:rPr>
          <w:rFonts w:ascii="Times New Roman" w:hAnsi="Times New Roman" w:cs="Times New Roman"/>
          <w:b/>
          <w:color w:val="auto"/>
          <w:sz w:val="28"/>
          <w:szCs w:val="28"/>
          <w:lang w:val="uk-UA"/>
        </w:rPr>
        <w:t>L-тироксину</w:t>
      </w:r>
      <w:r w:rsidRPr="00BE086B">
        <w:rPr>
          <w:rFonts w:ascii="Times New Roman" w:hAnsi="Times New Roman" w:cs="Times New Roman"/>
          <w:b/>
          <w:bCs/>
          <w:color w:val="auto"/>
          <w:sz w:val="28"/>
          <w:szCs w:val="28"/>
          <w:lang w:val="uk-UA"/>
        </w:rPr>
        <w:t xml:space="preserve"> за рівнем кісткової лужної фосфатази у сироватці крові щурів при </w:t>
      </w:r>
      <w:r w:rsidRPr="00BE086B">
        <w:rPr>
          <w:rFonts w:ascii="Times New Roman" w:hAnsi="Times New Roman" w:cs="Times New Roman"/>
          <w:b/>
          <w:color w:val="auto"/>
          <w:sz w:val="28"/>
          <w:szCs w:val="28"/>
          <w:lang w:val="uk-UA"/>
        </w:rPr>
        <w:t>експериментальному остеоартрозі та гіпотиреозі</w:t>
      </w:r>
      <w:r w:rsidRPr="00BE086B">
        <w:rPr>
          <w:rFonts w:ascii="Times New Roman" w:hAnsi="Times New Roman" w:cs="Times New Roman"/>
          <w:b/>
          <w:bCs/>
          <w:color w:val="auto"/>
          <w:sz w:val="28"/>
          <w:szCs w:val="28"/>
          <w:lang w:val="uk-UA"/>
        </w:rPr>
        <w:t>.</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8646C5">
      <w:pPr>
        <w:spacing w:line="360" w:lineRule="auto"/>
        <w:ind w:firstLine="709"/>
        <w:jc w:val="both"/>
        <w:rPr>
          <w:sz w:val="28"/>
          <w:szCs w:val="28"/>
          <w:lang w:val="uk-UA"/>
        </w:rPr>
      </w:pPr>
      <w:r w:rsidRPr="00BE086B">
        <w:rPr>
          <w:bCs/>
          <w:sz w:val="28"/>
          <w:szCs w:val="28"/>
          <w:lang w:val="uk-UA"/>
        </w:rPr>
        <w:t xml:space="preserve">У підрозділі описані результати біохімічного дослідження зміни рівня кісткової лужної фосфатази (КЛФ) під впливом призначення нестероїдних протизапальних засобів, парацетамолу </w:t>
      </w:r>
      <w:r w:rsidRPr="00BE086B">
        <w:rPr>
          <w:sz w:val="28"/>
          <w:szCs w:val="28"/>
          <w:lang w:val="uk-UA"/>
        </w:rPr>
        <w:t xml:space="preserve">та L-тироксину </w:t>
      </w:r>
      <w:r w:rsidRPr="00BE086B">
        <w:rPr>
          <w:bCs/>
          <w:sz w:val="28"/>
          <w:szCs w:val="28"/>
          <w:lang w:val="uk-UA"/>
        </w:rPr>
        <w:t xml:space="preserve">за умов коморбідної патології (експериментального остеоартрозу та гіпотиреозу) </w:t>
      </w:r>
      <w:r w:rsidRPr="00BE086B">
        <w:rPr>
          <w:sz w:val="28"/>
          <w:szCs w:val="28"/>
          <w:lang w:val="uk-UA"/>
        </w:rPr>
        <w:t>[196, 197, 440].</w:t>
      </w:r>
    </w:p>
    <w:p w:rsidR="00AF418B" w:rsidRPr="00BE086B" w:rsidRDefault="00AF418B" w:rsidP="008646C5">
      <w:pPr>
        <w:spacing w:line="360" w:lineRule="auto"/>
        <w:ind w:firstLine="709"/>
        <w:jc w:val="both"/>
        <w:rPr>
          <w:sz w:val="28"/>
          <w:szCs w:val="28"/>
          <w:lang w:val="uk-UA"/>
        </w:rPr>
      </w:pPr>
      <w:r w:rsidRPr="00BE086B">
        <w:rPr>
          <w:sz w:val="28"/>
          <w:szCs w:val="28"/>
          <w:lang w:val="uk-UA"/>
        </w:rPr>
        <w:t xml:space="preserve">При аналізі отриманих результатів встановлено, що зміни рівня </w:t>
      </w:r>
      <w:r w:rsidRPr="00BE086B">
        <w:rPr>
          <w:bCs/>
          <w:sz w:val="28"/>
          <w:szCs w:val="28"/>
          <w:lang w:val="uk-UA"/>
        </w:rPr>
        <w:t>КЛФ</w:t>
      </w:r>
      <w:r w:rsidRPr="00BE086B">
        <w:rPr>
          <w:sz w:val="28"/>
          <w:szCs w:val="28"/>
          <w:lang w:val="uk-UA"/>
        </w:rPr>
        <w:t xml:space="preserve"> у сироватці крові щурів під впливом призначення НПЗЗ, парацетамолу </w:t>
      </w:r>
      <w:r w:rsidRPr="00BE086B">
        <w:rPr>
          <w:bCs/>
          <w:sz w:val="28"/>
          <w:szCs w:val="28"/>
          <w:lang w:val="uk-UA"/>
        </w:rPr>
        <w:t xml:space="preserve">та </w:t>
      </w:r>
      <w:r w:rsidRPr="00BE086B">
        <w:rPr>
          <w:sz w:val="28"/>
          <w:szCs w:val="28"/>
          <w:lang w:val="uk-UA"/>
        </w:rPr>
        <w:t>L-тироксину відбуваються неоднаково (табл. 5.7).</w:t>
      </w:r>
    </w:p>
    <w:p w:rsidR="00AF418B" w:rsidRPr="00BE086B" w:rsidRDefault="00AF418B" w:rsidP="008646C5">
      <w:pPr>
        <w:pStyle w:val="af3"/>
        <w:snapToGrid w:val="0"/>
        <w:spacing w:before="0" w:after="0" w:line="360" w:lineRule="auto"/>
        <w:ind w:firstLine="709"/>
        <w:jc w:val="both"/>
        <w:rPr>
          <w:sz w:val="28"/>
          <w:szCs w:val="28"/>
          <w:lang w:val="uk-UA"/>
        </w:rPr>
      </w:pPr>
      <w:r w:rsidRPr="00BE086B">
        <w:rPr>
          <w:sz w:val="28"/>
          <w:szCs w:val="28"/>
          <w:lang w:val="uk-UA"/>
        </w:rPr>
        <w:t xml:space="preserve">Так, на 42 добу (після закінчення формування експериментальних моделей ОА та ГІТ) у всіх експериментальних групах спостерігалось підвищення рівня </w:t>
      </w:r>
      <w:r w:rsidRPr="00BE086B">
        <w:rPr>
          <w:bCs/>
          <w:sz w:val="28"/>
          <w:szCs w:val="28"/>
          <w:lang w:val="uk-UA"/>
        </w:rPr>
        <w:t xml:space="preserve">КЛФ, </w:t>
      </w:r>
      <w:r w:rsidRPr="00BE086B">
        <w:rPr>
          <w:sz w:val="28"/>
          <w:szCs w:val="28"/>
          <w:lang w:val="uk-UA"/>
        </w:rPr>
        <w:t>відносно референсних значень інтактної групи щурів (ІЩ), що відображає реакцію остеобластної активності на пошкодження кісткової та хрящової тканин, які виникають під впливом експериментальних моделей та відображають здатність експериментальних моделей впливати на рівень КЛФ сироватки крові щурів.</w:t>
      </w:r>
    </w:p>
    <w:p w:rsidR="00AF418B" w:rsidRPr="00BE086B" w:rsidRDefault="00AF418B" w:rsidP="008646C5">
      <w:pPr>
        <w:pStyle w:val="af3"/>
        <w:snapToGrid w:val="0"/>
        <w:spacing w:before="0" w:after="0" w:line="360" w:lineRule="auto"/>
        <w:ind w:firstLine="709"/>
        <w:jc w:val="both"/>
        <w:rPr>
          <w:sz w:val="28"/>
          <w:szCs w:val="28"/>
          <w:lang w:val="uk-UA"/>
        </w:rPr>
      </w:pPr>
      <w:r w:rsidRPr="00BE086B">
        <w:rPr>
          <w:sz w:val="28"/>
          <w:szCs w:val="28"/>
          <w:lang w:val="uk-UA"/>
        </w:rPr>
        <w:t xml:space="preserve">На 47 добу експерименту у І групі ЕГ + ЕОА (без «лікування») у порівнянні з 42 добою, показник рівня </w:t>
      </w:r>
      <w:r w:rsidRPr="00BE086B">
        <w:rPr>
          <w:bCs/>
          <w:sz w:val="28"/>
          <w:szCs w:val="28"/>
          <w:lang w:val="uk-UA"/>
        </w:rPr>
        <w:t>КЛФ</w:t>
      </w:r>
      <w:r w:rsidRPr="00BE086B">
        <w:rPr>
          <w:sz w:val="28"/>
          <w:szCs w:val="28"/>
          <w:lang w:val="uk-UA"/>
        </w:rPr>
        <w:t xml:space="preserve"> збільшився у 1,04 рази (р &lt; 0,05), що відображає наростання остеобласної активності у відповідь на пошкодження суглоба за відсутності лікування (табл. 5.7).</w:t>
      </w:r>
    </w:p>
    <w:p w:rsidR="00AF418B" w:rsidRPr="00BE086B" w:rsidRDefault="00AF418B" w:rsidP="008646C5">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ІІ групі ЕГ + ЕОА + L-тироксин на 47 добу, наприкінці 5-добового введення ЛЗ, що досліджувалися, на фоні призначення L-тироксину спостерігалось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1,02 рази (р &lt; 0,05) у порівнянні з 42 добою. Отримані дані відображають вплив L-тироксину на експериментальну патологію - ЕГ + ЕОА (табл. 5.7).</w:t>
      </w:r>
    </w:p>
    <w:p w:rsidR="00AF418B" w:rsidRPr="00BE086B" w:rsidRDefault="00AF418B" w:rsidP="005316D2">
      <w:pPr>
        <w:pStyle w:val="af3"/>
        <w:spacing w:before="0" w:after="0" w:line="360" w:lineRule="auto"/>
        <w:ind w:firstLine="709"/>
        <w:jc w:val="right"/>
        <w:rPr>
          <w:i/>
          <w:iCs/>
          <w:sz w:val="28"/>
          <w:szCs w:val="28"/>
          <w:lang w:val="uk-UA"/>
        </w:rPr>
      </w:pPr>
    </w:p>
    <w:p w:rsidR="008646C5" w:rsidRPr="00BE086B" w:rsidRDefault="008646C5" w:rsidP="005316D2">
      <w:pPr>
        <w:pStyle w:val="af3"/>
        <w:spacing w:before="0" w:after="0" w:line="360" w:lineRule="auto"/>
        <w:ind w:firstLine="709"/>
        <w:jc w:val="right"/>
        <w:rPr>
          <w:i/>
          <w:iCs/>
          <w:sz w:val="28"/>
          <w:szCs w:val="28"/>
          <w:lang w:val="uk-UA"/>
        </w:rPr>
      </w:pPr>
    </w:p>
    <w:p w:rsidR="00AF418B" w:rsidRPr="00BE086B" w:rsidRDefault="00AF418B" w:rsidP="005316D2">
      <w:pPr>
        <w:pStyle w:val="af3"/>
        <w:spacing w:before="0" w:after="0" w:line="360" w:lineRule="auto"/>
        <w:ind w:firstLine="709"/>
        <w:jc w:val="right"/>
        <w:rPr>
          <w:i/>
          <w:iCs/>
          <w:sz w:val="28"/>
          <w:szCs w:val="28"/>
          <w:lang w:val="uk-UA"/>
        </w:rPr>
      </w:pPr>
    </w:p>
    <w:p w:rsidR="00AF418B" w:rsidRPr="00BE086B" w:rsidRDefault="00AF418B" w:rsidP="005316D2">
      <w:pPr>
        <w:pStyle w:val="af3"/>
        <w:spacing w:before="0" w:after="0" w:line="360" w:lineRule="auto"/>
        <w:ind w:firstLine="709"/>
        <w:jc w:val="right"/>
        <w:rPr>
          <w:sz w:val="28"/>
          <w:szCs w:val="28"/>
          <w:lang w:val="uk-UA"/>
        </w:rPr>
      </w:pPr>
      <w:r w:rsidRPr="00BE086B">
        <w:rPr>
          <w:i/>
          <w:iCs/>
          <w:sz w:val="28"/>
          <w:szCs w:val="28"/>
          <w:lang w:val="uk-UA"/>
        </w:rPr>
        <w:lastRenderedPageBreak/>
        <w:t>Таблиця 5.7</w:t>
      </w:r>
    </w:p>
    <w:p w:rsidR="00AF418B" w:rsidRPr="00BE086B" w:rsidRDefault="00AF418B" w:rsidP="005316D2">
      <w:pPr>
        <w:pStyle w:val="af3"/>
        <w:spacing w:before="0" w:after="0" w:line="360" w:lineRule="auto"/>
        <w:ind w:firstLine="709"/>
        <w:jc w:val="center"/>
        <w:rPr>
          <w:sz w:val="28"/>
          <w:szCs w:val="28"/>
          <w:lang w:val="uk-UA"/>
        </w:rPr>
      </w:pPr>
      <w:r w:rsidRPr="00BE086B">
        <w:rPr>
          <w:b/>
          <w:bCs/>
          <w:sz w:val="28"/>
          <w:szCs w:val="28"/>
          <w:lang w:val="uk-UA"/>
        </w:rPr>
        <w:t xml:space="preserve">Рівень кісткової лужної фосфатази (КЛФ) сироватки крові щурів на фоні введення ЛЗ за умов </w:t>
      </w:r>
      <w:r w:rsidR="008646C5" w:rsidRPr="00BE086B">
        <w:rPr>
          <w:b/>
          <w:bCs/>
          <w:sz w:val="28"/>
          <w:szCs w:val="28"/>
          <w:lang w:val="uk-UA"/>
        </w:rPr>
        <w:t>коморбідної патології</w:t>
      </w:r>
      <w:r w:rsidRPr="00BE086B">
        <w:rPr>
          <w:b/>
          <w:bCs/>
          <w:sz w:val="28"/>
          <w:szCs w:val="28"/>
          <w:lang w:val="uk-UA"/>
        </w:rPr>
        <w:t xml:space="preserve"> (М±m)</w:t>
      </w:r>
    </w:p>
    <w:tbl>
      <w:tblPr>
        <w:tblW w:w="0" w:type="auto"/>
        <w:tblInd w:w="108" w:type="dxa"/>
        <w:tblLayout w:type="fixed"/>
        <w:tblLook w:val="0000" w:firstRow="0" w:lastRow="0" w:firstColumn="0" w:lastColumn="0" w:noHBand="0" w:noVBand="0"/>
      </w:tblPr>
      <w:tblGrid>
        <w:gridCol w:w="4536"/>
        <w:gridCol w:w="2268"/>
        <w:gridCol w:w="2268"/>
      </w:tblGrid>
      <w:tr w:rsidR="00AF418B" w:rsidRPr="00BE086B" w:rsidTr="00A7341E">
        <w:trPr>
          <w:trHeight w:val="562"/>
        </w:trPr>
        <w:tc>
          <w:tcPr>
            <w:tcW w:w="4536" w:type="dxa"/>
            <w:tcBorders>
              <w:top w:val="single" w:sz="4" w:space="0" w:color="000000"/>
              <w:left w:val="single" w:sz="4" w:space="0" w:color="000000"/>
            </w:tcBorders>
            <w:shd w:val="clear" w:color="auto" w:fill="auto"/>
            <w:vAlign w:val="center"/>
          </w:tcPr>
          <w:p w:rsidR="00AF418B" w:rsidRPr="00BE086B" w:rsidRDefault="00AF418B" w:rsidP="00CA490A">
            <w:pPr>
              <w:pStyle w:val="af3"/>
              <w:spacing w:before="0" w:after="0"/>
              <w:jc w:val="center"/>
              <w:rPr>
                <w:sz w:val="28"/>
                <w:szCs w:val="28"/>
                <w:lang w:val="uk-UA"/>
              </w:rPr>
            </w:pPr>
            <w:r w:rsidRPr="00BE086B">
              <w:rPr>
                <w:b/>
                <w:sz w:val="28"/>
                <w:szCs w:val="28"/>
                <w:lang w:val="uk-UA"/>
              </w:rPr>
              <w:t>Група, препарат</w:t>
            </w:r>
          </w:p>
          <w:p w:rsidR="00AF418B" w:rsidRPr="00BE086B" w:rsidRDefault="00AF418B" w:rsidP="00CA490A">
            <w:pPr>
              <w:pStyle w:val="af3"/>
              <w:spacing w:before="0" w:after="0"/>
              <w:jc w:val="center"/>
              <w:rPr>
                <w:sz w:val="28"/>
                <w:szCs w:val="28"/>
                <w:lang w:val="uk-UA"/>
              </w:rPr>
            </w:pPr>
            <w:r w:rsidRPr="00BE086B">
              <w:rPr>
                <w:b/>
                <w:sz w:val="28"/>
                <w:szCs w:val="28"/>
                <w:lang w:val="uk-UA"/>
              </w:rPr>
              <w:t>та його доза</w:t>
            </w:r>
          </w:p>
        </w:tc>
        <w:tc>
          <w:tcPr>
            <w:tcW w:w="2268" w:type="dxa"/>
            <w:tcBorders>
              <w:top w:val="single" w:sz="4" w:space="0" w:color="000000"/>
              <w:left w:val="single" w:sz="4" w:space="0" w:color="000000"/>
            </w:tcBorders>
            <w:shd w:val="clear" w:color="auto" w:fill="auto"/>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КЛФ на 42 добу, нг/мл</w:t>
            </w:r>
          </w:p>
        </w:tc>
        <w:tc>
          <w:tcPr>
            <w:tcW w:w="2268" w:type="dxa"/>
            <w:tcBorders>
              <w:top w:val="single" w:sz="4" w:space="0" w:color="000000"/>
              <w:left w:val="single" w:sz="4" w:space="0" w:color="000000"/>
              <w:right w:val="single" w:sz="4" w:space="0" w:color="000000"/>
            </w:tcBorders>
            <w:shd w:val="clear" w:color="auto" w:fill="auto"/>
          </w:tcPr>
          <w:p w:rsidR="00AF418B" w:rsidRPr="00BE086B" w:rsidRDefault="00AF418B" w:rsidP="00CA490A">
            <w:pPr>
              <w:pStyle w:val="af3"/>
              <w:spacing w:before="0" w:after="0"/>
              <w:jc w:val="center"/>
              <w:rPr>
                <w:sz w:val="28"/>
                <w:szCs w:val="28"/>
                <w:lang w:val="uk-UA"/>
              </w:rPr>
            </w:pPr>
            <w:r w:rsidRPr="00BE086B">
              <w:rPr>
                <w:b/>
                <w:sz w:val="28"/>
                <w:szCs w:val="28"/>
                <w:lang w:val="uk-UA"/>
              </w:rPr>
              <w:t>Рівень КЛФ на 47 добу, нг/мл</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2,3</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±1,2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2,5</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±1,12</w:t>
            </w:r>
          </w:p>
        </w:tc>
      </w:tr>
      <w:tr w:rsidR="00AF418B" w:rsidRPr="00BE086B" w:rsidTr="00A7341E">
        <w:tc>
          <w:tcPr>
            <w:tcW w:w="4536" w:type="dxa"/>
            <w:tcBorders>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 група ЕГ + ЕОА (без «лікування») (n=10)</w:t>
            </w:r>
          </w:p>
        </w:tc>
        <w:tc>
          <w:tcPr>
            <w:tcW w:w="2268" w:type="dxa"/>
            <w:tcBorders>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en-US"/>
              </w:rPr>
            </w:pPr>
            <w:r w:rsidRPr="00BE086B">
              <w:rPr>
                <w:sz w:val="28"/>
                <w:szCs w:val="28"/>
                <w:lang w:val="en-US"/>
              </w:rPr>
              <w:t>88</w:t>
            </w:r>
            <w:r w:rsidRPr="00BE086B">
              <w:rPr>
                <w:sz w:val="28"/>
                <w:szCs w:val="28"/>
                <w:lang w:val="uk-UA"/>
              </w:rPr>
              <w:t>,</w:t>
            </w:r>
            <w:r w:rsidRPr="00BE086B">
              <w:rPr>
                <w:sz w:val="28"/>
                <w:szCs w:val="28"/>
                <w:lang w:val="en-US"/>
              </w:rPr>
              <w:t>2</w:t>
            </w:r>
          </w:p>
          <w:p w:rsidR="00AF418B" w:rsidRPr="00BE086B" w:rsidRDefault="00AF418B" w:rsidP="00CA490A">
            <w:pPr>
              <w:pStyle w:val="af3"/>
              <w:snapToGrid w:val="0"/>
              <w:spacing w:before="0" w:after="0"/>
              <w:jc w:val="center"/>
              <w:rPr>
                <w:sz w:val="28"/>
                <w:szCs w:val="28"/>
                <w:lang w:val="en-US"/>
              </w:rPr>
            </w:pPr>
            <w:r w:rsidRPr="00BE086B">
              <w:rPr>
                <w:sz w:val="28"/>
                <w:szCs w:val="28"/>
                <w:lang w:val="uk-UA"/>
              </w:rPr>
              <w:t>±2,</w:t>
            </w:r>
            <w:r w:rsidRPr="00BE086B">
              <w:rPr>
                <w:sz w:val="28"/>
                <w:szCs w:val="28"/>
                <w:lang w:val="en-US"/>
              </w:rPr>
              <w:t>39</w:t>
            </w:r>
          </w:p>
        </w:tc>
        <w:tc>
          <w:tcPr>
            <w:tcW w:w="2268" w:type="dxa"/>
            <w:tcBorders>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91,4</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±2,70</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L-тироксин (Т) 1,5 мкг/кг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91</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±2,74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89,2</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±2,59</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10 мг/кг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89,2</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±3,11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51,8</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±3,19</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диклофенак натрію (Д) + L-тироксин (Т)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91,8</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±3,19</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33</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±3,16</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 група ЕГ + ЕОА + ібупрофен (І) 5 мг/кг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87,8</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±2,77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55,3</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±3,23</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ібупрофен (І) + L-тироксин (Т)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92,3</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±2,82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39,8</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±3,11</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10 мг/кг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88,8</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±2,86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59,2</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±3,42</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мелоксикам (Мел) + L-тироксин (Т)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90</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±3,16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39,8</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±3,11</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150 мг/кг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89,6</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±2,41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87,8</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±2,77</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парацетамол (П) + L-тироксин (Т)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87,6</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±3,05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83,2</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±2,86</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80 мг/кг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91,7</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±2,28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60,6</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±3,36</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німесулід (Н) + L-тироксин (Т)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90,6</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±2,70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46,2</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±3,56</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ХІІІ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50 мг/кг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88,6</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±3,36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62,4</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±2,30</w:t>
            </w:r>
          </w:p>
        </w:tc>
      </w:tr>
      <w:tr w:rsidR="00AF418B" w:rsidRPr="00BE086B" w:rsidTr="00A7341E">
        <w:tc>
          <w:tcPr>
            <w:tcW w:w="4536"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целекоксиб (Ц) + L-тироксин (Т) (n=10)</w:t>
            </w:r>
          </w:p>
        </w:tc>
        <w:tc>
          <w:tcPr>
            <w:tcW w:w="2268" w:type="dxa"/>
            <w:tcBorders>
              <w:top w:val="single" w:sz="4" w:space="0" w:color="000000"/>
              <w:left w:val="single" w:sz="4" w:space="0" w:color="000000"/>
              <w:bottom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87</w:t>
            </w:r>
          </w:p>
          <w:p w:rsidR="00AF418B" w:rsidRPr="00BE086B" w:rsidRDefault="00AF418B" w:rsidP="00CA490A">
            <w:pPr>
              <w:pStyle w:val="af3"/>
              <w:snapToGrid w:val="0"/>
              <w:spacing w:before="0" w:after="0"/>
              <w:jc w:val="center"/>
              <w:rPr>
                <w:sz w:val="28"/>
                <w:szCs w:val="28"/>
                <w:lang w:val="en-US"/>
              </w:rPr>
            </w:pPr>
            <w:r w:rsidRPr="00BE086B">
              <w:rPr>
                <w:sz w:val="28"/>
                <w:szCs w:val="28"/>
                <w:lang w:val="uk-UA"/>
              </w:rPr>
              <w:t>±2,92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AF418B" w:rsidRPr="00BE086B" w:rsidRDefault="00AF418B" w:rsidP="00CA490A">
            <w:pPr>
              <w:pStyle w:val="af3"/>
              <w:snapToGrid w:val="0"/>
              <w:spacing w:before="0" w:after="0"/>
              <w:jc w:val="center"/>
              <w:rPr>
                <w:sz w:val="28"/>
                <w:szCs w:val="28"/>
                <w:lang w:val="uk-UA"/>
              </w:rPr>
            </w:pPr>
            <w:r w:rsidRPr="00BE086B">
              <w:rPr>
                <w:sz w:val="28"/>
                <w:szCs w:val="28"/>
                <w:lang w:val="uk-UA"/>
              </w:rPr>
              <w:t>55,7</w:t>
            </w:r>
            <w:r w:rsidRPr="00BE086B">
              <w:rPr>
                <w:kern w:val="28"/>
                <w:sz w:val="28"/>
                <w:szCs w:val="28"/>
                <w:lang w:val="uk-UA"/>
              </w:rPr>
              <w:t>#*</w:t>
            </w:r>
          </w:p>
          <w:p w:rsidR="00AF418B" w:rsidRPr="00BE086B" w:rsidRDefault="00AF418B" w:rsidP="00CA490A">
            <w:pPr>
              <w:pStyle w:val="af3"/>
              <w:snapToGrid w:val="0"/>
              <w:spacing w:before="0" w:after="0"/>
              <w:jc w:val="center"/>
              <w:rPr>
                <w:sz w:val="28"/>
                <w:szCs w:val="28"/>
                <w:lang w:val="uk-UA"/>
              </w:rPr>
            </w:pPr>
            <w:r w:rsidRPr="00BE086B">
              <w:rPr>
                <w:sz w:val="28"/>
                <w:szCs w:val="28"/>
                <w:lang w:val="uk-UA"/>
              </w:rPr>
              <w:t>±3,60</w:t>
            </w:r>
          </w:p>
        </w:tc>
      </w:tr>
    </w:tbl>
    <w:p w:rsidR="00AF418B" w:rsidRPr="00BE086B" w:rsidRDefault="00AF418B" w:rsidP="005316D2">
      <w:pPr>
        <w:pStyle w:val="western"/>
        <w:spacing w:before="0"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b/>
          <w:color w:val="auto"/>
          <w:kern w:val="28"/>
          <w:sz w:val="28"/>
          <w:szCs w:val="28"/>
          <w:lang w:val="uk-UA"/>
        </w:rPr>
        <w:t>Примітк</w:t>
      </w:r>
      <w:r w:rsidR="00317844" w:rsidRPr="00BE086B">
        <w:rPr>
          <w:rFonts w:ascii="Times New Roman" w:hAnsi="Times New Roman" w:cs="Times New Roman"/>
          <w:b/>
          <w:color w:val="auto"/>
          <w:kern w:val="28"/>
          <w:sz w:val="28"/>
          <w:szCs w:val="28"/>
          <w:lang w:val="uk-UA"/>
        </w:rPr>
        <w:t>и</w:t>
      </w:r>
      <w:r w:rsidRPr="00BE086B">
        <w:rPr>
          <w:rFonts w:ascii="Times New Roman" w:hAnsi="Times New Roman" w:cs="Times New Roman"/>
          <w:b/>
          <w:color w:val="auto"/>
          <w:kern w:val="28"/>
          <w:sz w:val="28"/>
          <w:szCs w:val="28"/>
          <w:lang w:val="uk-UA"/>
        </w:rPr>
        <w:t>:</w:t>
      </w:r>
      <w:r w:rsidRPr="00BE086B">
        <w:rPr>
          <w:rFonts w:ascii="Times New Roman" w:hAnsi="Times New Roman" w:cs="Times New Roman"/>
          <w:color w:val="auto"/>
          <w:kern w:val="28"/>
          <w:sz w:val="28"/>
          <w:szCs w:val="28"/>
          <w:lang w:val="uk-UA"/>
        </w:rPr>
        <w:t xml:space="preserve"> # - значення достовірні (р &lt; 0,05) по відношенню до відповідного показника I групи (ЕГ + ЕОА - без «лікування»);</w:t>
      </w:r>
    </w:p>
    <w:p w:rsidR="00AF418B" w:rsidRPr="00BE086B" w:rsidRDefault="00AF418B" w:rsidP="005316D2">
      <w:pPr>
        <w:pStyle w:val="western"/>
        <w:spacing w:before="0" w:after="0" w:line="360" w:lineRule="auto"/>
        <w:ind w:firstLine="709"/>
        <w:jc w:val="both"/>
        <w:rPr>
          <w:rFonts w:ascii="Times New Roman" w:hAnsi="Times New Roman" w:cs="Times New Roman"/>
          <w:color w:val="auto"/>
          <w:kern w:val="28"/>
          <w:sz w:val="28"/>
          <w:szCs w:val="28"/>
          <w:lang w:val="uk-UA"/>
        </w:rPr>
      </w:pPr>
      <w:r w:rsidRPr="00BE086B">
        <w:rPr>
          <w:rFonts w:ascii="Times New Roman" w:hAnsi="Times New Roman" w:cs="Times New Roman"/>
          <w:color w:val="auto"/>
          <w:kern w:val="28"/>
          <w:sz w:val="28"/>
          <w:szCs w:val="28"/>
          <w:lang w:val="uk-UA"/>
        </w:rPr>
        <w:t>* - значення достовірні (р &lt; 0,05) по відношенню до відповідного показника II групи</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ЕГ + ЕОА</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w:t>
      </w:r>
      <w:r w:rsidRPr="00BE086B">
        <w:rPr>
          <w:rFonts w:ascii="Times New Roman" w:hAnsi="Times New Roman" w:cs="Times New Roman"/>
          <w:color w:val="auto"/>
          <w:kern w:val="28"/>
          <w:sz w:val="28"/>
          <w:szCs w:val="28"/>
        </w:rPr>
        <w:t xml:space="preserve"> </w:t>
      </w:r>
      <w:r w:rsidRPr="00BE086B">
        <w:rPr>
          <w:rFonts w:ascii="Times New Roman" w:hAnsi="Times New Roman" w:cs="Times New Roman"/>
          <w:color w:val="auto"/>
          <w:kern w:val="28"/>
          <w:sz w:val="28"/>
          <w:szCs w:val="28"/>
          <w:lang w:val="uk-UA"/>
        </w:rPr>
        <w:t>L-тироксин</w:t>
      </w:r>
      <w:r w:rsidRPr="00BE086B">
        <w:rPr>
          <w:rFonts w:ascii="Times New Roman" w:hAnsi="Times New Roman" w:cs="Times New Roman"/>
          <w:color w:val="auto"/>
          <w:kern w:val="28"/>
          <w:sz w:val="28"/>
          <w:szCs w:val="28"/>
        </w:rPr>
        <w:t>)</w:t>
      </w:r>
      <w:r w:rsidRPr="00BE086B">
        <w:rPr>
          <w:rFonts w:ascii="Times New Roman" w:hAnsi="Times New Roman" w:cs="Times New Roman"/>
          <w:color w:val="auto"/>
          <w:kern w:val="28"/>
          <w:sz w:val="28"/>
          <w:szCs w:val="28"/>
          <w:lang w:val="uk-UA"/>
        </w:rPr>
        <w:t>.</w:t>
      </w:r>
    </w:p>
    <w:p w:rsidR="00AF418B" w:rsidRPr="00BE086B" w:rsidRDefault="00AF418B" w:rsidP="005316D2">
      <w:pPr>
        <w:pStyle w:val="western"/>
        <w:spacing w:before="0"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 xml:space="preserve">У табл. 5.7 висвітлені зміни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сироватці крові щурів під впливом призначення НПЗЗ, парацетамолу та L-тироксину. Так, у ІІІ групі ЕГ + ЕОА + диклофенак натрію визначено на 47 добу експерименту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1,72 рази (р &lt; 0,05). При сумісному призначені диклофенаку натрію з L-тироксином (ІV група) на 47 добу на фоні експериментальних патологій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2,78 рази (р &lt; 0,05) (рис. 5.14).</w:t>
      </w:r>
    </w:p>
    <w:p w:rsidR="00B8275F" w:rsidRDefault="00E530F5" w:rsidP="00E530F5">
      <w:pPr>
        <w:spacing w:line="360" w:lineRule="auto"/>
        <w:jc w:val="center"/>
        <w:rPr>
          <w:noProof/>
          <w:sz w:val="28"/>
          <w:szCs w:val="28"/>
          <w:lang w:eastAsia="ru-RU"/>
        </w:rPr>
      </w:pPr>
      <w:r>
        <w:rPr>
          <w:noProof/>
          <w:sz w:val="28"/>
          <w:szCs w:val="28"/>
          <w:lang w:eastAsia="ru-RU"/>
        </w:rPr>
        <w:drawing>
          <wp:inline distT="0" distB="0" distL="0" distR="0">
            <wp:extent cx="5947200" cy="4525200"/>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5.14.jpg"/>
                    <pic:cNvPicPr/>
                  </pic:nvPicPr>
                  <pic:blipFill>
                    <a:blip r:embed="rId41">
                      <a:extLst>
                        <a:ext uri="{28A0092B-C50C-407E-A947-70E740481C1C}">
                          <a14:useLocalDpi xmlns:a14="http://schemas.microsoft.com/office/drawing/2010/main" val="0"/>
                        </a:ext>
                      </a:extLst>
                    </a:blip>
                    <a:stretch>
                      <a:fillRect/>
                    </a:stretch>
                  </pic:blipFill>
                  <pic:spPr>
                    <a:xfrm>
                      <a:off x="0" y="0"/>
                      <a:ext cx="5947200" cy="4525200"/>
                    </a:xfrm>
                    <a:prstGeom prst="rect">
                      <a:avLst/>
                    </a:prstGeom>
                  </pic:spPr>
                </pic:pic>
              </a:graphicData>
            </a:graphic>
          </wp:inline>
        </w:drawing>
      </w:r>
    </w:p>
    <w:p w:rsidR="00AF418B" w:rsidRPr="00BE086B" w:rsidRDefault="00AF418B" w:rsidP="005316D2">
      <w:pPr>
        <w:spacing w:line="360" w:lineRule="auto"/>
        <w:ind w:firstLine="709"/>
        <w:jc w:val="both"/>
        <w:rPr>
          <w:sz w:val="28"/>
          <w:szCs w:val="28"/>
        </w:rPr>
      </w:pPr>
      <w:r w:rsidRPr="00BE086B">
        <w:rPr>
          <w:b/>
          <w:noProof/>
          <w:sz w:val="28"/>
          <w:szCs w:val="28"/>
          <w:lang w:val="uk-UA" w:eastAsia="ru-RU"/>
        </w:rPr>
        <w:t>Рис. 5.14.</w:t>
      </w:r>
      <w:r w:rsidRPr="00BE086B">
        <w:rPr>
          <w:noProof/>
          <w:sz w:val="28"/>
          <w:szCs w:val="28"/>
          <w:lang w:val="uk-UA" w:eastAsia="ru-RU"/>
        </w:rPr>
        <w:t xml:space="preserve"> Зміни рівня кісткової лужної фосфатази (КЛФ)  у сироватці крові щурів </w:t>
      </w:r>
      <w:r w:rsidRPr="00BE086B">
        <w:rPr>
          <w:sz w:val="28"/>
          <w:szCs w:val="28"/>
          <w:lang w:val="uk-UA"/>
        </w:rPr>
        <w:t xml:space="preserve">груп дослідження на 47 добу експерименту </w:t>
      </w:r>
      <w:r w:rsidRPr="00BE086B">
        <w:rPr>
          <w:bCs/>
          <w:sz w:val="28"/>
          <w:szCs w:val="28"/>
        </w:rPr>
        <w:t xml:space="preserve">відносно групи активного контролю </w:t>
      </w:r>
      <w:r w:rsidRPr="00BE086B">
        <w:rPr>
          <w:rFonts w:eastAsia="Calibri"/>
          <w:iCs/>
          <w:sz w:val="28"/>
          <w:szCs w:val="28"/>
          <w:lang w:eastAsia="en-US"/>
        </w:rPr>
        <w:t>(</w:t>
      </w:r>
      <w:r w:rsidRPr="00BE086B">
        <w:rPr>
          <w:sz w:val="28"/>
          <w:szCs w:val="28"/>
        </w:rPr>
        <w:t xml:space="preserve">І група </w:t>
      </w:r>
      <w:r w:rsidRPr="00BE086B">
        <w:rPr>
          <w:sz w:val="28"/>
          <w:szCs w:val="28"/>
          <w:lang w:val="uk-UA"/>
        </w:rPr>
        <w:t xml:space="preserve">ЕГ + </w:t>
      </w:r>
      <w:r w:rsidRPr="00BE086B">
        <w:rPr>
          <w:sz w:val="28"/>
          <w:szCs w:val="28"/>
        </w:rPr>
        <w:t>ЕОА)</w:t>
      </w:r>
      <w:r w:rsidRPr="00BE086B">
        <w:rPr>
          <w:bCs/>
          <w:sz w:val="28"/>
          <w:szCs w:val="28"/>
        </w:rPr>
        <w:t>.</w:t>
      </w:r>
    </w:p>
    <w:p w:rsidR="00AF418B" w:rsidRPr="00BE086B" w:rsidRDefault="00AF418B" w:rsidP="005316D2">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&gt; </w:t>
      </w:r>
      <w:r w:rsidRPr="00BE086B">
        <w:rPr>
          <w:sz w:val="28"/>
          <w:szCs w:val="28"/>
          <w:lang w:eastAsia="ru-RU"/>
        </w:rPr>
        <w:t>0,05; в інших випадках – 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групи активного контролю (ЕГ +ЕОА).</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 призначені ібупрофену (V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ібупрофен) на 47 добу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1,59 рази (р &lt; 0,05). Сумісне </w:t>
      </w:r>
      <w:r w:rsidRPr="00BE086B">
        <w:rPr>
          <w:rFonts w:ascii="Times New Roman" w:hAnsi="Times New Roman" w:cs="Times New Roman"/>
          <w:color w:val="auto"/>
          <w:sz w:val="28"/>
          <w:szCs w:val="28"/>
          <w:lang w:val="uk-UA"/>
        </w:rPr>
        <w:lastRenderedPageBreak/>
        <w:t xml:space="preserve">призначення ібупрофену та L-тироксину (VІ група) на 47 добу виявило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2,32 рази (р &lt; 0,05) (рис. 5.14).</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VІІ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на 47 добу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1,5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 L-тироксин на 47 добу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2,26 рази (р &lt; 0,05) (рис. 5.14).</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Призначення парацетамолу (ІХ група ЕГ + ЕОА + парацетамол) на 47 добу призвело до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1,02 рази (р &gt; 0,05). При сумісному призначені з L-тироксином (Х група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парацетамол + L-тироксин) визначено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1,05 рази (р &gt; 0,05).</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У ХІ групі ЕГ + ЕОА + німесулід на 47 добу експерименту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1,5 рази (р &lt; 0,05). При призначені німесуліду та L-тироксину (ХІІ група ЕГ + ЕОА + німесулід +L-тироксин)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1,96 рази (р &lt; 0,05) (рис. 5.14).</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Призначення целекоксибу (ХІІІ група ЕГ + ЕОА + целекоксиб) визначило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1,42 рази (р &lt; 0,05). При призначені целекоксибу та L-тироксину (ХІV група ЕГ + ЕОА + целекоксиб +L-тироксин)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1,56 рази (р &lt; 0,05) (рис. 5.14).</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підставі отриманих даних встановлено, що у групах експериментальних тварин, які отримували ЛЗ сумісно з L-тироксином визначено більше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ніж при монотерапії. Проте, звертає увагу парацетамол, який у ІХ групі ЕГ + ЕОА + парацетамол на 47 добу знизив рівень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1,02 рази (р &gt; 0,05), а при сумісному призначені з L-тироксином (Х група) - у 1,05 рази (р &gt; 0,05) (табл. 5.7).</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Так, при сумісному призначені диклофенаку натрію з L-тироксином (ІV група) на 47 добу на фоні експериментальних патологій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2,78 рази (р &lt; 0,05). Сумісне призначення ібупрофену та L-тироксину (VІ група) на 47 добу виявило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2,32 рази (р &lt; 0,05). У VІІІ групі ЕГ + ЕОА </w:t>
      </w:r>
      <w:r w:rsidRPr="00BE086B">
        <w:rPr>
          <w:rFonts w:ascii="Times New Roman" w:hAnsi="Times New Roman" w:cs="Times New Roman"/>
          <w:color w:val="auto"/>
          <w:sz w:val="28"/>
          <w:szCs w:val="28"/>
        </w:rPr>
        <w:t xml:space="preserve">+ </w:t>
      </w:r>
      <w:r w:rsidRPr="00BE086B">
        <w:rPr>
          <w:rFonts w:ascii="Times New Roman" w:hAnsi="Times New Roman" w:cs="Times New Roman"/>
          <w:color w:val="auto"/>
          <w:sz w:val="28"/>
          <w:szCs w:val="28"/>
          <w:lang w:val="uk-UA"/>
        </w:rPr>
        <w:t xml:space="preserve">мелоксикам + L-тироксин на 47 добу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2,26 рази (р &lt; 0,05). При </w:t>
      </w:r>
      <w:r w:rsidRPr="00BE086B">
        <w:rPr>
          <w:rFonts w:ascii="Times New Roman" w:hAnsi="Times New Roman" w:cs="Times New Roman"/>
          <w:color w:val="auto"/>
          <w:sz w:val="28"/>
          <w:szCs w:val="28"/>
          <w:lang w:val="uk-UA"/>
        </w:rPr>
        <w:lastRenderedPageBreak/>
        <w:t xml:space="preserve">призначені німесуліду та L-тироксину (ХІІ група ЕГ + ЕОА + німесулід +L-тироксин)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1,96 рази (р &lt; 0,05). При призначені целекоксибу та L-тироксину (ХІV група ЕГ + ЕОА + целекоксиб +L-тироксин) визначено достовірне зниження рівня </w:t>
      </w:r>
      <w:r w:rsidRPr="00BE086B">
        <w:rPr>
          <w:rFonts w:ascii="Times New Roman" w:hAnsi="Times New Roman" w:cs="Times New Roman"/>
          <w:bCs/>
          <w:color w:val="auto"/>
          <w:sz w:val="28"/>
          <w:szCs w:val="28"/>
          <w:lang w:val="uk-UA"/>
        </w:rPr>
        <w:t>КЛФ</w:t>
      </w:r>
      <w:r w:rsidRPr="00BE086B">
        <w:rPr>
          <w:rFonts w:ascii="Times New Roman" w:hAnsi="Times New Roman" w:cs="Times New Roman"/>
          <w:color w:val="auto"/>
          <w:sz w:val="28"/>
          <w:szCs w:val="28"/>
          <w:lang w:val="uk-UA"/>
        </w:rPr>
        <w:t xml:space="preserve"> у 1,56 рази (р &lt; 0,05) (рис. 5.14).</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Таким чином, на підставі отриманих даних встановлено, що у групах експериментальних тварин, які отримували ЛЗ сумісно з L-тироксином визначено більше зниження рівня КЛФ ніж при монотерапії, що свідчить про доцільність доповнення фармакотерапії експериментальних патологічних станів L-тироксином [196, 197].</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Звертає увагу ІХ група ЕГ + ЕОА + парацетамол та Х група ЕГ + ЕОА + парацетамол + L-тироксин в якій зниження рівня КЛФ відбулося у 1,02 рази (р &gt; 0,05) та у 1,05 рази (р &gt; 0,05) відповідно (табл. 5.7).</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bCs/>
          <w:color w:val="auto"/>
          <w:sz w:val="28"/>
          <w:szCs w:val="28"/>
          <w:lang w:val="uk-UA"/>
        </w:rPr>
        <w:t>За ступенем впливу на дегенеративно-дистрофічні процеси у кістковій тканині, які оцінені за рівнем маркеру КЛФ</w:t>
      </w:r>
      <w:r w:rsidRPr="00BE086B">
        <w:rPr>
          <w:rFonts w:ascii="Times New Roman" w:hAnsi="Times New Roman" w:cs="Times New Roman"/>
          <w:color w:val="auto"/>
          <w:sz w:val="28"/>
          <w:szCs w:val="28"/>
          <w:lang w:val="uk-UA"/>
        </w:rPr>
        <w:t xml:space="preserve"> у сироватці крові щурів </w:t>
      </w:r>
      <w:r w:rsidRPr="00BE086B">
        <w:rPr>
          <w:rFonts w:ascii="Times New Roman" w:hAnsi="Times New Roman" w:cs="Times New Roman"/>
          <w:bCs/>
          <w:color w:val="auto"/>
          <w:sz w:val="28"/>
          <w:szCs w:val="28"/>
          <w:lang w:val="uk-UA"/>
        </w:rPr>
        <w:t xml:space="preserve">досліджені препарати можна розташувати наступним чином: диклофенак натрію &gt; ібупрофен &gt; мелоксикам &gt; німесулід &gt; целекоксиб &gt; парацетамол </w:t>
      </w:r>
      <w:r w:rsidRPr="00BE086B">
        <w:rPr>
          <w:rFonts w:ascii="Times New Roman" w:hAnsi="Times New Roman" w:cs="Times New Roman"/>
          <w:color w:val="auto"/>
          <w:sz w:val="28"/>
          <w:szCs w:val="28"/>
          <w:lang w:val="uk-UA"/>
        </w:rPr>
        <w:t>(р &lt; 0,05)</w:t>
      </w:r>
      <w:r w:rsidRPr="00BE086B">
        <w:rPr>
          <w:rFonts w:ascii="Times New Roman" w:hAnsi="Times New Roman" w:cs="Times New Roman"/>
          <w:bCs/>
          <w:color w:val="auto"/>
          <w:sz w:val="28"/>
          <w:szCs w:val="28"/>
          <w:lang w:val="uk-UA"/>
        </w:rPr>
        <w:t>.</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 xml:space="preserve">Отримані дані вмісту кісткової лужної фосфатази у сироватці крові щурів відображають ступінь впливу НПЗЗ, парацетамолу </w:t>
      </w:r>
      <w:r w:rsidRPr="00BE086B">
        <w:rPr>
          <w:kern w:val="28"/>
          <w:sz w:val="28"/>
          <w:szCs w:val="28"/>
          <w:lang w:val="uk-UA"/>
        </w:rPr>
        <w:t xml:space="preserve">та L-тироксину </w:t>
      </w:r>
      <w:r w:rsidRPr="00BE086B">
        <w:rPr>
          <w:sz w:val="28"/>
          <w:szCs w:val="28"/>
          <w:lang w:val="uk-UA"/>
        </w:rPr>
        <w:t>на активність запального процесу внаслідок взаємодії препаратів при експериментальному остеоартрозі та гіпотиреозі [196, 197, 440].</w:t>
      </w:r>
    </w:p>
    <w:p w:rsidR="00AF418B" w:rsidRPr="00BE086B" w:rsidRDefault="00AF418B" w:rsidP="005316D2">
      <w:pPr>
        <w:autoSpaceDE w:val="0"/>
        <w:spacing w:line="360" w:lineRule="auto"/>
        <w:ind w:firstLine="709"/>
        <w:jc w:val="both"/>
        <w:rPr>
          <w:sz w:val="28"/>
          <w:szCs w:val="28"/>
          <w:lang w:val="uk-UA"/>
        </w:rPr>
      </w:pPr>
      <w:r w:rsidRPr="00BE086B">
        <w:rPr>
          <w:sz w:val="28"/>
          <w:szCs w:val="28"/>
          <w:lang w:val="uk-UA"/>
        </w:rPr>
        <w:t>Таким чином, на підставі д</w:t>
      </w:r>
      <w:r w:rsidRPr="00BE086B">
        <w:rPr>
          <w:bCs/>
          <w:sz w:val="28"/>
          <w:szCs w:val="28"/>
          <w:lang w:val="uk-UA"/>
        </w:rPr>
        <w:t>ослідження рівнів цитокінів (</w:t>
      </w:r>
      <w:r w:rsidRPr="00BE086B">
        <w:rPr>
          <w:sz w:val="28"/>
          <w:szCs w:val="28"/>
          <w:lang w:val="uk-UA"/>
        </w:rPr>
        <w:t xml:space="preserve">ІЛ 1, 6 та 8, ММП 3, 9 та 13, СТХ I та СТХ II, ФНП, СРП та КЛФ) </w:t>
      </w:r>
      <w:r w:rsidRPr="00BE086B">
        <w:rPr>
          <w:bCs/>
          <w:sz w:val="28"/>
          <w:szCs w:val="28"/>
          <w:lang w:val="uk-UA"/>
        </w:rPr>
        <w:t>при призначенні НПЗЗ, парацетамолу та L-тироксину за умов експериментального остеоартрозу та гіпотиреозу в</w:t>
      </w:r>
      <w:r w:rsidRPr="00BE086B">
        <w:rPr>
          <w:sz w:val="28"/>
          <w:szCs w:val="28"/>
          <w:lang w:val="uk-UA"/>
        </w:rPr>
        <w:t>становлено, що у групах експериментальних тварин, які отримували ЛЗ сумісно з L-тироксином визначено більше виражене зниження рівнів досліджуваних маркерів ніж при монотерапії, що свідчить про доцільність доповнення фармакотерапії експериментальних патологічних станів засобом замісної гормональної терапії - L-тироксином (рис. 5.15-5.16) [124-128].</w:t>
      </w:r>
    </w:p>
    <w:p w:rsidR="00B8275F" w:rsidRDefault="00E530F5" w:rsidP="00E530F5">
      <w:pPr>
        <w:pStyle w:val="WW-1"/>
        <w:spacing w:after="0" w:line="360" w:lineRule="auto"/>
        <w:jc w:val="center"/>
        <w:rPr>
          <w:rFonts w:ascii="Times New Roman" w:hAnsi="Times New Roman" w:cs="Times New Roman"/>
          <w:noProof/>
          <w:color w:val="auto"/>
          <w:sz w:val="28"/>
          <w:szCs w:val="28"/>
          <w:lang w:eastAsia="ru-RU"/>
        </w:rPr>
      </w:pPr>
      <w:r>
        <w:rPr>
          <w:rFonts w:ascii="Times New Roman" w:hAnsi="Times New Roman" w:cs="Times New Roman"/>
          <w:noProof/>
          <w:color w:val="auto"/>
          <w:sz w:val="28"/>
          <w:szCs w:val="28"/>
          <w:lang w:eastAsia="ru-RU"/>
        </w:rPr>
        <w:lastRenderedPageBreak/>
        <w:drawing>
          <wp:inline distT="0" distB="0" distL="0" distR="0">
            <wp:extent cx="5943600" cy="27900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5.15.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2790000"/>
                    </a:xfrm>
                    <a:prstGeom prst="rect">
                      <a:avLst/>
                    </a:prstGeom>
                  </pic:spPr>
                </pic:pic>
              </a:graphicData>
            </a:graphic>
          </wp:inline>
        </w:drawing>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Рис. 5.15.</w:t>
      </w:r>
      <w:r w:rsidRPr="00BE086B">
        <w:rPr>
          <w:rFonts w:ascii="Times New Roman" w:hAnsi="Times New Roman" w:cs="Times New Roman"/>
          <w:color w:val="auto"/>
          <w:sz w:val="28"/>
          <w:szCs w:val="28"/>
          <w:lang w:val="uk-UA"/>
        </w:rPr>
        <w:t xml:space="preserve"> Зміни рівнів </w:t>
      </w:r>
      <w:r w:rsidRPr="00BE086B">
        <w:rPr>
          <w:rFonts w:ascii="Times New Roman" w:hAnsi="Times New Roman" w:cs="Times New Roman"/>
          <w:bCs/>
          <w:color w:val="auto"/>
          <w:sz w:val="28"/>
          <w:szCs w:val="28"/>
          <w:lang w:val="uk-UA"/>
        </w:rPr>
        <w:t>цитокінів</w:t>
      </w:r>
      <w:r w:rsidRPr="00BE086B">
        <w:rPr>
          <w:rFonts w:ascii="Times New Roman" w:hAnsi="Times New Roman" w:cs="Times New Roman"/>
          <w:color w:val="auto"/>
          <w:sz w:val="28"/>
          <w:szCs w:val="28"/>
          <w:lang w:val="uk-UA"/>
        </w:rPr>
        <w:t xml:space="preserve"> сироватки крові у щурів на 47 добу на фоні коморбідної патології (ЕОА+ЕГ)</w:t>
      </w:r>
      <w:r w:rsidR="00317844" w:rsidRPr="00BE086B">
        <w:rPr>
          <w:rFonts w:ascii="Times New Roman" w:hAnsi="Times New Roman" w:cs="Times New Roman"/>
          <w:color w:val="auto"/>
          <w:sz w:val="28"/>
          <w:szCs w:val="28"/>
          <w:lang w:val="uk-UA"/>
        </w:rPr>
        <w:t>.</w:t>
      </w:r>
    </w:p>
    <w:p w:rsidR="00AF418B" w:rsidRPr="00BE086B" w:rsidRDefault="00AF418B" w:rsidP="005316D2">
      <w:pPr>
        <w:autoSpaceDE w:val="0"/>
        <w:spacing w:line="360" w:lineRule="auto"/>
        <w:ind w:firstLine="709"/>
        <w:jc w:val="both"/>
        <w:rPr>
          <w:sz w:val="28"/>
          <w:szCs w:val="28"/>
        </w:rPr>
      </w:pPr>
      <w:r w:rsidRPr="00BE086B">
        <w:rPr>
          <w:b/>
          <w:bCs/>
          <w:sz w:val="28"/>
          <w:szCs w:val="28"/>
          <w:lang w:val="uk-UA"/>
        </w:rPr>
        <w:t>Примітка.</w:t>
      </w:r>
      <w:r w:rsidRPr="00BE086B">
        <w:rPr>
          <w:sz w:val="28"/>
          <w:szCs w:val="28"/>
          <w:lang w:val="uk-UA"/>
        </w:rPr>
        <w:t xml:space="preserve"> * - р&lt;0,05 по відношенню до рівня маркерів у тварин групи ЕОА+ЕГ</w:t>
      </w:r>
    </w:p>
    <w:p w:rsidR="00AF418B" w:rsidRPr="00BE086B" w:rsidRDefault="00AF418B" w:rsidP="005316D2">
      <w:pPr>
        <w:autoSpaceDE w:val="0"/>
        <w:spacing w:line="360" w:lineRule="auto"/>
        <w:ind w:firstLine="709"/>
        <w:jc w:val="both"/>
        <w:rPr>
          <w:sz w:val="28"/>
          <w:szCs w:val="28"/>
          <w:lang w:val="uk-UA"/>
        </w:rPr>
      </w:pPr>
    </w:p>
    <w:p w:rsidR="00AF418B" w:rsidRPr="00BE086B" w:rsidRDefault="00AF418B" w:rsidP="005316D2">
      <w:pPr>
        <w:spacing w:line="360" w:lineRule="auto"/>
        <w:ind w:firstLine="709"/>
        <w:jc w:val="both"/>
        <w:rPr>
          <w:sz w:val="28"/>
          <w:szCs w:val="28"/>
          <w:lang w:val="uk-UA"/>
        </w:rPr>
      </w:pPr>
      <w:r w:rsidRPr="00BE086B">
        <w:rPr>
          <w:sz w:val="28"/>
          <w:szCs w:val="28"/>
          <w:lang w:val="uk-UA"/>
        </w:rPr>
        <w:t>Аналіз отриманих результатів дозволив встановити, що за ступенем впливу на запальні процеси у суглобі, що характеризуються, зокрема, рівнями інтерлейкінів (</w:t>
      </w:r>
      <w:r w:rsidRPr="00BE086B">
        <w:rPr>
          <w:sz w:val="28"/>
          <w:szCs w:val="28"/>
        </w:rPr>
        <w:t>IL</w:t>
      </w:r>
      <w:r w:rsidRPr="00BE086B">
        <w:rPr>
          <w:sz w:val="28"/>
          <w:szCs w:val="28"/>
          <w:lang w:val="uk-UA"/>
        </w:rPr>
        <w:t xml:space="preserve"> 1, </w:t>
      </w:r>
      <w:r w:rsidRPr="00BE086B">
        <w:rPr>
          <w:sz w:val="28"/>
          <w:szCs w:val="28"/>
        </w:rPr>
        <w:t>IL</w:t>
      </w:r>
      <w:r w:rsidRPr="00BE086B">
        <w:rPr>
          <w:sz w:val="28"/>
          <w:szCs w:val="28"/>
          <w:lang w:val="uk-UA"/>
        </w:rPr>
        <w:t xml:space="preserve"> 6 та </w:t>
      </w:r>
      <w:r w:rsidRPr="00BE086B">
        <w:rPr>
          <w:sz w:val="28"/>
          <w:szCs w:val="28"/>
        </w:rPr>
        <w:t>IL</w:t>
      </w:r>
      <w:r w:rsidRPr="00BE086B">
        <w:rPr>
          <w:sz w:val="28"/>
          <w:szCs w:val="28"/>
          <w:lang w:val="uk-UA"/>
        </w:rPr>
        <w:t xml:space="preserve"> 8), матриксних металопротеїназ (ММП-3, ММП-9 та ММП-13), фактору некрозу пухлин (ФНП) та С-реактивного протеїну (СРП), досліджені препарати розташувались наступним чином: диклофенак натрію &gt; ібупрофен &gt; німесулід = мелоксикам &gt; целекоксиб &gt; парацетамол, що відображає різну ефективність зазначених препаратів на інтенсивність запалення за коморбідної патології (</w:t>
      </w:r>
      <w:r w:rsidRPr="00BE086B">
        <w:rPr>
          <w:rFonts w:eastAsia="Calibri"/>
          <w:iCs/>
          <w:sz w:val="28"/>
          <w:szCs w:val="28"/>
          <w:lang w:val="uk-UA"/>
        </w:rPr>
        <w:t>р&lt;0,05</w:t>
      </w:r>
      <w:r w:rsidRPr="00BE086B">
        <w:rPr>
          <w:sz w:val="28"/>
          <w:szCs w:val="28"/>
          <w:lang w:val="uk-UA"/>
        </w:rPr>
        <w:t>) [124-128].</w:t>
      </w:r>
    </w:p>
    <w:p w:rsidR="00AF418B" w:rsidRPr="00BE086B" w:rsidRDefault="00E530F5" w:rsidP="00CA490A">
      <w:pPr>
        <w:pStyle w:val="WW-1"/>
        <w:spacing w:after="0" w:line="360" w:lineRule="auto"/>
        <w:jc w:val="both"/>
        <w:rPr>
          <w:rFonts w:ascii="Times New Roman" w:hAnsi="Times New Roman" w:cs="Times New Roman"/>
          <w:color w:val="auto"/>
          <w:sz w:val="28"/>
          <w:szCs w:val="28"/>
          <w:lang w:val="uk-UA"/>
        </w:rPr>
      </w:pPr>
      <w:r>
        <w:rPr>
          <w:rFonts w:ascii="Times New Roman" w:hAnsi="Times New Roman" w:cs="Times New Roman"/>
          <w:noProof/>
          <w:color w:val="auto"/>
          <w:sz w:val="28"/>
          <w:szCs w:val="28"/>
          <w:lang w:eastAsia="ru-RU"/>
        </w:rPr>
        <w:lastRenderedPageBreak/>
        <w:drawing>
          <wp:inline distT="0" distB="0" distL="0" distR="0">
            <wp:extent cx="5700713" cy="3376613"/>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5.16.jpg"/>
                    <pic:cNvPicPr/>
                  </pic:nvPicPr>
                  <pic:blipFill>
                    <a:blip r:embed="rId43">
                      <a:extLst>
                        <a:ext uri="{28A0092B-C50C-407E-A947-70E740481C1C}">
                          <a14:useLocalDpi xmlns:a14="http://schemas.microsoft.com/office/drawing/2010/main" val="0"/>
                        </a:ext>
                      </a:extLst>
                    </a:blip>
                    <a:stretch>
                      <a:fillRect/>
                    </a:stretch>
                  </pic:blipFill>
                  <pic:spPr>
                    <a:xfrm>
                      <a:off x="0" y="0"/>
                      <a:ext cx="5700713" cy="3376613"/>
                    </a:xfrm>
                    <a:prstGeom prst="rect">
                      <a:avLst/>
                    </a:prstGeom>
                  </pic:spPr>
                </pic:pic>
              </a:graphicData>
            </a:graphic>
          </wp:inline>
        </w:drawing>
      </w:r>
    </w:p>
    <w:p w:rsidR="00AF418B" w:rsidRPr="00BE086B" w:rsidRDefault="00AF418B" w:rsidP="00E530F5">
      <w:pPr>
        <w:pStyle w:val="WW-"/>
        <w:spacing w:after="0" w:line="360" w:lineRule="auto"/>
        <w:ind w:firstLine="709"/>
        <w:jc w:val="center"/>
        <w:rPr>
          <w:rFonts w:ascii="Times New Roman" w:hAnsi="Times New Roman" w:cs="Times New Roman"/>
          <w:noProof/>
          <w:color w:val="auto"/>
          <w:sz w:val="28"/>
          <w:szCs w:val="28"/>
          <w:lang w:val="uk-UA" w:eastAsia="ru-RU"/>
        </w:rPr>
      </w:pPr>
      <w:r w:rsidRPr="00BE086B">
        <w:rPr>
          <w:rFonts w:ascii="Times New Roman" w:hAnsi="Times New Roman" w:cs="Times New Roman"/>
          <w:noProof/>
          <w:color w:val="auto"/>
          <w:sz w:val="28"/>
          <w:szCs w:val="28"/>
          <w:lang w:val="uk-UA" w:eastAsia="ru-RU"/>
        </w:rPr>
        <w:t>А</w:t>
      </w:r>
      <w:r w:rsidRPr="00BE086B">
        <w:rPr>
          <w:rFonts w:ascii="Times New Roman" w:hAnsi="Times New Roman" w:cs="Times New Roman"/>
          <w:noProof/>
          <w:color w:val="auto"/>
          <w:sz w:val="28"/>
          <w:szCs w:val="28"/>
          <w:lang w:val="uk-UA" w:eastAsia="ru-RU"/>
        </w:rPr>
        <w:tab/>
      </w:r>
      <w:r w:rsidRPr="00BE086B">
        <w:rPr>
          <w:rFonts w:ascii="Times New Roman" w:hAnsi="Times New Roman" w:cs="Times New Roman"/>
          <w:noProof/>
          <w:color w:val="auto"/>
          <w:sz w:val="28"/>
          <w:szCs w:val="28"/>
          <w:lang w:val="uk-UA" w:eastAsia="ru-RU"/>
        </w:rPr>
        <w:tab/>
      </w:r>
      <w:r w:rsidRPr="00BE086B">
        <w:rPr>
          <w:rFonts w:ascii="Times New Roman" w:hAnsi="Times New Roman" w:cs="Times New Roman"/>
          <w:noProof/>
          <w:color w:val="auto"/>
          <w:sz w:val="28"/>
          <w:szCs w:val="28"/>
          <w:lang w:val="uk-UA" w:eastAsia="ru-RU"/>
        </w:rPr>
        <w:tab/>
      </w:r>
      <w:r w:rsidRPr="00BE086B">
        <w:rPr>
          <w:rFonts w:ascii="Times New Roman" w:hAnsi="Times New Roman" w:cs="Times New Roman"/>
          <w:noProof/>
          <w:color w:val="auto"/>
          <w:sz w:val="28"/>
          <w:szCs w:val="28"/>
          <w:lang w:val="uk-UA" w:eastAsia="ru-RU"/>
        </w:rPr>
        <w:tab/>
      </w:r>
      <w:r w:rsidRPr="00BE086B">
        <w:rPr>
          <w:rFonts w:ascii="Times New Roman" w:hAnsi="Times New Roman" w:cs="Times New Roman"/>
          <w:noProof/>
          <w:color w:val="auto"/>
          <w:sz w:val="28"/>
          <w:szCs w:val="28"/>
          <w:lang w:val="uk-UA" w:eastAsia="ru-RU"/>
        </w:rPr>
        <w:tab/>
      </w:r>
      <w:r w:rsidRPr="00BE086B">
        <w:rPr>
          <w:rFonts w:ascii="Times New Roman" w:hAnsi="Times New Roman" w:cs="Times New Roman"/>
          <w:noProof/>
          <w:color w:val="auto"/>
          <w:sz w:val="28"/>
          <w:szCs w:val="28"/>
          <w:lang w:val="uk-UA" w:eastAsia="ru-RU"/>
        </w:rPr>
        <w:tab/>
      </w:r>
      <w:r w:rsidRPr="00BE086B">
        <w:rPr>
          <w:rFonts w:ascii="Times New Roman" w:hAnsi="Times New Roman" w:cs="Times New Roman"/>
          <w:noProof/>
          <w:color w:val="auto"/>
          <w:sz w:val="28"/>
          <w:szCs w:val="28"/>
          <w:lang w:val="uk-UA" w:eastAsia="ru-RU"/>
        </w:rPr>
        <w:tab/>
        <w:t>Б</w:t>
      </w: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b/>
          <w:color w:val="auto"/>
          <w:sz w:val="28"/>
          <w:szCs w:val="28"/>
          <w:lang w:val="uk-UA"/>
        </w:rPr>
        <w:t xml:space="preserve">Рис. 5.16. </w:t>
      </w:r>
      <w:r w:rsidRPr="00BE086B">
        <w:rPr>
          <w:rFonts w:ascii="Times New Roman" w:hAnsi="Times New Roman" w:cs="Times New Roman"/>
          <w:noProof/>
          <w:color w:val="auto"/>
          <w:sz w:val="28"/>
          <w:szCs w:val="28"/>
          <w:lang w:val="uk-UA" w:eastAsia="ru-RU"/>
        </w:rPr>
        <w:t>Зміни рівнів лабораторних показників у сироватці крові щурів груп дослідження без (А) та на тлі терапії L-тироксином (Б) на 47 добу експерименту (%</w:t>
      </w:r>
      <w:r w:rsidRPr="00BE086B">
        <w:rPr>
          <w:rFonts w:ascii="Times New Roman" w:hAnsi="Times New Roman" w:cs="Times New Roman"/>
          <w:color w:val="auto"/>
          <w:sz w:val="28"/>
          <w:szCs w:val="28"/>
          <w:lang w:val="uk-UA"/>
        </w:rPr>
        <w:t xml:space="preserve"> змін показника відносно 42 доби).</w:t>
      </w:r>
    </w:p>
    <w:p w:rsidR="00AF418B" w:rsidRPr="00BE086B" w:rsidRDefault="00AF418B" w:rsidP="005316D2">
      <w:pPr>
        <w:spacing w:line="360" w:lineRule="auto"/>
        <w:ind w:firstLine="709"/>
        <w:jc w:val="both"/>
        <w:rPr>
          <w:sz w:val="28"/>
          <w:szCs w:val="28"/>
          <w:lang w:eastAsia="ru-RU"/>
        </w:rPr>
      </w:pPr>
      <w:r w:rsidRPr="00BE086B">
        <w:rPr>
          <w:b/>
          <w:sz w:val="28"/>
          <w:szCs w:val="28"/>
        </w:rPr>
        <w:t>Примітка.</w:t>
      </w:r>
      <w:r w:rsidRPr="00BE086B">
        <w:rPr>
          <w:sz w:val="28"/>
          <w:szCs w:val="28"/>
        </w:rPr>
        <w:t xml:space="preserve"> * - </w:t>
      </w:r>
      <w:r w:rsidRPr="00BE086B">
        <w:rPr>
          <w:sz w:val="28"/>
          <w:szCs w:val="28"/>
          <w:lang w:eastAsia="ru-RU"/>
        </w:rPr>
        <w:t>р</w:t>
      </w:r>
      <w:r w:rsidRPr="00BE086B">
        <w:rPr>
          <w:rFonts w:eastAsia="Calibri"/>
          <w:iCs/>
          <w:sz w:val="28"/>
          <w:szCs w:val="28"/>
        </w:rPr>
        <w:t>&gt;</w:t>
      </w:r>
      <w:r w:rsidRPr="00BE086B">
        <w:rPr>
          <w:sz w:val="28"/>
          <w:szCs w:val="28"/>
          <w:lang w:eastAsia="ru-RU"/>
        </w:rPr>
        <w:t>0,05; в інших випадках – р</w:t>
      </w:r>
      <w:r w:rsidRPr="00BE086B">
        <w:rPr>
          <w:rFonts w:eastAsia="Calibri"/>
          <w:iCs/>
          <w:sz w:val="28"/>
          <w:szCs w:val="28"/>
        </w:rPr>
        <w:t>&lt;</w:t>
      </w:r>
      <w:r w:rsidRPr="00BE086B">
        <w:rPr>
          <w:sz w:val="28"/>
          <w:szCs w:val="28"/>
          <w:lang w:eastAsia="ru-RU"/>
        </w:rPr>
        <w:t>0,05 по відношенню до показників 42 доби у відповідній групі.</w:t>
      </w:r>
    </w:p>
    <w:p w:rsidR="00AF418B" w:rsidRPr="00BE086B" w:rsidRDefault="00AF418B" w:rsidP="005316D2">
      <w:pPr>
        <w:spacing w:line="360" w:lineRule="auto"/>
        <w:ind w:firstLine="709"/>
        <w:jc w:val="both"/>
        <w:rPr>
          <w:sz w:val="28"/>
          <w:szCs w:val="28"/>
        </w:rPr>
      </w:pPr>
    </w:p>
    <w:p w:rsidR="00AF418B" w:rsidRPr="00BE086B" w:rsidRDefault="00AF418B" w:rsidP="005316D2">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Проте, звертає на себе увагу парацетамол, який при монотерапії не впливав на рівень ММП-9 (</w:t>
      </w:r>
      <w:r w:rsidRPr="00BE086B">
        <w:rPr>
          <w:rFonts w:ascii="Times New Roman" w:eastAsia="Calibri" w:hAnsi="Times New Roman" w:cs="Times New Roman"/>
          <w:iCs/>
          <w:color w:val="auto"/>
          <w:sz w:val="28"/>
          <w:szCs w:val="28"/>
          <w:lang w:val="uk-UA"/>
        </w:rPr>
        <w:t>р&lt;0,05</w:t>
      </w:r>
      <w:r w:rsidRPr="00BE086B">
        <w:rPr>
          <w:rFonts w:ascii="Times New Roman" w:hAnsi="Times New Roman" w:cs="Times New Roman"/>
          <w:color w:val="auto"/>
          <w:sz w:val="28"/>
          <w:szCs w:val="28"/>
          <w:lang w:val="uk-UA"/>
        </w:rPr>
        <w:t xml:space="preserve">) на 47 добу експерименту (ІХ група), а при сумісному призначені з L-тироксином (Х група) визначено достовірне зниження рівнів ММП-3, ММП-9 та ММП-13 у 1,05; 1,12 та 1,03 рази відповідно (р&lt;0,05) при порівнянні відповідних показників у ІХ групі. Водночас, не визначено різниці між впливом парацетамолу на рівень </w:t>
      </w:r>
      <w:r w:rsidRPr="00BE086B">
        <w:rPr>
          <w:rFonts w:ascii="Times New Roman" w:hAnsi="Times New Roman" w:cs="Times New Roman"/>
          <w:bCs/>
          <w:color w:val="auto"/>
          <w:sz w:val="28"/>
          <w:szCs w:val="28"/>
          <w:lang w:val="uk-UA"/>
        </w:rPr>
        <w:t xml:space="preserve">СРП за самостійного застосування та комбінованого використання з </w:t>
      </w:r>
      <w:r w:rsidRPr="00BE086B">
        <w:rPr>
          <w:rStyle w:val="Default20Paragraph20Font"/>
          <w:rFonts w:ascii="Times New Roman" w:eastAsia="Calibri" w:hAnsi="Times New Roman" w:cs="Times New Roman"/>
          <w:bCs/>
          <w:iCs/>
          <w:color w:val="auto"/>
          <w:sz w:val="28"/>
          <w:szCs w:val="28"/>
          <w:lang w:val="uk-UA"/>
        </w:rPr>
        <w:t xml:space="preserve">L-тироксином </w:t>
      </w:r>
      <w:r w:rsidRPr="00BE086B">
        <w:rPr>
          <w:rFonts w:ascii="Times New Roman" w:hAnsi="Times New Roman" w:cs="Times New Roman"/>
          <w:color w:val="auto"/>
          <w:sz w:val="28"/>
          <w:szCs w:val="28"/>
          <w:lang w:val="uk-UA"/>
        </w:rPr>
        <w:t>(Х група) на тлі коморбідної патології [124-128].</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З</w:t>
      </w:r>
      <w:r w:rsidRPr="00BE086B">
        <w:rPr>
          <w:rFonts w:ascii="Times New Roman" w:hAnsi="Times New Roman" w:cs="Times New Roman"/>
          <w:bCs/>
          <w:color w:val="auto"/>
          <w:sz w:val="28"/>
          <w:szCs w:val="28"/>
          <w:lang w:val="uk-UA"/>
        </w:rPr>
        <w:t xml:space="preserve">а інтенсивністю впливу на дегенеративно-дистрофічні процеси у кістковій тканині, що визначалася за рівнем маркеру розпаду колагену </w:t>
      </w:r>
      <w:r w:rsidRPr="00BE086B">
        <w:rPr>
          <w:rFonts w:ascii="Times New Roman" w:hAnsi="Times New Roman" w:cs="Times New Roman"/>
          <w:color w:val="auto"/>
          <w:sz w:val="28"/>
          <w:szCs w:val="28"/>
          <w:lang w:val="uk-UA"/>
        </w:rPr>
        <w:t>I</w:t>
      </w:r>
      <w:r w:rsidRPr="00BE086B">
        <w:rPr>
          <w:rFonts w:ascii="Times New Roman" w:hAnsi="Times New Roman" w:cs="Times New Roman"/>
          <w:bCs/>
          <w:color w:val="auto"/>
          <w:sz w:val="28"/>
          <w:szCs w:val="28"/>
          <w:lang w:val="uk-UA"/>
        </w:rPr>
        <w:t xml:space="preserve"> типу (</w:t>
      </w:r>
      <w:r w:rsidRPr="00BE086B">
        <w:rPr>
          <w:rFonts w:ascii="Times New Roman" w:hAnsi="Times New Roman" w:cs="Times New Roman"/>
          <w:color w:val="auto"/>
          <w:sz w:val="28"/>
          <w:szCs w:val="28"/>
          <w:lang w:val="uk-UA"/>
        </w:rPr>
        <w:t>СТХ I) у сироватці крові щурів,</w:t>
      </w:r>
      <w:r w:rsidRPr="00BE086B">
        <w:rPr>
          <w:rFonts w:ascii="Times New Roman" w:hAnsi="Times New Roman" w:cs="Times New Roman"/>
          <w:bCs/>
          <w:color w:val="auto"/>
          <w:sz w:val="28"/>
          <w:szCs w:val="28"/>
          <w:lang w:val="uk-UA"/>
        </w:rPr>
        <w:t xml:space="preserve">досліджені препарати </w:t>
      </w:r>
      <w:r w:rsidRPr="00BE086B">
        <w:rPr>
          <w:rFonts w:ascii="Times New Roman" w:hAnsi="Times New Roman" w:cs="Times New Roman"/>
          <w:color w:val="auto"/>
          <w:sz w:val="28"/>
          <w:szCs w:val="28"/>
          <w:lang w:val="uk-UA"/>
        </w:rPr>
        <w:t xml:space="preserve">розташувались </w:t>
      </w:r>
      <w:r w:rsidRPr="00BE086B">
        <w:rPr>
          <w:rFonts w:ascii="Times New Roman" w:hAnsi="Times New Roman" w:cs="Times New Roman"/>
          <w:bCs/>
          <w:color w:val="auto"/>
          <w:sz w:val="28"/>
          <w:szCs w:val="28"/>
          <w:lang w:val="uk-UA"/>
        </w:rPr>
        <w:lastRenderedPageBreak/>
        <w:t xml:space="preserve">наступним чином: диклофенак натрію &gt; ібупрофен &gt; німесулід = мелоксикам &gt; целекоксиб &gt; парацетамол </w:t>
      </w:r>
      <w:r w:rsidRPr="00BE086B">
        <w:rPr>
          <w:rFonts w:ascii="Times New Roman" w:hAnsi="Times New Roman" w:cs="Times New Roman"/>
          <w:color w:val="auto"/>
          <w:sz w:val="28"/>
          <w:szCs w:val="28"/>
          <w:lang w:val="uk-UA"/>
        </w:rPr>
        <w:t>(р&lt;0,05)</w:t>
      </w:r>
      <w:r w:rsidRPr="00BE086B">
        <w:rPr>
          <w:rFonts w:ascii="Times New Roman" w:hAnsi="Times New Roman" w:cs="Times New Roman"/>
          <w:bCs/>
          <w:color w:val="auto"/>
          <w:sz w:val="28"/>
          <w:szCs w:val="28"/>
          <w:lang w:val="uk-UA"/>
        </w:rPr>
        <w:t xml:space="preserve">, а за рівнем колагену </w:t>
      </w:r>
      <w:r w:rsidRPr="00BE086B">
        <w:rPr>
          <w:rFonts w:ascii="Times New Roman" w:hAnsi="Times New Roman" w:cs="Times New Roman"/>
          <w:color w:val="auto"/>
          <w:sz w:val="28"/>
          <w:szCs w:val="28"/>
          <w:lang w:val="uk-UA"/>
        </w:rPr>
        <w:t>IІ</w:t>
      </w:r>
      <w:r w:rsidRPr="00BE086B">
        <w:rPr>
          <w:rFonts w:ascii="Times New Roman" w:hAnsi="Times New Roman" w:cs="Times New Roman"/>
          <w:bCs/>
          <w:color w:val="auto"/>
          <w:sz w:val="28"/>
          <w:szCs w:val="28"/>
          <w:lang w:val="uk-UA"/>
        </w:rPr>
        <w:t xml:space="preserve"> типу (</w:t>
      </w:r>
      <w:r w:rsidRPr="00BE086B">
        <w:rPr>
          <w:rFonts w:ascii="Times New Roman" w:hAnsi="Times New Roman" w:cs="Times New Roman"/>
          <w:color w:val="auto"/>
          <w:sz w:val="28"/>
          <w:szCs w:val="28"/>
          <w:lang w:val="uk-UA"/>
        </w:rPr>
        <w:t>СТХ IІ) – німесулід &gt; целекоксиб &gt; мелоксикам &gt; ібупрофен &gt; диклофенак натрію &gt; парацетамол (р&lt;0,05) [124-128].</w:t>
      </w:r>
    </w:p>
    <w:p w:rsidR="00AF418B" w:rsidRPr="00BE086B" w:rsidRDefault="00AF418B" w:rsidP="005316D2">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Аналіз результатів щодо</w:t>
      </w:r>
      <w:r w:rsidRPr="00BE086B">
        <w:rPr>
          <w:rFonts w:ascii="Times New Roman" w:hAnsi="Times New Roman" w:cs="Times New Roman"/>
          <w:bCs/>
          <w:color w:val="auto"/>
          <w:sz w:val="28"/>
          <w:szCs w:val="28"/>
          <w:lang w:val="uk-UA"/>
        </w:rPr>
        <w:t xml:space="preserve"> ступеня впливу на активність остеобластів у кістковій тканині, що оцінені за рівнем кісткової лужної фосфатази (КЛФ)</w:t>
      </w:r>
      <w:r w:rsidRPr="00BE086B">
        <w:rPr>
          <w:rFonts w:ascii="Times New Roman" w:hAnsi="Times New Roman" w:cs="Times New Roman"/>
          <w:color w:val="auto"/>
          <w:sz w:val="28"/>
          <w:szCs w:val="28"/>
          <w:lang w:val="uk-UA"/>
        </w:rPr>
        <w:t xml:space="preserve"> у сироватці крові щурів, дозволив </w:t>
      </w:r>
      <w:r w:rsidRPr="00BE086B">
        <w:rPr>
          <w:rFonts w:ascii="Times New Roman" w:hAnsi="Times New Roman" w:cs="Times New Roman"/>
          <w:bCs/>
          <w:color w:val="auto"/>
          <w:sz w:val="28"/>
          <w:szCs w:val="28"/>
          <w:lang w:val="uk-UA"/>
        </w:rPr>
        <w:t xml:space="preserve">розташувати препарати наступним чином: диклофенак натрію &gt; ібупрофен &gt; мелоксикам &gt; німесулід &gt; целекоксиб &gt; парацетамол. </w:t>
      </w:r>
      <w:r w:rsidRPr="00BE086B">
        <w:rPr>
          <w:rFonts w:ascii="Times New Roman" w:hAnsi="Times New Roman" w:cs="Times New Roman"/>
          <w:color w:val="auto"/>
          <w:sz w:val="28"/>
          <w:szCs w:val="28"/>
          <w:lang w:val="uk-UA"/>
        </w:rPr>
        <w:t>Звертає увагу показник рівня КЛФ у ІХ (ЕГ + ЕОА + парацетамол) та Х групах (ЕГ + ЕОА + парацетамол + L-тироксин), де визначалося зниження рівня зазначеного показника у 1,02 рази (р&gt;0,05) та у 1,05 рази (р&gt;0,05) відповідно [124-128].</w:t>
      </w:r>
    </w:p>
    <w:p w:rsidR="00AF418B" w:rsidRPr="00BE086B" w:rsidRDefault="00AF418B" w:rsidP="005316D2">
      <w:pPr>
        <w:spacing w:line="360" w:lineRule="auto"/>
        <w:ind w:firstLine="709"/>
        <w:jc w:val="both"/>
        <w:rPr>
          <w:bCs/>
          <w:sz w:val="28"/>
          <w:szCs w:val="28"/>
          <w:lang w:val="uk-UA"/>
        </w:rPr>
      </w:pPr>
      <w:r w:rsidRPr="00BE086B">
        <w:rPr>
          <w:kern w:val="2"/>
          <w:sz w:val="28"/>
          <w:szCs w:val="28"/>
          <w:lang w:val="uk-UA" w:eastAsia="uk-UA"/>
        </w:rPr>
        <w:t xml:space="preserve">Таким чином, проведені дослідження дозволили оцінити НПЗЗ та парацетамол за рівнем протизапальної активності і впливом на дегенеративно-дистрофічні процеси у кістковій та хрящовій тканині та визначити препарат-лідер – диклофенак натрію </w:t>
      </w:r>
      <w:r w:rsidRPr="00BE086B">
        <w:rPr>
          <w:sz w:val="28"/>
          <w:szCs w:val="28"/>
          <w:lang w:val="uk-UA"/>
        </w:rPr>
        <w:t>[124-128]</w:t>
      </w:r>
      <w:r w:rsidRPr="00BE086B">
        <w:rPr>
          <w:kern w:val="2"/>
          <w:sz w:val="28"/>
          <w:szCs w:val="28"/>
          <w:lang w:val="uk-UA" w:eastAsia="uk-UA"/>
        </w:rPr>
        <w:t>.</w:t>
      </w:r>
    </w:p>
    <w:p w:rsidR="00AF418B" w:rsidRPr="00BE086B" w:rsidRDefault="00AF418B"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5316D2">
      <w:pPr>
        <w:pStyle w:val="af0"/>
        <w:ind w:firstLine="709"/>
        <w:jc w:val="both"/>
        <w:rPr>
          <w:sz w:val="28"/>
          <w:szCs w:val="28"/>
          <w:lang w:val="uk-UA"/>
        </w:rPr>
      </w:pPr>
    </w:p>
    <w:p w:rsidR="00E05E44" w:rsidRPr="00BE086B" w:rsidRDefault="00E05E44" w:rsidP="00E05E44">
      <w:pPr>
        <w:spacing w:line="360" w:lineRule="auto"/>
        <w:jc w:val="center"/>
        <w:rPr>
          <w:sz w:val="28"/>
          <w:szCs w:val="28"/>
          <w:lang w:val="uk-UA"/>
        </w:rPr>
      </w:pPr>
      <w:r w:rsidRPr="00BE086B">
        <w:rPr>
          <w:b/>
          <w:bCs/>
          <w:caps/>
          <w:sz w:val="28"/>
          <w:szCs w:val="28"/>
          <w:lang w:val="uk-UA"/>
        </w:rPr>
        <w:lastRenderedPageBreak/>
        <w:t>Розділ</w:t>
      </w:r>
      <w:r w:rsidRPr="00BE086B">
        <w:rPr>
          <w:b/>
          <w:bCs/>
          <w:sz w:val="28"/>
          <w:szCs w:val="28"/>
          <w:lang w:val="uk-UA"/>
        </w:rPr>
        <w:t xml:space="preserve"> 6</w:t>
      </w:r>
    </w:p>
    <w:p w:rsidR="00E05E44" w:rsidRPr="00BE086B" w:rsidRDefault="00E05E44" w:rsidP="00E05E44">
      <w:pPr>
        <w:spacing w:line="360" w:lineRule="auto"/>
        <w:jc w:val="center"/>
        <w:rPr>
          <w:sz w:val="28"/>
          <w:szCs w:val="28"/>
          <w:lang w:val="uk-UA"/>
        </w:rPr>
      </w:pPr>
    </w:p>
    <w:p w:rsidR="00E05E44" w:rsidRPr="00BE086B" w:rsidRDefault="00E05E44" w:rsidP="00E05E44">
      <w:pPr>
        <w:spacing w:line="360" w:lineRule="auto"/>
        <w:jc w:val="center"/>
        <w:rPr>
          <w:b/>
          <w:bCs/>
          <w:sz w:val="28"/>
          <w:szCs w:val="28"/>
          <w:lang w:val="uk-UA"/>
        </w:rPr>
      </w:pPr>
      <w:r w:rsidRPr="00BE086B">
        <w:rPr>
          <w:b/>
          <w:sz w:val="28"/>
          <w:szCs w:val="28"/>
        </w:rPr>
        <w:t xml:space="preserve">ВПЛИВ НПЗЗ ТА ПАРАЦЕТАМОЛУ НА ФУНКЦІОНАЛЬНИЙ СТАН ЩИТОПОДІБНОЇ ЗАЛОЗИ ПРИ </w:t>
      </w:r>
      <w:r w:rsidRPr="00BE086B">
        <w:rPr>
          <w:b/>
          <w:sz w:val="28"/>
          <w:szCs w:val="28"/>
          <w:lang w:val="uk-UA"/>
        </w:rPr>
        <w:t xml:space="preserve">ЕКСПЕРИМЕНТАЛЬНОМУ </w:t>
      </w:r>
      <w:r w:rsidRPr="00BE086B">
        <w:rPr>
          <w:b/>
          <w:sz w:val="28"/>
          <w:szCs w:val="28"/>
        </w:rPr>
        <w:t>ОСТЕОАРТРОЗІ НА ТЛІ ГІПОТИРЕОЗУ</w:t>
      </w:r>
    </w:p>
    <w:p w:rsidR="00E05E44" w:rsidRPr="00BE086B" w:rsidRDefault="00E05E44" w:rsidP="00E05E44">
      <w:pPr>
        <w:pStyle w:val="WW-"/>
        <w:spacing w:after="0" w:line="360" w:lineRule="auto"/>
        <w:ind w:firstLine="709"/>
        <w:jc w:val="both"/>
        <w:rPr>
          <w:rFonts w:ascii="Times New Roman" w:hAnsi="Times New Roman" w:cs="Times New Roman"/>
          <w:color w:val="auto"/>
          <w:sz w:val="28"/>
          <w:szCs w:val="28"/>
          <w:lang w:val="uk-UA"/>
        </w:rPr>
      </w:pPr>
    </w:p>
    <w:p w:rsidR="00E05E44" w:rsidRPr="00BE086B" w:rsidRDefault="00E05E44" w:rsidP="00E05E44">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У розділі описані результати дослідження впливу НПЗЗ та парацетамолу на функціональний стан щитоподібної залози за умов коморбідної патології (експериментального остеоартрозу та гіпотиреозу), який визначали за концентрацією ТТГ, Т3 та Т4 сироватки крові щурів [456, 457].</w:t>
      </w:r>
    </w:p>
    <w:p w:rsidR="00E05E44" w:rsidRPr="00BE086B" w:rsidRDefault="00E05E44" w:rsidP="00E05E44">
      <w:pPr>
        <w:spacing w:line="360" w:lineRule="auto"/>
        <w:ind w:firstLine="709"/>
        <w:jc w:val="both"/>
        <w:rPr>
          <w:sz w:val="28"/>
          <w:szCs w:val="28"/>
        </w:rPr>
      </w:pPr>
      <w:r w:rsidRPr="00BE086B">
        <w:rPr>
          <w:sz w:val="28"/>
          <w:szCs w:val="28"/>
          <w:lang w:val="uk-UA"/>
        </w:rPr>
        <w:t xml:space="preserve">Для всебічного вирішення зазначених у розділі 1 суперечностей щодо впливу НПЗЗ та парацетамолу на функціональний стан ЩЗ </w:t>
      </w:r>
      <w:r w:rsidRPr="00BE086B">
        <w:rPr>
          <w:iCs/>
          <w:sz w:val="28"/>
          <w:szCs w:val="28"/>
          <w:lang w:val="uk-UA"/>
        </w:rPr>
        <w:t>[421-425]</w:t>
      </w:r>
      <w:r w:rsidRPr="00BE086B">
        <w:rPr>
          <w:sz w:val="28"/>
          <w:szCs w:val="28"/>
          <w:lang w:val="uk-UA"/>
        </w:rPr>
        <w:t xml:space="preserve">, який визначали за рівнем гормонів ТТГ, Т3 та Т4, кожний з досліджуваних препаратів вводили у двох дозах. Перша група доз – такі, що були використані на попередніх етапах дослідження та відповідали середнім ефективним дозам за аналгетичною активністю, і були запозичені з літератури та неодноразово використовувались при проведенні доклінічних досліджень. </w:t>
      </w:r>
      <w:r w:rsidRPr="00BE086B">
        <w:rPr>
          <w:sz w:val="28"/>
          <w:szCs w:val="28"/>
        </w:rPr>
        <w:t>Друга група доз була визначена шляхом екстраполяції доз людини на щурів із використанням коефіцієнту видової чутливості</w:t>
      </w:r>
      <w:r w:rsidRPr="00BE086B">
        <w:rPr>
          <w:sz w:val="28"/>
          <w:szCs w:val="28"/>
          <w:lang w:val="uk-UA"/>
        </w:rPr>
        <w:t xml:space="preserve"> </w:t>
      </w:r>
      <w:r w:rsidRPr="00BE086B">
        <w:rPr>
          <w:iCs/>
          <w:sz w:val="28"/>
          <w:szCs w:val="28"/>
        </w:rPr>
        <w:t>[</w:t>
      </w:r>
      <w:r w:rsidRPr="00BE086B">
        <w:rPr>
          <w:iCs/>
          <w:sz w:val="28"/>
          <w:szCs w:val="28"/>
          <w:lang w:val="uk-UA"/>
        </w:rPr>
        <w:t xml:space="preserve">427, </w:t>
      </w:r>
      <w:r w:rsidRPr="00BE086B">
        <w:rPr>
          <w:iCs/>
          <w:sz w:val="28"/>
          <w:szCs w:val="28"/>
        </w:rPr>
        <w:t>432]</w:t>
      </w:r>
      <w:r w:rsidRPr="00BE086B">
        <w:rPr>
          <w:sz w:val="28"/>
          <w:szCs w:val="28"/>
        </w:rPr>
        <w:t>.</w:t>
      </w:r>
    </w:p>
    <w:p w:rsidR="00E05E44" w:rsidRPr="00BE086B" w:rsidRDefault="00E05E44" w:rsidP="00E05E44">
      <w:pPr>
        <w:pStyle w:val="WW-"/>
        <w:spacing w:after="0" w:line="360" w:lineRule="auto"/>
        <w:ind w:firstLine="720"/>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 xml:space="preserve">Шляхом випадкової вибірки щури розділені на експериментальні групи по 10 тварин, яким </w:t>
      </w:r>
      <w:r w:rsidRPr="00BE086B">
        <w:rPr>
          <w:rStyle w:val="translation-chunk"/>
          <w:rFonts w:ascii="Times New Roman" w:hAnsi="Times New Roman" w:cs="Times New Roman"/>
          <w:color w:val="auto"/>
          <w:sz w:val="28"/>
          <w:szCs w:val="28"/>
        </w:rPr>
        <w:t>внутрішньошлунково</w:t>
      </w:r>
      <w:r w:rsidRPr="00BE086B">
        <w:rPr>
          <w:rFonts w:ascii="Times New Roman" w:hAnsi="Times New Roman" w:cs="Times New Roman"/>
          <w:color w:val="auto"/>
          <w:sz w:val="28"/>
          <w:szCs w:val="28"/>
        </w:rPr>
        <w:t xml:space="preserve"> протягом 5 діб </w:t>
      </w:r>
      <w:r w:rsidRPr="00BE086B">
        <w:rPr>
          <w:rStyle w:val="translation-chunk"/>
          <w:rFonts w:ascii="Times New Roman" w:hAnsi="Times New Roman" w:cs="Times New Roman"/>
          <w:color w:val="auto"/>
          <w:sz w:val="28"/>
          <w:szCs w:val="28"/>
        </w:rPr>
        <w:t>вводили досліджувані лікарські препарати у нижче зазначених дозах</w:t>
      </w:r>
      <w:r w:rsidRPr="00BE086B">
        <w:rPr>
          <w:rFonts w:ascii="Times New Roman" w:hAnsi="Times New Roman" w:cs="Times New Roman"/>
          <w:color w:val="auto"/>
          <w:sz w:val="28"/>
          <w:szCs w:val="28"/>
        </w:rPr>
        <w:t>: група – пасивний контроль (інтактні щури); І група ОА+ГІТ («без лікування»); II група – диклофенак натрію (10; 12 мг/кг); ІІІ група – ібупрофен (5; 7 мг/кг); ІV група — мелоксикам (10; 12 мг/кг); V група – німесулід (80; 100 мг/кг); VІ група – целекоксиб (50; 60 мг/кг); VІІ група – парацетамол (150; 300 мг/кг)</w:t>
      </w:r>
      <w:r w:rsidRPr="00BE086B">
        <w:rPr>
          <w:rFonts w:ascii="Times New Roman" w:hAnsi="Times New Roman" w:cs="Times New Roman"/>
          <w:color w:val="auto"/>
          <w:sz w:val="28"/>
          <w:szCs w:val="28"/>
          <w:lang w:val="uk-UA"/>
        </w:rPr>
        <w:t xml:space="preserve"> </w:t>
      </w:r>
      <w:r w:rsidRPr="00BE086B">
        <w:rPr>
          <w:rFonts w:ascii="Times New Roman" w:hAnsi="Times New Roman" w:cs="Times New Roman"/>
          <w:iCs/>
          <w:color w:val="auto"/>
          <w:sz w:val="28"/>
          <w:szCs w:val="28"/>
        </w:rPr>
        <w:t>[433, 434, 436-438]</w:t>
      </w:r>
      <w:r w:rsidRPr="00BE086B">
        <w:rPr>
          <w:rFonts w:ascii="Times New Roman" w:hAnsi="Times New Roman" w:cs="Times New Roman"/>
          <w:color w:val="auto"/>
          <w:sz w:val="28"/>
          <w:szCs w:val="28"/>
        </w:rPr>
        <w:t>.</w:t>
      </w:r>
    </w:p>
    <w:p w:rsidR="00E05E44" w:rsidRPr="00BE086B" w:rsidRDefault="00E05E44" w:rsidP="00E05E44">
      <w:pPr>
        <w:pStyle w:val="western"/>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Отримані результати представлені в таблиці 6.1 та 6.2. Як видно з табл. 6.1, на 47 добу експерименту у всіх групах піддослідних тварин сформувалась недостатність функції щитоподібної залози [456, 457]. Так, у І групі (щури з ОА + ГІТ) спостерігалось зниження Т4 у 2,69 рази (</w:t>
      </w:r>
      <w:r w:rsidRPr="00BE086B">
        <w:rPr>
          <w:rFonts w:ascii="Times New Roman" w:hAnsi="Times New Roman" w:cs="Times New Roman"/>
          <w:iCs/>
          <w:color w:val="auto"/>
          <w:sz w:val="28"/>
          <w:szCs w:val="28"/>
          <w:lang w:val="uk-UA"/>
        </w:rPr>
        <w:t xml:space="preserve">р </w:t>
      </w:r>
      <w:r w:rsidRPr="00BE086B">
        <w:rPr>
          <w:rFonts w:ascii="Times New Roman" w:hAnsi="Times New Roman" w:cs="Times New Roman"/>
          <w:iCs/>
          <w:color w:val="auto"/>
          <w:sz w:val="28"/>
          <w:szCs w:val="28"/>
        </w:rPr>
        <w:t>&lt;</w:t>
      </w:r>
      <w:r w:rsidRPr="00BE086B">
        <w:rPr>
          <w:rFonts w:ascii="Times New Roman" w:hAnsi="Times New Roman" w:cs="Times New Roman"/>
          <w:iCs/>
          <w:color w:val="auto"/>
          <w:sz w:val="28"/>
          <w:szCs w:val="28"/>
          <w:lang w:val="uk-UA"/>
        </w:rPr>
        <w:t xml:space="preserve"> 0,05) </w:t>
      </w:r>
      <w:r w:rsidRPr="00BE086B">
        <w:rPr>
          <w:rFonts w:ascii="Times New Roman" w:hAnsi="Times New Roman" w:cs="Times New Roman"/>
          <w:color w:val="auto"/>
          <w:sz w:val="28"/>
          <w:szCs w:val="28"/>
          <w:lang w:val="uk-UA"/>
        </w:rPr>
        <w:t xml:space="preserve">та підвищення </w:t>
      </w:r>
      <w:r w:rsidRPr="00BE086B">
        <w:rPr>
          <w:rFonts w:ascii="Times New Roman" w:hAnsi="Times New Roman" w:cs="Times New Roman"/>
          <w:color w:val="auto"/>
          <w:sz w:val="28"/>
          <w:szCs w:val="28"/>
          <w:lang w:val="uk-UA"/>
        </w:rPr>
        <w:lastRenderedPageBreak/>
        <w:t xml:space="preserve">рівня ТТГ у 5,25 рази </w:t>
      </w:r>
      <w:r w:rsidRPr="00BE086B">
        <w:rPr>
          <w:rFonts w:ascii="Times New Roman" w:hAnsi="Times New Roman" w:cs="Times New Roman"/>
          <w:iCs/>
          <w:color w:val="auto"/>
          <w:sz w:val="28"/>
          <w:szCs w:val="28"/>
          <w:lang w:val="uk-UA"/>
        </w:rPr>
        <w:t xml:space="preserve">(р </w:t>
      </w:r>
      <w:r w:rsidRPr="00BE086B">
        <w:rPr>
          <w:rFonts w:ascii="Times New Roman" w:hAnsi="Times New Roman" w:cs="Times New Roman"/>
          <w:iCs/>
          <w:color w:val="auto"/>
          <w:sz w:val="28"/>
          <w:szCs w:val="28"/>
        </w:rPr>
        <w:t>&lt;</w:t>
      </w:r>
      <w:r w:rsidRPr="00BE086B">
        <w:rPr>
          <w:rFonts w:ascii="Times New Roman" w:hAnsi="Times New Roman" w:cs="Times New Roman"/>
          <w:iCs/>
          <w:color w:val="auto"/>
          <w:sz w:val="28"/>
          <w:szCs w:val="28"/>
          <w:lang w:val="uk-UA"/>
        </w:rPr>
        <w:t xml:space="preserve"> 0,05)</w:t>
      </w:r>
      <w:r w:rsidRPr="00BE086B">
        <w:rPr>
          <w:rFonts w:ascii="Times New Roman" w:hAnsi="Times New Roman" w:cs="Times New Roman"/>
          <w:color w:val="auto"/>
          <w:sz w:val="28"/>
          <w:szCs w:val="28"/>
          <w:lang w:val="uk-UA"/>
        </w:rPr>
        <w:t>, порівняно з інтактними щурами на 42 добу (завершення формування експериментальних моделей)</w:t>
      </w:r>
      <w:r w:rsidRPr="00BE086B">
        <w:rPr>
          <w:rFonts w:ascii="Times New Roman" w:hAnsi="Times New Roman" w:cs="Times New Roman"/>
          <w:iCs/>
          <w:color w:val="auto"/>
          <w:sz w:val="28"/>
          <w:szCs w:val="28"/>
          <w:lang w:val="uk-UA"/>
        </w:rPr>
        <w:t xml:space="preserve">. </w:t>
      </w:r>
      <w:r w:rsidRPr="00BE086B">
        <w:rPr>
          <w:rFonts w:ascii="Times New Roman" w:hAnsi="Times New Roman" w:cs="Times New Roman"/>
          <w:color w:val="auto"/>
          <w:sz w:val="28"/>
          <w:szCs w:val="28"/>
          <w:lang w:val="uk-UA"/>
        </w:rPr>
        <w:t>Цей стан зберігається без достовірних відмінностей і на 47 добу експерименту, що свідчить про адекватність виконаної моделі експериментального гіпотиреозу [456, 457].</w:t>
      </w:r>
      <w:r w:rsidR="00335630"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Подібні значення вихідних рівнів гормонів щитоподібної залози були зареєстровані у всіх експериментальних групах щурів. В подальшому кожній дослідній групі одноразово внутрішньошлунково вводили відповідний знеболюючий препарат протягом 5 діб (табл. 6.1) [453, 454].</w:t>
      </w:r>
    </w:p>
    <w:p w:rsidR="00E05E44" w:rsidRPr="00BE086B" w:rsidRDefault="00E05E44" w:rsidP="00E05E44">
      <w:pPr>
        <w:pStyle w:val="WW-"/>
        <w:spacing w:after="0" w:line="360" w:lineRule="auto"/>
        <w:ind w:firstLine="709"/>
        <w:jc w:val="right"/>
        <w:rPr>
          <w:rFonts w:ascii="Times New Roman" w:hAnsi="Times New Roman" w:cs="Times New Roman"/>
          <w:color w:val="auto"/>
          <w:sz w:val="28"/>
          <w:szCs w:val="28"/>
          <w:lang w:val="uk-UA"/>
        </w:rPr>
      </w:pPr>
      <w:r w:rsidRPr="00BE086B">
        <w:rPr>
          <w:rFonts w:ascii="Times New Roman" w:hAnsi="Times New Roman" w:cs="Times New Roman"/>
          <w:i/>
          <w:color w:val="auto"/>
          <w:sz w:val="28"/>
          <w:szCs w:val="28"/>
          <w:lang w:val="uk-UA"/>
        </w:rPr>
        <w:t>Таблиця 6.1</w:t>
      </w:r>
    </w:p>
    <w:p w:rsidR="00E05E44" w:rsidRPr="00BE086B" w:rsidRDefault="00E05E44" w:rsidP="00E05E44">
      <w:pPr>
        <w:pStyle w:val="af3"/>
        <w:spacing w:before="0" w:after="0" w:line="360" w:lineRule="auto"/>
        <w:jc w:val="center"/>
        <w:rPr>
          <w:sz w:val="28"/>
          <w:szCs w:val="28"/>
          <w:lang w:val="uk-UA"/>
        </w:rPr>
      </w:pPr>
      <w:r w:rsidRPr="00BE086B">
        <w:rPr>
          <w:b/>
          <w:sz w:val="28"/>
          <w:szCs w:val="28"/>
          <w:lang w:val="uk-UA"/>
        </w:rPr>
        <w:t>Середні рівні Т3, Т4 та ТТГ сироватки крові щурів на фоні внутрішньошлункового введення середньо ефективних доз препаратів за умов коморбідної патології</w:t>
      </w:r>
      <w:r w:rsidRPr="00BE086B">
        <w:rPr>
          <w:b/>
          <w:bCs/>
          <w:sz w:val="28"/>
          <w:szCs w:val="28"/>
          <w:lang w:val="uk-UA"/>
        </w:rPr>
        <w:t xml:space="preserve"> (М±</w:t>
      </w:r>
      <w:r w:rsidRPr="00BE086B">
        <w:rPr>
          <w:b/>
          <w:bCs/>
          <w:sz w:val="28"/>
          <w:szCs w:val="28"/>
          <w:lang w:val="en-US"/>
        </w:rPr>
        <w:t>SD</w:t>
      </w:r>
      <w:r w:rsidRPr="00BE086B">
        <w:rPr>
          <w:b/>
          <w:bCs/>
          <w:sz w:val="28"/>
          <w:szCs w:val="28"/>
          <w:lang w:val="uk-UA"/>
        </w:rPr>
        <w:t>)</w:t>
      </w:r>
    </w:p>
    <w:tbl>
      <w:tblPr>
        <w:tblW w:w="9418" w:type="dxa"/>
        <w:tblInd w:w="108" w:type="dxa"/>
        <w:tblLayout w:type="fixed"/>
        <w:tblCellMar>
          <w:left w:w="28" w:type="dxa"/>
          <w:right w:w="28" w:type="dxa"/>
        </w:tblCellMar>
        <w:tblLook w:val="0000" w:firstRow="0" w:lastRow="0" w:firstColumn="0" w:lastColumn="0" w:noHBand="0" w:noVBand="0"/>
      </w:tblPr>
      <w:tblGrid>
        <w:gridCol w:w="3889"/>
        <w:gridCol w:w="993"/>
        <w:gridCol w:w="850"/>
        <w:gridCol w:w="851"/>
        <w:gridCol w:w="992"/>
        <w:gridCol w:w="850"/>
        <w:gridCol w:w="993"/>
      </w:tblGrid>
      <w:tr w:rsidR="00E05E44" w:rsidRPr="00BE086B" w:rsidTr="00CB7B83">
        <w:tc>
          <w:tcPr>
            <w:tcW w:w="3889" w:type="dxa"/>
            <w:vMerge w:val="restart"/>
            <w:tcBorders>
              <w:top w:val="single" w:sz="4" w:space="0" w:color="000000"/>
              <w:left w:val="single" w:sz="4" w:space="0" w:color="000000"/>
            </w:tcBorders>
            <w:shd w:val="clear" w:color="auto" w:fill="auto"/>
            <w:vAlign w:val="center"/>
          </w:tcPr>
          <w:p w:rsidR="00E05E44" w:rsidRPr="00BE086B" w:rsidRDefault="00E05E44" w:rsidP="002D350C">
            <w:pPr>
              <w:pStyle w:val="af3"/>
              <w:spacing w:before="0" w:after="0"/>
              <w:jc w:val="center"/>
              <w:rPr>
                <w:sz w:val="28"/>
                <w:szCs w:val="28"/>
                <w:lang w:val="uk-UA"/>
              </w:rPr>
            </w:pPr>
            <w:r w:rsidRPr="00BE086B">
              <w:rPr>
                <w:b/>
                <w:sz w:val="28"/>
                <w:szCs w:val="28"/>
                <w:lang w:val="uk-UA"/>
              </w:rPr>
              <w:t>Група, препарат</w:t>
            </w:r>
          </w:p>
          <w:p w:rsidR="00E05E44" w:rsidRPr="00BE086B" w:rsidRDefault="00E05E44" w:rsidP="002D350C">
            <w:pPr>
              <w:pStyle w:val="af3"/>
              <w:spacing w:before="0" w:after="0"/>
              <w:jc w:val="center"/>
              <w:rPr>
                <w:sz w:val="28"/>
                <w:szCs w:val="28"/>
                <w:lang w:val="uk-UA"/>
              </w:rPr>
            </w:pPr>
            <w:r w:rsidRPr="00BE086B">
              <w:rPr>
                <w:b/>
                <w:sz w:val="28"/>
                <w:szCs w:val="28"/>
                <w:lang w:val="uk-UA"/>
              </w:rPr>
              <w:t>та його доза</w:t>
            </w:r>
          </w:p>
        </w:tc>
        <w:tc>
          <w:tcPr>
            <w:tcW w:w="2694" w:type="dxa"/>
            <w:gridSpan w:val="3"/>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pacing w:before="0" w:after="0"/>
              <w:jc w:val="center"/>
              <w:rPr>
                <w:b/>
                <w:sz w:val="28"/>
                <w:szCs w:val="28"/>
                <w:lang w:val="uk-UA"/>
              </w:rPr>
            </w:pPr>
            <w:r w:rsidRPr="00BE086B">
              <w:rPr>
                <w:b/>
                <w:sz w:val="28"/>
                <w:szCs w:val="28"/>
                <w:lang w:val="uk-UA"/>
              </w:rPr>
              <w:t>Вихідний стан (ВС)</w:t>
            </w:r>
          </w:p>
          <w:p w:rsidR="00E05E44" w:rsidRPr="00BE086B" w:rsidRDefault="00E05E44" w:rsidP="002D350C">
            <w:pPr>
              <w:pStyle w:val="af3"/>
              <w:spacing w:before="0" w:after="0"/>
              <w:jc w:val="center"/>
              <w:rPr>
                <w:sz w:val="28"/>
                <w:szCs w:val="28"/>
                <w:lang w:val="uk-UA"/>
              </w:rPr>
            </w:pPr>
            <w:r w:rsidRPr="00BE086B">
              <w:rPr>
                <w:b/>
                <w:sz w:val="28"/>
                <w:szCs w:val="28"/>
                <w:lang w:val="uk-UA"/>
              </w:rPr>
              <w:t>(42 доба)</w:t>
            </w:r>
          </w:p>
        </w:tc>
        <w:tc>
          <w:tcPr>
            <w:tcW w:w="283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E05E44" w:rsidRPr="00BE086B" w:rsidRDefault="00E05E44" w:rsidP="002D350C">
            <w:pPr>
              <w:pStyle w:val="af3"/>
              <w:spacing w:before="0" w:after="0"/>
              <w:jc w:val="center"/>
              <w:rPr>
                <w:sz w:val="28"/>
                <w:szCs w:val="28"/>
                <w:lang w:val="uk-UA"/>
              </w:rPr>
            </w:pPr>
            <w:r w:rsidRPr="00BE086B">
              <w:rPr>
                <w:b/>
                <w:sz w:val="28"/>
                <w:szCs w:val="28"/>
                <w:lang w:val="uk-UA"/>
              </w:rPr>
              <w:t>Рівень гормонів ЩЗ на 47 добу (через 5 діб після введення ЛЗ)</w:t>
            </w:r>
          </w:p>
        </w:tc>
      </w:tr>
      <w:tr w:rsidR="00E05E44" w:rsidRPr="00BE086B" w:rsidTr="00CB7B83">
        <w:tc>
          <w:tcPr>
            <w:tcW w:w="3889" w:type="dxa"/>
            <w:vMerge/>
            <w:tcBorders>
              <w:top w:val="single" w:sz="4" w:space="0" w:color="000000"/>
              <w:left w:val="single" w:sz="4" w:space="0" w:color="000000"/>
            </w:tcBorders>
            <w:shd w:val="clear" w:color="auto" w:fill="auto"/>
            <w:vAlign w:val="center"/>
          </w:tcPr>
          <w:p w:rsidR="00E05E44" w:rsidRPr="00BE086B" w:rsidRDefault="00E05E44" w:rsidP="002D350C">
            <w:pPr>
              <w:pStyle w:val="af3"/>
              <w:snapToGrid w:val="0"/>
              <w:spacing w:before="0" w:after="0"/>
              <w:jc w:val="center"/>
              <w:rPr>
                <w:i/>
                <w:iCs/>
                <w:sz w:val="28"/>
                <w:szCs w:val="28"/>
                <w:lang w:val="uk-UA"/>
              </w:rPr>
            </w:pPr>
          </w:p>
        </w:tc>
        <w:tc>
          <w:tcPr>
            <w:tcW w:w="993"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pacing w:before="0" w:after="0"/>
              <w:jc w:val="center"/>
              <w:rPr>
                <w:sz w:val="28"/>
                <w:szCs w:val="28"/>
                <w:lang w:val="uk-UA"/>
              </w:rPr>
            </w:pPr>
            <w:r w:rsidRPr="00BE086B">
              <w:rPr>
                <w:b/>
                <w:sz w:val="28"/>
                <w:szCs w:val="28"/>
                <w:lang w:val="uk-UA"/>
              </w:rPr>
              <w:t>ТТГ, нг/мл</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pacing w:before="0" w:after="0"/>
              <w:jc w:val="center"/>
              <w:rPr>
                <w:sz w:val="28"/>
                <w:szCs w:val="28"/>
                <w:lang w:val="uk-UA"/>
              </w:rPr>
            </w:pPr>
            <w:r w:rsidRPr="00BE086B">
              <w:rPr>
                <w:b/>
                <w:sz w:val="28"/>
                <w:szCs w:val="28"/>
                <w:lang w:val="uk-UA"/>
              </w:rPr>
              <w:t>Т3, пг/мл</w:t>
            </w:r>
          </w:p>
        </w:tc>
        <w:tc>
          <w:tcPr>
            <w:tcW w:w="851"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pacing w:before="0" w:after="0"/>
              <w:jc w:val="center"/>
              <w:rPr>
                <w:sz w:val="28"/>
                <w:szCs w:val="28"/>
                <w:lang w:val="uk-UA"/>
              </w:rPr>
            </w:pPr>
            <w:r w:rsidRPr="00BE086B">
              <w:rPr>
                <w:b/>
                <w:sz w:val="28"/>
                <w:szCs w:val="28"/>
                <w:lang w:val="uk-UA"/>
              </w:rPr>
              <w:t>Т4,</w:t>
            </w:r>
          </w:p>
          <w:p w:rsidR="00E05E44" w:rsidRPr="00BE086B" w:rsidRDefault="00E05E44" w:rsidP="002D350C">
            <w:pPr>
              <w:pStyle w:val="af3"/>
              <w:spacing w:before="0" w:after="0"/>
              <w:jc w:val="center"/>
              <w:rPr>
                <w:sz w:val="28"/>
                <w:szCs w:val="28"/>
                <w:lang w:val="uk-UA"/>
              </w:rPr>
            </w:pPr>
            <w:r w:rsidRPr="00BE086B">
              <w:rPr>
                <w:b/>
                <w:sz w:val="28"/>
                <w:szCs w:val="28"/>
                <w:lang w:val="uk-UA"/>
              </w:rPr>
              <w:t>пг/мл</w:t>
            </w:r>
          </w:p>
        </w:tc>
        <w:tc>
          <w:tcPr>
            <w:tcW w:w="992"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pacing w:before="0" w:after="0"/>
              <w:jc w:val="center"/>
              <w:rPr>
                <w:sz w:val="28"/>
                <w:szCs w:val="28"/>
                <w:lang w:val="uk-UA"/>
              </w:rPr>
            </w:pPr>
            <w:r w:rsidRPr="00BE086B">
              <w:rPr>
                <w:b/>
                <w:sz w:val="28"/>
                <w:szCs w:val="28"/>
                <w:lang w:val="uk-UA"/>
              </w:rPr>
              <w:t>ТТГ, нг/мл</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pacing w:before="0" w:after="0"/>
              <w:jc w:val="center"/>
              <w:rPr>
                <w:sz w:val="28"/>
                <w:szCs w:val="28"/>
                <w:lang w:val="uk-UA"/>
              </w:rPr>
            </w:pPr>
            <w:r w:rsidRPr="00BE086B">
              <w:rPr>
                <w:b/>
                <w:sz w:val="28"/>
                <w:szCs w:val="28"/>
                <w:lang w:val="uk-UA"/>
              </w:rPr>
              <w:t>Т3, пг/мл</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5E44" w:rsidRPr="00BE086B" w:rsidRDefault="00E05E44" w:rsidP="002D350C">
            <w:pPr>
              <w:pStyle w:val="af3"/>
              <w:spacing w:before="0" w:after="0"/>
              <w:jc w:val="center"/>
              <w:rPr>
                <w:sz w:val="28"/>
                <w:szCs w:val="28"/>
                <w:lang w:val="uk-UA"/>
              </w:rPr>
            </w:pPr>
            <w:r w:rsidRPr="00BE086B">
              <w:rPr>
                <w:b/>
                <w:sz w:val="28"/>
                <w:szCs w:val="28"/>
                <w:lang w:val="uk-UA"/>
              </w:rPr>
              <w:t>Т4, пг/мл</w:t>
            </w:r>
          </w:p>
        </w:tc>
      </w:tr>
      <w:tr w:rsidR="002D350C" w:rsidRPr="00BE086B" w:rsidTr="00CB7B83">
        <w:tc>
          <w:tcPr>
            <w:tcW w:w="3889" w:type="dxa"/>
            <w:tcBorders>
              <w:top w:val="single" w:sz="4" w:space="0" w:color="000000"/>
              <w:left w:val="single" w:sz="4" w:space="0" w:color="000000"/>
              <w:bottom w:val="single" w:sz="4" w:space="0" w:color="000000"/>
            </w:tcBorders>
            <w:shd w:val="clear" w:color="auto" w:fill="auto"/>
            <w:vAlign w:val="center"/>
          </w:tcPr>
          <w:p w:rsidR="002D350C" w:rsidRPr="00BE086B" w:rsidRDefault="002D350C" w:rsidP="002D350C">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993" w:type="dxa"/>
            <w:tcBorders>
              <w:top w:val="single" w:sz="4" w:space="0" w:color="000000"/>
              <w:left w:val="single" w:sz="4" w:space="0" w:color="000000"/>
              <w:bottom w:val="single" w:sz="4" w:space="0" w:color="000000"/>
            </w:tcBorders>
            <w:shd w:val="clear" w:color="auto" w:fill="auto"/>
            <w:vAlign w:val="center"/>
          </w:tcPr>
          <w:p w:rsidR="002D350C" w:rsidRPr="00BE086B" w:rsidRDefault="002D350C" w:rsidP="002D350C">
            <w:pPr>
              <w:pStyle w:val="af3"/>
              <w:snapToGrid w:val="0"/>
              <w:spacing w:before="0" w:after="0"/>
              <w:jc w:val="center"/>
              <w:rPr>
                <w:sz w:val="28"/>
                <w:szCs w:val="28"/>
                <w:lang w:val="uk-UA"/>
              </w:rPr>
            </w:pPr>
            <w:r w:rsidRPr="00BE086B">
              <w:rPr>
                <w:sz w:val="28"/>
                <w:szCs w:val="28"/>
                <w:lang w:val="uk-UA"/>
              </w:rPr>
              <w:t>2</w:t>
            </w:r>
          </w:p>
        </w:tc>
        <w:tc>
          <w:tcPr>
            <w:tcW w:w="850" w:type="dxa"/>
            <w:tcBorders>
              <w:top w:val="single" w:sz="4" w:space="0" w:color="000000"/>
              <w:left w:val="single" w:sz="4" w:space="0" w:color="000000"/>
              <w:bottom w:val="single" w:sz="4" w:space="0" w:color="000000"/>
            </w:tcBorders>
            <w:shd w:val="clear" w:color="auto" w:fill="auto"/>
            <w:vAlign w:val="center"/>
          </w:tcPr>
          <w:p w:rsidR="002D350C" w:rsidRPr="00BE086B" w:rsidRDefault="002D350C" w:rsidP="002D350C">
            <w:pPr>
              <w:pStyle w:val="af3"/>
              <w:snapToGrid w:val="0"/>
              <w:spacing w:before="0" w:after="0"/>
              <w:jc w:val="center"/>
              <w:rPr>
                <w:sz w:val="28"/>
                <w:szCs w:val="28"/>
                <w:lang w:val="uk-UA"/>
              </w:rPr>
            </w:pPr>
            <w:r w:rsidRPr="00BE086B">
              <w:rPr>
                <w:sz w:val="28"/>
                <w:szCs w:val="28"/>
                <w:lang w:val="uk-UA"/>
              </w:rPr>
              <w:t>3</w:t>
            </w:r>
          </w:p>
        </w:tc>
        <w:tc>
          <w:tcPr>
            <w:tcW w:w="851" w:type="dxa"/>
            <w:tcBorders>
              <w:top w:val="single" w:sz="4" w:space="0" w:color="000000"/>
              <w:left w:val="single" w:sz="4" w:space="0" w:color="000000"/>
              <w:bottom w:val="single" w:sz="4" w:space="0" w:color="000000"/>
            </w:tcBorders>
            <w:shd w:val="clear" w:color="auto" w:fill="auto"/>
            <w:vAlign w:val="center"/>
          </w:tcPr>
          <w:p w:rsidR="002D350C" w:rsidRPr="00BE086B" w:rsidRDefault="002D350C" w:rsidP="002D350C">
            <w:pPr>
              <w:pStyle w:val="af3"/>
              <w:snapToGrid w:val="0"/>
              <w:spacing w:before="0" w:after="0"/>
              <w:jc w:val="center"/>
              <w:rPr>
                <w:sz w:val="28"/>
                <w:szCs w:val="28"/>
                <w:lang w:val="uk-UA"/>
              </w:rPr>
            </w:pPr>
            <w:r w:rsidRPr="00BE086B">
              <w:rPr>
                <w:sz w:val="28"/>
                <w:szCs w:val="28"/>
                <w:lang w:val="uk-UA"/>
              </w:rPr>
              <w:t>4</w:t>
            </w:r>
          </w:p>
        </w:tc>
        <w:tc>
          <w:tcPr>
            <w:tcW w:w="992" w:type="dxa"/>
            <w:tcBorders>
              <w:top w:val="single" w:sz="4" w:space="0" w:color="000000"/>
              <w:left w:val="single" w:sz="4" w:space="0" w:color="000000"/>
              <w:bottom w:val="single" w:sz="4" w:space="0" w:color="000000"/>
            </w:tcBorders>
            <w:shd w:val="clear" w:color="auto" w:fill="auto"/>
            <w:vAlign w:val="center"/>
          </w:tcPr>
          <w:p w:rsidR="002D350C" w:rsidRPr="00BE086B" w:rsidRDefault="002D350C" w:rsidP="002D350C">
            <w:pPr>
              <w:pStyle w:val="af3"/>
              <w:snapToGrid w:val="0"/>
              <w:spacing w:before="0" w:after="0"/>
              <w:jc w:val="center"/>
              <w:rPr>
                <w:sz w:val="28"/>
                <w:szCs w:val="28"/>
                <w:lang w:val="uk-UA"/>
              </w:rPr>
            </w:pPr>
            <w:r w:rsidRPr="00BE086B">
              <w:rPr>
                <w:sz w:val="28"/>
                <w:szCs w:val="28"/>
                <w:lang w:val="uk-UA"/>
              </w:rPr>
              <w:t>5</w:t>
            </w:r>
          </w:p>
        </w:tc>
        <w:tc>
          <w:tcPr>
            <w:tcW w:w="850" w:type="dxa"/>
            <w:tcBorders>
              <w:top w:val="single" w:sz="4" w:space="0" w:color="000000"/>
              <w:left w:val="single" w:sz="4" w:space="0" w:color="000000"/>
              <w:bottom w:val="single" w:sz="4" w:space="0" w:color="000000"/>
            </w:tcBorders>
            <w:shd w:val="clear" w:color="auto" w:fill="auto"/>
            <w:vAlign w:val="center"/>
          </w:tcPr>
          <w:p w:rsidR="002D350C" w:rsidRPr="00BE086B" w:rsidRDefault="002D350C" w:rsidP="002D350C">
            <w:pPr>
              <w:pStyle w:val="af3"/>
              <w:snapToGrid w:val="0"/>
              <w:spacing w:before="0" w:after="0"/>
              <w:jc w:val="center"/>
              <w:rPr>
                <w:sz w:val="28"/>
                <w:szCs w:val="28"/>
                <w:lang w:val="uk-UA"/>
              </w:rPr>
            </w:pPr>
            <w:r w:rsidRPr="00BE086B">
              <w:rPr>
                <w:sz w:val="28"/>
                <w:szCs w:val="28"/>
                <w:lang w:val="uk-UA"/>
              </w:rPr>
              <w:t>6</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D350C" w:rsidRPr="00BE086B" w:rsidRDefault="002D350C" w:rsidP="002D350C">
            <w:pPr>
              <w:pStyle w:val="af3"/>
              <w:snapToGrid w:val="0"/>
              <w:spacing w:before="0" w:after="0"/>
              <w:jc w:val="center"/>
              <w:rPr>
                <w:sz w:val="28"/>
                <w:szCs w:val="28"/>
                <w:lang w:val="uk-UA"/>
              </w:rPr>
            </w:pPr>
            <w:r w:rsidRPr="00BE086B">
              <w:rPr>
                <w:sz w:val="28"/>
                <w:szCs w:val="28"/>
                <w:lang w:val="uk-UA"/>
              </w:rPr>
              <w:t>7</w:t>
            </w:r>
          </w:p>
        </w:tc>
      </w:tr>
      <w:tr w:rsidR="00E05E44" w:rsidRPr="00BE086B" w:rsidTr="00CB7B83">
        <w:tc>
          <w:tcPr>
            <w:tcW w:w="3889"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E05E44" w:rsidRPr="00BE086B" w:rsidRDefault="00E05E44" w:rsidP="002D350C">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993"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12,34</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±3,77</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28,1</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±3,54</w:t>
            </w:r>
          </w:p>
        </w:tc>
        <w:tc>
          <w:tcPr>
            <w:tcW w:w="851"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23,4</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±2,97</w:t>
            </w:r>
          </w:p>
        </w:tc>
        <w:tc>
          <w:tcPr>
            <w:tcW w:w="992"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11,7</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±3,56</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26,7</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±3,67</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23,7</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±3,73</w:t>
            </w:r>
          </w:p>
        </w:tc>
      </w:tr>
      <w:tr w:rsidR="00E05E44" w:rsidRPr="00BE086B" w:rsidTr="00CB7B83">
        <w:tc>
          <w:tcPr>
            <w:tcW w:w="3889" w:type="dxa"/>
            <w:tcBorders>
              <w:left w:val="single" w:sz="4" w:space="0" w:color="000000"/>
              <w:bottom w:val="single" w:sz="4" w:space="0" w:color="000000"/>
            </w:tcBorders>
            <w:shd w:val="clear" w:color="auto" w:fill="auto"/>
            <w:vAlign w:val="center"/>
          </w:tcPr>
          <w:p w:rsidR="00E05E44" w:rsidRPr="00BE086B" w:rsidRDefault="00E05E44" w:rsidP="002D350C">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rPr>
              <w:t xml:space="preserve">І група ОА+ГІТ </w:t>
            </w:r>
            <w:r w:rsidRPr="00BE086B">
              <w:rPr>
                <w:rFonts w:ascii="Times New Roman" w:hAnsi="Times New Roman" w:cs="Times New Roman"/>
                <w:color w:val="auto"/>
                <w:sz w:val="28"/>
                <w:szCs w:val="28"/>
                <w:lang w:val="uk-UA"/>
              </w:rPr>
              <w:t>(без «лікування») (n=10)</w:t>
            </w:r>
          </w:p>
        </w:tc>
        <w:tc>
          <w:tcPr>
            <w:tcW w:w="993" w:type="dxa"/>
            <w:tcBorders>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64,8*</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±13,59</w:t>
            </w:r>
          </w:p>
        </w:tc>
        <w:tc>
          <w:tcPr>
            <w:tcW w:w="850" w:type="dxa"/>
            <w:tcBorders>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27,1</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±3,29</w:t>
            </w:r>
          </w:p>
        </w:tc>
        <w:tc>
          <w:tcPr>
            <w:tcW w:w="851" w:type="dxa"/>
            <w:tcBorders>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8,7*</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±3,35</w:t>
            </w:r>
          </w:p>
        </w:tc>
        <w:tc>
          <w:tcPr>
            <w:tcW w:w="992" w:type="dxa"/>
            <w:tcBorders>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65,2*</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±3,51</w:t>
            </w:r>
          </w:p>
        </w:tc>
        <w:tc>
          <w:tcPr>
            <w:tcW w:w="850" w:type="dxa"/>
            <w:tcBorders>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27,7</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±3,35</w:t>
            </w:r>
          </w:p>
        </w:tc>
        <w:tc>
          <w:tcPr>
            <w:tcW w:w="993" w:type="dxa"/>
            <w:tcBorders>
              <w:left w:val="single" w:sz="4" w:space="0" w:color="000000"/>
              <w:bottom w:val="single" w:sz="4" w:space="0" w:color="000000"/>
              <w:right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8,6*</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±2,88</w:t>
            </w:r>
          </w:p>
        </w:tc>
      </w:tr>
      <w:tr w:rsidR="00E05E44" w:rsidRPr="00BE086B" w:rsidTr="00CB7B83">
        <w:tc>
          <w:tcPr>
            <w:tcW w:w="3889"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ІІІ група </w:t>
            </w:r>
            <w:r w:rsidRPr="00BE086B">
              <w:rPr>
                <w:rFonts w:ascii="Times New Roman" w:hAnsi="Times New Roman" w:cs="Times New Roman"/>
                <w:color w:val="auto"/>
                <w:sz w:val="28"/>
                <w:szCs w:val="28"/>
              </w:rPr>
              <w:t>ОА+ГІТ</w:t>
            </w:r>
            <w:r w:rsidRPr="00BE086B">
              <w:rPr>
                <w:rFonts w:ascii="Times New Roman" w:hAnsi="Times New Roman" w:cs="Times New Roman"/>
                <w:color w:val="auto"/>
                <w:sz w:val="28"/>
                <w:szCs w:val="28"/>
                <w:lang w:val="uk-UA"/>
              </w:rPr>
              <w:t xml:space="preserve"> + диклофенак натрію (Д) 10 мг/кг (n=10)</w:t>
            </w:r>
          </w:p>
        </w:tc>
        <w:tc>
          <w:tcPr>
            <w:tcW w:w="993"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65,14</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±12,59</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28,2</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±3,83</w:t>
            </w:r>
          </w:p>
        </w:tc>
        <w:tc>
          <w:tcPr>
            <w:tcW w:w="851"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8,1</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±2,79</w:t>
            </w:r>
          </w:p>
        </w:tc>
        <w:tc>
          <w:tcPr>
            <w:tcW w:w="992"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65,3</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±3,80</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27,6</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±2,88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8,4</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±2,41</w:t>
            </w:r>
          </w:p>
        </w:tc>
      </w:tr>
      <w:tr w:rsidR="00E05E44" w:rsidRPr="00BE086B" w:rsidTr="00CB7B83">
        <w:tc>
          <w:tcPr>
            <w:tcW w:w="3889"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 група ОА+ГІТ + ібупрофен (І) 5 мг/кг (n=10)</w:t>
            </w:r>
          </w:p>
        </w:tc>
        <w:tc>
          <w:tcPr>
            <w:tcW w:w="993"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66,0</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±3,81</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27,3</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±3,80</w:t>
            </w:r>
          </w:p>
        </w:tc>
        <w:tc>
          <w:tcPr>
            <w:tcW w:w="851"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7,4</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±2,30</w:t>
            </w:r>
          </w:p>
        </w:tc>
        <w:tc>
          <w:tcPr>
            <w:tcW w:w="992"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65,0</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±3,54</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26,5</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±3,61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7,7</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±2,39</w:t>
            </w:r>
          </w:p>
        </w:tc>
      </w:tr>
      <w:tr w:rsidR="00E05E44" w:rsidRPr="00BE086B" w:rsidTr="00CB7B83">
        <w:tc>
          <w:tcPr>
            <w:tcW w:w="3889"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05C1">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 група </w:t>
            </w:r>
            <w:r w:rsidRPr="00BE086B">
              <w:rPr>
                <w:rFonts w:ascii="Times New Roman" w:hAnsi="Times New Roman" w:cs="Times New Roman"/>
                <w:color w:val="auto"/>
                <w:sz w:val="28"/>
                <w:szCs w:val="28"/>
              </w:rPr>
              <w:t>ОА+ГІТ</w:t>
            </w:r>
            <w:r w:rsidRPr="00BE086B">
              <w:rPr>
                <w:rFonts w:ascii="Times New Roman" w:hAnsi="Times New Roman" w:cs="Times New Roman"/>
                <w:color w:val="auto"/>
                <w:sz w:val="28"/>
                <w:szCs w:val="28"/>
                <w:lang w:val="uk-UA"/>
              </w:rPr>
              <w:t xml:space="preserve"> + мелоксикам (Мел)</w:t>
            </w:r>
            <w:r w:rsidR="002D05C1"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10 мг/кг (n=10)</w:t>
            </w:r>
          </w:p>
        </w:tc>
        <w:tc>
          <w:tcPr>
            <w:tcW w:w="993"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64,2</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±3,27</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26,4</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±3,97</w:t>
            </w:r>
          </w:p>
        </w:tc>
        <w:tc>
          <w:tcPr>
            <w:tcW w:w="851"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8,4</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±2,70</w:t>
            </w:r>
          </w:p>
        </w:tc>
        <w:tc>
          <w:tcPr>
            <w:tcW w:w="992"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64,5</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±3,43</w:t>
            </w:r>
          </w:p>
        </w:tc>
        <w:tc>
          <w:tcPr>
            <w:tcW w:w="850" w:type="dxa"/>
            <w:tcBorders>
              <w:top w:val="single" w:sz="4" w:space="0" w:color="000000"/>
              <w:left w:val="single" w:sz="4" w:space="0" w:color="000000"/>
              <w:bottom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28,4</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±3,36</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05E44" w:rsidRPr="00BE086B" w:rsidRDefault="00E05E44" w:rsidP="002D350C">
            <w:pPr>
              <w:pStyle w:val="af3"/>
              <w:snapToGrid w:val="0"/>
              <w:spacing w:before="0" w:after="0"/>
              <w:jc w:val="center"/>
              <w:rPr>
                <w:sz w:val="28"/>
                <w:szCs w:val="28"/>
                <w:lang w:val="uk-UA"/>
              </w:rPr>
            </w:pPr>
            <w:r w:rsidRPr="00BE086B">
              <w:rPr>
                <w:sz w:val="28"/>
                <w:szCs w:val="28"/>
                <w:lang w:val="uk-UA"/>
              </w:rPr>
              <w:t>9,1</w:t>
            </w:r>
          </w:p>
          <w:p w:rsidR="00E05E44" w:rsidRPr="00BE086B" w:rsidRDefault="00E05E44" w:rsidP="002D350C">
            <w:pPr>
              <w:pStyle w:val="af3"/>
              <w:snapToGrid w:val="0"/>
              <w:spacing w:before="0" w:after="0"/>
              <w:jc w:val="center"/>
              <w:rPr>
                <w:sz w:val="28"/>
                <w:szCs w:val="28"/>
                <w:lang w:val="uk-UA"/>
              </w:rPr>
            </w:pPr>
            <w:r w:rsidRPr="00BE086B">
              <w:rPr>
                <w:sz w:val="28"/>
                <w:szCs w:val="28"/>
                <w:lang w:val="uk-UA"/>
              </w:rPr>
              <w:t>±3,25</w:t>
            </w:r>
          </w:p>
        </w:tc>
      </w:tr>
      <w:tr w:rsidR="00335630" w:rsidRPr="00BE086B" w:rsidTr="00CB7B83">
        <w:tc>
          <w:tcPr>
            <w:tcW w:w="3889" w:type="dxa"/>
            <w:tcBorders>
              <w:top w:val="single" w:sz="4" w:space="0" w:color="000000"/>
              <w:left w:val="single" w:sz="4" w:space="0" w:color="000000"/>
              <w:bottom w:val="single" w:sz="4" w:space="0" w:color="000000"/>
            </w:tcBorders>
            <w:shd w:val="clear" w:color="auto" w:fill="auto"/>
            <w:vAlign w:val="center"/>
          </w:tcPr>
          <w:p w:rsidR="00335630" w:rsidRPr="00BE086B" w:rsidRDefault="00335630" w:rsidP="002D05C1">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ІХ група </w:t>
            </w:r>
            <w:r w:rsidRPr="00BE086B">
              <w:rPr>
                <w:rFonts w:ascii="Times New Roman" w:hAnsi="Times New Roman" w:cs="Times New Roman"/>
                <w:color w:val="auto"/>
                <w:sz w:val="28"/>
                <w:szCs w:val="28"/>
              </w:rPr>
              <w:t>ОА+ГІТ</w:t>
            </w:r>
            <w:r w:rsidRPr="00BE086B">
              <w:rPr>
                <w:rFonts w:ascii="Times New Roman" w:hAnsi="Times New Roman" w:cs="Times New Roman"/>
                <w:color w:val="auto"/>
                <w:sz w:val="28"/>
                <w:szCs w:val="28"/>
                <w:lang w:val="uk-UA"/>
              </w:rPr>
              <w:t xml:space="preserve"> + парацетамол (П)</w:t>
            </w:r>
            <w:r w:rsidR="002D05C1"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150 мг/кг (n=10)</w:t>
            </w:r>
          </w:p>
        </w:tc>
        <w:tc>
          <w:tcPr>
            <w:tcW w:w="993" w:type="dxa"/>
            <w:tcBorders>
              <w:top w:val="single" w:sz="4" w:space="0" w:color="000000"/>
              <w:left w:val="single" w:sz="4" w:space="0" w:color="000000"/>
              <w:bottom w:val="single" w:sz="4" w:space="0" w:color="000000"/>
            </w:tcBorders>
            <w:shd w:val="clear" w:color="auto" w:fill="auto"/>
            <w:vAlign w:val="center"/>
          </w:tcPr>
          <w:p w:rsidR="00335630" w:rsidRPr="00BE086B" w:rsidRDefault="00335630" w:rsidP="00335630">
            <w:pPr>
              <w:pStyle w:val="af3"/>
              <w:snapToGrid w:val="0"/>
              <w:spacing w:before="0" w:after="0"/>
              <w:jc w:val="center"/>
              <w:rPr>
                <w:sz w:val="28"/>
                <w:szCs w:val="28"/>
                <w:lang w:val="uk-UA"/>
              </w:rPr>
            </w:pPr>
            <w:r w:rsidRPr="00BE086B">
              <w:rPr>
                <w:sz w:val="28"/>
                <w:szCs w:val="28"/>
                <w:lang w:val="uk-UA"/>
              </w:rPr>
              <w:t>65,3</w:t>
            </w:r>
          </w:p>
          <w:p w:rsidR="00335630" w:rsidRPr="00BE086B" w:rsidRDefault="00335630" w:rsidP="00335630">
            <w:pPr>
              <w:pStyle w:val="af3"/>
              <w:snapToGrid w:val="0"/>
              <w:spacing w:before="0" w:after="0"/>
              <w:jc w:val="center"/>
              <w:rPr>
                <w:sz w:val="28"/>
                <w:szCs w:val="28"/>
                <w:lang w:val="uk-UA"/>
              </w:rPr>
            </w:pPr>
            <w:r w:rsidRPr="00BE086B">
              <w:rPr>
                <w:sz w:val="28"/>
                <w:szCs w:val="28"/>
                <w:lang w:val="uk-UA"/>
              </w:rPr>
              <w:t>±3,38</w:t>
            </w:r>
          </w:p>
        </w:tc>
        <w:tc>
          <w:tcPr>
            <w:tcW w:w="850" w:type="dxa"/>
            <w:tcBorders>
              <w:top w:val="single" w:sz="4" w:space="0" w:color="000000"/>
              <w:left w:val="single" w:sz="4" w:space="0" w:color="000000"/>
              <w:bottom w:val="single" w:sz="4" w:space="0" w:color="000000"/>
            </w:tcBorders>
            <w:shd w:val="clear" w:color="auto" w:fill="auto"/>
            <w:vAlign w:val="center"/>
          </w:tcPr>
          <w:p w:rsidR="00335630" w:rsidRPr="00BE086B" w:rsidRDefault="00335630" w:rsidP="00335630">
            <w:pPr>
              <w:pStyle w:val="af3"/>
              <w:snapToGrid w:val="0"/>
              <w:spacing w:before="0" w:after="0"/>
              <w:jc w:val="center"/>
              <w:rPr>
                <w:sz w:val="28"/>
                <w:szCs w:val="28"/>
                <w:lang w:val="uk-UA"/>
              </w:rPr>
            </w:pPr>
            <w:r w:rsidRPr="00BE086B">
              <w:rPr>
                <w:sz w:val="28"/>
                <w:szCs w:val="28"/>
                <w:lang w:val="uk-UA"/>
              </w:rPr>
              <w:t>26,6</w:t>
            </w:r>
          </w:p>
          <w:p w:rsidR="00335630" w:rsidRPr="00BE086B" w:rsidRDefault="00335630" w:rsidP="00335630">
            <w:pPr>
              <w:pStyle w:val="af3"/>
              <w:snapToGrid w:val="0"/>
              <w:spacing w:before="0" w:after="0"/>
              <w:jc w:val="center"/>
              <w:rPr>
                <w:sz w:val="28"/>
                <w:szCs w:val="28"/>
                <w:lang w:val="uk-UA"/>
              </w:rPr>
            </w:pPr>
            <w:r w:rsidRPr="00BE086B">
              <w:rPr>
                <w:sz w:val="28"/>
                <w:szCs w:val="28"/>
                <w:lang w:val="uk-UA"/>
              </w:rPr>
              <w:t>±3,91</w:t>
            </w:r>
          </w:p>
        </w:tc>
        <w:tc>
          <w:tcPr>
            <w:tcW w:w="851" w:type="dxa"/>
            <w:tcBorders>
              <w:top w:val="single" w:sz="4" w:space="0" w:color="000000"/>
              <w:left w:val="single" w:sz="4" w:space="0" w:color="000000"/>
              <w:bottom w:val="single" w:sz="4" w:space="0" w:color="000000"/>
            </w:tcBorders>
            <w:shd w:val="clear" w:color="auto" w:fill="auto"/>
            <w:vAlign w:val="center"/>
          </w:tcPr>
          <w:p w:rsidR="00335630" w:rsidRPr="00BE086B" w:rsidRDefault="00335630" w:rsidP="00335630">
            <w:pPr>
              <w:pStyle w:val="af3"/>
              <w:snapToGrid w:val="0"/>
              <w:spacing w:before="0" w:after="0"/>
              <w:jc w:val="center"/>
              <w:rPr>
                <w:sz w:val="28"/>
                <w:szCs w:val="28"/>
                <w:lang w:val="uk-UA"/>
              </w:rPr>
            </w:pPr>
            <w:r w:rsidRPr="00BE086B">
              <w:rPr>
                <w:sz w:val="28"/>
                <w:szCs w:val="28"/>
                <w:lang w:val="uk-UA"/>
              </w:rPr>
              <w:t>7,8</w:t>
            </w:r>
          </w:p>
          <w:p w:rsidR="00335630" w:rsidRPr="00BE086B" w:rsidRDefault="00335630" w:rsidP="00335630">
            <w:pPr>
              <w:pStyle w:val="af3"/>
              <w:snapToGrid w:val="0"/>
              <w:spacing w:before="0" w:after="0"/>
              <w:jc w:val="center"/>
              <w:rPr>
                <w:sz w:val="28"/>
                <w:szCs w:val="28"/>
                <w:lang w:val="uk-UA"/>
              </w:rPr>
            </w:pPr>
            <w:r w:rsidRPr="00BE086B">
              <w:rPr>
                <w:sz w:val="28"/>
                <w:szCs w:val="28"/>
                <w:lang w:val="uk-UA"/>
              </w:rPr>
              <w:t>±2,39</w:t>
            </w:r>
          </w:p>
        </w:tc>
        <w:tc>
          <w:tcPr>
            <w:tcW w:w="992" w:type="dxa"/>
            <w:tcBorders>
              <w:top w:val="single" w:sz="4" w:space="0" w:color="000000"/>
              <w:left w:val="single" w:sz="4" w:space="0" w:color="000000"/>
              <w:bottom w:val="single" w:sz="4" w:space="0" w:color="000000"/>
            </w:tcBorders>
            <w:shd w:val="clear" w:color="auto" w:fill="auto"/>
            <w:vAlign w:val="center"/>
          </w:tcPr>
          <w:p w:rsidR="00335630" w:rsidRPr="00BE086B" w:rsidRDefault="00335630" w:rsidP="00335630">
            <w:pPr>
              <w:pStyle w:val="af3"/>
              <w:snapToGrid w:val="0"/>
              <w:spacing w:before="0" w:after="0"/>
              <w:jc w:val="center"/>
              <w:rPr>
                <w:sz w:val="28"/>
                <w:szCs w:val="28"/>
                <w:lang w:val="uk-UA"/>
              </w:rPr>
            </w:pPr>
            <w:r w:rsidRPr="00BE086B">
              <w:rPr>
                <w:sz w:val="28"/>
                <w:szCs w:val="28"/>
                <w:lang w:val="uk-UA"/>
              </w:rPr>
              <w:t>66,1</w:t>
            </w:r>
          </w:p>
          <w:p w:rsidR="00335630" w:rsidRPr="00BE086B" w:rsidRDefault="00335630" w:rsidP="00335630">
            <w:pPr>
              <w:pStyle w:val="af3"/>
              <w:snapToGrid w:val="0"/>
              <w:spacing w:before="0" w:after="0"/>
              <w:jc w:val="center"/>
              <w:rPr>
                <w:sz w:val="28"/>
                <w:szCs w:val="28"/>
                <w:lang w:val="uk-UA"/>
              </w:rPr>
            </w:pPr>
            <w:r w:rsidRPr="00BE086B">
              <w:rPr>
                <w:sz w:val="28"/>
                <w:szCs w:val="28"/>
                <w:lang w:val="uk-UA"/>
              </w:rPr>
              <w:t>±3,78</w:t>
            </w:r>
          </w:p>
        </w:tc>
        <w:tc>
          <w:tcPr>
            <w:tcW w:w="850" w:type="dxa"/>
            <w:tcBorders>
              <w:top w:val="single" w:sz="4" w:space="0" w:color="000000"/>
              <w:left w:val="single" w:sz="4" w:space="0" w:color="000000"/>
              <w:bottom w:val="single" w:sz="4" w:space="0" w:color="000000"/>
            </w:tcBorders>
            <w:shd w:val="clear" w:color="auto" w:fill="auto"/>
            <w:vAlign w:val="center"/>
          </w:tcPr>
          <w:p w:rsidR="00335630" w:rsidRPr="00BE086B" w:rsidRDefault="00335630" w:rsidP="00335630">
            <w:pPr>
              <w:pStyle w:val="af3"/>
              <w:snapToGrid w:val="0"/>
              <w:spacing w:before="0" w:after="0"/>
              <w:jc w:val="center"/>
              <w:rPr>
                <w:sz w:val="28"/>
                <w:szCs w:val="28"/>
                <w:lang w:val="uk-UA"/>
              </w:rPr>
            </w:pPr>
            <w:r w:rsidRPr="00BE086B">
              <w:rPr>
                <w:sz w:val="28"/>
                <w:szCs w:val="28"/>
                <w:lang w:val="uk-UA"/>
              </w:rPr>
              <w:t>26,1</w:t>
            </w:r>
          </w:p>
          <w:p w:rsidR="00335630" w:rsidRPr="00BE086B" w:rsidRDefault="00335630" w:rsidP="00335630">
            <w:pPr>
              <w:pStyle w:val="af3"/>
              <w:snapToGrid w:val="0"/>
              <w:spacing w:before="0" w:after="0"/>
              <w:jc w:val="center"/>
              <w:rPr>
                <w:sz w:val="28"/>
                <w:szCs w:val="28"/>
                <w:lang w:val="uk-UA"/>
              </w:rPr>
            </w:pPr>
            <w:r w:rsidRPr="00BE086B">
              <w:rPr>
                <w:sz w:val="28"/>
                <w:szCs w:val="28"/>
                <w:lang w:val="uk-UA"/>
              </w:rPr>
              <w:t>±3,51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5630" w:rsidRPr="00BE086B" w:rsidRDefault="00335630" w:rsidP="00335630">
            <w:pPr>
              <w:pStyle w:val="af3"/>
              <w:snapToGrid w:val="0"/>
              <w:spacing w:before="0" w:after="0"/>
              <w:jc w:val="center"/>
              <w:rPr>
                <w:sz w:val="28"/>
                <w:szCs w:val="28"/>
                <w:lang w:val="uk-UA"/>
              </w:rPr>
            </w:pPr>
            <w:r w:rsidRPr="00BE086B">
              <w:rPr>
                <w:sz w:val="28"/>
                <w:szCs w:val="28"/>
                <w:lang w:val="uk-UA"/>
              </w:rPr>
              <w:t>8,5</w:t>
            </w:r>
          </w:p>
          <w:p w:rsidR="00335630" w:rsidRPr="00BE086B" w:rsidRDefault="00335630" w:rsidP="00335630">
            <w:pPr>
              <w:pStyle w:val="af3"/>
              <w:snapToGrid w:val="0"/>
              <w:spacing w:before="0" w:after="0"/>
              <w:jc w:val="center"/>
              <w:rPr>
                <w:sz w:val="28"/>
                <w:szCs w:val="28"/>
                <w:lang w:val="uk-UA"/>
              </w:rPr>
            </w:pPr>
            <w:r w:rsidRPr="00BE086B">
              <w:rPr>
                <w:sz w:val="28"/>
                <w:szCs w:val="28"/>
                <w:lang w:val="uk-UA"/>
              </w:rPr>
              <w:t>±3,54</w:t>
            </w:r>
          </w:p>
        </w:tc>
      </w:tr>
      <w:tr w:rsidR="00CB7B83" w:rsidRPr="00BE086B" w:rsidTr="00CB7B83">
        <w:tc>
          <w:tcPr>
            <w:tcW w:w="3889" w:type="dxa"/>
            <w:tcBorders>
              <w:top w:val="single" w:sz="4" w:space="0" w:color="000000"/>
              <w:left w:val="single" w:sz="4" w:space="0" w:color="000000"/>
              <w:bottom w:val="single" w:sz="4" w:space="0" w:color="000000"/>
            </w:tcBorders>
            <w:shd w:val="clear" w:color="auto" w:fill="auto"/>
            <w:vAlign w:val="center"/>
          </w:tcPr>
          <w:p w:rsidR="00CB7B83" w:rsidRPr="00BE086B" w:rsidRDefault="00CB7B83" w:rsidP="00CB7B83">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ХІ група ОА+ГІТ + німесулід (Н) 80 мг/кг (n=10)</w:t>
            </w:r>
          </w:p>
        </w:tc>
        <w:tc>
          <w:tcPr>
            <w:tcW w:w="993" w:type="dxa"/>
            <w:tcBorders>
              <w:top w:val="single" w:sz="4" w:space="0" w:color="000000"/>
              <w:left w:val="single" w:sz="4" w:space="0" w:color="000000"/>
              <w:bottom w:val="single" w:sz="4" w:space="0" w:color="000000"/>
            </w:tcBorders>
            <w:shd w:val="clear" w:color="auto" w:fill="auto"/>
            <w:vAlign w:val="center"/>
          </w:tcPr>
          <w:p w:rsidR="00CB7B83" w:rsidRPr="00BE086B" w:rsidRDefault="00CB7B83" w:rsidP="00CB7B83">
            <w:pPr>
              <w:pStyle w:val="af3"/>
              <w:snapToGrid w:val="0"/>
              <w:spacing w:before="0" w:after="0"/>
              <w:jc w:val="center"/>
              <w:rPr>
                <w:sz w:val="28"/>
                <w:szCs w:val="28"/>
                <w:lang w:val="uk-UA"/>
              </w:rPr>
            </w:pPr>
            <w:r w:rsidRPr="00BE086B">
              <w:rPr>
                <w:sz w:val="28"/>
                <w:szCs w:val="28"/>
                <w:lang w:val="uk-UA"/>
              </w:rPr>
              <w:t>64,7</w:t>
            </w:r>
          </w:p>
          <w:p w:rsidR="00CB7B83" w:rsidRPr="00BE086B" w:rsidRDefault="00CB7B83" w:rsidP="00CB7B83">
            <w:pPr>
              <w:pStyle w:val="af3"/>
              <w:snapToGrid w:val="0"/>
              <w:spacing w:before="0" w:after="0"/>
              <w:jc w:val="center"/>
              <w:rPr>
                <w:sz w:val="28"/>
                <w:szCs w:val="28"/>
                <w:lang w:val="uk-UA"/>
              </w:rPr>
            </w:pPr>
            <w:r w:rsidRPr="00BE086B">
              <w:rPr>
                <w:sz w:val="28"/>
                <w:szCs w:val="28"/>
                <w:lang w:val="uk-UA"/>
              </w:rPr>
              <w:t>±3,35</w:t>
            </w:r>
          </w:p>
        </w:tc>
        <w:tc>
          <w:tcPr>
            <w:tcW w:w="850" w:type="dxa"/>
            <w:tcBorders>
              <w:top w:val="single" w:sz="4" w:space="0" w:color="000000"/>
              <w:left w:val="single" w:sz="4" w:space="0" w:color="000000"/>
              <w:bottom w:val="single" w:sz="4" w:space="0" w:color="000000"/>
            </w:tcBorders>
            <w:shd w:val="clear" w:color="auto" w:fill="auto"/>
            <w:vAlign w:val="center"/>
          </w:tcPr>
          <w:p w:rsidR="00CB7B83" w:rsidRPr="00BE086B" w:rsidRDefault="00CB7B83" w:rsidP="00CB7B83">
            <w:pPr>
              <w:pStyle w:val="af3"/>
              <w:snapToGrid w:val="0"/>
              <w:spacing w:before="0" w:after="0"/>
              <w:jc w:val="center"/>
              <w:rPr>
                <w:sz w:val="28"/>
                <w:szCs w:val="28"/>
                <w:lang w:val="uk-UA"/>
              </w:rPr>
            </w:pPr>
            <w:r w:rsidRPr="00BE086B">
              <w:rPr>
                <w:sz w:val="28"/>
                <w:szCs w:val="28"/>
                <w:lang w:val="uk-UA"/>
              </w:rPr>
              <w:t>30,0</w:t>
            </w:r>
          </w:p>
          <w:p w:rsidR="00CB7B83" w:rsidRPr="00BE086B" w:rsidRDefault="00CB7B83" w:rsidP="00CB7B83">
            <w:pPr>
              <w:pStyle w:val="af3"/>
              <w:snapToGrid w:val="0"/>
              <w:spacing w:before="0" w:after="0"/>
              <w:jc w:val="center"/>
              <w:rPr>
                <w:sz w:val="28"/>
                <w:szCs w:val="28"/>
                <w:lang w:val="uk-UA"/>
              </w:rPr>
            </w:pPr>
            <w:r w:rsidRPr="00BE086B">
              <w:rPr>
                <w:sz w:val="28"/>
                <w:szCs w:val="28"/>
                <w:lang w:val="uk-UA"/>
              </w:rPr>
              <w:t>±3,16</w:t>
            </w:r>
          </w:p>
        </w:tc>
        <w:tc>
          <w:tcPr>
            <w:tcW w:w="851" w:type="dxa"/>
            <w:tcBorders>
              <w:top w:val="single" w:sz="4" w:space="0" w:color="000000"/>
              <w:left w:val="single" w:sz="4" w:space="0" w:color="000000"/>
              <w:bottom w:val="single" w:sz="4" w:space="0" w:color="000000"/>
            </w:tcBorders>
            <w:shd w:val="clear" w:color="auto" w:fill="auto"/>
            <w:vAlign w:val="center"/>
          </w:tcPr>
          <w:p w:rsidR="00CB7B83" w:rsidRPr="00BE086B" w:rsidRDefault="00CB7B83" w:rsidP="00CB7B83">
            <w:pPr>
              <w:pStyle w:val="af3"/>
              <w:snapToGrid w:val="0"/>
              <w:spacing w:before="0" w:after="0"/>
              <w:jc w:val="center"/>
              <w:rPr>
                <w:sz w:val="28"/>
                <w:szCs w:val="28"/>
                <w:lang w:val="uk-UA"/>
              </w:rPr>
            </w:pPr>
            <w:r w:rsidRPr="00BE086B">
              <w:rPr>
                <w:sz w:val="28"/>
                <w:szCs w:val="28"/>
                <w:lang w:val="uk-UA"/>
              </w:rPr>
              <w:t>9,1</w:t>
            </w:r>
          </w:p>
          <w:p w:rsidR="00CB7B83" w:rsidRPr="00BE086B" w:rsidRDefault="00CB7B83" w:rsidP="00CB7B83">
            <w:pPr>
              <w:pStyle w:val="af3"/>
              <w:snapToGrid w:val="0"/>
              <w:spacing w:before="0" w:after="0"/>
              <w:jc w:val="center"/>
              <w:rPr>
                <w:sz w:val="28"/>
                <w:szCs w:val="28"/>
                <w:lang w:val="uk-UA"/>
              </w:rPr>
            </w:pPr>
            <w:r w:rsidRPr="00BE086B">
              <w:rPr>
                <w:sz w:val="28"/>
                <w:szCs w:val="28"/>
                <w:lang w:val="uk-UA"/>
              </w:rPr>
              <w:t>±3,44</w:t>
            </w:r>
          </w:p>
        </w:tc>
        <w:tc>
          <w:tcPr>
            <w:tcW w:w="992" w:type="dxa"/>
            <w:tcBorders>
              <w:top w:val="single" w:sz="4" w:space="0" w:color="000000"/>
              <w:left w:val="single" w:sz="4" w:space="0" w:color="000000"/>
              <w:bottom w:val="single" w:sz="4" w:space="0" w:color="000000"/>
            </w:tcBorders>
            <w:shd w:val="clear" w:color="auto" w:fill="auto"/>
            <w:vAlign w:val="center"/>
          </w:tcPr>
          <w:p w:rsidR="00CB7B83" w:rsidRPr="00BE086B" w:rsidRDefault="00CB7B83" w:rsidP="00CB7B83">
            <w:pPr>
              <w:pStyle w:val="af3"/>
              <w:snapToGrid w:val="0"/>
              <w:spacing w:before="0" w:after="0"/>
              <w:jc w:val="center"/>
              <w:rPr>
                <w:sz w:val="28"/>
                <w:szCs w:val="28"/>
                <w:lang w:val="uk-UA"/>
              </w:rPr>
            </w:pPr>
            <w:r w:rsidRPr="00BE086B">
              <w:rPr>
                <w:sz w:val="28"/>
                <w:szCs w:val="28"/>
                <w:lang w:val="uk-UA"/>
              </w:rPr>
              <w:t>64,5</w:t>
            </w:r>
          </w:p>
          <w:p w:rsidR="00CB7B83" w:rsidRPr="00BE086B" w:rsidRDefault="00CB7B83" w:rsidP="00CB7B83">
            <w:pPr>
              <w:pStyle w:val="af3"/>
              <w:snapToGrid w:val="0"/>
              <w:spacing w:before="0" w:after="0"/>
              <w:jc w:val="center"/>
              <w:rPr>
                <w:sz w:val="28"/>
                <w:szCs w:val="28"/>
                <w:lang w:val="uk-UA"/>
              </w:rPr>
            </w:pPr>
            <w:r w:rsidRPr="00BE086B">
              <w:rPr>
                <w:sz w:val="28"/>
                <w:szCs w:val="28"/>
                <w:lang w:val="uk-UA"/>
              </w:rPr>
              <w:t>±3,20</w:t>
            </w:r>
          </w:p>
        </w:tc>
        <w:tc>
          <w:tcPr>
            <w:tcW w:w="850" w:type="dxa"/>
            <w:tcBorders>
              <w:top w:val="single" w:sz="4" w:space="0" w:color="000000"/>
              <w:left w:val="single" w:sz="4" w:space="0" w:color="000000"/>
              <w:bottom w:val="single" w:sz="4" w:space="0" w:color="000000"/>
            </w:tcBorders>
            <w:shd w:val="clear" w:color="auto" w:fill="auto"/>
            <w:vAlign w:val="center"/>
          </w:tcPr>
          <w:p w:rsidR="00CB7B83" w:rsidRPr="00BE086B" w:rsidRDefault="00CB7B83" w:rsidP="00CB7B83">
            <w:pPr>
              <w:pStyle w:val="af3"/>
              <w:snapToGrid w:val="0"/>
              <w:spacing w:before="0" w:after="0"/>
              <w:jc w:val="center"/>
              <w:rPr>
                <w:sz w:val="28"/>
                <w:szCs w:val="28"/>
                <w:lang w:val="uk-UA"/>
              </w:rPr>
            </w:pPr>
            <w:r w:rsidRPr="00BE086B">
              <w:rPr>
                <w:sz w:val="28"/>
                <w:szCs w:val="28"/>
                <w:lang w:val="uk-UA"/>
              </w:rPr>
              <w:t>28,6</w:t>
            </w:r>
          </w:p>
          <w:p w:rsidR="00CB7B83" w:rsidRPr="00BE086B" w:rsidRDefault="00CB7B83" w:rsidP="00CB7B83">
            <w:pPr>
              <w:pStyle w:val="af3"/>
              <w:snapToGrid w:val="0"/>
              <w:spacing w:before="0" w:after="0"/>
              <w:jc w:val="center"/>
              <w:rPr>
                <w:sz w:val="28"/>
                <w:szCs w:val="28"/>
                <w:lang w:val="uk-UA"/>
              </w:rPr>
            </w:pPr>
            <w:r w:rsidRPr="00BE086B">
              <w:rPr>
                <w:sz w:val="28"/>
                <w:szCs w:val="28"/>
                <w:lang w:val="uk-UA"/>
              </w:rPr>
              <w:t>±3,36</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7B83" w:rsidRPr="00BE086B" w:rsidRDefault="00CB7B83" w:rsidP="00CB7B83">
            <w:pPr>
              <w:pStyle w:val="af3"/>
              <w:snapToGrid w:val="0"/>
              <w:spacing w:before="0" w:after="0"/>
              <w:jc w:val="center"/>
              <w:rPr>
                <w:sz w:val="28"/>
                <w:szCs w:val="28"/>
                <w:lang w:val="uk-UA"/>
              </w:rPr>
            </w:pPr>
            <w:r w:rsidRPr="00BE086B">
              <w:rPr>
                <w:sz w:val="28"/>
                <w:szCs w:val="28"/>
                <w:lang w:val="uk-UA"/>
              </w:rPr>
              <w:t>7,8</w:t>
            </w:r>
          </w:p>
          <w:p w:rsidR="00CB7B83" w:rsidRPr="00BE086B" w:rsidRDefault="00CB7B83" w:rsidP="00CB7B83">
            <w:pPr>
              <w:pStyle w:val="af3"/>
              <w:snapToGrid w:val="0"/>
              <w:spacing w:before="0" w:after="0"/>
              <w:jc w:val="center"/>
              <w:rPr>
                <w:sz w:val="28"/>
                <w:szCs w:val="28"/>
                <w:lang w:val="uk-UA"/>
              </w:rPr>
            </w:pPr>
            <w:r w:rsidRPr="00BE086B">
              <w:rPr>
                <w:sz w:val="28"/>
                <w:szCs w:val="28"/>
                <w:lang w:val="uk-UA"/>
              </w:rPr>
              <w:t>±2,68</w:t>
            </w:r>
          </w:p>
        </w:tc>
      </w:tr>
    </w:tbl>
    <w:p w:rsidR="008269E4" w:rsidRDefault="008269E4" w:rsidP="002D350C">
      <w:pPr>
        <w:pStyle w:val="af3"/>
        <w:snapToGrid w:val="0"/>
        <w:spacing w:before="0" w:after="0" w:line="360" w:lineRule="auto"/>
        <w:ind w:firstLine="709"/>
        <w:rPr>
          <w:b/>
          <w:sz w:val="28"/>
          <w:szCs w:val="28"/>
          <w:lang w:val="uk-UA"/>
        </w:rPr>
      </w:pPr>
    </w:p>
    <w:p w:rsidR="00125A5A" w:rsidRDefault="00125A5A" w:rsidP="002D350C">
      <w:pPr>
        <w:pStyle w:val="af3"/>
        <w:snapToGrid w:val="0"/>
        <w:spacing w:before="0" w:after="0" w:line="360" w:lineRule="auto"/>
        <w:ind w:firstLine="709"/>
        <w:rPr>
          <w:b/>
          <w:sz w:val="28"/>
          <w:szCs w:val="28"/>
          <w:lang w:val="uk-UA"/>
        </w:rPr>
      </w:pPr>
    </w:p>
    <w:p w:rsidR="00125A5A" w:rsidRPr="00BE086B" w:rsidRDefault="00125A5A" w:rsidP="002D350C">
      <w:pPr>
        <w:pStyle w:val="af3"/>
        <w:snapToGrid w:val="0"/>
        <w:spacing w:before="0" w:after="0" w:line="360" w:lineRule="auto"/>
        <w:ind w:firstLine="709"/>
        <w:rPr>
          <w:b/>
          <w:sz w:val="28"/>
          <w:szCs w:val="28"/>
          <w:lang w:val="uk-UA"/>
        </w:rPr>
      </w:pPr>
    </w:p>
    <w:p w:rsidR="008269E4" w:rsidRPr="00BE086B" w:rsidRDefault="008269E4" w:rsidP="008269E4">
      <w:pPr>
        <w:pStyle w:val="af0"/>
        <w:spacing w:line="240" w:lineRule="auto"/>
        <w:jc w:val="right"/>
        <w:rPr>
          <w:i/>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6.1</w:t>
      </w:r>
    </w:p>
    <w:tbl>
      <w:tblPr>
        <w:tblW w:w="8992" w:type="dxa"/>
        <w:jc w:val="center"/>
        <w:tblLayout w:type="fixed"/>
        <w:tblCellMar>
          <w:left w:w="28" w:type="dxa"/>
          <w:right w:w="28" w:type="dxa"/>
        </w:tblCellMar>
        <w:tblLook w:val="0000" w:firstRow="0" w:lastRow="0" w:firstColumn="0" w:lastColumn="0" w:noHBand="0" w:noVBand="0"/>
      </w:tblPr>
      <w:tblGrid>
        <w:gridCol w:w="4072"/>
        <w:gridCol w:w="850"/>
        <w:gridCol w:w="709"/>
        <w:gridCol w:w="851"/>
        <w:gridCol w:w="850"/>
        <w:gridCol w:w="851"/>
        <w:gridCol w:w="809"/>
      </w:tblGrid>
      <w:tr w:rsidR="008269E4" w:rsidRPr="00BE086B" w:rsidTr="002D05C1">
        <w:trPr>
          <w:trHeight w:val="208"/>
          <w:jc w:val="center"/>
        </w:trPr>
        <w:tc>
          <w:tcPr>
            <w:tcW w:w="4072"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850"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2</w:t>
            </w:r>
          </w:p>
        </w:tc>
        <w:tc>
          <w:tcPr>
            <w:tcW w:w="709"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3</w:t>
            </w:r>
          </w:p>
        </w:tc>
        <w:tc>
          <w:tcPr>
            <w:tcW w:w="851"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4</w:t>
            </w:r>
          </w:p>
        </w:tc>
        <w:tc>
          <w:tcPr>
            <w:tcW w:w="850"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5</w:t>
            </w:r>
          </w:p>
        </w:tc>
        <w:tc>
          <w:tcPr>
            <w:tcW w:w="851"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6</w:t>
            </w:r>
          </w:p>
        </w:tc>
        <w:tc>
          <w:tcPr>
            <w:tcW w:w="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7</w:t>
            </w:r>
          </w:p>
        </w:tc>
      </w:tr>
      <w:tr w:rsidR="008269E4" w:rsidRPr="00BE086B" w:rsidTr="002D05C1">
        <w:trPr>
          <w:jc w:val="center"/>
        </w:trPr>
        <w:tc>
          <w:tcPr>
            <w:tcW w:w="4072"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2D05C1">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ХІІІ група ОА+ГІТ + целекоксиб (Ц)</w:t>
            </w:r>
            <w:r w:rsidR="002D05C1"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50 мг/кг</w:t>
            </w:r>
            <w:r w:rsidR="00FF706D"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(n=10)</w:t>
            </w:r>
          </w:p>
        </w:tc>
        <w:tc>
          <w:tcPr>
            <w:tcW w:w="850"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64,1</w:t>
            </w:r>
          </w:p>
          <w:p w:rsidR="008269E4" w:rsidRPr="00BE086B" w:rsidRDefault="008269E4" w:rsidP="00335630">
            <w:pPr>
              <w:pStyle w:val="af3"/>
              <w:snapToGrid w:val="0"/>
              <w:spacing w:before="0" w:after="0"/>
              <w:jc w:val="center"/>
              <w:rPr>
                <w:sz w:val="28"/>
                <w:szCs w:val="28"/>
                <w:lang w:val="uk-UA"/>
              </w:rPr>
            </w:pPr>
            <w:r w:rsidRPr="00BE086B">
              <w:rPr>
                <w:sz w:val="28"/>
                <w:szCs w:val="28"/>
                <w:lang w:val="uk-UA"/>
              </w:rPr>
              <w:t>±3,32</w:t>
            </w:r>
          </w:p>
        </w:tc>
        <w:tc>
          <w:tcPr>
            <w:tcW w:w="709"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26,9</w:t>
            </w:r>
          </w:p>
          <w:p w:rsidR="008269E4" w:rsidRPr="00BE086B" w:rsidRDefault="008269E4" w:rsidP="00335630">
            <w:pPr>
              <w:pStyle w:val="af3"/>
              <w:snapToGrid w:val="0"/>
              <w:spacing w:before="0" w:after="0"/>
              <w:jc w:val="center"/>
              <w:rPr>
                <w:sz w:val="28"/>
                <w:szCs w:val="28"/>
                <w:lang w:val="uk-UA"/>
              </w:rPr>
            </w:pPr>
            <w:r w:rsidRPr="00BE086B">
              <w:rPr>
                <w:sz w:val="28"/>
                <w:szCs w:val="28"/>
                <w:lang w:val="uk-UA"/>
              </w:rPr>
              <w:t>±3,85</w:t>
            </w:r>
          </w:p>
        </w:tc>
        <w:tc>
          <w:tcPr>
            <w:tcW w:w="851"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7,2</w:t>
            </w:r>
          </w:p>
          <w:p w:rsidR="008269E4" w:rsidRPr="00BE086B" w:rsidRDefault="008269E4" w:rsidP="00335630">
            <w:pPr>
              <w:pStyle w:val="af3"/>
              <w:snapToGrid w:val="0"/>
              <w:spacing w:before="0" w:after="0"/>
              <w:jc w:val="center"/>
              <w:rPr>
                <w:sz w:val="28"/>
                <w:szCs w:val="28"/>
                <w:lang w:val="uk-UA"/>
              </w:rPr>
            </w:pPr>
            <w:r w:rsidRPr="00BE086B">
              <w:rPr>
                <w:sz w:val="28"/>
                <w:szCs w:val="28"/>
                <w:lang w:val="uk-UA"/>
              </w:rPr>
              <w:t>±2,59</w:t>
            </w:r>
          </w:p>
        </w:tc>
        <w:tc>
          <w:tcPr>
            <w:tcW w:w="850"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65,2</w:t>
            </w:r>
          </w:p>
          <w:p w:rsidR="008269E4" w:rsidRPr="00BE086B" w:rsidRDefault="008269E4" w:rsidP="00335630">
            <w:pPr>
              <w:pStyle w:val="af3"/>
              <w:snapToGrid w:val="0"/>
              <w:spacing w:before="0" w:after="0"/>
              <w:jc w:val="center"/>
              <w:rPr>
                <w:sz w:val="28"/>
                <w:szCs w:val="28"/>
                <w:lang w:val="uk-UA"/>
              </w:rPr>
            </w:pPr>
            <w:r w:rsidRPr="00BE086B">
              <w:rPr>
                <w:sz w:val="28"/>
                <w:szCs w:val="28"/>
                <w:lang w:val="uk-UA"/>
              </w:rPr>
              <w:t>±3,49</w:t>
            </w:r>
          </w:p>
        </w:tc>
        <w:tc>
          <w:tcPr>
            <w:tcW w:w="851" w:type="dxa"/>
            <w:tcBorders>
              <w:top w:val="single" w:sz="4" w:space="0" w:color="000000"/>
              <w:left w:val="single" w:sz="4" w:space="0" w:color="000000"/>
              <w:bottom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29,4</w:t>
            </w:r>
          </w:p>
          <w:p w:rsidR="008269E4" w:rsidRPr="00BE086B" w:rsidRDefault="008269E4" w:rsidP="00335630">
            <w:pPr>
              <w:pStyle w:val="af3"/>
              <w:snapToGrid w:val="0"/>
              <w:spacing w:before="0" w:after="0"/>
              <w:jc w:val="center"/>
              <w:rPr>
                <w:sz w:val="28"/>
                <w:szCs w:val="28"/>
                <w:lang w:val="uk-UA"/>
              </w:rPr>
            </w:pPr>
            <w:r w:rsidRPr="00BE086B">
              <w:rPr>
                <w:sz w:val="28"/>
                <w:szCs w:val="28"/>
                <w:lang w:val="uk-UA"/>
              </w:rPr>
              <w:t>±3,05</w:t>
            </w:r>
          </w:p>
        </w:tc>
        <w:tc>
          <w:tcPr>
            <w:tcW w:w="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269E4" w:rsidRPr="00BE086B" w:rsidRDefault="008269E4" w:rsidP="00335630">
            <w:pPr>
              <w:pStyle w:val="af3"/>
              <w:snapToGrid w:val="0"/>
              <w:spacing w:before="0" w:after="0"/>
              <w:jc w:val="center"/>
              <w:rPr>
                <w:sz w:val="28"/>
                <w:szCs w:val="28"/>
                <w:lang w:val="uk-UA"/>
              </w:rPr>
            </w:pPr>
            <w:r w:rsidRPr="00BE086B">
              <w:rPr>
                <w:sz w:val="28"/>
                <w:szCs w:val="28"/>
                <w:lang w:val="uk-UA"/>
              </w:rPr>
              <w:t>8,3</w:t>
            </w:r>
          </w:p>
          <w:p w:rsidR="008269E4" w:rsidRPr="00BE086B" w:rsidRDefault="008269E4" w:rsidP="00335630">
            <w:pPr>
              <w:pStyle w:val="af3"/>
              <w:snapToGrid w:val="0"/>
              <w:spacing w:before="0" w:after="0"/>
              <w:jc w:val="center"/>
              <w:rPr>
                <w:sz w:val="28"/>
                <w:szCs w:val="28"/>
                <w:lang w:val="uk-UA"/>
              </w:rPr>
            </w:pPr>
            <w:r w:rsidRPr="00BE086B">
              <w:rPr>
                <w:sz w:val="28"/>
                <w:szCs w:val="28"/>
                <w:lang w:val="uk-UA"/>
              </w:rPr>
              <w:t>±3,49</w:t>
            </w:r>
          </w:p>
        </w:tc>
      </w:tr>
    </w:tbl>
    <w:p w:rsidR="00E05E44" w:rsidRPr="00BE086B" w:rsidRDefault="00E05E44" w:rsidP="008269E4">
      <w:pPr>
        <w:pStyle w:val="af3"/>
        <w:snapToGrid w:val="0"/>
        <w:spacing w:before="0" w:after="0" w:line="360" w:lineRule="auto"/>
        <w:ind w:firstLine="709"/>
        <w:jc w:val="both"/>
        <w:rPr>
          <w:sz w:val="28"/>
          <w:szCs w:val="28"/>
          <w:lang w:val="uk-UA"/>
        </w:rPr>
      </w:pPr>
      <w:r w:rsidRPr="00BE086B">
        <w:rPr>
          <w:b/>
          <w:sz w:val="28"/>
          <w:szCs w:val="28"/>
          <w:lang w:val="uk-UA"/>
        </w:rPr>
        <w:t xml:space="preserve">Примітка. </w:t>
      </w:r>
      <w:r w:rsidRPr="00BE086B">
        <w:rPr>
          <w:sz w:val="28"/>
          <w:szCs w:val="28"/>
          <w:lang w:val="uk-UA"/>
        </w:rPr>
        <w:t xml:space="preserve">* - </w:t>
      </w:r>
      <w:r w:rsidRPr="00BE086B">
        <w:rPr>
          <w:rFonts w:eastAsia="Calibri"/>
          <w:iCs/>
          <w:sz w:val="28"/>
          <w:szCs w:val="28"/>
          <w:lang w:val="uk-UA" w:eastAsia="en-US"/>
        </w:rPr>
        <w:t xml:space="preserve">р </w:t>
      </w:r>
      <w:r w:rsidRPr="00BE086B">
        <w:rPr>
          <w:iCs/>
          <w:sz w:val="28"/>
          <w:szCs w:val="28"/>
        </w:rPr>
        <w:t>&lt;</w:t>
      </w:r>
      <w:r w:rsidRPr="00BE086B">
        <w:rPr>
          <w:rFonts w:eastAsia="Calibri"/>
          <w:iCs/>
          <w:sz w:val="28"/>
          <w:szCs w:val="28"/>
          <w:lang w:val="uk-UA" w:eastAsia="en-US"/>
        </w:rPr>
        <w:t xml:space="preserve"> 0,05 у порівнянні з показниками групи пасивного контролю (інтактні щури).</w:t>
      </w:r>
    </w:p>
    <w:p w:rsidR="00E05E44" w:rsidRPr="00BE086B" w:rsidRDefault="00E05E44" w:rsidP="002D350C">
      <w:pPr>
        <w:pStyle w:val="western"/>
        <w:spacing w:before="0" w:after="0" w:line="360" w:lineRule="auto"/>
        <w:ind w:firstLine="709"/>
        <w:jc w:val="both"/>
        <w:rPr>
          <w:color w:val="auto"/>
          <w:sz w:val="28"/>
          <w:szCs w:val="28"/>
          <w:lang w:val="uk-UA"/>
        </w:rPr>
      </w:pPr>
    </w:p>
    <w:p w:rsidR="00FF706D" w:rsidRPr="00BE086B" w:rsidRDefault="00FF706D" w:rsidP="002D350C">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Як свідчать дані табл. 6.1, динаміка рівня гормонів ТТГ, Т3 та Т4 мала лише незначні коливання, які не сягали статистично вірогідних значень (р &gt; 0,05) (рис. 6.1А-В).</w:t>
      </w:r>
    </w:p>
    <w:p w:rsidR="004647C1" w:rsidRPr="00BE086B" w:rsidRDefault="00E530F5" w:rsidP="00CB7B83">
      <w:pPr>
        <w:pStyle w:val="WW-1"/>
        <w:spacing w:after="0" w:line="360" w:lineRule="auto"/>
        <w:jc w:val="center"/>
        <w:rPr>
          <w:rFonts w:ascii="Times New Roman" w:hAnsi="Times New Roman" w:cs="Times New Roman"/>
          <w:color w:val="auto"/>
          <w:sz w:val="28"/>
          <w:szCs w:val="28"/>
          <w:lang w:val="uk-UA"/>
        </w:rPr>
      </w:pPr>
      <w:r>
        <w:rPr>
          <w:rFonts w:ascii="Times New Roman" w:hAnsi="Times New Roman" w:cs="Times New Roman"/>
          <w:noProof/>
          <w:color w:val="auto"/>
          <w:sz w:val="28"/>
          <w:szCs w:val="28"/>
          <w:lang w:eastAsia="ru-RU"/>
        </w:rPr>
        <w:drawing>
          <wp:inline distT="0" distB="0" distL="0" distR="0">
            <wp:extent cx="5371200" cy="5180400"/>
            <wp:effectExtent l="0" t="0" r="127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6.1.jpg"/>
                    <pic:cNvPicPr/>
                  </pic:nvPicPr>
                  <pic:blipFill>
                    <a:blip r:embed="rId44">
                      <a:extLst>
                        <a:ext uri="{28A0092B-C50C-407E-A947-70E740481C1C}">
                          <a14:useLocalDpi xmlns:a14="http://schemas.microsoft.com/office/drawing/2010/main" val="0"/>
                        </a:ext>
                      </a:extLst>
                    </a:blip>
                    <a:stretch>
                      <a:fillRect/>
                    </a:stretch>
                  </pic:blipFill>
                  <pic:spPr>
                    <a:xfrm>
                      <a:off x="0" y="0"/>
                      <a:ext cx="5371200" cy="5180400"/>
                    </a:xfrm>
                    <a:prstGeom prst="rect">
                      <a:avLst/>
                    </a:prstGeom>
                  </pic:spPr>
                </pic:pic>
              </a:graphicData>
            </a:graphic>
          </wp:inline>
        </w:drawing>
      </w:r>
    </w:p>
    <w:p w:rsidR="004647C1" w:rsidRPr="00BE086B" w:rsidRDefault="00E05E44" w:rsidP="00E05E44">
      <w:pPr>
        <w:spacing w:line="360" w:lineRule="auto"/>
        <w:ind w:firstLine="709"/>
        <w:jc w:val="both"/>
        <w:rPr>
          <w:bCs/>
          <w:sz w:val="28"/>
          <w:szCs w:val="28"/>
          <w:lang w:val="uk-UA"/>
        </w:rPr>
      </w:pPr>
      <w:r w:rsidRPr="00BE086B">
        <w:rPr>
          <w:b/>
          <w:sz w:val="28"/>
          <w:szCs w:val="28"/>
          <w:lang w:val="uk-UA"/>
        </w:rPr>
        <w:t>Рис. 6.1.</w:t>
      </w:r>
      <w:r w:rsidRPr="00BE086B">
        <w:rPr>
          <w:sz w:val="28"/>
          <w:szCs w:val="28"/>
          <w:lang w:val="uk-UA"/>
        </w:rPr>
        <w:t xml:space="preserve"> </w:t>
      </w:r>
      <w:r w:rsidR="002D05C1" w:rsidRPr="00BE086B">
        <w:rPr>
          <w:noProof/>
          <w:sz w:val="28"/>
          <w:szCs w:val="28"/>
          <w:lang w:val="uk-UA" w:eastAsia="ru-RU"/>
        </w:rPr>
        <w:t>Динаміка концентрації гормонів</w:t>
      </w:r>
      <w:r w:rsidRPr="00BE086B">
        <w:rPr>
          <w:sz w:val="28"/>
          <w:szCs w:val="28"/>
          <w:lang w:val="uk-UA"/>
        </w:rPr>
        <w:t xml:space="preserve"> </w:t>
      </w:r>
      <w:r w:rsidR="002D350C" w:rsidRPr="00BE086B">
        <w:rPr>
          <w:sz w:val="28"/>
          <w:szCs w:val="28"/>
          <w:lang w:val="uk-UA"/>
        </w:rPr>
        <w:t>ТТГ (А)</w:t>
      </w:r>
      <w:r w:rsidR="002D05C1" w:rsidRPr="00BE086B">
        <w:rPr>
          <w:sz w:val="28"/>
          <w:szCs w:val="28"/>
          <w:lang w:val="uk-UA"/>
        </w:rPr>
        <w:t>,</w:t>
      </w:r>
      <w:r w:rsidR="002D350C" w:rsidRPr="00BE086B">
        <w:rPr>
          <w:sz w:val="28"/>
          <w:szCs w:val="28"/>
          <w:lang w:val="uk-UA"/>
        </w:rPr>
        <w:t xml:space="preserve"> </w:t>
      </w:r>
      <w:r w:rsidRPr="00BE086B">
        <w:rPr>
          <w:sz w:val="28"/>
          <w:szCs w:val="28"/>
          <w:lang w:val="uk-UA"/>
        </w:rPr>
        <w:t>Т3</w:t>
      </w:r>
      <w:r w:rsidR="002D350C" w:rsidRPr="00BE086B">
        <w:rPr>
          <w:sz w:val="28"/>
          <w:szCs w:val="28"/>
          <w:lang w:val="uk-UA"/>
        </w:rPr>
        <w:t xml:space="preserve"> (Б)</w:t>
      </w:r>
      <w:r w:rsidR="002D05C1" w:rsidRPr="00BE086B">
        <w:rPr>
          <w:sz w:val="28"/>
          <w:szCs w:val="28"/>
          <w:lang w:val="uk-UA"/>
        </w:rPr>
        <w:t>,</w:t>
      </w:r>
      <w:r w:rsidR="002D350C" w:rsidRPr="00BE086B">
        <w:rPr>
          <w:sz w:val="28"/>
          <w:szCs w:val="28"/>
          <w:lang w:val="uk-UA"/>
        </w:rPr>
        <w:t xml:space="preserve"> Т4 (В)</w:t>
      </w:r>
      <w:r w:rsidRPr="00BE086B">
        <w:rPr>
          <w:sz w:val="28"/>
          <w:szCs w:val="28"/>
          <w:lang w:val="uk-UA"/>
        </w:rPr>
        <w:t xml:space="preserve"> </w:t>
      </w:r>
      <w:r w:rsidRPr="00BE086B">
        <w:rPr>
          <w:noProof/>
          <w:sz w:val="28"/>
          <w:szCs w:val="28"/>
          <w:lang w:val="uk-UA" w:eastAsia="ru-RU"/>
        </w:rPr>
        <w:t xml:space="preserve">у сироватці крові щурів </w:t>
      </w:r>
      <w:r w:rsidRPr="00BE086B">
        <w:rPr>
          <w:sz w:val="28"/>
          <w:szCs w:val="28"/>
          <w:lang w:val="uk-UA"/>
        </w:rPr>
        <w:t xml:space="preserve">на 47 добу </w:t>
      </w:r>
      <w:r w:rsidR="002D05C1" w:rsidRPr="00BE086B">
        <w:rPr>
          <w:sz w:val="28"/>
          <w:szCs w:val="28"/>
          <w:lang w:val="uk-UA"/>
        </w:rPr>
        <w:t xml:space="preserve">при </w:t>
      </w:r>
      <w:r w:rsidRPr="00BE086B">
        <w:rPr>
          <w:sz w:val="28"/>
          <w:szCs w:val="28"/>
          <w:lang w:val="uk-UA"/>
        </w:rPr>
        <w:t>введенн</w:t>
      </w:r>
      <w:r w:rsidR="002D05C1" w:rsidRPr="00BE086B">
        <w:rPr>
          <w:sz w:val="28"/>
          <w:szCs w:val="28"/>
          <w:lang w:val="uk-UA"/>
        </w:rPr>
        <w:t>і</w:t>
      </w:r>
      <w:r w:rsidRPr="00BE086B">
        <w:rPr>
          <w:sz w:val="28"/>
          <w:szCs w:val="28"/>
          <w:lang w:val="uk-UA"/>
        </w:rPr>
        <w:t xml:space="preserve"> середньо ефективних доз препаратів за умов </w:t>
      </w:r>
      <w:r w:rsidR="002D350C" w:rsidRPr="00BE086B">
        <w:rPr>
          <w:sz w:val="28"/>
          <w:szCs w:val="28"/>
          <w:lang w:val="uk-UA"/>
        </w:rPr>
        <w:t>коморбідної патології</w:t>
      </w:r>
      <w:r w:rsidRPr="00BE086B">
        <w:rPr>
          <w:sz w:val="28"/>
          <w:szCs w:val="28"/>
          <w:lang w:val="uk-UA"/>
        </w:rPr>
        <w:t xml:space="preserve"> </w:t>
      </w:r>
      <w:r w:rsidRPr="00BE086B">
        <w:rPr>
          <w:bCs/>
          <w:sz w:val="28"/>
          <w:szCs w:val="28"/>
          <w:lang w:val="uk-UA"/>
        </w:rPr>
        <w:t>відносно І групи ОА</w:t>
      </w:r>
      <w:r w:rsidR="00CB7B83" w:rsidRPr="00BE086B">
        <w:rPr>
          <w:bCs/>
          <w:sz w:val="28"/>
          <w:szCs w:val="28"/>
          <w:lang w:val="uk-UA"/>
        </w:rPr>
        <w:t xml:space="preserve"> </w:t>
      </w:r>
      <w:r w:rsidRPr="00BE086B">
        <w:rPr>
          <w:bCs/>
          <w:sz w:val="28"/>
          <w:szCs w:val="28"/>
          <w:lang w:val="uk-UA"/>
        </w:rPr>
        <w:t>+</w:t>
      </w:r>
      <w:r w:rsidR="00CB7B83" w:rsidRPr="00BE086B">
        <w:rPr>
          <w:bCs/>
          <w:sz w:val="28"/>
          <w:szCs w:val="28"/>
          <w:lang w:val="uk-UA"/>
        </w:rPr>
        <w:t xml:space="preserve"> </w:t>
      </w:r>
      <w:r w:rsidRPr="00BE086B">
        <w:rPr>
          <w:bCs/>
          <w:sz w:val="28"/>
          <w:szCs w:val="28"/>
          <w:lang w:val="uk-UA"/>
        </w:rPr>
        <w:t>ГІТ.</w:t>
      </w:r>
    </w:p>
    <w:p w:rsidR="00E05E44" w:rsidRPr="00BE086B" w:rsidRDefault="00E05E44" w:rsidP="00E05E44">
      <w:pPr>
        <w:spacing w:line="360" w:lineRule="auto"/>
        <w:ind w:firstLine="709"/>
        <w:jc w:val="both"/>
        <w:rPr>
          <w:sz w:val="28"/>
          <w:szCs w:val="28"/>
          <w:lang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 xml:space="preserve">0,05 по відношенню до показників </w:t>
      </w:r>
      <w:r w:rsidRPr="00BE086B">
        <w:rPr>
          <w:sz w:val="28"/>
          <w:szCs w:val="28"/>
          <w:lang w:val="uk-UA" w:eastAsia="ru-RU"/>
        </w:rPr>
        <w:t>І групи (ОА+ГІТ).</w:t>
      </w:r>
    </w:p>
    <w:p w:rsidR="00FF706D" w:rsidRPr="00BE086B" w:rsidRDefault="00FF706D"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Після 5-добового введення диклофенаку натрія (10 мг/кг) (ІІІ група), ібупрофену (5 мг/кг) (V група), мелоксикаму (10 мг/кг) (VІІ група), парацетамолу (150 мг/кг) (ІХ група), німесуліду (80 мг/кг) (ХІ група) та целекоксибу (50 мг/кг) (ХІІІ група) на 47 добу експерименту не було зареєстровано достовірно значимих відмінностей за впливом на рівень гормонів ЩЗ у сироватці крові щурів порівняно з тваринами І групи (ОА + ГІТ без «лікування»).</w:t>
      </w:r>
    </w:p>
    <w:p w:rsidR="00E05E44" w:rsidRPr="00BE086B" w:rsidRDefault="00E05E44" w:rsidP="00E05E44">
      <w:pPr>
        <w:spacing w:line="360" w:lineRule="auto"/>
        <w:ind w:firstLine="709"/>
        <w:jc w:val="both"/>
        <w:rPr>
          <w:sz w:val="28"/>
          <w:szCs w:val="28"/>
          <w:lang w:val="uk-UA"/>
        </w:rPr>
      </w:pPr>
      <w:r w:rsidRPr="00BE086B">
        <w:rPr>
          <w:sz w:val="28"/>
          <w:szCs w:val="28"/>
          <w:lang w:val="uk-UA"/>
        </w:rPr>
        <w:t>Показники рівнів гормонів щитоподібної залози (Т3 та Т4) та ТТГ у сироватці крові щурів на фоні введення підвищених середньо ефективних доз (у межах терапевтичного діапазону) за умов експериментального остеоартрозу та гіпотиреозу представлені в табл. 6.2.</w:t>
      </w:r>
    </w:p>
    <w:p w:rsidR="00E05E44" w:rsidRPr="00BE086B" w:rsidRDefault="00E05E44" w:rsidP="00C63A65">
      <w:pPr>
        <w:pStyle w:val="WW-"/>
        <w:spacing w:after="0" w:line="360" w:lineRule="auto"/>
        <w:ind w:firstLine="709"/>
        <w:jc w:val="right"/>
        <w:rPr>
          <w:rFonts w:ascii="Times New Roman" w:hAnsi="Times New Roman" w:cs="Times New Roman"/>
          <w:color w:val="auto"/>
          <w:sz w:val="28"/>
          <w:szCs w:val="28"/>
          <w:lang w:val="uk-UA"/>
        </w:rPr>
      </w:pPr>
      <w:r w:rsidRPr="00BE086B">
        <w:rPr>
          <w:rFonts w:ascii="Times New Roman" w:hAnsi="Times New Roman" w:cs="Times New Roman"/>
          <w:i/>
          <w:color w:val="auto"/>
          <w:sz w:val="28"/>
          <w:szCs w:val="28"/>
          <w:lang w:val="uk-UA"/>
        </w:rPr>
        <w:t>Таблиця 6.2</w:t>
      </w:r>
    </w:p>
    <w:p w:rsidR="00E05E44" w:rsidRPr="00BE086B" w:rsidRDefault="00E05E44" w:rsidP="00C63A65">
      <w:pPr>
        <w:pStyle w:val="af3"/>
        <w:spacing w:before="0" w:after="0" w:line="360" w:lineRule="auto"/>
        <w:ind w:firstLine="709"/>
        <w:jc w:val="center"/>
        <w:rPr>
          <w:b/>
          <w:sz w:val="28"/>
          <w:szCs w:val="28"/>
          <w:lang w:val="uk-UA"/>
        </w:rPr>
      </w:pPr>
      <w:r w:rsidRPr="00BE086B">
        <w:rPr>
          <w:b/>
          <w:sz w:val="28"/>
          <w:szCs w:val="28"/>
          <w:lang w:val="uk-UA"/>
        </w:rPr>
        <w:t>Середні рівні Т3, Т4 та ТТГ сироватки крові щурів на фоні внутрішньошлункового введення підвищених середньо ефективних доз препаратів за умов коморбідної патології</w:t>
      </w:r>
      <w:r w:rsidRPr="00BE086B">
        <w:rPr>
          <w:b/>
          <w:bCs/>
          <w:sz w:val="28"/>
          <w:szCs w:val="28"/>
          <w:lang w:val="uk-UA"/>
        </w:rPr>
        <w:t xml:space="preserve"> (М±</w:t>
      </w:r>
      <w:r w:rsidRPr="00BE086B">
        <w:rPr>
          <w:b/>
          <w:bCs/>
          <w:sz w:val="28"/>
          <w:szCs w:val="28"/>
          <w:lang w:val="en-US"/>
        </w:rPr>
        <w:t>SD</w:t>
      </w:r>
      <w:r w:rsidRPr="00BE086B">
        <w:rPr>
          <w:b/>
          <w:bCs/>
          <w:sz w:val="28"/>
          <w:szCs w:val="28"/>
          <w:lang w:val="uk-UA"/>
        </w:rPr>
        <w:t>)</w:t>
      </w:r>
    </w:p>
    <w:tbl>
      <w:tblPr>
        <w:tblW w:w="9294" w:type="dxa"/>
        <w:tblInd w:w="-114" w:type="dxa"/>
        <w:tblLayout w:type="fixed"/>
        <w:tblLook w:val="0000" w:firstRow="0" w:lastRow="0" w:firstColumn="0" w:lastColumn="0" w:noHBand="0" w:noVBand="0"/>
      </w:tblPr>
      <w:tblGrid>
        <w:gridCol w:w="3119"/>
        <w:gridCol w:w="910"/>
        <w:gridCol w:w="1053"/>
        <w:gridCol w:w="1053"/>
        <w:gridCol w:w="1053"/>
        <w:gridCol w:w="1053"/>
        <w:gridCol w:w="1053"/>
      </w:tblGrid>
      <w:tr w:rsidR="00E05E44" w:rsidRPr="00BE086B" w:rsidTr="009E1D3F">
        <w:tc>
          <w:tcPr>
            <w:tcW w:w="3119" w:type="dxa"/>
            <w:vMerge w:val="restart"/>
            <w:tcBorders>
              <w:top w:val="single" w:sz="4" w:space="0" w:color="000000"/>
              <w:left w:val="single" w:sz="4" w:space="0" w:color="000000"/>
            </w:tcBorders>
            <w:shd w:val="clear" w:color="auto" w:fill="auto"/>
            <w:tcMar>
              <w:left w:w="28" w:type="dxa"/>
              <w:right w:w="28" w:type="dxa"/>
            </w:tcMar>
            <w:vAlign w:val="center"/>
          </w:tcPr>
          <w:p w:rsidR="00E05E44" w:rsidRPr="00BE086B" w:rsidRDefault="00E05E44" w:rsidP="00FE437E">
            <w:pPr>
              <w:pStyle w:val="af3"/>
              <w:spacing w:before="0" w:after="0"/>
              <w:jc w:val="center"/>
              <w:rPr>
                <w:sz w:val="28"/>
                <w:szCs w:val="28"/>
                <w:lang w:val="uk-UA"/>
              </w:rPr>
            </w:pPr>
            <w:r w:rsidRPr="00BE086B">
              <w:rPr>
                <w:b/>
                <w:sz w:val="28"/>
                <w:szCs w:val="28"/>
                <w:lang w:val="uk-UA"/>
              </w:rPr>
              <w:t>Група, препарат</w:t>
            </w:r>
          </w:p>
          <w:p w:rsidR="00E05E44" w:rsidRPr="00BE086B" w:rsidRDefault="00E05E44" w:rsidP="00FE437E">
            <w:pPr>
              <w:pStyle w:val="af3"/>
              <w:spacing w:before="0" w:after="0"/>
              <w:jc w:val="center"/>
              <w:rPr>
                <w:sz w:val="28"/>
                <w:szCs w:val="28"/>
                <w:lang w:val="uk-UA"/>
              </w:rPr>
            </w:pPr>
            <w:r w:rsidRPr="00BE086B">
              <w:rPr>
                <w:b/>
                <w:sz w:val="28"/>
                <w:szCs w:val="28"/>
                <w:lang w:val="uk-UA"/>
              </w:rPr>
              <w:t>та його доза</w:t>
            </w:r>
          </w:p>
        </w:tc>
        <w:tc>
          <w:tcPr>
            <w:tcW w:w="3016" w:type="dxa"/>
            <w:gridSpan w:val="3"/>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pacing w:before="0" w:after="0"/>
              <w:jc w:val="center"/>
              <w:rPr>
                <w:b/>
                <w:sz w:val="28"/>
                <w:szCs w:val="28"/>
                <w:lang w:val="uk-UA"/>
              </w:rPr>
            </w:pPr>
            <w:r w:rsidRPr="00BE086B">
              <w:rPr>
                <w:b/>
                <w:sz w:val="28"/>
                <w:szCs w:val="28"/>
                <w:lang w:val="uk-UA"/>
              </w:rPr>
              <w:t>Вихідний стан (ВС)</w:t>
            </w:r>
          </w:p>
          <w:p w:rsidR="00E05E44" w:rsidRPr="00BE086B" w:rsidRDefault="00E05E44" w:rsidP="00FE437E">
            <w:pPr>
              <w:pStyle w:val="af3"/>
              <w:spacing w:before="0" w:after="0"/>
              <w:jc w:val="center"/>
              <w:rPr>
                <w:sz w:val="28"/>
                <w:szCs w:val="28"/>
                <w:lang w:val="uk-UA"/>
              </w:rPr>
            </w:pPr>
            <w:r w:rsidRPr="00BE086B">
              <w:rPr>
                <w:b/>
                <w:sz w:val="28"/>
                <w:szCs w:val="28"/>
                <w:lang w:val="uk-UA"/>
              </w:rPr>
              <w:t>(42 доба)</w:t>
            </w:r>
          </w:p>
        </w:tc>
        <w:tc>
          <w:tcPr>
            <w:tcW w:w="3159" w:type="dxa"/>
            <w:gridSpan w:val="3"/>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E05E44" w:rsidRPr="00BE086B" w:rsidRDefault="00E05E44" w:rsidP="00FE437E">
            <w:pPr>
              <w:pStyle w:val="af3"/>
              <w:spacing w:before="0" w:after="0"/>
              <w:jc w:val="center"/>
              <w:rPr>
                <w:sz w:val="28"/>
                <w:szCs w:val="28"/>
                <w:lang w:val="uk-UA"/>
              </w:rPr>
            </w:pPr>
            <w:r w:rsidRPr="00BE086B">
              <w:rPr>
                <w:b/>
                <w:sz w:val="28"/>
                <w:szCs w:val="28"/>
                <w:lang w:val="uk-UA"/>
              </w:rPr>
              <w:t>Рівень гормонів ЩЗ на 47 добу (через 5 діб після введення ЛЗ)</w:t>
            </w:r>
          </w:p>
        </w:tc>
      </w:tr>
      <w:tr w:rsidR="00E05E44" w:rsidRPr="00BE086B" w:rsidTr="009E1D3F">
        <w:tc>
          <w:tcPr>
            <w:tcW w:w="3119" w:type="dxa"/>
            <w:vMerge/>
            <w:tcBorders>
              <w:top w:val="single" w:sz="4" w:space="0" w:color="000000"/>
              <w:left w:val="single" w:sz="4" w:space="0" w:color="000000"/>
            </w:tcBorders>
            <w:shd w:val="clear" w:color="auto" w:fill="auto"/>
            <w:tcMar>
              <w:left w:w="28" w:type="dxa"/>
              <w:right w:w="28" w:type="dxa"/>
            </w:tcMar>
            <w:vAlign w:val="center"/>
          </w:tcPr>
          <w:p w:rsidR="00E05E44" w:rsidRPr="00BE086B" w:rsidRDefault="00E05E44" w:rsidP="00FE437E">
            <w:pPr>
              <w:pStyle w:val="af3"/>
              <w:snapToGrid w:val="0"/>
              <w:spacing w:before="0" w:after="0"/>
              <w:jc w:val="center"/>
              <w:rPr>
                <w:i/>
                <w:iCs/>
                <w:sz w:val="28"/>
                <w:szCs w:val="28"/>
                <w:lang w:val="uk-UA"/>
              </w:rPr>
            </w:pP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pacing w:before="0" w:after="0"/>
              <w:jc w:val="center"/>
              <w:rPr>
                <w:sz w:val="28"/>
                <w:szCs w:val="28"/>
                <w:lang w:val="uk-UA"/>
              </w:rPr>
            </w:pPr>
            <w:r w:rsidRPr="00BE086B">
              <w:rPr>
                <w:b/>
                <w:sz w:val="28"/>
                <w:szCs w:val="28"/>
                <w:lang w:val="uk-UA"/>
              </w:rPr>
              <w:t>ТТГ, нг/мл</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pacing w:before="0" w:after="0"/>
              <w:jc w:val="center"/>
              <w:rPr>
                <w:sz w:val="28"/>
                <w:szCs w:val="28"/>
                <w:lang w:val="uk-UA"/>
              </w:rPr>
            </w:pPr>
            <w:r w:rsidRPr="00BE086B">
              <w:rPr>
                <w:b/>
                <w:sz w:val="28"/>
                <w:szCs w:val="28"/>
                <w:lang w:val="uk-UA"/>
              </w:rPr>
              <w:t>Т3, пг/мл</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pacing w:before="0" w:after="0"/>
              <w:jc w:val="center"/>
              <w:rPr>
                <w:sz w:val="28"/>
                <w:szCs w:val="28"/>
                <w:lang w:val="uk-UA"/>
              </w:rPr>
            </w:pPr>
            <w:r w:rsidRPr="00BE086B">
              <w:rPr>
                <w:b/>
                <w:sz w:val="28"/>
                <w:szCs w:val="28"/>
                <w:lang w:val="uk-UA"/>
              </w:rPr>
              <w:t>Т4,</w:t>
            </w:r>
          </w:p>
          <w:p w:rsidR="00E05E44" w:rsidRPr="00BE086B" w:rsidRDefault="00E05E44" w:rsidP="00FE437E">
            <w:pPr>
              <w:pStyle w:val="af3"/>
              <w:spacing w:before="0" w:after="0"/>
              <w:jc w:val="center"/>
              <w:rPr>
                <w:sz w:val="28"/>
                <w:szCs w:val="28"/>
                <w:lang w:val="uk-UA"/>
              </w:rPr>
            </w:pPr>
            <w:r w:rsidRPr="00BE086B">
              <w:rPr>
                <w:b/>
                <w:sz w:val="28"/>
                <w:szCs w:val="28"/>
                <w:lang w:val="uk-UA"/>
              </w:rPr>
              <w:t>пг/мл</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pacing w:before="0" w:after="0"/>
              <w:jc w:val="center"/>
              <w:rPr>
                <w:sz w:val="28"/>
                <w:szCs w:val="28"/>
                <w:lang w:val="uk-UA"/>
              </w:rPr>
            </w:pPr>
            <w:r w:rsidRPr="00BE086B">
              <w:rPr>
                <w:b/>
                <w:sz w:val="28"/>
                <w:szCs w:val="28"/>
                <w:lang w:val="uk-UA"/>
              </w:rPr>
              <w:t>ТТГ, нг/мл</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pacing w:before="0" w:after="0"/>
              <w:jc w:val="center"/>
              <w:rPr>
                <w:sz w:val="28"/>
                <w:szCs w:val="28"/>
                <w:lang w:val="uk-UA"/>
              </w:rPr>
            </w:pPr>
            <w:r w:rsidRPr="00BE086B">
              <w:rPr>
                <w:b/>
                <w:sz w:val="28"/>
                <w:szCs w:val="28"/>
                <w:lang w:val="uk-UA"/>
              </w:rPr>
              <w:t>Т3, пг/мл</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E05E44" w:rsidRPr="00BE086B" w:rsidRDefault="00E05E44" w:rsidP="00FE437E">
            <w:pPr>
              <w:pStyle w:val="af3"/>
              <w:spacing w:before="0" w:after="0"/>
              <w:jc w:val="center"/>
              <w:rPr>
                <w:sz w:val="28"/>
                <w:szCs w:val="28"/>
                <w:lang w:val="uk-UA"/>
              </w:rPr>
            </w:pPr>
            <w:r w:rsidRPr="00BE086B">
              <w:rPr>
                <w:b/>
                <w:sz w:val="28"/>
                <w:szCs w:val="28"/>
                <w:lang w:val="uk-UA"/>
              </w:rPr>
              <w:t>Т4, пг/мл</w:t>
            </w:r>
          </w:p>
        </w:tc>
      </w:tr>
      <w:tr w:rsidR="009E1D3F" w:rsidRPr="00BE086B" w:rsidTr="009E1D3F">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E437E">
            <w:pPr>
              <w:pStyle w:val="af3"/>
              <w:snapToGrid w:val="0"/>
              <w:spacing w:before="0" w:after="0"/>
              <w:jc w:val="center"/>
              <w:rPr>
                <w:sz w:val="28"/>
                <w:szCs w:val="28"/>
                <w:lang w:val="uk-UA"/>
              </w:rPr>
            </w:pPr>
            <w:r w:rsidRPr="00BE086B">
              <w:rPr>
                <w:sz w:val="28"/>
                <w:szCs w:val="28"/>
                <w:lang w:val="uk-UA"/>
              </w:rPr>
              <w:t>2</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E437E">
            <w:pPr>
              <w:pStyle w:val="af3"/>
              <w:snapToGrid w:val="0"/>
              <w:spacing w:before="0" w:after="0"/>
              <w:jc w:val="center"/>
              <w:rPr>
                <w:sz w:val="28"/>
                <w:szCs w:val="28"/>
                <w:lang w:val="uk-UA"/>
              </w:rPr>
            </w:pPr>
            <w:r w:rsidRPr="00BE086B">
              <w:rPr>
                <w:sz w:val="28"/>
                <w:szCs w:val="28"/>
                <w:lang w:val="uk-UA"/>
              </w:rPr>
              <w:t>3</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E437E">
            <w:pPr>
              <w:pStyle w:val="af3"/>
              <w:snapToGrid w:val="0"/>
              <w:spacing w:before="0" w:after="0"/>
              <w:jc w:val="center"/>
              <w:rPr>
                <w:sz w:val="28"/>
                <w:szCs w:val="28"/>
                <w:lang w:val="uk-UA"/>
              </w:rPr>
            </w:pPr>
            <w:r w:rsidRPr="00BE086B">
              <w:rPr>
                <w:sz w:val="28"/>
                <w:szCs w:val="28"/>
                <w:lang w:val="uk-UA"/>
              </w:rPr>
              <w:t>4</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E437E">
            <w:pPr>
              <w:pStyle w:val="af3"/>
              <w:snapToGrid w:val="0"/>
              <w:spacing w:before="0" w:after="0"/>
              <w:jc w:val="center"/>
              <w:rPr>
                <w:sz w:val="28"/>
                <w:szCs w:val="28"/>
                <w:lang w:val="uk-UA"/>
              </w:rPr>
            </w:pPr>
            <w:r w:rsidRPr="00BE086B">
              <w:rPr>
                <w:sz w:val="28"/>
                <w:szCs w:val="28"/>
                <w:lang w:val="uk-UA"/>
              </w:rPr>
              <w:t>5</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E437E">
            <w:pPr>
              <w:pStyle w:val="af3"/>
              <w:snapToGrid w:val="0"/>
              <w:spacing w:before="0" w:after="0"/>
              <w:jc w:val="center"/>
              <w:rPr>
                <w:sz w:val="28"/>
                <w:szCs w:val="28"/>
                <w:lang w:val="uk-UA"/>
              </w:rPr>
            </w:pPr>
            <w:r w:rsidRPr="00BE086B">
              <w:rPr>
                <w:sz w:val="28"/>
                <w:szCs w:val="28"/>
                <w:lang w:val="uk-UA"/>
              </w:rPr>
              <w:t>6</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9E1D3F" w:rsidRPr="00BE086B" w:rsidRDefault="009E1D3F" w:rsidP="00FE437E">
            <w:pPr>
              <w:pStyle w:val="af3"/>
              <w:snapToGrid w:val="0"/>
              <w:spacing w:before="0" w:after="0"/>
              <w:jc w:val="center"/>
              <w:rPr>
                <w:sz w:val="28"/>
                <w:szCs w:val="28"/>
                <w:lang w:val="uk-UA"/>
              </w:rPr>
            </w:pPr>
            <w:r w:rsidRPr="00BE086B">
              <w:rPr>
                <w:sz w:val="28"/>
                <w:szCs w:val="28"/>
                <w:lang w:val="uk-UA"/>
              </w:rPr>
              <w:t>7</w:t>
            </w:r>
          </w:p>
        </w:tc>
      </w:tr>
      <w:tr w:rsidR="00E05E44" w:rsidRPr="00BE086B" w:rsidTr="009E1D3F">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Інтактні щури (ІЩ)</w:t>
            </w:r>
          </w:p>
          <w:p w:rsidR="00E05E44" w:rsidRPr="00BE086B" w:rsidRDefault="00E05E44"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(n=10)</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12,34</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±3,77</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28,1</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±3,54</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23,4</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±2,97</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11,7</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±3,56</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26,7</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±3,67</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23,7</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±3,73</w:t>
            </w:r>
          </w:p>
        </w:tc>
      </w:tr>
      <w:tr w:rsidR="00E05E44" w:rsidRPr="00BE086B" w:rsidTr="009E1D3F">
        <w:tc>
          <w:tcPr>
            <w:tcW w:w="3119" w:type="dxa"/>
            <w:tcBorders>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rPr>
              <w:t xml:space="preserve">І група ОА+ГІТ </w:t>
            </w:r>
            <w:r w:rsidRPr="00BE086B">
              <w:rPr>
                <w:rFonts w:ascii="Times New Roman" w:hAnsi="Times New Roman" w:cs="Times New Roman"/>
                <w:color w:val="auto"/>
                <w:sz w:val="28"/>
                <w:szCs w:val="28"/>
                <w:lang w:val="uk-UA"/>
              </w:rPr>
              <w:t>(без «лікування») (n=10)</w:t>
            </w:r>
          </w:p>
        </w:tc>
        <w:tc>
          <w:tcPr>
            <w:tcW w:w="910" w:type="dxa"/>
            <w:tcBorders>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64,8</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±13,59</w:t>
            </w:r>
          </w:p>
        </w:tc>
        <w:tc>
          <w:tcPr>
            <w:tcW w:w="1053" w:type="dxa"/>
            <w:tcBorders>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27,1</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±3,29</w:t>
            </w:r>
          </w:p>
        </w:tc>
        <w:tc>
          <w:tcPr>
            <w:tcW w:w="1053" w:type="dxa"/>
            <w:tcBorders>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8,7</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±3,35</w:t>
            </w:r>
          </w:p>
        </w:tc>
        <w:tc>
          <w:tcPr>
            <w:tcW w:w="1053" w:type="dxa"/>
            <w:tcBorders>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65,2</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±3,51</w:t>
            </w:r>
          </w:p>
        </w:tc>
        <w:tc>
          <w:tcPr>
            <w:tcW w:w="1053" w:type="dxa"/>
            <w:tcBorders>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27,7</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±3,35</w:t>
            </w:r>
          </w:p>
        </w:tc>
        <w:tc>
          <w:tcPr>
            <w:tcW w:w="1053" w:type="dxa"/>
            <w:tcBorders>
              <w:left w:val="single" w:sz="4" w:space="0" w:color="000000"/>
              <w:bottom w:val="single" w:sz="4" w:space="0" w:color="000000"/>
              <w:right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8,6</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±2,88</w:t>
            </w:r>
          </w:p>
        </w:tc>
      </w:tr>
      <w:tr w:rsidR="00E05E44" w:rsidRPr="00BE086B" w:rsidTr="009E1D3F">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ІІІ група </w:t>
            </w:r>
            <w:r w:rsidRPr="00BE086B">
              <w:rPr>
                <w:rFonts w:ascii="Times New Roman" w:hAnsi="Times New Roman" w:cs="Times New Roman"/>
                <w:color w:val="auto"/>
                <w:sz w:val="28"/>
                <w:szCs w:val="28"/>
              </w:rPr>
              <w:t>ОА+ГІТ</w:t>
            </w:r>
            <w:r w:rsidRPr="00BE086B">
              <w:rPr>
                <w:rFonts w:ascii="Times New Roman" w:hAnsi="Times New Roman" w:cs="Times New Roman"/>
                <w:color w:val="auto"/>
                <w:sz w:val="28"/>
                <w:szCs w:val="28"/>
                <w:lang w:val="uk-UA"/>
              </w:rPr>
              <w:t xml:space="preserve"> + диклофенак натрію (Д) 12 мг/кг (n=10)</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65,14</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±12,59</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28,2</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±3,83</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8,1</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±2,79</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56,1</w:t>
            </w:r>
            <w:r w:rsidRPr="00BE086B">
              <w:rPr>
                <w:bCs/>
                <w:i/>
                <w:sz w:val="28"/>
                <w:szCs w:val="28"/>
                <w:vertAlign w:val="superscript"/>
                <w:lang w:val="uk-UA" w:eastAsia="ru-RU"/>
              </w:rPr>
              <w:t>¤</w:t>
            </w:r>
            <w:r w:rsidRPr="00BE086B">
              <w:rPr>
                <w:bCs/>
                <w:sz w:val="28"/>
                <w:szCs w:val="28"/>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±3,25</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30,9</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±3,68</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9,3</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±2,77</w:t>
            </w:r>
          </w:p>
        </w:tc>
      </w:tr>
      <w:tr w:rsidR="00E05E44" w:rsidRPr="00BE086B" w:rsidTr="009E1D3F">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9E1D3F">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V група ГІТ + ібупрофен (І)</w:t>
            </w:r>
            <w:r w:rsidR="009E1D3F"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uk-UA"/>
              </w:rPr>
              <w:t>7 мг/кг (n=10)</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66,0</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±3,81</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27,3</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±3,80</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7,4</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±2,30</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44,7</w:t>
            </w:r>
            <w:r w:rsidRPr="00BE086B">
              <w:rPr>
                <w:rFonts w:ascii="Times New Roman" w:hAnsi="Times New Roman" w:cs="Times New Roman"/>
                <w:bCs/>
                <w:i/>
                <w:color w:val="auto"/>
                <w:sz w:val="28"/>
                <w:szCs w:val="28"/>
                <w:vertAlign w:val="superscript"/>
                <w:lang w:val="uk-UA" w:eastAsia="ru-RU"/>
              </w:rPr>
              <w:t>¤</w:t>
            </w:r>
            <w:r w:rsidRPr="00BE086B">
              <w:rPr>
                <w:rFonts w:ascii="Times New Roman" w:hAnsi="Times New Roman" w:cs="Times New Roman"/>
                <w:color w:val="auto"/>
                <w:sz w:val="28"/>
                <w:szCs w:val="28"/>
                <w:lang w:val="uk-UA"/>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±3,56</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30,6</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±3,85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9,1</w:t>
            </w:r>
            <w:r w:rsidRPr="00BE086B">
              <w:rPr>
                <w:rFonts w:ascii="Times New Roman" w:hAnsi="Times New Roman" w:cs="Times New Roman"/>
                <w:bCs/>
                <w:i/>
                <w:color w:val="auto"/>
                <w:sz w:val="28"/>
                <w:szCs w:val="28"/>
                <w:vertAlign w:val="superscript"/>
                <w:lang w:val="uk-UA" w:eastAsia="ru-RU"/>
              </w:rPr>
              <w:t>¤</w:t>
            </w:r>
            <w:r w:rsidRPr="00BE086B">
              <w:rPr>
                <w:rFonts w:ascii="Times New Roman" w:hAnsi="Times New Roman" w:cs="Times New Roman"/>
                <w:color w:val="auto"/>
                <w:sz w:val="28"/>
                <w:szCs w:val="28"/>
                <w:lang w:val="uk-UA"/>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±1,40</w:t>
            </w:r>
          </w:p>
        </w:tc>
      </w:tr>
      <w:tr w:rsidR="00E05E44" w:rsidRPr="00BE086B" w:rsidTr="009E1D3F">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VІІ група </w:t>
            </w:r>
            <w:r w:rsidRPr="00BE086B">
              <w:rPr>
                <w:rFonts w:ascii="Times New Roman" w:hAnsi="Times New Roman" w:cs="Times New Roman"/>
                <w:color w:val="auto"/>
                <w:sz w:val="28"/>
                <w:szCs w:val="28"/>
              </w:rPr>
              <w:t>ОА+ГІТ</w:t>
            </w:r>
            <w:r w:rsidRPr="00BE086B">
              <w:rPr>
                <w:rFonts w:ascii="Times New Roman" w:hAnsi="Times New Roman" w:cs="Times New Roman"/>
                <w:color w:val="auto"/>
                <w:sz w:val="28"/>
                <w:szCs w:val="28"/>
                <w:lang w:val="uk-UA"/>
              </w:rPr>
              <w:t xml:space="preserve"> + мелоксикам (Мел)</w:t>
            </w:r>
          </w:p>
          <w:p w:rsidR="00E05E44" w:rsidRPr="00BE086B" w:rsidRDefault="00E05E44"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12 мг/кг (n=10)</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64,2</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±3,27</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26,4</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±3,97</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8,4</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±2,70</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49,7</w:t>
            </w:r>
            <w:r w:rsidRPr="00BE086B">
              <w:rPr>
                <w:rFonts w:ascii="Times New Roman" w:hAnsi="Times New Roman" w:cs="Times New Roman"/>
                <w:bCs/>
                <w:i/>
                <w:color w:val="auto"/>
                <w:sz w:val="28"/>
                <w:szCs w:val="28"/>
                <w:vertAlign w:val="superscript"/>
                <w:lang w:val="uk-UA" w:eastAsia="ru-RU"/>
              </w:rPr>
              <w:t>¤</w:t>
            </w:r>
            <w:r w:rsidRPr="00BE086B">
              <w:rPr>
                <w:rFonts w:ascii="Times New Roman" w:hAnsi="Times New Roman" w:cs="Times New Roman"/>
                <w:color w:val="auto"/>
                <w:sz w:val="28"/>
                <w:szCs w:val="28"/>
                <w:lang w:val="uk-UA"/>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±3,53</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28,1</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±3,51</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10,7</w:t>
            </w:r>
            <w:r w:rsidRPr="00BE086B">
              <w:rPr>
                <w:rFonts w:ascii="Times New Roman" w:hAnsi="Times New Roman" w:cs="Times New Roman"/>
                <w:bCs/>
                <w:i/>
                <w:color w:val="auto"/>
                <w:sz w:val="28"/>
                <w:szCs w:val="28"/>
                <w:vertAlign w:val="superscript"/>
                <w:lang w:val="uk-UA" w:eastAsia="ru-RU"/>
              </w:rPr>
              <w:t>¤</w:t>
            </w:r>
            <w:r w:rsidRPr="00BE086B">
              <w:rPr>
                <w:rFonts w:ascii="Times New Roman" w:hAnsi="Times New Roman" w:cs="Times New Roman"/>
                <w:color w:val="auto"/>
                <w:sz w:val="28"/>
                <w:szCs w:val="28"/>
                <w:lang w:val="uk-UA"/>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±2,15</w:t>
            </w:r>
          </w:p>
        </w:tc>
      </w:tr>
      <w:tr w:rsidR="00E05E44" w:rsidRPr="00BE086B" w:rsidTr="009E1D3F">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ІХ група </w:t>
            </w:r>
            <w:r w:rsidRPr="00BE086B">
              <w:rPr>
                <w:rFonts w:ascii="Times New Roman" w:hAnsi="Times New Roman" w:cs="Times New Roman"/>
                <w:color w:val="auto"/>
                <w:sz w:val="28"/>
                <w:szCs w:val="28"/>
              </w:rPr>
              <w:t>ОА+ГІТ</w:t>
            </w:r>
            <w:r w:rsidRPr="00BE086B">
              <w:rPr>
                <w:rFonts w:ascii="Times New Roman" w:hAnsi="Times New Roman" w:cs="Times New Roman"/>
                <w:color w:val="auto"/>
                <w:sz w:val="28"/>
                <w:szCs w:val="28"/>
                <w:lang w:val="uk-UA"/>
              </w:rPr>
              <w:t xml:space="preserve"> + парацетамол (П)</w:t>
            </w:r>
          </w:p>
          <w:p w:rsidR="00E05E44" w:rsidRPr="00BE086B" w:rsidRDefault="00E05E44" w:rsidP="00FE437E">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300 мг/кг (n=10)</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65,3</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±3,38</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26,6</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±3,91</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af3"/>
              <w:snapToGrid w:val="0"/>
              <w:spacing w:before="0" w:after="0"/>
              <w:jc w:val="center"/>
              <w:rPr>
                <w:sz w:val="28"/>
                <w:szCs w:val="28"/>
                <w:lang w:val="uk-UA"/>
              </w:rPr>
            </w:pPr>
            <w:r w:rsidRPr="00BE086B">
              <w:rPr>
                <w:sz w:val="28"/>
                <w:szCs w:val="28"/>
                <w:lang w:val="uk-UA"/>
              </w:rPr>
              <w:t>7,8</w:t>
            </w:r>
            <w:r w:rsidRPr="00BE086B">
              <w:rPr>
                <w:bCs/>
                <w:i/>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±2,39</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66,4</w:t>
            </w:r>
            <w:r w:rsidRPr="00BE086B">
              <w:rPr>
                <w:rFonts w:ascii="Times New Roman" w:hAnsi="Times New Roman" w:cs="Times New Roman"/>
                <w:bCs/>
                <w:i/>
                <w:color w:val="auto"/>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±3,51</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27,1</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±3,71</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E05E44" w:rsidRPr="00BE086B" w:rsidRDefault="00E05E44" w:rsidP="00FE437E">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8,1</w:t>
            </w:r>
            <w:r w:rsidRPr="00BE086B">
              <w:rPr>
                <w:rFonts w:ascii="Times New Roman" w:hAnsi="Times New Roman" w:cs="Times New Roman"/>
                <w:bCs/>
                <w:i/>
                <w:color w:val="auto"/>
                <w:sz w:val="28"/>
                <w:szCs w:val="28"/>
                <w:vertAlign w:val="superscript"/>
                <w:lang w:val="uk-UA" w:eastAsia="ru-RU"/>
              </w:rPr>
              <w:t>¤</w:t>
            </w:r>
          </w:p>
          <w:p w:rsidR="00E05E44" w:rsidRPr="00BE086B" w:rsidRDefault="00E05E44" w:rsidP="00FE437E">
            <w:pPr>
              <w:pStyle w:val="af3"/>
              <w:snapToGrid w:val="0"/>
              <w:spacing w:before="0" w:after="0"/>
              <w:jc w:val="center"/>
              <w:rPr>
                <w:sz w:val="28"/>
                <w:szCs w:val="28"/>
                <w:lang w:val="uk-UA"/>
              </w:rPr>
            </w:pPr>
            <w:r w:rsidRPr="00BE086B">
              <w:rPr>
                <w:sz w:val="28"/>
                <w:szCs w:val="28"/>
                <w:lang w:val="uk-UA"/>
              </w:rPr>
              <w:t>±3,21</w:t>
            </w:r>
          </w:p>
        </w:tc>
      </w:tr>
    </w:tbl>
    <w:p w:rsidR="009E1D3F" w:rsidRPr="00BE086B" w:rsidRDefault="009E1D3F" w:rsidP="009E1D3F">
      <w:pPr>
        <w:pStyle w:val="af0"/>
        <w:spacing w:line="240" w:lineRule="auto"/>
        <w:jc w:val="right"/>
        <w:rPr>
          <w:i/>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6.2</w:t>
      </w:r>
    </w:p>
    <w:tbl>
      <w:tblPr>
        <w:tblW w:w="9294" w:type="dxa"/>
        <w:tblInd w:w="-114" w:type="dxa"/>
        <w:tblLayout w:type="fixed"/>
        <w:tblLook w:val="0000" w:firstRow="0" w:lastRow="0" w:firstColumn="0" w:lastColumn="0" w:noHBand="0" w:noVBand="0"/>
      </w:tblPr>
      <w:tblGrid>
        <w:gridCol w:w="3119"/>
        <w:gridCol w:w="910"/>
        <w:gridCol w:w="1053"/>
        <w:gridCol w:w="1053"/>
        <w:gridCol w:w="1053"/>
        <w:gridCol w:w="1053"/>
        <w:gridCol w:w="1053"/>
      </w:tblGrid>
      <w:tr w:rsidR="009E1D3F" w:rsidRPr="00BE086B" w:rsidTr="00F66F9B">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2</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3</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4</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5</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6</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9E1D3F" w:rsidRPr="00BE086B" w:rsidRDefault="009E1D3F" w:rsidP="00F66F9B">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7</w:t>
            </w:r>
          </w:p>
        </w:tc>
      </w:tr>
      <w:tr w:rsidR="009E1D3F" w:rsidRPr="00BE086B" w:rsidTr="00F66F9B">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 група </w:t>
            </w:r>
            <w:r w:rsidRPr="00BE086B">
              <w:rPr>
                <w:rFonts w:ascii="Times New Roman" w:hAnsi="Times New Roman" w:cs="Times New Roman"/>
                <w:color w:val="auto"/>
                <w:sz w:val="28"/>
                <w:szCs w:val="28"/>
              </w:rPr>
              <w:t>ОА+ГІТ</w:t>
            </w:r>
            <w:r w:rsidRPr="00BE086B">
              <w:rPr>
                <w:rFonts w:ascii="Times New Roman" w:hAnsi="Times New Roman" w:cs="Times New Roman"/>
                <w:color w:val="auto"/>
                <w:sz w:val="28"/>
                <w:szCs w:val="28"/>
                <w:lang w:val="uk-UA"/>
              </w:rPr>
              <w:t xml:space="preserve"> + німесулід (Н)</w:t>
            </w:r>
          </w:p>
          <w:p w:rsidR="009E1D3F" w:rsidRPr="00BE086B" w:rsidRDefault="009E1D3F" w:rsidP="00F66F9B">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100 мг/кг (n=10)</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64,7</w:t>
            </w:r>
            <w:r w:rsidRPr="00BE086B">
              <w:rPr>
                <w:bCs/>
                <w:i/>
                <w:sz w:val="28"/>
                <w:szCs w:val="28"/>
                <w:vertAlign w:val="superscript"/>
                <w:lang w:val="uk-UA" w:eastAsia="ru-RU"/>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±3,35</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30,0</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±3,16</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9,1</w:t>
            </w:r>
            <w:r w:rsidRPr="00BE086B">
              <w:rPr>
                <w:bCs/>
                <w:i/>
                <w:sz w:val="28"/>
                <w:szCs w:val="28"/>
                <w:vertAlign w:val="superscript"/>
                <w:lang w:val="uk-UA" w:eastAsia="ru-RU"/>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±2,44</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46,3</w:t>
            </w:r>
            <w:r w:rsidRPr="00BE086B">
              <w:rPr>
                <w:rFonts w:ascii="Times New Roman" w:hAnsi="Times New Roman" w:cs="Times New Roman"/>
                <w:bCs/>
                <w:i/>
                <w:color w:val="auto"/>
                <w:sz w:val="28"/>
                <w:szCs w:val="28"/>
                <w:vertAlign w:val="superscript"/>
                <w:lang w:val="uk-UA" w:eastAsia="ru-RU"/>
              </w:rPr>
              <w:t>¤</w:t>
            </w:r>
            <w:r w:rsidRPr="00BE086B">
              <w:rPr>
                <w:rFonts w:ascii="Times New Roman" w:hAnsi="Times New Roman" w:cs="Times New Roman"/>
                <w:color w:val="auto"/>
                <w:sz w:val="28"/>
                <w:szCs w:val="28"/>
                <w:lang w:val="uk-UA"/>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±3,49</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34,4</w:t>
            </w:r>
            <w:r w:rsidRPr="00BE086B">
              <w:rPr>
                <w:rFonts w:ascii="Times New Roman" w:hAnsi="Times New Roman" w:cs="Times New Roman"/>
                <w:bCs/>
                <w:i/>
                <w:color w:val="auto"/>
                <w:sz w:val="28"/>
                <w:szCs w:val="28"/>
                <w:vertAlign w:val="superscript"/>
                <w:lang w:val="uk-UA" w:eastAsia="ru-RU"/>
              </w:rPr>
              <w:t>¤</w:t>
            </w:r>
            <w:r w:rsidRPr="00BE086B">
              <w:rPr>
                <w:rFonts w:ascii="Times New Roman" w:hAnsi="Times New Roman" w:cs="Times New Roman"/>
                <w:color w:val="auto"/>
                <w:sz w:val="28"/>
                <w:szCs w:val="28"/>
                <w:lang w:val="uk-UA"/>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±3,65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9E1D3F" w:rsidRPr="00BE086B" w:rsidRDefault="009E1D3F" w:rsidP="00F66F9B">
            <w:pPr>
              <w:pStyle w:val="western"/>
              <w:snapToGrid w:val="0"/>
              <w:spacing w:before="0"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11,5</w:t>
            </w:r>
            <w:r w:rsidRPr="00BE086B">
              <w:rPr>
                <w:rFonts w:ascii="Times New Roman" w:hAnsi="Times New Roman" w:cs="Times New Roman"/>
                <w:bCs/>
                <w:i/>
                <w:color w:val="auto"/>
                <w:sz w:val="28"/>
                <w:szCs w:val="28"/>
                <w:vertAlign w:val="superscript"/>
                <w:lang w:val="uk-UA" w:eastAsia="ru-RU"/>
              </w:rPr>
              <w:t>¤</w:t>
            </w:r>
            <w:r w:rsidRPr="00BE086B">
              <w:rPr>
                <w:rFonts w:ascii="Times New Roman" w:hAnsi="Times New Roman" w:cs="Times New Roman"/>
                <w:color w:val="auto"/>
                <w:sz w:val="28"/>
                <w:szCs w:val="28"/>
                <w:lang w:val="uk-UA"/>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±2,35</w:t>
            </w:r>
          </w:p>
        </w:tc>
      </w:tr>
      <w:tr w:rsidR="009E1D3F" w:rsidRPr="00BE086B" w:rsidTr="00F66F9B">
        <w:tc>
          <w:tcPr>
            <w:tcW w:w="3119"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ХІІІ група </w:t>
            </w:r>
            <w:r w:rsidRPr="00BE086B">
              <w:rPr>
                <w:rFonts w:ascii="Times New Roman" w:hAnsi="Times New Roman" w:cs="Times New Roman"/>
                <w:color w:val="auto"/>
                <w:sz w:val="28"/>
                <w:szCs w:val="28"/>
              </w:rPr>
              <w:t>ОА+ГІТ</w:t>
            </w:r>
            <w:r w:rsidRPr="00BE086B">
              <w:rPr>
                <w:rFonts w:ascii="Times New Roman" w:hAnsi="Times New Roman" w:cs="Times New Roman"/>
                <w:color w:val="auto"/>
                <w:sz w:val="28"/>
                <w:szCs w:val="28"/>
                <w:lang w:val="uk-UA"/>
              </w:rPr>
              <w:t xml:space="preserve"> + целекоксиб (Ц)</w:t>
            </w:r>
          </w:p>
          <w:p w:rsidR="009E1D3F" w:rsidRPr="00BE086B" w:rsidRDefault="009E1D3F" w:rsidP="00F66F9B">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60 мг/кг (n=10)</w:t>
            </w:r>
          </w:p>
        </w:tc>
        <w:tc>
          <w:tcPr>
            <w:tcW w:w="910"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64,1</w:t>
            </w:r>
            <w:r w:rsidRPr="00BE086B">
              <w:rPr>
                <w:bCs/>
                <w:i/>
                <w:sz w:val="28"/>
                <w:szCs w:val="28"/>
                <w:vertAlign w:val="superscript"/>
                <w:lang w:val="uk-UA" w:eastAsia="ru-RU"/>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±3,32</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26,9</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±3,85</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7,2</w:t>
            </w:r>
            <w:r w:rsidRPr="00BE086B">
              <w:rPr>
                <w:bCs/>
                <w:i/>
                <w:sz w:val="28"/>
                <w:szCs w:val="28"/>
                <w:vertAlign w:val="superscript"/>
                <w:lang w:val="uk-UA" w:eastAsia="ru-RU"/>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±2,59</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55,7</w:t>
            </w:r>
            <w:r w:rsidRPr="00BE086B">
              <w:rPr>
                <w:bCs/>
                <w:i/>
                <w:sz w:val="28"/>
                <w:szCs w:val="28"/>
                <w:vertAlign w:val="superscript"/>
                <w:lang w:val="uk-UA" w:eastAsia="ru-RU"/>
              </w:rPr>
              <w:t>¤</w:t>
            </w:r>
            <w:r w:rsidRPr="00BE086B">
              <w:rPr>
                <w:sz w:val="28"/>
                <w:szCs w:val="28"/>
                <w:lang w:val="uk-UA"/>
              </w:rPr>
              <w:t>#</w:t>
            </w:r>
            <w:r w:rsidRPr="00BE086B">
              <w:rPr>
                <w:bCs/>
                <w:i/>
                <w:sz w:val="28"/>
                <w:szCs w:val="28"/>
                <w:lang w:val="uk-UA" w:eastAsia="ru-RU"/>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±3,23</w:t>
            </w:r>
          </w:p>
        </w:tc>
        <w:tc>
          <w:tcPr>
            <w:tcW w:w="1053" w:type="dxa"/>
            <w:tcBorders>
              <w:top w:val="single" w:sz="4" w:space="0" w:color="000000"/>
              <w:left w:val="single" w:sz="4" w:space="0" w:color="000000"/>
              <w:bottom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29,4</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±3,85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9E1D3F" w:rsidRPr="00BE086B" w:rsidRDefault="009E1D3F" w:rsidP="00F66F9B">
            <w:pPr>
              <w:pStyle w:val="af3"/>
              <w:snapToGrid w:val="0"/>
              <w:spacing w:before="0" w:after="0"/>
              <w:jc w:val="center"/>
              <w:rPr>
                <w:sz w:val="28"/>
                <w:szCs w:val="28"/>
                <w:lang w:val="uk-UA"/>
              </w:rPr>
            </w:pPr>
            <w:r w:rsidRPr="00BE086B">
              <w:rPr>
                <w:sz w:val="28"/>
                <w:szCs w:val="28"/>
                <w:lang w:val="uk-UA"/>
              </w:rPr>
              <w:t>8,2</w:t>
            </w:r>
            <w:r w:rsidRPr="00BE086B">
              <w:rPr>
                <w:bCs/>
                <w:i/>
                <w:sz w:val="28"/>
                <w:szCs w:val="28"/>
                <w:vertAlign w:val="superscript"/>
                <w:lang w:val="uk-UA" w:eastAsia="ru-RU"/>
              </w:rPr>
              <w:t>¤</w:t>
            </w:r>
          </w:p>
          <w:p w:rsidR="009E1D3F" w:rsidRPr="00BE086B" w:rsidRDefault="009E1D3F" w:rsidP="00F66F9B">
            <w:pPr>
              <w:pStyle w:val="af3"/>
              <w:snapToGrid w:val="0"/>
              <w:spacing w:before="0" w:after="0"/>
              <w:jc w:val="center"/>
              <w:rPr>
                <w:sz w:val="28"/>
                <w:szCs w:val="28"/>
                <w:lang w:val="uk-UA"/>
              </w:rPr>
            </w:pPr>
            <w:r w:rsidRPr="00BE086B">
              <w:rPr>
                <w:sz w:val="28"/>
                <w:szCs w:val="28"/>
                <w:lang w:val="uk-UA"/>
              </w:rPr>
              <w:t>±2,86</w:t>
            </w:r>
          </w:p>
        </w:tc>
      </w:tr>
    </w:tbl>
    <w:p w:rsidR="00E05E44" w:rsidRPr="00BE086B" w:rsidRDefault="00E05E44" w:rsidP="009E1D3F">
      <w:pPr>
        <w:keepNext/>
        <w:suppressAutoHyphens w:val="0"/>
        <w:spacing w:line="360" w:lineRule="auto"/>
        <w:ind w:firstLine="709"/>
        <w:jc w:val="both"/>
        <w:rPr>
          <w:sz w:val="28"/>
          <w:szCs w:val="28"/>
          <w:lang w:val="uk-UA"/>
        </w:rPr>
      </w:pPr>
      <w:r w:rsidRPr="00BE086B">
        <w:rPr>
          <w:b/>
          <w:sz w:val="28"/>
          <w:szCs w:val="28"/>
          <w:lang w:val="uk-UA"/>
        </w:rPr>
        <w:t>Примітк</w:t>
      </w:r>
      <w:r w:rsidR="00FE437E" w:rsidRPr="00BE086B">
        <w:rPr>
          <w:b/>
          <w:sz w:val="28"/>
          <w:szCs w:val="28"/>
          <w:lang w:val="uk-UA"/>
        </w:rPr>
        <w:t>и</w:t>
      </w:r>
      <w:r w:rsidRPr="00BE086B">
        <w:rPr>
          <w:b/>
          <w:sz w:val="28"/>
          <w:szCs w:val="28"/>
          <w:lang w:val="uk-UA"/>
        </w:rPr>
        <w:t>:</w:t>
      </w:r>
      <w:r w:rsidRPr="00BE086B">
        <w:rPr>
          <w:sz w:val="28"/>
          <w:szCs w:val="28"/>
          <w:lang w:val="uk-UA"/>
        </w:rPr>
        <w:t xml:space="preserve"> # -</w:t>
      </w:r>
      <w:r w:rsidRPr="00BE086B">
        <w:rPr>
          <w:iCs/>
          <w:sz w:val="28"/>
          <w:szCs w:val="28"/>
          <w:lang w:val="uk-UA"/>
        </w:rPr>
        <w:t xml:space="preserve"> р </w:t>
      </w:r>
      <w:r w:rsidRPr="00BE086B">
        <w:rPr>
          <w:rFonts w:eastAsia="Calibri"/>
          <w:iCs/>
          <w:sz w:val="28"/>
          <w:szCs w:val="28"/>
          <w:lang w:eastAsia="en-US"/>
        </w:rPr>
        <w:t>&lt;</w:t>
      </w:r>
      <w:r w:rsidRPr="00BE086B">
        <w:rPr>
          <w:iCs/>
          <w:sz w:val="28"/>
          <w:szCs w:val="28"/>
          <w:lang w:val="uk-UA"/>
        </w:rPr>
        <w:t xml:space="preserve"> 0,05 по відношенню до відповідного показника у вихідному стані (ВС) (42 доба);</w:t>
      </w:r>
      <w:r w:rsidRPr="00BE086B">
        <w:rPr>
          <w:sz w:val="28"/>
          <w:szCs w:val="28"/>
          <w:lang w:val="uk-UA"/>
        </w:rPr>
        <w:t xml:space="preserve"> * - </w:t>
      </w:r>
      <w:r w:rsidRPr="00BE086B">
        <w:rPr>
          <w:rFonts w:eastAsia="Calibri"/>
          <w:iCs/>
          <w:sz w:val="28"/>
          <w:szCs w:val="28"/>
          <w:lang w:val="uk-UA" w:eastAsia="en-US"/>
        </w:rPr>
        <w:t xml:space="preserve">р </w:t>
      </w:r>
      <w:r w:rsidRPr="00BE086B">
        <w:rPr>
          <w:rFonts w:eastAsia="Calibri"/>
          <w:iCs/>
          <w:sz w:val="28"/>
          <w:szCs w:val="28"/>
          <w:lang w:eastAsia="en-US"/>
        </w:rPr>
        <w:t>&lt;</w:t>
      </w:r>
      <w:r w:rsidRPr="00BE086B">
        <w:rPr>
          <w:rFonts w:eastAsia="Calibri"/>
          <w:iCs/>
          <w:sz w:val="28"/>
          <w:szCs w:val="28"/>
          <w:lang w:val="uk-UA" w:eastAsia="en-US"/>
        </w:rPr>
        <w:t xml:space="preserve"> 0,05 у порівнянні з показниками групи активного контролю (</w:t>
      </w:r>
      <w:r w:rsidRPr="00BE086B">
        <w:rPr>
          <w:sz w:val="28"/>
          <w:szCs w:val="28"/>
          <w:lang w:val="uk-UA"/>
        </w:rPr>
        <w:t xml:space="preserve">І </w:t>
      </w:r>
      <w:r w:rsidRPr="00BE086B">
        <w:rPr>
          <w:rFonts w:eastAsia="Calibri"/>
          <w:iCs/>
          <w:sz w:val="28"/>
          <w:szCs w:val="28"/>
          <w:lang w:val="uk-UA" w:eastAsia="en-US"/>
        </w:rPr>
        <w:t>група ОА+ГІТ - без «лікування»)</w:t>
      </w:r>
      <w:r w:rsidR="009E1D3F" w:rsidRPr="00BE086B">
        <w:rPr>
          <w:rFonts w:eastAsia="Calibri"/>
          <w:iCs/>
          <w:sz w:val="28"/>
          <w:szCs w:val="28"/>
          <w:lang w:val="uk-UA" w:eastAsia="en-US"/>
        </w:rPr>
        <w:t xml:space="preserve">; </w:t>
      </w:r>
      <w:r w:rsidRPr="00BE086B">
        <w:rPr>
          <w:bCs/>
          <w:i/>
          <w:sz w:val="28"/>
          <w:szCs w:val="28"/>
          <w:vertAlign w:val="superscript"/>
          <w:lang w:val="uk-UA" w:eastAsia="ru-RU"/>
        </w:rPr>
        <w:t>¤</w:t>
      </w:r>
      <w:r w:rsidRPr="00BE086B">
        <w:rPr>
          <w:sz w:val="28"/>
          <w:szCs w:val="28"/>
          <w:lang w:val="uk-UA"/>
        </w:rPr>
        <w:t xml:space="preserve"> - </w:t>
      </w:r>
      <w:r w:rsidRPr="00BE086B">
        <w:rPr>
          <w:rFonts w:eastAsia="Calibri"/>
          <w:iCs/>
          <w:sz w:val="28"/>
          <w:szCs w:val="28"/>
          <w:lang w:val="uk-UA" w:eastAsia="en-US"/>
        </w:rPr>
        <w:t xml:space="preserve">р </w:t>
      </w:r>
      <w:r w:rsidRPr="00BE086B">
        <w:rPr>
          <w:rFonts w:eastAsia="Calibri"/>
          <w:iCs/>
          <w:sz w:val="28"/>
          <w:szCs w:val="28"/>
          <w:lang w:eastAsia="en-US"/>
        </w:rPr>
        <w:t>&lt;</w:t>
      </w:r>
      <w:r w:rsidRPr="00BE086B">
        <w:rPr>
          <w:rFonts w:eastAsia="Calibri"/>
          <w:iCs/>
          <w:sz w:val="28"/>
          <w:szCs w:val="28"/>
          <w:lang w:val="uk-UA" w:eastAsia="en-US"/>
        </w:rPr>
        <w:t xml:space="preserve"> 0,05 у порівнянні з показниками групи ВС пасивного контролю (інтактні щури).</w:t>
      </w:r>
    </w:p>
    <w:p w:rsidR="00E05E44" w:rsidRPr="00BE086B" w:rsidRDefault="00E05E44" w:rsidP="00E05E44">
      <w:pPr>
        <w:ind w:firstLine="709"/>
        <w:jc w:val="both"/>
        <w:rPr>
          <w:sz w:val="28"/>
          <w:szCs w:val="28"/>
          <w:lang w:val="uk-UA"/>
        </w:rPr>
      </w:pPr>
    </w:p>
    <w:p w:rsidR="00E05E44"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Як видно з представлених даних</w:t>
      </w:r>
      <w:r w:rsidR="00FE437E" w:rsidRPr="00BE086B">
        <w:rPr>
          <w:rFonts w:ascii="Times New Roman" w:hAnsi="Times New Roman" w:cs="Times New Roman"/>
          <w:color w:val="auto"/>
          <w:sz w:val="28"/>
          <w:szCs w:val="28"/>
          <w:lang w:val="uk-UA"/>
        </w:rPr>
        <w:t xml:space="preserve"> у табл. 6.2</w:t>
      </w:r>
      <w:r w:rsidRPr="00BE086B">
        <w:rPr>
          <w:rFonts w:ascii="Times New Roman" w:hAnsi="Times New Roman" w:cs="Times New Roman"/>
          <w:color w:val="auto"/>
          <w:sz w:val="28"/>
          <w:szCs w:val="28"/>
          <w:lang w:val="uk-UA"/>
        </w:rPr>
        <w:t>, введення досліджуваних препаратів при підвищенні середньо ефективних доз, у межах терапевтичного діапазону, супроводжувалось різноспрямованим впливом на вміст тиреоїдних гормонів та ТТГ у щурів з експериментальним ОА та ГІТ</w:t>
      </w:r>
      <w:r w:rsidR="00FE437E" w:rsidRPr="00BE086B">
        <w:rPr>
          <w:rFonts w:ascii="Times New Roman" w:hAnsi="Times New Roman" w:cs="Times New Roman"/>
          <w:color w:val="auto"/>
          <w:sz w:val="28"/>
          <w:szCs w:val="28"/>
          <w:lang w:val="uk-UA"/>
        </w:rPr>
        <w:t xml:space="preserve"> (рис. 6.2А-В)</w:t>
      </w:r>
      <w:r w:rsidRPr="00BE086B">
        <w:rPr>
          <w:rFonts w:ascii="Times New Roman" w:hAnsi="Times New Roman" w:cs="Times New Roman"/>
          <w:color w:val="auto"/>
          <w:sz w:val="28"/>
          <w:szCs w:val="28"/>
          <w:lang w:val="uk-UA"/>
        </w:rPr>
        <w:t>.</w:t>
      </w:r>
    </w:p>
    <w:p w:rsidR="00FE437E"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Зокрема, диклофенак натрію (12 мг/кг), целекоксиб (60 мг/кг) та парацетамол (300 мг/кг) при внутришньошлунковому введенні не вірогідно (</w:t>
      </w:r>
      <w:r w:rsidRPr="00BE086B">
        <w:rPr>
          <w:rFonts w:ascii="Times New Roman" w:hAnsi="Times New Roman" w:cs="Times New Roman"/>
          <w:color w:val="auto"/>
          <w:sz w:val="28"/>
          <w:szCs w:val="28"/>
          <w:lang w:val="en-US"/>
        </w:rPr>
        <w:t>p</w:t>
      </w:r>
      <w:r w:rsidRPr="00BE086B">
        <w:rPr>
          <w:rFonts w:ascii="Times New Roman" w:hAnsi="Times New Roman" w:cs="Times New Roman"/>
          <w:color w:val="auto"/>
          <w:sz w:val="28"/>
          <w:szCs w:val="28"/>
          <w:lang w:val="uk-UA"/>
        </w:rPr>
        <w:t> &gt; 0,05) змінювали рівень гормонів щитоподібної залози (Т3 і Т4) у сироватці крові щурів досліджуваних препаратів</w:t>
      </w:r>
      <w:r w:rsidR="00FE437E" w:rsidRPr="00BE086B">
        <w:rPr>
          <w:rFonts w:ascii="Times New Roman" w:hAnsi="Times New Roman" w:cs="Times New Roman"/>
          <w:color w:val="auto"/>
          <w:sz w:val="28"/>
          <w:szCs w:val="28"/>
          <w:lang w:val="uk-UA"/>
        </w:rPr>
        <w:t xml:space="preserve"> (рис. 6.2Б-В)</w:t>
      </w:r>
      <w:r w:rsidRPr="00BE086B">
        <w:rPr>
          <w:rFonts w:ascii="Times New Roman" w:hAnsi="Times New Roman" w:cs="Times New Roman"/>
          <w:color w:val="auto"/>
          <w:sz w:val="28"/>
          <w:szCs w:val="28"/>
          <w:lang w:val="uk-UA"/>
        </w:rPr>
        <w:t>.</w:t>
      </w:r>
    </w:p>
    <w:p w:rsidR="00FE437E"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противагу цьому, такі препарати, як ібупрофен (7 мг/кг) (V група), мелоксикам (12 мг/кг) (VІІ група) та німесулід (100 мг/кг) (ХІ група) вірогідно знижували рівень ТТГ у сироватці крові щурів у 1,47; 1,29 та 1,40 рази відповідно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w:t>
      </w:r>
      <w:r w:rsidR="00FE437E" w:rsidRPr="00BE086B">
        <w:rPr>
          <w:rFonts w:ascii="Times New Roman" w:hAnsi="Times New Roman" w:cs="Times New Roman"/>
          <w:color w:val="auto"/>
          <w:sz w:val="28"/>
          <w:szCs w:val="28"/>
          <w:lang w:val="uk-UA"/>
        </w:rPr>
        <w:t xml:space="preserve"> (рис. 6.2А)</w:t>
      </w:r>
      <w:r w:rsidRPr="00BE086B">
        <w:rPr>
          <w:rFonts w:ascii="Times New Roman" w:hAnsi="Times New Roman" w:cs="Times New Roman"/>
          <w:color w:val="auto"/>
          <w:sz w:val="28"/>
          <w:szCs w:val="28"/>
          <w:lang w:val="uk-UA"/>
        </w:rPr>
        <w:t>.</w:t>
      </w:r>
    </w:p>
    <w:p w:rsidR="00E05E44"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 їх фоні, в той же час, спостерігалось підвищення рівня Т4 у 1,23; 1,27 та 1,26 рази відповідно (р </w:t>
      </w:r>
      <w:r w:rsidRPr="00BE086B">
        <w:rPr>
          <w:rFonts w:ascii="Times New Roman" w:eastAsia="Calibri" w:hAnsi="Times New Roman" w:cs="Times New Roman"/>
          <w:iCs/>
          <w:color w:val="auto"/>
          <w:sz w:val="28"/>
          <w:szCs w:val="28"/>
          <w:lang w:eastAsia="en-US"/>
        </w:rPr>
        <w:t>&lt;</w:t>
      </w:r>
      <w:r w:rsidRPr="00BE086B">
        <w:rPr>
          <w:rFonts w:ascii="Times New Roman" w:hAnsi="Times New Roman" w:cs="Times New Roman"/>
          <w:color w:val="auto"/>
          <w:sz w:val="28"/>
          <w:szCs w:val="28"/>
          <w:lang w:val="uk-UA"/>
        </w:rPr>
        <w:t xml:space="preserve"> 0,05). На тлі введення парацетамолу (ІХ група), жодного значимого впливу на рівень цих гормонів не було зареєстровано (рис. 6.2</w:t>
      </w:r>
      <w:r w:rsidR="00FE437E" w:rsidRPr="00BE086B">
        <w:rPr>
          <w:rFonts w:ascii="Times New Roman" w:hAnsi="Times New Roman" w:cs="Times New Roman"/>
          <w:color w:val="auto"/>
          <w:sz w:val="28"/>
          <w:szCs w:val="28"/>
          <w:lang w:val="uk-UA"/>
        </w:rPr>
        <w:t>В</w:t>
      </w:r>
      <w:r w:rsidRPr="00BE086B">
        <w:rPr>
          <w:rFonts w:ascii="Times New Roman" w:hAnsi="Times New Roman" w:cs="Times New Roman"/>
          <w:color w:val="auto"/>
          <w:sz w:val="28"/>
          <w:szCs w:val="28"/>
          <w:lang w:val="uk-UA"/>
        </w:rPr>
        <w:t>).</w:t>
      </w:r>
    </w:p>
    <w:p w:rsidR="00893F3E" w:rsidRPr="00BE086B" w:rsidRDefault="00893F3E" w:rsidP="00E05E44">
      <w:pPr>
        <w:spacing w:line="360" w:lineRule="auto"/>
        <w:ind w:firstLine="709"/>
        <w:jc w:val="both"/>
        <w:rPr>
          <w:b/>
          <w:sz w:val="28"/>
          <w:szCs w:val="28"/>
          <w:lang w:val="uk-UA"/>
        </w:rPr>
      </w:pPr>
    </w:p>
    <w:p w:rsidR="00893F3E" w:rsidRPr="00BE086B" w:rsidRDefault="00893F3E" w:rsidP="00E05E44">
      <w:pPr>
        <w:spacing w:line="360" w:lineRule="auto"/>
        <w:ind w:firstLine="709"/>
        <w:jc w:val="both"/>
        <w:rPr>
          <w:b/>
          <w:sz w:val="28"/>
          <w:szCs w:val="28"/>
          <w:lang w:val="uk-UA"/>
        </w:rPr>
      </w:pPr>
    </w:p>
    <w:p w:rsidR="00893F3E" w:rsidRPr="00BE086B" w:rsidRDefault="00893F3E" w:rsidP="00E05E44">
      <w:pPr>
        <w:spacing w:line="360" w:lineRule="auto"/>
        <w:ind w:firstLine="709"/>
        <w:jc w:val="both"/>
        <w:rPr>
          <w:b/>
          <w:sz w:val="28"/>
          <w:szCs w:val="28"/>
          <w:lang w:val="uk-UA"/>
        </w:rPr>
      </w:pPr>
    </w:p>
    <w:p w:rsidR="00893F3E" w:rsidRPr="00BE086B" w:rsidRDefault="00893F3E" w:rsidP="00E05E44">
      <w:pPr>
        <w:spacing w:line="360" w:lineRule="auto"/>
        <w:ind w:firstLine="709"/>
        <w:jc w:val="both"/>
        <w:rPr>
          <w:b/>
          <w:sz w:val="28"/>
          <w:szCs w:val="28"/>
          <w:lang w:val="uk-UA"/>
        </w:rPr>
      </w:pPr>
    </w:p>
    <w:p w:rsidR="00893F3E" w:rsidRPr="00BE086B" w:rsidRDefault="00E530F5" w:rsidP="00893F3E">
      <w:pPr>
        <w:spacing w:line="360" w:lineRule="auto"/>
        <w:jc w:val="center"/>
        <w:rPr>
          <w:b/>
          <w:sz w:val="28"/>
          <w:szCs w:val="28"/>
          <w:lang w:val="uk-UA"/>
        </w:rPr>
      </w:pPr>
      <w:r>
        <w:rPr>
          <w:b/>
          <w:noProof/>
          <w:sz w:val="28"/>
          <w:szCs w:val="28"/>
          <w:lang w:eastAsia="ru-RU"/>
        </w:rPr>
        <w:lastRenderedPageBreak/>
        <w:drawing>
          <wp:inline distT="0" distB="0" distL="0" distR="0">
            <wp:extent cx="5943600" cy="67140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6.2.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6714000"/>
                    </a:xfrm>
                    <a:prstGeom prst="rect">
                      <a:avLst/>
                    </a:prstGeom>
                  </pic:spPr>
                </pic:pic>
              </a:graphicData>
            </a:graphic>
          </wp:inline>
        </w:drawing>
      </w:r>
    </w:p>
    <w:p w:rsidR="00DF7E83" w:rsidRPr="00BE086B" w:rsidRDefault="00E05E44" w:rsidP="00E05E44">
      <w:pPr>
        <w:spacing w:line="360" w:lineRule="auto"/>
        <w:ind w:firstLine="709"/>
        <w:jc w:val="both"/>
        <w:rPr>
          <w:bCs/>
          <w:sz w:val="28"/>
          <w:szCs w:val="28"/>
          <w:lang w:val="uk-UA"/>
        </w:rPr>
      </w:pPr>
      <w:r w:rsidRPr="00BE086B">
        <w:rPr>
          <w:b/>
          <w:sz w:val="28"/>
          <w:szCs w:val="28"/>
          <w:lang w:val="uk-UA"/>
        </w:rPr>
        <w:t>Рис. 6.2.</w:t>
      </w:r>
      <w:r w:rsidRPr="00BE086B">
        <w:rPr>
          <w:sz w:val="28"/>
          <w:szCs w:val="28"/>
          <w:lang w:val="uk-UA"/>
        </w:rPr>
        <w:t xml:space="preserve"> </w:t>
      </w:r>
      <w:r w:rsidR="004615D9" w:rsidRPr="00BE086B">
        <w:rPr>
          <w:noProof/>
          <w:sz w:val="28"/>
          <w:szCs w:val="28"/>
          <w:lang w:val="uk-UA" w:eastAsia="ru-RU"/>
        </w:rPr>
        <w:t>Динаміка концентрації гормонів</w:t>
      </w:r>
      <w:r w:rsidR="004615D9" w:rsidRPr="00BE086B">
        <w:rPr>
          <w:sz w:val="28"/>
          <w:szCs w:val="28"/>
          <w:lang w:val="uk-UA"/>
        </w:rPr>
        <w:t xml:space="preserve"> ТТГ (А), Т3 (Б), Т4 (В) </w:t>
      </w:r>
      <w:r w:rsidR="004615D9" w:rsidRPr="00BE086B">
        <w:rPr>
          <w:noProof/>
          <w:sz w:val="28"/>
          <w:szCs w:val="28"/>
          <w:lang w:val="uk-UA" w:eastAsia="ru-RU"/>
        </w:rPr>
        <w:t xml:space="preserve">у сироватці крові щурів </w:t>
      </w:r>
      <w:r w:rsidR="004615D9" w:rsidRPr="00BE086B">
        <w:rPr>
          <w:sz w:val="28"/>
          <w:szCs w:val="28"/>
          <w:lang w:val="uk-UA"/>
        </w:rPr>
        <w:t>на 47 добу при введенні</w:t>
      </w:r>
      <w:r w:rsidRPr="00BE086B">
        <w:rPr>
          <w:sz w:val="28"/>
          <w:szCs w:val="28"/>
          <w:lang w:val="uk-UA"/>
        </w:rPr>
        <w:t xml:space="preserve"> підвищених середньо ефективних доз препаратів за умов моделювання остеоартрозу та гіпотиреозу </w:t>
      </w:r>
      <w:r w:rsidRPr="00BE086B">
        <w:rPr>
          <w:bCs/>
          <w:sz w:val="28"/>
          <w:szCs w:val="28"/>
          <w:lang w:val="uk-UA"/>
        </w:rPr>
        <w:t>відносно І групи ОА</w:t>
      </w:r>
      <w:r w:rsidR="004615D9" w:rsidRPr="00BE086B">
        <w:rPr>
          <w:bCs/>
          <w:sz w:val="28"/>
          <w:szCs w:val="28"/>
          <w:lang w:val="uk-UA"/>
        </w:rPr>
        <w:t xml:space="preserve"> </w:t>
      </w:r>
      <w:r w:rsidRPr="00BE086B">
        <w:rPr>
          <w:bCs/>
          <w:sz w:val="28"/>
          <w:szCs w:val="28"/>
          <w:lang w:val="uk-UA"/>
        </w:rPr>
        <w:t>+</w:t>
      </w:r>
      <w:r w:rsidR="004615D9" w:rsidRPr="00BE086B">
        <w:rPr>
          <w:bCs/>
          <w:sz w:val="28"/>
          <w:szCs w:val="28"/>
          <w:lang w:val="uk-UA"/>
        </w:rPr>
        <w:t xml:space="preserve"> </w:t>
      </w:r>
      <w:r w:rsidRPr="00BE086B">
        <w:rPr>
          <w:bCs/>
          <w:sz w:val="28"/>
          <w:szCs w:val="28"/>
          <w:lang w:val="uk-UA"/>
        </w:rPr>
        <w:t>ГІТ.</w:t>
      </w:r>
    </w:p>
    <w:p w:rsidR="00E05E44" w:rsidRPr="00BE086B" w:rsidRDefault="00E05E44" w:rsidP="00E05E44">
      <w:pPr>
        <w:spacing w:line="360" w:lineRule="auto"/>
        <w:ind w:firstLine="709"/>
        <w:jc w:val="both"/>
        <w:rPr>
          <w:rFonts w:eastAsia="Calibri"/>
          <w:iCs/>
          <w:sz w:val="28"/>
          <w:szCs w:val="28"/>
          <w:lang w:val="uk-UA" w:eastAsia="en-US"/>
        </w:rPr>
      </w:pPr>
      <w:r w:rsidRPr="00BE086B">
        <w:rPr>
          <w:b/>
          <w:sz w:val="28"/>
          <w:szCs w:val="28"/>
          <w:lang w:val="uk-UA"/>
        </w:rPr>
        <w:t>Примітка.</w:t>
      </w:r>
      <w:r w:rsidRPr="00BE086B">
        <w:rPr>
          <w:sz w:val="28"/>
          <w:szCs w:val="28"/>
          <w:lang w:val="uk-UA"/>
        </w:rPr>
        <w:t xml:space="preserve"> * - </w:t>
      </w:r>
      <w:r w:rsidRPr="00BE086B">
        <w:rPr>
          <w:rFonts w:eastAsia="Calibri"/>
          <w:iCs/>
          <w:sz w:val="28"/>
          <w:szCs w:val="28"/>
          <w:lang w:val="uk-UA" w:eastAsia="en-US"/>
        </w:rPr>
        <w:t xml:space="preserve">р </w:t>
      </w:r>
      <w:r w:rsidRPr="00BE086B">
        <w:rPr>
          <w:rFonts w:eastAsia="Calibri"/>
          <w:iCs/>
          <w:sz w:val="28"/>
          <w:szCs w:val="28"/>
          <w:lang w:eastAsia="en-US"/>
        </w:rPr>
        <w:t>&lt;</w:t>
      </w:r>
      <w:r w:rsidRPr="00BE086B">
        <w:rPr>
          <w:rFonts w:eastAsia="Calibri"/>
          <w:iCs/>
          <w:sz w:val="28"/>
          <w:szCs w:val="28"/>
          <w:lang w:val="uk-UA" w:eastAsia="en-US"/>
        </w:rPr>
        <w:t xml:space="preserve"> 0,05 у порівнянні з показниками групи активного контролю (</w:t>
      </w:r>
      <w:r w:rsidRPr="00BE086B">
        <w:rPr>
          <w:sz w:val="28"/>
          <w:szCs w:val="28"/>
          <w:lang w:val="uk-UA"/>
        </w:rPr>
        <w:t xml:space="preserve">І </w:t>
      </w:r>
      <w:r w:rsidRPr="00BE086B">
        <w:rPr>
          <w:rFonts w:eastAsia="Calibri"/>
          <w:iCs/>
          <w:sz w:val="28"/>
          <w:szCs w:val="28"/>
          <w:lang w:val="uk-UA" w:eastAsia="en-US"/>
        </w:rPr>
        <w:t>група ОА</w:t>
      </w:r>
      <w:r w:rsidR="004615D9" w:rsidRPr="00BE086B">
        <w:rPr>
          <w:rFonts w:eastAsia="Calibri"/>
          <w:iCs/>
          <w:sz w:val="28"/>
          <w:szCs w:val="28"/>
          <w:lang w:val="uk-UA" w:eastAsia="en-US"/>
        </w:rPr>
        <w:t xml:space="preserve"> </w:t>
      </w:r>
      <w:r w:rsidRPr="00BE086B">
        <w:rPr>
          <w:rFonts w:eastAsia="Calibri"/>
          <w:iCs/>
          <w:sz w:val="28"/>
          <w:szCs w:val="28"/>
          <w:lang w:val="uk-UA" w:eastAsia="en-US"/>
        </w:rPr>
        <w:t>+</w:t>
      </w:r>
      <w:r w:rsidR="004615D9" w:rsidRPr="00BE086B">
        <w:rPr>
          <w:rFonts w:eastAsia="Calibri"/>
          <w:iCs/>
          <w:sz w:val="28"/>
          <w:szCs w:val="28"/>
          <w:lang w:val="uk-UA" w:eastAsia="en-US"/>
        </w:rPr>
        <w:t xml:space="preserve"> </w:t>
      </w:r>
      <w:r w:rsidRPr="00BE086B">
        <w:rPr>
          <w:rFonts w:eastAsia="Calibri"/>
          <w:iCs/>
          <w:sz w:val="28"/>
          <w:szCs w:val="28"/>
          <w:lang w:val="uk-UA" w:eastAsia="en-US"/>
        </w:rPr>
        <w:t>ГІТ - без «лікування»)</w:t>
      </w:r>
      <w:r w:rsidR="004615D9" w:rsidRPr="00BE086B">
        <w:rPr>
          <w:rFonts w:eastAsia="Calibri"/>
          <w:iCs/>
          <w:sz w:val="28"/>
          <w:szCs w:val="28"/>
          <w:lang w:val="uk-UA" w:eastAsia="en-US"/>
        </w:rPr>
        <w:t>.</w:t>
      </w:r>
    </w:p>
    <w:p w:rsidR="00E05E44" w:rsidRPr="00BE086B" w:rsidRDefault="00E05E44" w:rsidP="00E05E44">
      <w:pPr>
        <w:pStyle w:val="WW-1"/>
        <w:spacing w:after="0" w:line="360" w:lineRule="auto"/>
        <w:ind w:firstLine="709"/>
        <w:jc w:val="both"/>
        <w:rPr>
          <w:rFonts w:ascii="Times New Roman" w:hAnsi="Times New Roman" w:cs="Times New Roman"/>
          <w:b/>
          <w:i/>
          <w:color w:val="auto"/>
          <w:sz w:val="28"/>
          <w:szCs w:val="28"/>
          <w:lang w:val="uk-UA"/>
        </w:rPr>
      </w:pPr>
    </w:p>
    <w:p w:rsidR="00E05E44"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Взагалі, отримані результати дозволили встановити, що показники рівня гормонів щитоподібної залози ТТГ, Т3 та Т4 сироватки крові у щурів залежать від дози лікарського препарату, які досліджувались, та самого лікарського препарату [456, 457].</w:t>
      </w:r>
    </w:p>
    <w:p w:rsidR="00DF7E83"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Так, при призначенні середніх терапевтичних доз препаратів, які досліджувалися за умов моделювання остеоартрозу та гіпотиреозу, достовірно значимих відмінностей за впливом на рівень гормонів ЩЗ у сироватці крові щурів не спостерігалось (р &gt; 0,05).</w:t>
      </w:r>
    </w:p>
    <w:p w:rsidR="00E05E44"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Проте, при підвищенні середньо ефективних доз, у межах терапевтичного діапазону, отримано різноспрямований вплив на рівні ТТГ, Т3 та Т4 у сироватці крові щурів. Встановлено, що ібупрофен (V група), мелоксикам (VІІ група) та німесулід (ХІ група) знижували рівень ТТГ у сироватці крові щурів у 1,47; 1,29 і 1,40 рази відповідно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та достовірно підвищували рівень Т4 у 1,23; 1,27 та 1,26 рази відповідно. Диклофенак натрію (ІІІ група) та целекоксиб (ХІІІ група) достовірно знижували рівень ТТГ (р </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 0,05) та проявили тенденцію до підвищення рівня Т4. Парацетамол як в меншій, так і в більшій дозі достеменно не впливав на рівні гормонів, які досліджувались [456, 457].</w:t>
      </w:r>
    </w:p>
    <w:p w:rsidR="00E05E44"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Таким чином, на підставі дослідження </w:t>
      </w:r>
      <w:r w:rsidRPr="00BE086B">
        <w:rPr>
          <w:rFonts w:ascii="Times New Roman" w:hAnsi="Times New Roman" w:cs="Times New Roman"/>
          <w:color w:val="auto"/>
          <w:sz w:val="28"/>
          <w:szCs w:val="28"/>
        </w:rPr>
        <w:t>вплив</w:t>
      </w:r>
      <w:r w:rsidRPr="00BE086B">
        <w:rPr>
          <w:rFonts w:ascii="Times New Roman" w:hAnsi="Times New Roman" w:cs="Times New Roman"/>
          <w:color w:val="auto"/>
          <w:sz w:val="28"/>
          <w:szCs w:val="28"/>
          <w:lang w:val="uk-UA"/>
        </w:rPr>
        <w:t>у</w:t>
      </w:r>
      <w:r w:rsidRPr="00BE086B">
        <w:rPr>
          <w:rFonts w:ascii="Times New Roman" w:hAnsi="Times New Roman" w:cs="Times New Roman"/>
          <w:color w:val="auto"/>
          <w:sz w:val="28"/>
          <w:szCs w:val="28"/>
        </w:rPr>
        <w:t xml:space="preserve"> НПЗЗ та парацетамолу на функціональний стан щитоподібної залози при </w:t>
      </w:r>
      <w:r w:rsidRPr="00BE086B">
        <w:rPr>
          <w:rFonts w:ascii="Times New Roman" w:hAnsi="Times New Roman" w:cs="Times New Roman"/>
          <w:color w:val="auto"/>
          <w:sz w:val="28"/>
          <w:szCs w:val="28"/>
          <w:lang w:val="uk-UA"/>
        </w:rPr>
        <w:t xml:space="preserve">експериментальному </w:t>
      </w:r>
      <w:r w:rsidRPr="00BE086B">
        <w:rPr>
          <w:rFonts w:ascii="Times New Roman" w:hAnsi="Times New Roman" w:cs="Times New Roman"/>
          <w:color w:val="auto"/>
          <w:sz w:val="28"/>
          <w:szCs w:val="28"/>
        </w:rPr>
        <w:t>остеоартрозі на тлі гіпотиреозу</w:t>
      </w:r>
      <w:r w:rsidRPr="00BE086B">
        <w:rPr>
          <w:rFonts w:ascii="Times New Roman" w:hAnsi="Times New Roman" w:cs="Times New Roman"/>
          <w:color w:val="auto"/>
          <w:sz w:val="28"/>
          <w:szCs w:val="28"/>
          <w:lang w:val="uk-UA"/>
        </w:rPr>
        <w:t xml:space="preserve"> встановлено, що після 5-добового введення ЛЗ (диклофенаку натрію, ібупрофену, мелоксикаму, парацетамолу, німесуліду та целекоксибу) (47 доба) у середньо ефективних дозах на фоні сформованих експериментальних патологічних станів достовірно значимих відмінностей за впливом на рівень гормонів ЩЗ у сироватці крові щурів не спостерігалось (р&gt;0,05). На цих дозах визначена лише тенденція до зниження рівня гормонів ЩЗ (Т3 та Т4) та ТТГ, у сироватці крові щурів при внутрішньошлунковому введенні досліджуваних препаратів (р&gt;0,05).</w:t>
      </w:r>
    </w:p>
    <w:p w:rsidR="00E05E44"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Наступні дослідження показали, що при підвищенні середньо ефективних доз, у межах терапевтичного діапазону, отримані різноманітні дані </w:t>
      </w:r>
      <w:r w:rsidRPr="00BE086B">
        <w:rPr>
          <w:rFonts w:ascii="Times New Roman" w:hAnsi="Times New Roman" w:cs="Times New Roman"/>
          <w:color w:val="auto"/>
          <w:sz w:val="28"/>
          <w:szCs w:val="28"/>
          <w:lang w:val="uk-UA"/>
        </w:rPr>
        <w:lastRenderedPageBreak/>
        <w:t>за рівнем впливу на концентрацію ТТГ, Т3 та Т4 у сироватці крові щурів. Так, парацетамол (ІХ група) не впливав на концентрацію гормонів ЩЗ та ТТГ, а диклофенак натрію і целекоксиб достовірно знижували рівень ТТГ (р</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0,05) та проявили тенденцію до підвищення рівня Т4 у сироватці крові щурів при внутрішньошлунковому введенні досліджуваних препаратів, але дані не мали достовірного характеру.</w:t>
      </w:r>
    </w:p>
    <w:p w:rsidR="00E05E44"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підставі аналізу отриманих даних були визначені препарати, які змінювали гормональний фон. Такі препарати, як ібупрофен (V група), мелоксикам (VІІ група) та німесулід (ХІ група) знижували рівень ТТГ у сироватці крові щурів у 1,47; 1,29 та 1,40 рази відповідно (</w:t>
      </w:r>
      <w:r w:rsidRPr="00BE086B">
        <w:rPr>
          <w:rFonts w:ascii="Times New Roman" w:eastAsia="Calibri" w:hAnsi="Times New Roman" w:cs="Times New Roman"/>
          <w:iCs/>
          <w:color w:val="auto"/>
          <w:sz w:val="28"/>
          <w:szCs w:val="28"/>
          <w:lang w:val="uk-UA"/>
        </w:rPr>
        <w:t>р&lt;0,05</w:t>
      </w:r>
      <w:r w:rsidRPr="00BE086B">
        <w:rPr>
          <w:rFonts w:ascii="Times New Roman" w:hAnsi="Times New Roman" w:cs="Times New Roman"/>
          <w:color w:val="auto"/>
          <w:sz w:val="28"/>
          <w:szCs w:val="28"/>
          <w:lang w:val="uk-UA"/>
        </w:rPr>
        <w:t>). Водночас, за їхнього застосування спостерігалося підвищення рівня Т4 у 1,23; 1,27 та 1,26 разів відповідно (</w:t>
      </w:r>
      <w:r w:rsidRPr="00BE086B">
        <w:rPr>
          <w:rFonts w:ascii="Times New Roman" w:eastAsia="Calibri" w:hAnsi="Times New Roman" w:cs="Times New Roman"/>
          <w:iCs/>
          <w:color w:val="auto"/>
          <w:sz w:val="28"/>
          <w:szCs w:val="28"/>
          <w:lang w:val="uk-UA"/>
        </w:rPr>
        <w:t>р&lt;0,05</w:t>
      </w:r>
      <w:r w:rsidRPr="00BE086B">
        <w:rPr>
          <w:rFonts w:ascii="Times New Roman" w:hAnsi="Times New Roman" w:cs="Times New Roman"/>
          <w:color w:val="auto"/>
          <w:sz w:val="28"/>
          <w:szCs w:val="28"/>
          <w:lang w:val="uk-UA"/>
        </w:rPr>
        <w:t>).</w:t>
      </w:r>
    </w:p>
    <w:p w:rsidR="00E05E44" w:rsidRPr="00BE086B" w:rsidRDefault="00E05E44" w:rsidP="00E05E44">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Результати проведеного дослідження дозволили встановити, що на середньо ефективних дозах визначена лише тенденція до зниження рівня гормонів ЩЗ (Т3 та Т4) та ТТГ [421-425], у сироватці крові щурів при внутрішньошлунковому введенні досліджуваних препаратів (р&gt;0,05), а при збільшені середньо ефективних доз отримані різноманітні дані за рівнем впливу на концентрацію ТТГ, Т3 та Т4 у сироватці крові щурів [456, 457].</w:t>
      </w:r>
    </w:p>
    <w:p w:rsidR="00E05E44" w:rsidRPr="00BE086B" w:rsidRDefault="00E05E44"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1D13A3" w:rsidRPr="00BE086B" w:rsidRDefault="001D13A3" w:rsidP="005316D2">
      <w:pPr>
        <w:pStyle w:val="af0"/>
        <w:ind w:firstLine="709"/>
        <w:jc w:val="both"/>
        <w:rPr>
          <w:sz w:val="28"/>
          <w:szCs w:val="28"/>
          <w:lang w:val="uk-UA"/>
        </w:rPr>
      </w:pPr>
    </w:p>
    <w:p w:rsidR="00215BF6" w:rsidRPr="00BE086B" w:rsidRDefault="00215BF6" w:rsidP="00215BF6">
      <w:pPr>
        <w:pStyle w:val="24"/>
        <w:spacing w:line="360" w:lineRule="auto"/>
        <w:jc w:val="center"/>
        <w:rPr>
          <w:rFonts w:ascii="Times New Roman" w:hAnsi="Times New Roman" w:cs="Times New Roman"/>
          <w:sz w:val="28"/>
          <w:szCs w:val="28"/>
          <w:lang w:val="uk-UA"/>
        </w:rPr>
      </w:pPr>
      <w:r w:rsidRPr="00BE086B">
        <w:rPr>
          <w:rFonts w:ascii="Times New Roman" w:hAnsi="Times New Roman" w:cs="Times New Roman"/>
          <w:b/>
          <w:bCs/>
          <w:sz w:val="28"/>
          <w:szCs w:val="28"/>
          <w:lang w:val="uk-UA"/>
        </w:rPr>
        <w:lastRenderedPageBreak/>
        <w:t>РОЗДІЛ 7</w:t>
      </w:r>
    </w:p>
    <w:p w:rsidR="00215BF6" w:rsidRPr="00BE086B" w:rsidRDefault="00215BF6" w:rsidP="00215BF6">
      <w:pPr>
        <w:pStyle w:val="24"/>
        <w:spacing w:line="360" w:lineRule="auto"/>
        <w:jc w:val="center"/>
        <w:rPr>
          <w:rFonts w:ascii="Times New Roman" w:hAnsi="Times New Roman" w:cs="Times New Roman"/>
          <w:b/>
          <w:bCs/>
          <w:sz w:val="28"/>
          <w:szCs w:val="28"/>
          <w:lang w:val="uk-UA"/>
        </w:rPr>
      </w:pPr>
    </w:p>
    <w:p w:rsidR="00215BF6" w:rsidRPr="00BE086B" w:rsidRDefault="00215BF6" w:rsidP="00215BF6">
      <w:pPr>
        <w:spacing w:line="360" w:lineRule="auto"/>
        <w:ind w:firstLine="709"/>
        <w:jc w:val="center"/>
        <w:rPr>
          <w:sz w:val="28"/>
          <w:szCs w:val="28"/>
          <w:lang w:val="uk-UA"/>
        </w:rPr>
      </w:pPr>
      <w:r w:rsidRPr="00BE086B">
        <w:rPr>
          <w:b/>
          <w:bCs/>
          <w:sz w:val="28"/>
          <w:szCs w:val="28"/>
          <w:lang w:val="uk-UA"/>
        </w:rPr>
        <w:t xml:space="preserve">ФАРМАКОЛОГІЧНА ЕФЕКТИВНІСТЬ ТА </w:t>
      </w:r>
      <w:r w:rsidRPr="00BE086B">
        <w:rPr>
          <w:rStyle w:val="translation-chunk"/>
          <w:b/>
          <w:bCs/>
          <w:sz w:val="28"/>
          <w:szCs w:val="28"/>
          <w:lang w:val="uk-UA"/>
        </w:rPr>
        <w:t>БІОФАРМАЦЕВТИЧНИЙ АНАЛІЗ ВЗАЄМОДІЇ</w:t>
      </w:r>
      <w:r w:rsidRPr="00BE086B">
        <w:rPr>
          <w:b/>
          <w:bCs/>
          <w:sz w:val="28"/>
          <w:szCs w:val="28"/>
          <w:lang w:val="uk-UA"/>
        </w:rPr>
        <w:t xml:space="preserve"> КОМПОНЕНТІВ КОМБІНОВАНОГО ЗАСОБУ: ДИКЛОФЕНАК НАТРІЮ, ХОНДРОЇТИН СУЛЬФАТ ТА L-ТИРОКСИН ПРИ ЕКСПЕРИМЕНТАЛЬНОМУ ОСТЕОАРТРОЗІ НА ТЛІ ГІПОТИРЕОЗУ</w:t>
      </w:r>
    </w:p>
    <w:p w:rsidR="00215BF6" w:rsidRPr="00BE086B" w:rsidRDefault="00215BF6" w:rsidP="00215BF6">
      <w:pPr>
        <w:pStyle w:val="24"/>
        <w:spacing w:line="360" w:lineRule="auto"/>
        <w:ind w:firstLine="709"/>
        <w:jc w:val="center"/>
        <w:rPr>
          <w:rFonts w:ascii="Times New Roman" w:hAnsi="Times New Roman" w:cs="Times New Roman"/>
          <w:sz w:val="28"/>
          <w:szCs w:val="28"/>
          <w:lang w:val="uk-UA"/>
        </w:rPr>
      </w:pPr>
    </w:p>
    <w:p w:rsidR="00215BF6" w:rsidRPr="00BE086B" w:rsidRDefault="00215BF6" w:rsidP="00215BF6">
      <w:pPr>
        <w:pStyle w:val="af0"/>
        <w:kinsoku w:val="0"/>
        <w:overflowPunct w:val="0"/>
        <w:ind w:firstLine="709"/>
        <w:jc w:val="both"/>
        <w:rPr>
          <w:sz w:val="28"/>
          <w:szCs w:val="28"/>
          <w:lang w:val="uk-UA"/>
        </w:rPr>
      </w:pPr>
      <w:r w:rsidRPr="00BE086B">
        <w:rPr>
          <w:sz w:val="28"/>
          <w:szCs w:val="28"/>
          <w:lang w:val="uk-UA" w:eastAsia="ru-RU"/>
        </w:rPr>
        <w:t xml:space="preserve">В розділі описані результати власних досліджень, які відображають аналіз </w:t>
      </w:r>
      <w:r w:rsidRPr="00BE086B">
        <w:rPr>
          <w:bCs/>
          <w:sz w:val="28"/>
          <w:szCs w:val="28"/>
          <w:lang w:val="uk-UA"/>
        </w:rPr>
        <w:t xml:space="preserve">фармакологічної ефективності використання комбінованого засобу, який складається з диклофенаку натрію, хондроїтину сульфату та L-тироксину та результати </w:t>
      </w:r>
      <w:r w:rsidRPr="00BE086B">
        <w:rPr>
          <w:rStyle w:val="translation-chunk"/>
          <w:bCs/>
          <w:sz w:val="28"/>
          <w:szCs w:val="28"/>
          <w:lang w:val="uk-UA"/>
        </w:rPr>
        <w:t>біофармацевтичного аналізу взаємодії</w:t>
      </w:r>
      <w:r w:rsidRPr="00BE086B">
        <w:rPr>
          <w:bCs/>
          <w:sz w:val="28"/>
          <w:szCs w:val="28"/>
          <w:lang w:val="uk-UA"/>
        </w:rPr>
        <w:t xml:space="preserve"> цих компонентів при експериментальному остеоартрозі на тлі гіпотиреозу</w:t>
      </w:r>
      <w:r w:rsidR="00762553" w:rsidRPr="00BE086B">
        <w:rPr>
          <w:bCs/>
          <w:sz w:val="28"/>
          <w:szCs w:val="28"/>
          <w:lang w:val="uk-UA"/>
        </w:rPr>
        <w:t xml:space="preserve"> [360]</w:t>
      </w:r>
      <w:r w:rsidRPr="00BE086B">
        <w:rPr>
          <w:bCs/>
          <w:sz w:val="28"/>
          <w:szCs w:val="28"/>
          <w:lang w:val="uk-UA"/>
        </w:rPr>
        <w:t>.</w:t>
      </w:r>
    </w:p>
    <w:p w:rsidR="00215BF6" w:rsidRPr="00BE086B" w:rsidRDefault="00215BF6" w:rsidP="00215BF6">
      <w:pPr>
        <w:pStyle w:val="af0"/>
        <w:kinsoku w:val="0"/>
        <w:overflowPunct w:val="0"/>
        <w:ind w:firstLine="709"/>
        <w:jc w:val="both"/>
        <w:rPr>
          <w:sz w:val="28"/>
          <w:szCs w:val="28"/>
          <w:lang w:val="uk-UA"/>
        </w:rPr>
      </w:pPr>
      <w:r w:rsidRPr="00BE086B">
        <w:rPr>
          <w:sz w:val="28"/>
          <w:szCs w:val="28"/>
          <w:lang w:val="uk-UA"/>
        </w:rPr>
        <w:t xml:space="preserve">Проведені дослідження дозволили встановити </w:t>
      </w:r>
      <w:r w:rsidRPr="00BE086B">
        <w:rPr>
          <w:bCs/>
          <w:sz w:val="28"/>
          <w:szCs w:val="28"/>
        </w:rPr>
        <w:t>особливост</w:t>
      </w:r>
      <w:r w:rsidRPr="00BE086B">
        <w:rPr>
          <w:bCs/>
          <w:sz w:val="28"/>
          <w:szCs w:val="28"/>
          <w:lang w:val="uk-UA"/>
        </w:rPr>
        <w:t>і</w:t>
      </w:r>
      <w:r w:rsidRPr="00BE086B">
        <w:rPr>
          <w:bCs/>
          <w:sz w:val="28"/>
          <w:szCs w:val="28"/>
        </w:rPr>
        <w:t xml:space="preserve"> </w:t>
      </w:r>
      <w:r w:rsidRPr="00BE086B">
        <w:rPr>
          <w:sz w:val="28"/>
          <w:szCs w:val="28"/>
        </w:rPr>
        <w:t>больової перцепції</w:t>
      </w:r>
      <w:r w:rsidRPr="00BE086B">
        <w:rPr>
          <w:bCs/>
          <w:sz w:val="28"/>
          <w:szCs w:val="28"/>
        </w:rPr>
        <w:t xml:space="preserve"> за експериментальних патологічних станів та під впливом НПЗЗ та парацетамолу</w:t>
      </w:r>
      <w:r w:rsidRPr="00BE086B">
        <w:rPr>
          <w:bCs/>
          <w:sz w:val="28"/>
          <w:szCs w:val="28"/>
          <w:lang w:val="uk-UA"/>
        </w:rPr>
        <w:t xml:space="preserve"> </w:t>
      </w:r>
      <w:r w:rsidRPr="00BE086B">
        <w:rPr>
          <w:sz w:val="28"/>
          <w:szCs w:val="28"/>
          <w:lang w:val="uk-UA"/>
        </w:rPr>
        <w:t>(розділ 3)</w:t>
      </w:r>
      <w:r w:rsidRPr="00BE086B">
        <w:rPr>
          <w:bCs/>
          <w:sz w:val="28"/>
          <w:szCs w:val="28"/>
        </w:rPr>
        <w:t>.</w:t>
      </w:r>
      <w:r w:rsidRPr="00BE086B">
        <w:rPr>
          <w:bCs/>
          <w:sz w:val="28"/>
          <w:szCs w:val="28"/>
          <w:lang w:val="uk-UA"/>
        </w:rPr>
        <w:t xml:space="preserve"> Доведено, що</w:t>
      </w:r>
      <w:r w:rsidRPr="00BE086B">
        <w:rPr>
          <w:sz w:val="28"/>
          <w:szCs w:val="28"/>
          <w:lang w:val="uk-UA"/>
        </w:rPr>
        <w:t xml:space="preserve"> фармакотерапія болю на тлі гіпотиреозу повинна підлягати обов'язковій корекції за допомогою замісної гормональної терапії </w:t>
      </w:r>
      <w:r w:rsidRPr="00BE086B">
        <w:rPr>
          <w:sz w:val="28"/>
          <w:szCs w:val="28"/>
        </w:rPr>
        <w:t>L</w:t>
      </w:r>
      <w:r w:rsidRPr="00BE086B">
        <w:rPr>
          <w:sz w:val="28"/>
          <w:szCs w:val="28"/>
          <w:lang w:val="uk-UA"/>
        </w:rPr>
        <w:t>-тироксином внаслідок того, що призначення</w:t>
      </w:r>
      <w:r w:rsidRPr="00BE086B">
        <w:rPr>
          <w:iCs/>
          <w:sz w:val="28"/>
          <w:szCs w:val="28"/>
          <w:lang w:val="uk-UA"/>
        </w:rPr>
        <w:t xml:space="preserve"> </w:t>
      </w:r>
      <w:r w:rsidRPr="00BE086B">
        <w:rPr>
          <w:sz w:val="28"/>
          <w:szCs w:val="28"/>
          <w:lang w:val="uk-UA"/>
        </w:rPr>
        <w:t xml:space="preserve">гормонального препарату відновлює антиноцицептивну активність </w:t>
      </w:r>
      <w:r w:rsidRPr="00BE086B">
        <w:rPr>
          <w:bCs/>
          <w:sz w:val="28"/>
          <w:szCs w:val="28"/>
          <w:lang w:val="uk-UA"/>
        </w:rPr>
        <w:t>НПЗЗ та парацетамолу</w:t>
      </w:r>
      <w:r w:rsidR="00762553" w:rsidRPr="00BE086B">
        <w:rPr>
          <w:bCs/>
          <w:sz w:val="28"/>
          <w:szCs w:val="28"/>
          <w:lang w:val="uk-UA"/>
        </w:rPr>
        <w:t xml:space="preserve"> [322, 360]</w:t>
      </w:r>
      <w:r w:rsidRPr="00BE086B">
        <w:rPr>
          <w:rFonts w:eastAsia="Calibri"/>
          <w:iCs/>
          <w:sz w:val="28"/>
          <w:szCs w:val="28"/>
          <w:lang w:val="uk-UA"/>
        </w:rPr>
        <w:t>.</w:t>
      </w:r>
    </w:p>
    <w:p w:rsidR="00215BF6" w:rsidRPr="00BE086B" w:rsidRDefault="00215BF6" w:rsidP="00215BF6">
      <w:pPr>
        <w:pStyle w:val="af0"/>
        <w:kinsoku w:val="0"/>
        <w:overflowPunct w:val="0"/>
        <w:ind w:firstLine="709"/>
        <w:jc w:val="both"/>
        <w:rPr>
          <w:sz w:val="28"/>
          <w:szCs w:val="28"/>
          <w:lang w:val="uk-UA"/>
        </w:rPr>
      </w:pPr>
      <w:r w:rsidRPr="00BE086B">
        <w:rPr>
          <w:sz w:val="28"/>
          <w:szCs w:val="28"/>
          <w:lang w:val="uk-UA"/>
        </w:rPr>
        <w:t xml:space="preserve">Також на підставі проведених досліджень (розділи 4, 5 та 6) показано, що гіпотиреоз, як патологічний стан посилює перебіг остеоартрозу. Аналіз отриманих результатів показав, що остеоартроз та гіпотиреоз активують клітинний синтез таких цитокинів, як фактор некрозу пухлин, інтерлейкіни 1 та 8, які посилюють експресію генів та металопротеїназ, що призводить до </w:t>
      </w:r>
      <w:r w:rsidRPr="00BE086B">
        <w:rPr>
          <w:bCs/>
          <w:sz w:val="28"/>
          <w:szCs w:val="28"/>
          <w:lang w:val="uk-UA"/>
        </w:rPr>
        <w:t>руйнування позаклітинного матриксу</w:t>
      </w:r>
      <w:r w:rsidRPr="00BE086B">
        <w:rPr>
          <w:sz w:val="28"/>
          <w:szCs w:val="28"/>
          <w:lang w:val="uk-UA"/>
        </w:rPr>
        <w:t xml:space="preserve">, пригніченню проліферації хондроцитів та їх апоптозу - </w:t>
      </w:r>
      <w:r w:rsidRPr="00BE086B">
        <w:rPr>
          <w:bCs/>
          <w:sz w:val="28"/>
          <w:szCs w:val="28"/>
          <w:lang w:val="uk-UA"/>
        </w:rPr>
        <w:t>розвивається деструкція хряща. Тому для фармакологічної корекції патологічних станів необхідне призначення препаратів як з симптом-модифікуючою, так і структурно-модифікуючою дією при остеоартрозі</w:t>
      </w:r>
      <w:r w:rsidR="00762553" w:rsidRPr="00BE086B">
        <w:rPr>
          <w:bCs/>
          <w:sz w:val="28"/>
          <w:szCs w:val="28"/>
        </w:rPr>
        <w:t xml:space="preserve"> </w:t>
      </w:r>
      <w:r w:rsidR="00762553" w:rsidRPr="00BE086B">
        <w:rPr>
          <w:bCs/>
          <w:sz w:val="28"/>
          <w:szCs w:val="28"/>
          <w:lang w:val="uk-UA"/>
        </w:rPr>
        <w:t>[</w:t>
      </w:r>
      <w:r w:rsidR="00762553" w:rsidRPr="00BE086B">
        <w:rPr>
          <w:bCs/>
          <w:sz w:val="28"/>
          <w:szCs w:val="28"/>
        </w:rPr>
        <w:t xml:space="preserve">257, 328, 347, 356, </w:t>
      </w:r>
      <w:r w:rsidR="00762553" w:rsidRPr="00BE086B">
        <w:rPr>
          <w:bCs/>
          <w:sz w:val="28"/>
          <w:szCs w:val="28"/>
          <w:lang w:val="uk-UA"/>
        </w:rPr>
        <w:t>360]</w:t>
      </w:r>
      <w:r w:rsidRPr="00BE086B">
        <w:rPr>
          <w:sz w:val="28"/>
          <w:szCs w:val="28"/>
          <w:lang w:val="uk-UA"/>
        </w:rPr>
        <w:t>.</w:t>
      </w:r>
    </w:p>
    <w:p w:rsidR="00215BF6" w:rsidRPr="00BE086B" w:rsidRDefault="00215BF6" w:rsidP="00215BF6">
      <w:pPr>
        <w:pStyle w:val="af0"/>
        <w:kinsoku w:val="0"/>
        <w:overflowPunct w:val="0"/>
        <w:ind w:firstLine="709"/>
        <w:jc w:val="both"/>
        <w:rPr>
          <w:sz w:val="28"/>
          <w:szCs w:val="28"/>
          <w:lang w:val="uk-UA"/>
        </w:rPr>
      </w:pPr>
      <w:r w:rsidRPr="00BE086B">
        <w:rPr>
          <w:sz w:val="28"/>
          <w:szCs w:val="28"/>
          <w:lang w:val="uk-UA"/>
        </w:rPr>
        <w:lastRenderedPageBreak/>
        <w:t>Отримані результати (розділи 3, 4, 5 та 6) є теоретичним обґрунтуванням доцільності розробки і вивчення комбінованого засобу, що складається з аналгетику, препарату замісної гормональної терапії (</w:t>
      </w:r>
      <w:r w:rsidRPr="00BE086B">
        <w:rPr>
          <w:sz w:val="28"/>
          <w:szCs w:val="28"/>
        </w:rPr>
        <w:t>L</w:t>
      </w:r>
      <w:r w:rsidRPr="00BE086B">
        <w:rPr>
          <w:sz w:val="28"/>
          <w:szCs w:val="28"/>
          <w:lang w:val="uk-UA"/>
        </w:rPr>
        <w:t xml:space="preserve">-тироксину) та хондропротектору. При цьому ми виходили з того, що у випадку больового синдрому та функціональної недостатності щитоподібної залози хондропротектор </w:t>
      </w:r>
      <w:r w:rsidRPr="00BE086B">
        <w:rPr>
          <w:bCs/>
          <w:sz w:val="28"/>
          <w:szCs w:val="28"/>
          <w:lang w:val="uk-UA"/>
        </w:rPr>
        <w:t>буде впливати на гістоморфологічні зміни хряща та моделювати фармакологічну ефективність відповідних аналгетиків та гормонопрепарату</w:t>
      </w:r>
      <w:r w:rsidR="00762553" w:rsidRPr="00BE086B">
        <w:rPr>
          <w:bCs/>
          <w:sz w:val="28"/>
          <w:szCs w:val="28"/>
          <w:lang w:val="uk-UA"/>
        </w:rPr>
        <w:t xml:space="preserve"> [257, 328, 347, 356, 360]</w:t>
      </w:r>
      <w:r w:rsidRPr="00BE086B">
        <w:rPr>
          <w:bCs/>
          <w:sz w:val="28"/>
          <w:szCs w:val="28"/>
          <w:lang w:val="uk-UA"/>
        </w:rPr>
        <w:t>.</w:t>
      </w:r>
    </w:p>
    <w:p w:rsidR="00215BF6" w:rsidRPr="00BE086B" w:rsidRDefault="00215BF6" w:rsidP="00215BF6">
      <w:pPr>
        <w:pStyle w:val="af0"/>
        <w:kinsoku w:val="0"/>
        <w:overflowPunct w:val="0"/>
        <w:ind w:firstLine="709"/>
        <w:jc w:val="both"/>
        <w:rPr>
          <w:sz w:val="28"/>
          <w:szCs w:val="28"/>
          <w:lang w:val="uk-UA"/>
        </w:rPr>
      </w:pPr>
      <w:r w:rsidRPr="00BE086B">
        <w:rPr>
          <w:sz w:val="28"/>
          <w:szCs w:val="28"/>
          <w:lang w:val="uk-UA"/>
        </w:rPr>
        <w:t>На підставі проведених попередніх досліджень був обраний диклофенак натрію, як засіб з високою знеболюючою і протизапальною активністю, який у середньо ефективних дозах не впливає на рівень гормонів щитоподібної залози та ТТГ (розділи 3, 4, 5 та 6).</w:t>
      </w:r>
    </w:p>
    <w:p w:rsidR="00215BF6" w:rsidRPr="00BE086B" w:rsidRDefault="00215BF6" w:rsidP="00215BF6">
      <w:pPr>
        <w:pStyle w:val="12"/>
        <w:spacing w:before="0" w:after="0" w:line="360" w:lineRule="auto"/>
        <w:ind w:firstLine="709"/>
        <w:jc w:val="both"/>
        <w:rPr>
          <w:rFonts w:cs="Times New Roman"/>
          <w:i w:val="0"/>
          <w:sz w:val="28"/>
          <w:szCs w:val="28"/>
          <w:lang w:val="uk-UA"/>
        </w:rPr>
      </w:pPr>
      <w:r w:rsidRPr="00BE086B">
        <w:rPr>
          <w:rFonts w:cs="Times New Roman"/>
          <w:i w:val="0"/>
          <w:sz w:val="28"/>
          <w:szCs w:val="28"/>
          <w:lang w:val="uk-UA"/>
        </w:rPr>
        <w:t>Було припущено, що сумісне призначення хондроїтину сульфату та диклофенаку натрію може мати синергічну дію відносно больового синдрому і позитивно впливати на патогенетичні механізми остеоартрозу на тлі гіпотиреозу. В той же час, призначення L-тироксину поряд з хондроїтином сульфатом та диклофенаком натрію, у випадку, коли гіпотиреоз розвивається як коморбідна патологія при остеоартрозі, буде компенсувати патологічні зміни обміну речовин, зменшуючи патологічний вплив мукополісахаридів та простагландинів на гіаліновий хрящ, обумовлюючи зниження інтенсивності запальних явищ у суглобі</w:t>
      </w:r>
      <w:r w:rsidR="00762553" w:rsidRPr="00BE086B">
        <w:rPr>
          <w:rFonts w:cs="Times New Roman"/>
          <w:i w:val="0"/>
          <w:sz w:val="28"/>
          <w:szCs w:val="28"/>
          <w:lang w:val="uk-UA"/>
        </w:rPr>
        <w:t xml:space="preserve"> </w:t>
      </w:r>
      <w:r w:rsidR="00762553" w:rsidRPr="00BE086B">
        <w:rPr>
          <w:bCs/>
          <w:i w:val="0"/>
          <w:sz w:val="28"/>
          <w:szCs w:val="28"/>
          <w:lang w:val="uk-UA"/>
        </w:rPr>
        <w:t xml:space="preserve">[257, 347, 360. </w:t>
      </w:r>
      <w:r w:rsidR="00762553" w:rsidRPr="00AF27FE">
        <w:rPr>
          <w:bCs/>
          <w:i w:val="0"/>
          <w:sz w:val="28"/>
          <w:szCs w:val="28"/>
          <w:lang w:val="uk-UA"/>
        </w:rPr>
        <w:t>412, 413</w:t>
      </w:r>
      <w:r w:rsidR="00762553" w:rsidRPr="00BE086B">
        <w:rPr>
          <w:bCs/>
          <w:i w:val="0"/>
          <w:sz w:val="28"/>
          <w:szCs w:val="28"/>
          <w:lang w:val="uk-UA"/>
        </w:rPr>
        <w:t>]</w:t>
      </w:r>
      <w:r w:rsidRPr="00BE086B">
        <w:rPr>
          <w:rFonts w:cs="Times New Roman"/>
          <w:i w:val="0"/>
          <w:sz w:val="28"/>
          <w:szCs w:val="28"/>
          <w:lang w:val="uk-UA"/>
        </w:rPr>
        <w:t>.</w:t>
      </w:r>
    </w:p>
    <w:p w:rsidR="00215BF6" w:rsidRPr="00BE086B" w:rsidRDefault="00215BF6" w:rsidP="00215BF6">
      <w:pPr>
        <w:pStyle w:val="12"/>
        <w:spacing w:before="0" w:after="0" w:line="360" w:lineRule="auto"/>
        <w:ind w:firstLine="709"/>
        <w:jc w:val="both"/>
        <w:rPr>
          <w:rFonts w:cs="Times New Roman"/>
          <w:bCs/>
          <w:i w:val="0"/>
          <w:sz w:val="28"/>
          <w:szCs w:val="28"/>
          <w:lang w:val="uk-UA"/>
        </w:rPr>
      </w:pPr>
    </w:p>
    <w:p w:rsidR="00215BF6" w:rsidRPr="00BE086B" w:rsidRDefault="00215BF6" w:rsidP="00215BF6">
      <w:pPr>
        <w:pStyle w:val="af0"/>
        <w:kinsoku w:val="0"/>
        <w:overflowPunct w:val="0"/>
        <w:ind w:firstLine="709"/>
        <w:jc w:val="both"/>
        <w:rPr>
          <w:b/>
          <w:bCs/>
          <w:sz w:val="28"/>
          <w:szCs w:val="28"/>
          <w:lang w:val="uk-UA"/>
        </w:rPr>
      </w:pPr>
      <w:r w:rsidRPr="00BE086B">
        <w:rPr>
          <w:b/>
          <w:bCs/>
          <w:sz w:val="28"/>
          <w:szCs w:val="28"/>
          <w:lang w:val="uk-UA"/>
        </w:rPr>
        <w:t>7.1. Вплив хондроїтину сульфату на прояви остеоартрозу на тлі гіпотиреозу</w:t>
      </w:r>
    </w:p>
    <w:p w:rsidR="00215BF6" w:rsidRPr="00BE086B" w:rsidRDefault="00215BF6" w:rsidP="00215BF6">
      <w:pPr>
        <w:spacing w:line="360" w:lineRule="auto"/>
        <w:ind w:firstLine="709"/>
        <w:jc w:val="center"/>
        <w:rPr>
          <w:bCs/>
          <w:sz w:val="28"/>
          <w:szCs w:val="28"/>
          <w:lang w:val="uk-UA"/>
        </w:rPr>
      </w:pPr>
    </w:p>
    <w:p w:rsidR="00215BF6" w:rsidRPr="00BE086B" w:rsidRDefault="00215BF6" w:rsidP="00215BF6">
      <w:pPr>
        <w:spacing w:line="360" w:lineRule="auto"/>
        <w:ind w:firstLine="709"/>
        <w:jc w:val="both"/>
        <w:rPr>
          <w:bCs/>
          <w:sz w:val="28"/>
          <w:szCs w:val="28"/>
          <w:lang w:val="uk-UA"/>
        </w:rPr>
      </w:pPr>
      <w:r w:rsidRPr="00BE086B">
        <w:rPr>
          <w:bCs/>
          <w:sz w:val="28"/>
          <w:szCs w:val="28"/>
          <w:lang w:val="uk-UA"/>
        </w:rPr>
        <w:t>В даному підрозділі описані результати дослідження впливу хондроїтину сульфату на прояви остеоартрозу на фоні гіпотиреозу для визначення ролі та ступеню можливого впливу цього ЛЗ на патологічні процеси експериментальних захворювань, що моделюються.</w:t>
      </w:r>
    </w:p>
    <w:p w:rsidR="00215BF6" w:rsidRPr="00BE086B" w:rsidRDefault="00215BF6" w:rsidP="00215BF6">
      <w:pPr>
        <w:spacing w:line="360" w:lineRule="auto"/>
        <w:ind w:firstLine="709"/>
        <w:jc w:val="both"/>
        <w:rPr>
          <w:bCs/>
          <w:sz w:val="28"/>
          <w:szCs w:val="28"/>
          <w:lang w:val="uk-UA"/>
        </w:rPr>
      </w:pPr>
    </w:p>
    <w:p w:rsidR="00215BF6" w:rsidRPr="00BE086B" w:rsidRDefault="00215BF6" w:rsidP="00215BF6">
      <w:pPr>
        <w:pStyle w:val="western"/>
        <w:spacing w:before="0"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 xml:space="preserve">Терміни дослідження визначені відносно особливостей проведення експериментальної роботи. Так, 42 доба експерименту визначає кінцевий термін формування експериментальних моделей ОА та ГІТ, а 70 доба відповідає кінцевому терміну 28-добового введення </w:t>
      </w:r>
      <w:r w:rsidRPr="00BE086B">
        <w:rPr>
          <w:rFonts w:ascii="Times New Roman" w:hAnsi="Times New Roman" w:cs="Times New Roman"/>
          <w:bCs/>
          <w:color w:val="auto"/>
          <w:sz w:val="28"/>
          <w:szCs w:val="28"/>
          <w:lang w:val="uk-UA"/>
        </w:rPr>
        <w:t>хондроїтину сульфату</w:t>
      </w:r>
      <w:r w:rsidRPr="00BE086B">
        <w:rPr>
          <w:rFonts w:ascii="Times New Roman" w:hAnsi="Times New Roman" w:cs="Times New Roman"/>
          <w:color w:val="auto"/>
          <w:sz w:val="28"/>
          <w:szCs w:val="28"/>
          <w:lang w:val="uk-UA"/>
        </w:rPr>
        <w:t>, який вводився з 42 доби.</w:t>
      </w:r>
    </w:p>
    <w:p w:rsidR="00215BF6" w:rsidRPr="00BE086B" w:rsidRDefault="00215BF6" w:rsidP="00215BF6">
      <w:pPr>
        <w:spacing w:line="360" w:lineRule="auto"/>
        <w:ind w:firstLine="709"/>
        <w:jc w:val="both"/>
        <w:rPr>
          <w:sz w:val="28"/>
          <w:szCs w:val="28"/>
          <w:lang w:val="uk-UA"/>
        </w:rPr>
      </w:pPr>
      <w:r w:rsidRPr="00BE086B">
        <w:rPr>
          <w:i/>
          <w:sz w:val="28"/>
          <w:szCs w:val="28"/>
          <w:lang w:val="uk-UA"/>
        </w:rPr>
        <w:t>Морфометрична (макроскопічна) оцінка.</w:t>
      </w:r>
      <w:r w:rsidRPr="00BE086B">
        <w:rPr>
          <w:sz w:val="28"/>
          <w:szCs w:val="28"/>
          <w:lang w:val="uk-UA"/>
        </w:rPr>
        <w:t xml:space="preserve"> На першому етапі дослідження були виміряні розміри суглобів (ВС) щурів та виконане моделювання коморбідної патології. Як видно з табл. 7.1, на 42 добу з моменту моделювання ЕОА та ЕГ відзначалося виражене збільшення розмірів уражених суглобів, що свідчило про розвиток запальної реакції у відповідь на експериментальні моделі. На 70 добу експерименту в групі тварин, які отримували хондроїтин сульфат відзначено достовірне (р &lt; 0,001) зменшення розмірів суглобів на 26,1% у порівнянні з групою ЕОА + ЕГ. У групі активного контролю (ЕОА + ЕГ) спостерігалося подальше наростання запальних явищ на 70 добу експерименту (табл. 7.1, рис. 7.1).</w:t>
      </w:r>
    </w:p>
    <w:p w:rsidR="00215BF6" w:rsidRPr="00BE086B" w:rsidRDefault="00215BF6" w:rsidP="00215BF6">
      <w:pPr>
        <w:tabs>
          <w:tab w:val="left" w:pos="3045"/>
        </w:tabs>
        <w:spacing w:line="360" w:lineRule="auto"/>
        <w:ind w:firstLine="709"/>
        <w:jc w:val="right"/>
        <w:rPr>
          <w:sz w:val="28"/>
          <w:szCs w:val="28"/>
          <w:lang w:val="uk-UA"/>
        </w:rPr>
      </w:pPr>
      <w:r w:rsidRPr="00BE086B">
        <w:rPr>
          <w:bCs/>
          <w:i/>
          <w:sz w:val="28"/>
          <w:szCs w:val="28"/>
          <w:lang w:val="uk-UA"/>
        </w:rPr>
        <w:t>Таблиця 7.1</w:t>
      </w:r>
    </w:p>
    <w:p w:rsidR="00215BF6" w:rsidRPr="00BE086B" w:rsidRDefault="00215BF6" w:rsidP="00215BF6">
      <w:pPr>
        <w:tabs>
          <w:tab w:val="left" w:pos="3045"/>
        </w:tabs>
        <w:spacing w:line="360" w:lineRule="auto"/>
        <w:ind w:firstLine="709"/>
        <w:jc w:val="center"/>
        <w:rPr>
          <w:sz w:val="28"/>
          <w:szCs w:val="28"/>
          <w:lang w:val="uk-UA"/>
        </w:rPr>
      </w:pPr>
      <w:r w:rsidRPr="00BE086B">
        <w:rPr>
          <w:b/>
          <w:bCs/>
          <w:sz w:val="28"/>
          <w:szCs w:val="28"/>
          <w:lang w:val="uk-UA"/>
        </w:rPr>
        <w:t>Середні значення розмірів уражених суглобів</w:t>
      </w:r>
    </w:p>
    <w:p w:rsidR="00215BF6" w:rsidRPr="00BE086B" w:rsidRDefault="00215BF6" w:rsidP="00215BF6">
      <w:pPr>
        <w:jc w:val="center"/>
        <w:rPr>
          <w:sz w:val="28"/>
          <w:szCs w:val="28"/>
          <w:lang w:val="uk-UA"/>
        </w:rPr>
      </w:pPr>
      <w:r w:rsidRPr="00BE086B">
        <w:rPr>
          <w:b/>
          <w:bCs/>
          <w:sz w:val="28"/>
          <w:szCs w:val="28"/>
          <w:lang w:val="uk-UA"/>
        </w:rPr>
        <w:t xml:space="preserve">на етапах дослідження, </w:t>
      </w:r>
      <w:r w:rsidRPr="00BE086B">
        <w:rPr>
          <w:b/>
          <w:sz w:val="28"/>
          <w:szCs w:val="28"/>
          <w:lang w:val="uk-UA"/>
        </w:rPr>
        <w:t>M±m</w:t>
      </w:r>
    </w:p>
    <w:tbl>
      <w:tblPr>
        <w:tblW w:w="9498" w:type="dxa"/>
        <w:tblInd w:w="108" w:type="dxa"/>
        <w:tblLayout w:type="fixed"/>
        <w:tblLook w:val="0000" w:firstRow="0" w:lastRow="0" w:firstColumn="0" w:lastColumn="0" w:noHBand="0" w:noVBand="0"/>
      </w:tblPr>
      <w:tblGrid>
        <w:gridCol w:w="3828"/>
        <w:gridCol w:w="1559"/>
        <w:gridCol w:w="2078"/>
        <w:gridCol w:w="2033"/>
      </w:tblGrid>
      <w:tr w:rsidR="00215BF6" w:rsidRPr="00BE086B" w:rsidTr="00F66F9B">
        <w:trPr>
          <w:trHeight w:val="533"/>
        </w:trPr>
        <w:tc>
          <w:tcPr>
            <w:tcW w:w="3828" w:type="dxa"/>
            <w:vMerge w:val="restart"/>
            <w:tcBorders>
              <w:top w:val="single" w:sz="4" w:space="0" w:color="000001"/>
              <w:left w:val="single" w:sz="4" w:space="0" w:color="000001"/>
            </w:tcBorders>
            <w:shd w:val="clear" w:color="auto" w:fill="FFFFFF"/>
            <w:vAlign w:val="center"/>
          </w:tcPr>
          <w:p w:rsidR="00215BF6" w:rsidRPr="00BE086B" w:rsidRDefault="00215BF6" w:rsidP="00F66F9B">
            <w:pPr>
              <w:jc w:val="center"/>
              <w:rPr>
                <w:b/>
                <w:sz w:val="28"/>
                <w:szCs w:val="28"/>
                <w:lang w:val="uk-UA"/>
              </w:rPr>
            </w:pPr>
            <w:r w:rsidRPr="00BE086B">
              <w:rPr>
                <w:b/>
                <w:sz w:val="28"/>
                <w:szCs w:val="28"/>
                <w:lang w:val="uk-UA"/>
              </w:rPr>
              <w:t>Групи тварин</w:t>
            </w:r>
          </w:p>
          <w:p w:rsidR="00215BF6" w:rsidRPr="00BE086B" w:rsidRDefault="00215BF6" w:rsidP="00F66F9B">
            <w:pPr>
              <w:jc w:val="center"/>
              <w:rPr>
                <w:b/>
                <w:sz w:val="28"/>
                <w:szCs w:val="28"/>
                <w:lang w:val="uk-UA"/>
              </w:rPr>
            </w:pPr>
            <w:r w:rsidRPr="00BE086B">
              <w:rPr>
                <w:b/>
                <w:sz w:val="28"/>
                <w:szCs w:val="28"/>
                <w:lang w:val="uk-UA"/>
              </w:rPr>
              <w:t>(n=80)</w:t>
            </w:r>
          </w:p>
        </w:tc>
        <w:tc>
          <w:tcPr>
            <w:tcW w:w="5670" w:type="dxa"/>
            <w:gridSpan w:val="3"/>
            <w:tcBorders>
              <w:top w:val="single" w:sz="4" w:space="0" w:color="000001"/>
              <w:left w:val="single" w:sz="4" w:space="0" w:color="000001"/>
              <w:bottom w:val="single" w:sz="4" w:space="0" w:color="000001"/>
              <w:right w:val="single" w:sz="4" w:space="0" w:color="000001"/>
            </w:tcBorders>
            <w:shd w:val="clear" w:color="auto" w:fill="FFFFFF"/>
            <w:vAlign w:val="center"/>
          </w:tcPr>
          <w:p w:rsidR="00215BF6" w:rsidRPr="00BE086B" w:rsidRDefault="00215BF6" w:rsidP="00F66F9B">
            <w:pPr>
              <w:jc w:val="center"/>
              <w:rPr>
                <w:b/>
                <w:sz w:val="28"/>
                <w:szCs w:val="28"/>
                <w:lang w:val="uk-UA"/>
              </w:rPr>
            </w:pPr>
            <w:r w:rsidRPr="00BE086B">
              <w:rPr>
                <w:b/>
                <w:sz w:val="28"/>
                <w:szCs w:val="28"/>
                <w:lang w:val="uk-UA"/>
              </w:rPr>
              <w:t>Розміри уражених суглобів щурів дослідних груп, мм</w:t>
            </w:r>
          </w:p>
        </w:tc>
      </w:tr>
      <w:tr w:rsidR="00215BF6" w:rsidRPr="00BE086B" w:rsidTr="00F66F9B">
        <w:trPr>
          <w:trHeight w:val="605"/>
        </w:trPr>
        <w:tc>
          <w:tcPr>
            <w:tcW w:w="3828" w:type="dxa"/>
            <w:vMerge/>
            <w:tcBorders>
              <w:top w:val="single" w:sz="4" w:space="0" w:color="000001"/>
              <w:left w:val="single" w:sz="4" w:space="0" w:color="000001"/>
            </w:tcBorders>
            <w:shd w:val="clear" w:color="auto" w:fill="FFFFFF"/>
            <w:vAlign w:val="center"/>
          </w:tcPr>
          <w:p w:rsidR="00215BF6" w:rsidRPr="00BE086B" w:rsidRDefault="00215BF6" w:rsidP="00F66F9B">
            <w:pPr>
              <w:snapToGrid w:val="0"/>
              <w:jc w:val="center"/>
              <w:rPr>
                <w:b/>
                <w:sz w:val="28"/>
                <w:szCs w:val="28"/>
                <w:lang w:val="uk-UA"/>
              </w:rPr>
            </w:pPr>
          </w:p>
        </w:tc>
        <w:tc>
          <w:tcPr>
            <w:tcW w:w="1559" w:type="dxa"/>
            <w:tcBorders>
              <w:top w:val="single" w:sz="4" w:space="0" w:color="000001"/>
              <w:left w:val="single" w:sz="4" w:space="0" w:color="000001"/>
              <w:bottom w:val="single" w:sz="4" w:space="0" w:color="000001"/>
            </w:tcBorders>
            <w:shd w:val="clear" w:color="auto" w:fill="FFFFFF"/>
            <w:vAlign w:val="center"/>
          </w:tcPr>
          <w:p w:rsidR="00215BF6" w:rsidRPr="00BE086B" w:rsidRDefault="00215BF6" w:rsidP="00F66F9B">
            <w:pPr>
              <w:jc w:val="center"/>
              <w:rPr>
                <w:b/>
                <w:sz w:val="28"/>
                <w:szCs w:val="28"/>
                <w:lang w:val="uk-UA"/>
              </w:rPr>
            </w:pPr>
            <w:r w:rsidRPr="00BE086B">
              <w:rPr>
                <w:b/>
                <w:sz w:val="28"/>
                <w:szCs w:val="28"/>
                <w:lang w:val="uk-UA"/>
              </w:rPr>
              <w:t>Вихідний стан (ВС)</w:t>
            </w:r>
          </w:p>
        </w:tc>
        <w:tc>
          <w:tcPr>
            <w:tcW w:w="2078" w:type="dxa"/>
            <w:tcBorders>
              <w:top w:val="single" w:sz="4" w:space="0" w:color="000001"/>
              <w:left w:val="single" w:sz="4" w:space="0" w:color="000001"/>
              <w:bottom w:val="single" w:sz="4" w:space="0" w:color="000001"/>
            </w:tcBorders>
            <w:shd w:val="clear" w:color="auto" w:fill="FFFFFF"/>
          </w:tcPr>
          <w:p w:rsidR="00215BF6" w:rsidRPr="00BE086B" w:rsidRDefault="00215BF6" w:rsidP="00F66F9B">
            <w:pPr>
              <w:jc w:val="center"/>
              <w:rPr>
                <w:b/>
                <w:sz w:val="28"/>
                <w:szCs w:val="28"/>
                <w:lang w:val="uk-UA"/>
              </w:rPr>
            </w:pPr>
            <w:r w:rsidRPr="00BE086B">
              <w:rPr>
                <w:b/>
                <w:sz w:val="28"/>
                <w:szCs w:val="28"/>
                <w:lang w:val="uk-UA"/>
              </w:rPr>
              <w:t>42 доба експерименту</w:t>
            </w:r>
          </w:p>
        </w:tc>
        <w:tc>
          <w:tcPr>
            <w:tcW w:w="2033" w:type="dxa"/>
            <w:tcBorders>
              <w:top w:val="single" w:sz="4" w:space="0" w:color="000001"/>
              <w:left w:val="single" w:sz="4" w:space="0" w:color="000001"/>
              <w:bottom w:val="single" w:sz="4" w:space="0" w:color="000001"/>
              <w:right w:val="single" w:sz="4" w:space="0" w:color="000001"/>
            </w:tcBorders>
            <w:shd w:val="clear" w:color="auto" w:fill="FFFFFF"/>
          </w:tcPr>
          <w:p w:rsidR="00215BF6" w:rsidRPr="00BE086B" w:rsidRDefault="00215BF6" w:rsidP="00F66F9B">
            <w:pPr>
              <w:jc w:val="center"/>
              <w:rPr>
                <w:b/>
                <w:sz w:val="28"/>
                <w:szCs w:val="28"/>
                <w:lang w:val="uk-UA"/>
              </w:rPr>
            </w:pPr>
            <w:r w:rsidRPr="00BE086B">
              <w:rPr>
                <w:b/>
                <w:sz w:val="28"/>
                <w:szCs w:val="28"/>
                <w:lang w:val="uk-UA"/>
              </w:rPr>
              <w:t>70 доба експерименту</w:t>
            </w:r>
          </w:p>
        </w:tc>
      </w:tr>
      <w:tr w:rsidR="00215BF6" w:rsidRPr="00BE086B" w:rsidTr="00F66F9B">
        <w:trPr>
          <w:trHeight w:val="593"/>
        </w:trPr>
        <w:tc>
          <w:tcPr>
            <w:tcW w:w="3828" w:type="dxa"/>
            <w:tcBorders>
              <w:top w:val="single" w:sz="4" w:space="0" w:color="000001"/>
              <w:left w:val="single" w:sz="4" w:space="0" w:color="000001"/>
              <w:bottom w:val="single" w:sz="4" w:space="0" w:color="000001"/>
            </w:tcBorders>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Остеоартроз + гіпотиреоз (ЕОА+ЕГ) (n=40)</w:t>
            </w:r>
          </w:p>
        </w:tc>
        <w:tc>
          <w:tcPr>
            <w:tcW w:w="1559" w:type="dxa"/>
            <w:tcBorders>
              <w:top w:val="single" w:sz="4" w:space="0" w:color="000001"/>
              <w:left w:val="single" w:sz="4" w:space="0" w:color="000001"/>
              <w:bottom w:val="single" w:sz="4" w:space="0" w:color="000001"/>
            </w:tcBorders>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24,3</w:t>
            </w:r>
          </w:p>
          <w:p w:rsidR="00215BF6" w:rsidRPr="00BE086B" w:rsidRDefault="00215BF6" w:rsidP="00F66F9B">
            <w:pPr>
              <w:jc w:val="center"/>
              <w:rPr>
                <w:sz w:val="28"/>
                <w:szCs w:val="28"/>
                <w:lang w:val="uk-UA"/>
              </w:rPr>
            </w:pPr>
            <w:r w:rsidRPr="00BE086B">
              <w:rPr>
                <w:sz w:val="28"/>
                <w:szCs w:val="28"/>
                <w:lang w:val="uk-UA"/>
              </w:rPr>
              <w:t>±0,46</w:t>
            </w:r>
          </w:p>
        </w:tc>
        <w:tc>
          <w:tcPr>
            <w:tcW w:w="2078" w:type="dxa"/>
            <w:tcBorders>
              <w:top w:val="single" w:sz="4" w:space="0" w:color="000001"/>
              <w:left w:val="single" w:sz="4" w:space="0" w:color="000001"/>
              <w:bottom w:val="single" w:sz="4" w:space="0" w:color="000001"/>
            </w:tcBorders>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33,8#</w:t>
            </w:r>
          </w:p>
          <w:p w:rsidR="00215BF6" w:rsidRPr="00BE086B" w:rsidRDefault="00215BF6" w:rsidP="00F66F9B">
            <w:pPr>
              <w:jc w:val="center"/>
              <w:rPr>
                <w:sz w:val="28"/>
                <w:szCs w:val="28"/>
                <w:lang w:val="uk-UA"/>
              </w:rPr>
            </w:pPr>
            <w:r w:rsidRPr="00BE086B">
              <w:rPr>
                <w:sz w:val="28"/>
                <w:szCs w:val="28"/>
                <w:lang w:val="uk-UA"/>
              </w:rPr>
              <w:t>±0,95</w:t>
            </w:r>
          </w:p>
        </w:tc>
        <w:tc>
          <w:tcPr>
            <w:tcW w:w="2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35,7#</w:t>
            </w:r>
          </w:p>
          <w:p w:rsidR="00215BF6" w:rsidRPr="00BE086B" w:rsidRDefault="00215BF6" w:rsidP="00F66F9B">
            <w:pPr>
              <w:jc w:val="center"/>
              <w:rPr>
                <w:sz w:val="28"/>
                <w:szCs w:val="28"/>
                <w:lang w:val="uk-UA"/>
              </w:rPr>
            </w:pPr>
            <w:r w:rsidRPr="00BE086B">
              <w:rPr>
                <w:sz w:val="28"/>
                <w:szCs w:val="28"/>
                <w:lang w:val="uk-UA"/>
              </w:rPr>
              <w:t>±0,83</w:t>
            </w:r>
          </w:p>
        </w:tc>
      </w:tr>
      <w:tr w:rsidR="00215BF6" w:rsidRPr="00BE086B" w:rsidTr="00F66F9B">
        <w:trPr>
          <w:trHeight w:val="645"/>
        </w:trPr>
        <w:tc>
          <w:tcPr>
            <w:tcW w:w="3828" w:type="dxa"/>
            <w:tcBorders>
              <w:top w:val="single" w:sz="4" w:space="0" w:color="000001"/>
              <w:left w:val="single" w:sz="4" w:space="0" w:color="000001"/>
              <w:bottom w:val="single" w:sz="4" w:space="0" w:color="000001"/>
            </w:tcBorders>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Хондроїтин сульфат</w:t>
            </w:r>
          </w:p>
          <w:p w:rsidR="00215BF6" w:rsidRPr="00BE086B" w:rsidRDefault="00215BF6" w:rsidP="00F66F9B">
            <w:pPr>
              <w:jc w:val="center"/>
              <w:rPr>
                <w:sz w:val="28"/>
                <w:szCs w:val="28"/>
                <w:lang w:val="uk-UA"/>
              </w:rPr>
            </w:pPr>
            <w:r w:rsidRPr="00BE086B">
              <w:rPr>
                <w:sz w:val="28"/>
                <w:szCs w:val="28"/>
                <w:lang w:val="uk-UA"/>
              </w:rPr>
              <w:t>35 мг/кг (n=40)</w:t>
            </w:r>
          </w:p>
        </w:tc>
        <w:tc>
          <w:tcPr>
            <w:tcW w:w="1559" w:type="dxa"/>
            <w:tcBorders>
              <w:top w:val="single" w:sz="4" w:space="0" w:color="000001"/>
              <w:left w:val="single" w:sz="4" w:space="0" w:color="000001"/>
              <w:bottom w:val="single" w:sz="4" w:space="0" w:color="000001"/>
            </w:tcBorders>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w:t>
            </w:r>
          </w:p>
        </w:tc>
        <w:tc>
          <w:tcPr>
            <w:tcW w:w="2078" w:type="dxa"/>
            <w:tcBorders>
              <w:top w:val="single" w:sz="4" w:space="0" w:color="000001"/>
              <w:left w:val="single" w:sz="4" w:space="0" w:color="000001"/>
              <w:bottom w:val="single" w:sz="4" w:space="0" w:color="000001"/>
            </w:tcBorders>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32,9#</w:t>
            </w:r>
          </w:p>
          <w:p w:rsidR="00215BF6" w:rsidRPr="00BE086B" w:rsidRDefault="00215BF6" w:rsidP="00F66F9B">
            <w:pPr>
              <w:jc w:val="center"/>
              <w:rPr>
                <w:sz w:val="28"/>
                <w:szCs w:val="28"/>
                <w:lang w:val="uk-UA"/>
              </w:rPr>
            </w:pPr>
            <w:r w:rsidRPr="00BE086B">
              <w:rPr>
                <w:sz w:val="28"/>
                <w:szCs w:val="28"/>
                <w:lang w:val="uk-UA"/>
              </w:rPr>
              <w:t>±0,89</w:t>
            </w:r>
          </w:p>
        </w:tc>
        <w:tc>
          <w:tcPr>
            <w:tcW w:w="2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26,4*</w:t>
            </w:r>
          </w:p>
          <w:p w:rsidR="00215BF6" w:rsidRPr="00BE086B" w:rsidRDefault="00215BF6" w:rsidP="00F66F9B">
            <w:pPr>
              <w:jc w:val="center"/>
              <w:rPr>
                <w:sz w:val="28"/>
                <w:szCs w:val="28"/>
                <w:lang w:val="uk-UA"/>
              </w:rPr>
            </w:pPr>
            <w:r w:rsidRPr="00BE086B">
              <w:rPr>
                <w:sz w:val="28"/>
                <w:szCs w:val="28"/>
                <w:lang w:val="uk-UA"/>
              </w:rPr>
              <w:t>±0,63</w:t>
            </w:r>
          </w:p>
        </w:tc>
      </w:tr>
    </w:tbl>
    <w:p w:rsidR="00215BF6" w:rsidRPr="00BE086B" w:rsidRDefault="00215BF6" w:rsidP="00215BF6">
      <w:pPr>
        <w:keepNext/>
        <w:spacing w:line="360" w:lineRule="auto"/>
        <w:ind w:firstLine="709"/>
        <w:jc w:val="both"/>
        <w:rPr>
          <w:rFonts w:eastAsia="Microsoft YaHei"/>
          <w:iCs/>
          <w:sz w:val="28"/>
          <w:szCs w:val="28"/>
          <w:lang w:val="uk-UA" w:eastAsia="ru-RU"/>
        </w:rPr>
      </w:pPr>
      <w:r w:rsidRPr="00BE086B">
        <w:rPr>
          <w:rFonts w:eastAsia="Microsoft YaHei"/>
          <w:b/>
          <w:bCs/>
          <w:iCs/>
          <w:sz w:val="28"/>
          <w:szCs w:val="28"/>
          <w:lang w:val="uk-UA" w:eastAsia="ru-RU"/>
        </w:rPr>
        <w:t>Примітки:</w:t>
      </w:r>
      <w:r w:rsidRPr="00BE086B">
        <w:rPr>
          <w:rFonts w:eastAsia="Microsoft YaHei"/>
          <w:iCs/>
          <w:sz w:val="28"/>
          <w:szCs w:val="28"/>
          <w:lang w:val="uk-UA" w:eastAsia="ru-RU"/>
        </w:rPr>
        <w:t xml:space="preserve"> # - відмінності достовірні (р &lt; 0,001) по відношенню до вихідного стану (</w:t>
      </w:r>
      <w:r w:rsidRPr="00BE086B">
        <w:rPr>
          <w:rFonts w:eastAsia="Microsoft YaHei"/>
          <w:sz w:val="28"/>
          <w:szCs w:val="28"/>
          <w:lang w:val="uk-UA"/>
        </w:rPr>
        <w:t>ЕОА + ЕГ</w:t>
      </w:r>
      <w:r w:rsidRPr="00BE086B">
        <w:rPr>
          <w:rFonts w:eastAsia="Microsoft YaHei"/>
          <w:iCs/>
          <w:sz w:val="28"/>
          <w:szCs w:val="28"/>
          <w:lang w:val="uk-UA" w:eastAsia="ru-RU"/>
        </w:rPr>
        <w:t>);</w:t>
      </w:r>
    </w:p>
    <w:p w:rsidR="00215BF6" w:rsidRPr="00BE086B" w:rsidRDefault="00215BF6" w:rsidP="00215BF6">
      <w:pPr>
        <w:keepNext/>
        <w:spacing w:line="360" w:lineRule="auto"/>
        <w:ind w:firstLine="709"/>
        <w:jc w:val="both"/>
        <w:rPr>
          <w:sz w:val="28"/>
          <w:szCs w:val="28"/>
          <w:lang w:val="uk-UA"/>
        </w:rPr>
      </w:pPr>
      <w:r w:rsidRPr="00BE086B">
        <w:rPr>
          <w:rFonts w:eastAsia="Microsoft YaHei"/>
          <w:iCs/>
          <w:sz w:val="28"/>
          <w:szCs w:val="28"/>
          <w:lang w:val="uk-UA" w:eastAsia="ru-RU"/>
        </w:rPr>
        <w:t>* - відмінності достовірні (р &lt; 0,001) по відношенню до відповідного показника групи активного контролю (</w:t>
      </w:r>
      <w:r w:rsidRPr="00BE086B">
        <w:rPr>
          <w:rFonts w:eastAsia="Microsoft YaHei"/>
          <w:sz w:val="28"/>
          <w:szCs w:val="28"/>
          <w:lang w:val="uk-UA"/>
        </w:rPr>
        <w:t>ЕОА + ЕГ)</w:t>
      </w:r>
      <w:r w:rsidRPr="00BE086B">
        <w:rPr>
          <w:rFonts w:eastAsia="Microsoft YaHei"/>
          <w:iCs/>
          <w:sz w:val="28"/>
          <w:szCs w:val="28"/>
          <w:lang w:val="uk-UA" w:eastAsia="ru-RU"/>
        </w:rPr>
        <w:t>.</w:t>
      </w:r>
    </w:p>
    <w:p w:rsidR="00215BF6" w:rsidRPr="00BE086B" w:rsidRDefault="00215BF6" w:rsidP="00215BF6">
      <w:pPr>
        <w:spacing w:line="360" w:lineRule="auto"/>
        <w:ind w:firstLine="709"/>
        <w:jc w:val="both"/>
        <w:rPr>
          <w:rFonts w:eastAsia="Microsoft YaHei"/>
          <w:sz w:val="28"/>
          <w:szCs w:val="28"/>
          <w:lang w:val="uk-UA"/>
        </w:rPr>
      </w:pPr>
    </w:p>
    <w:p w:rsidR="00215BF6" w:rsidRPr="00BE086B" w:rsidRDefault="00215BF6" w:rsidP="00215BF6">
      <w:pPr>
        <w:spacing w:line="360" w:lineRule="auto"/>
        <w:ind w:firstLine="709"/>
        <w:jc w:val="both"/>
        <w:rPr>
          <w:rFonts w:eastAsia="Microsoft YaHei"/>
          <w:sz w:val="28"/>
          <w:szCs w:val="28"/>
          <w:lang w:val="uk-UA"/>
        </w:rPr>
      </w:pPr>
      <w:r w:rsidRPr="00BE086B">
        <w:rPr>
          <w:sz w:val="28"/>
          <w:szCs w:val="28"/>
          <w:lang w:val="uk-UA"/>
        </w:rPr>
        <w:t xml:space="preserve">Як видно з табл. 7.1, введення хондроїтину сульфату впродовж 28 діб надає позитивний терапевтичний ефект за критерієм зменшення розміру </w:t>
      </w:r>
      <w:r w:rsidRPr="00BE086B">
        <w:rPr>
          <w:sz w:val="28"/>
          <w:szCs w:val="28"/>
          <w:lang w:val="uk-UA"/>
        </w:rPr>
        <w:lastRenderedPageBreak/>
        <w:t xml:space="preserve">колінних суглобів щурів на 19,8% </w:t>
      </w:r>
      <w:r w:rsidRPr="00BE086B">
        <w:rPr>
          <w:rFonts w:eastAsia="Microsoft YaHei"/>
          <w:iCs/>
          <w:sz w:val="28"/>
          <w:szCs w:val="28"/>
          <w:lang w:val="uk-UA" w:eastAsia="ru-RU"/>
        </w:rPr>
        <w:t xml:space="preserve">(р &lt; 0,001) </w:t>
      </w:r>
      <w:r w:rsidRPr="00BE086B">
        <w:rPr>
          <w:sz w:val="28"/>
          <w:szCs w:val="28"/>
          <w:lang w:val="uk-UA"/>
        </w:rPr>
        <w:t>порівняно з відповідним показником у групі на початку введення препарату</w:t>
      </w:r>
      <w:r w:rsidR="00826B84" w:rsidRPr="00BE086B">
        <w:rPr>
          <w:sz w:val="28"/>
          <w:szCs w:val="28"/>
          <w:lang w:val="uk-UA"/>
        </w:rPr>
        <w:t xml:space="preserve"> </w:t>
      </w:r>
      <w:r w:rsidR="00826B84" w:rsidRPr="00BE086B">
        <w:rPr>
          <w:bCs/>
          <w:sz w:val="28"/>
          <w:szCs w:val="28"/>
          <w:lang w:val="uk-UA"/>
        </w:rPr>
        <w:t>[360, 440]</w:t>
      </w:r>
      <w:r w:rsidRPr="00BE086B">
        <w:rPr>
          <w:sz w:val="28"/>
          <w:szCs w:val="28"/>
          <w:lang w:val="uk-UA"/>
        </w:rPr>
        <w:t>.</w:t>
      </w:r>
    </w:p>
    <w:p w:rsidR="00215BF6" w:rsidRPr="00BE086B" w:rsidRDefault="0076049A" w:rsidP="00F666EF">
      <w:pPr>
        <w:spacing w:line="360" w:lineRule="auto"/>
        <w:jc w:val="center"/>
        <w:rPr>
          <w:sz w:val="28"/>
          <w:szCs w:val="28"/>
          <w:lang w:val="uk-UA"/>
        </w:rPr>
      </w:pPr>
      <w:r>
        <w:rPr>
          <w:noProof/>
          <w:sz w:val="28"/>
          <w:szCs w:val="28"/>
          <w:lang w:eastAsia="ru-RU"/>
        </w:rPr>
        <w:drawing>
          <wp:inline distT="0" distB="0" distL="0" distR="0">
            <wp:extent cx="5281200" cy="24840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7.1.jpg"/>
                    <pic:cNvPicPr/>
                  </pic:nvPicPr>
                  <pic:blipFill>
                    <a:blip r:embed="rId46">
                      <a:extLst>
                        <a:ext uri="{28A0092B-C50C-407E-A947-70E740481C1C}">
                          <a14:useLocalDpi xmlns:a14="http://schemas.microsoft.com/office/drawing/2010/main" val="0"/>
                        </a:ext>
                      </a:extLst>
                    </a:blip>
                    <a:stretch>
                      <a:fillRect/>
                    </a:stretch>
                  </pic:blipFill>
                  <pic:spPr>
                    <a:xfrm>
                      <a:off x="0" y="0"/>
                      <a:ext cx="5281200" cy="2484000"/>
                    </a:xfrm>
                    <a:prstGeom prst="rect">
                      <a:avLst/>
                    </a:prstGeom>
                  </pic:spPr>
                </pic:pic>
              </a:graphicData>
            </a:graphic>
          </wp:inline>
        </w:drawing>
      </w:r>
    </w:p>
    <w:p w:rsidR="00215BF6" w:rsidRPr="00BE086B" w:rsidRDefault="00215BF6" w:rsidP="00215BF6">
      <w:pPr>
        <w:spacing w:line="360" w:lineRule="auto"/>
        <w:ind w:firstLine="709"/>
        <w:jc w:val="both"/>
        <w:rPr>
          <w:sz w:val="28"/>
          <w:szCs w:val="28"/>
          <w:lang w:val="uk-UA"/>
        </w:rPr>
      </w:pPr>
      <w:r w:rsidRPr="00BE086B">
        <w:rPr>
          <w:b/>
          <w:sz w:val="28"/>
          <w:szCs w:val="28"/>
          <w:lang w:val="uk-UA"/>
        </w:rPr>
        <w:t>Рис. 7.1.</w:t>
      </w:r>
      <w:r w:rsidRPr="00BE086B">
        <w:rPr>
          <w:sz w:val="28"/>
          <w:szCs w:val="28"/>
          <w:lang w:val="uk-UA"/>
        </w:rPr>
        <w:t xml:space="preserve"> Зміни розмірів колінних суглобів щурів на 70 добу при призначенні хондроїтину сульфату (у % відносно </w:t>
      </w:r>
      <w:r w:rsidRPr="00BE086B">
        <w:rPr>
          <w:bCs/>
          <w:sz w:val="28"/>
          <w:szCs w:val="28"/>
        </w:rPr>
        <w:t xml:space="preserve">групи </w:t>
      </w:r>
      <w:r w:rsidRPr="00BE086B">
        <w:rPr>
          <w:bCs/>
          <w:sz w:val="28"/>
          <w:szCs w:val="28"/>
          <w:lang w:val="uk-UA"/>
        </w:rPr>
        <w:t>ЕОА + ЕГ)</w:t>
      </w:r>
    </w:p>
    <w:p w:rsidR="00215BF6" w:rsidRPr="00BE086B" w:rsidRDefault="00215BF6" w:rsidP="00215BF6">
      <w:pPr>
        <w:spacing w:line="360" w:lineRule="auto"/>
        <w:ind w:firstLine="709"/>
        <w:jc w:val="both"/>
        <w:rPr>
          <w:sz w:val="28"/>
          <w:szCs w:val="28"/>
          <w:lang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01</w:t>
      </w:r>
      <w:r w:rsidRPr="00BE086B">
        <w:rPr>
          <w:sz w:val="28"/>
          <w:szCs w:val="28"/>
          <w:lang w:eastAsia="ru-RU"/>
        </w:rPr>
        <w:t xml:space="preserve"> по відношенню до показників </w:t>
      </w:r>
      <w:r w:rsidRPr="00BE086B">
        <w:rPr>
          <w:sz w:val="28"/>
          <w:szCs w:val="28"/>
          <w:lang w:val="uk-UA" w:eastAsia="ru-RU"/>
        </w:rPr>
        <w:t>групи активного контролю (ЕОА + ЕГ)</w:t>
      </w:r>
      <w:r w:rsidRPr="00BE086B">
        <w:rPr>
          <w:sz w:val="28"/>
          <w:szCs w:val="28"/>
          <w:lang w:eastAsia="ru-RU"/>
        </w:rPr>
        <w:t>.</w:t>
      </w:r>
    </w:p>
    <w:p w:rsidR="00215BF6" w:rsidRPr="00BE086B" w:rsidRDefault="00215BF6" w:rsidP="00215BF6">
      <w:pPr>
        <w:spacing w:line="360" w:lineRule="auto"/>
        <w:ind w:firstLine="709"/>
        <w:jc w:val="both"/>
        <w:rPr>
          <w:sz w:val="28"/>
          <w:szCs w:val="28"/>
          <w:lang w:val="uk-UA"/>
        </w:rPr>
      </w:pPr>
    </w:p>
    <w:p w:rsidR="00215BF6" w:rsidRPr="00BE086B" w:rsidRDefault="00215BF6" w:rsidP="00215BF6">
      <w:pPr>
        <w:spacing w:line="360" w:lineRule="auto"/>
        <w:ind w:firstLine="709"/>
        <w:jc w:val="both"/>
        <w:rPr>
          <w:sz w:val="28"/>
          <w:szCs w:val="28"/>
          <w:lang w:val="uk-UA"/>
        </w:rPr>
      </w:pPr>
      <w:r w:rsidRPr="00BE086B">
        <w:rPr>
          <w:i/>
          <w:sz w:val="28"/>
          <w:szCs w:val="28"/>
          <w:lang w:val="uk-UA"/>
        </w:rPr>
        <w:t xml:space="preserve">Дослідження спонтанної поведінкової активності. </w:t>
      </w:r>
      <w:r w:rsidRPr="00BE086B">
        <w:rPr>
          <w:sz w:val="28"/>
          <w:szCs w:val="28"/>
          <w:lang w:val="uk-UA"/>
        </w:rPr>
        <w:t>Результати дослідження рухової та емоційної активності щурів на 42 та 70 добу експерименту представлені в табл. 7.2 та 7.3 відповідно.</w:t>
      </w:r>
    </w:p>
    <w:p w:rsidR="00215BF6" w:rsidRPr="00BE086B" w:rsidRDefault="00215BF6" w:rsidP="00215BF6">
      <w:pPr>
        <w:spacing w:line="360" w:lineRule="auto"/>
        <w:ind w:firstLine="709"/>
        <w:jc w:val="right"/>
        <w:rPr>
          <w:sz w:val="28"/>
          <w:szCs w:val="28"/>
          <w:lang w:val="uk-UA"/>
        </w:rPr>
      </w:pPr>
      <w:r w:rsidRPr="00BE086B">
        <w:rPr>
          <w:i/>
          <w:iCs/>
          <w:sz w:val="28"/>
          <w:szCs w:val="28"/>
          <w:lang w:val="uk-UA"/>
        </w:rPr>
        <w:t>Таблиця 7.2</w:t>
      </w:r>
    </w:p>
    <w:p w:rsidR="00215BF6" w:rsidRPr="00BE086B" w:rsidRDefault="00215BF6" w:rsidP="00215BF6">
      <w:pPr>
        <w:spacing w:line="360" w:lineRule="auto"/>
        <w:ind w:firstLine="709"/>
        <w:jc w:val="center"/>
        <w:rPr>
          <w:sz w:val="28"/>
          <w:szCs w:val="28"/>
          <w:lang w:val="uk-UA"/>
        </w:rPr>
      </w:pPr>
      <w:r w:rsidRPr="00BE086B">
        <w:rPr>
          <w:b/>
          <w:bCs/>
          <w:sz w:val="28"/>
          <w:szCs w:val="28"/>
          <w:lang w:val="uk-UA"/>
        </w:rPr>
        <w:t xml:space="preserve">Показники </w:t>
      </w:r>
      <w:r w:rsidRPr="00BE086B">
        <w:rPr>
          <w:b/>
          <w:sz w:val="28"/>
          <w:szCs w:val="28"/>
          <w:lang w:val="uk-UA"/>
        </w:rPr>
        <w:t>рухової та емоційної активності щурів</w:t>
      </w:r>
    </w:p>
    <w:p w:rsidR="00215BF6" w:rsidRPr="00BE086B" w:rsidRDefault="00215BF6" w:rsidP="00215BF6">
      <w:pPr>
        <w:spacing w:line="360" w:lineRule="auto"/>
        <w:ind w:firstLine="709"/>
        <w:jc w:val="center"/>
        <w:rPr>
          <w:sz w:val="28"/>
          <w:szCs w:val="28"/>
        </w:rPr>
      </w:pPr>
      <w:r w:rsidRPr="00BE086B">
        <w:rPr>
          <w:b/>
          <w:bCs/>
          <w:sz w:val="28"/>
          <w:szCs w:val="28"/>
          <w:lang w:val="uk-UA"/>
        </w:rPr>
        <w:t xml:space="preserve">на 42 добу експерименту, </w:t>
      </w:r>
      <w:r w:rsidRPr="00BE086B">
        <w:rPr>
          <w:b/>
          <w:sz w:val="28"/>
          <w:szCs w:val="28"/>
          <w:lang w:val="uk-UA"/>
        </w:rPr>
        <w:t>M±m</w:t>
      </w:r>
    </w:p>
    <w:tbl>
      <w:tblPr>
        <w:tblW w:w="992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9"/>
        <w:gridCol w:w="1616"/>
        <w:gridCol w:w="1616"/>
        <w:gridCol w:w="1616"/>
        <w:gridCol w:w="1616"/>
        <w:gridCol w:w="1616"/>
      </w:tblGrid>
      <w:tr w:rsidR="00215BF6" w:rsidRPr="00BE086B" w:rsidTr="00F62137">
        <w:tc>
          <w:tcPr>
            <w:tcW w:w="1849" w:type="dxa"/>
            <w:shd w:val="clear" w:color="auto" w:fill="FFFFFF"/>
          </w:tcPr>
          <w:p w:rsidR="00215BF6" w:rsidRPr="00BE086B" w:rsidRDefault="00215BF6" w:rsidP="00F66F9B">
            <w:pPr>
              <w:jc w:val="center"/>
              <w:rPr>
                <w:b/>
                <w:sz w:val="28"/>
                <w:szCs w:val="28"/>
                <w:lang w:val="uk-UA"/>
              </w:rPr>
            </w:pPr>
            <w:r w:rsidRPr="00BE086B">
              <w:rPr>
                <w:b/>
                <w:sz w:val="28"/>
                <w:szCs w:val="28"/>
                <w:lang w:val="uk-UA"/>
              </w:rPr>
              <w:t>Групи тварин</w:t>
            </w:r>
          </w:p>
          <w:p w:rsidR="00215BF6" w:rsidRPr="00BE086B" w:rsidRDefault="00215BF6" w:rsidP="00F66F9B">
            <w:pPr>
              <w:jc w:val="center"/>
              <w:rPr>
                <w:b/>
                <w:sz w:val="28"/>
                <w:szCs w:val="28"/>
                <w:lang w:val="uk-UA"/>
              </w:rPr>
            </w:pPr>
            <w:r w:rsidRPr="00BE086B">
              <w:rPr>
                <w:b/>
                <w:sz w:val="28"/>
                <w:szCs w:val="28"/>
                <w:lang w:val="uk-UA"/>
              </w:rPr>
              <w:t>(n=40)</w:t>
            </w:r>
          </w:p>
        </w:tc>
        <w:tc>
          <w:tcPr>
            <w:tcW w:w="1616" w:type="dxa"/>
            <w:shd w:val="clear" w:color="auto" w:fill="FFFFFF"/>
            <w:vAlign w:val="center"/>
          </w:tcPr>
          <w:p w:rsidR="00215BF6" w:rsidRPr="00BE086B" w:rsidRDefault="00215BF6" w:rsidP="00F66F9B">
            <w:pPr>
              <w:jc w:val="center"/>
              <w:rPr>
                <w:b/>
                <w:sz w:val="28"/>
                <w:szCs w:val="28"/>
                <w:lang w:val="uk-UA"/>
              </w:rPr>
            </w:pPr>
            <w:r w:rsidRPr="00BE086B">
              <w:rPr>
                <w:b/>
                <w:sz w:val="28"/>
                <w:szCs w:val="28"/>
                <w:lang w:val="uk-UA"/>
              </w:rPr>
              <w:t>Квадрати</w:t>
            </w:r>
          </w:p>
          <w:p w:rsidR="00215BF6" w:rsidRPr="00BE086B" w:rsidRDefault="00215BF6" w:rsidP="00F66F9B">
            <w:pPr>
              <w:jc w:val="center"/>
              <w:rPr>
                <w:b/>
                <w:sz w:val="28"/>
                <w:szCs w:val="28"/>
                <w:lang w:val="uk-UA"/>
              </w:rPr>
            </w:pPr>
            <w:r w:rsidRPr="00BE086B">
              <w:rPr>
                <w:b/>
                <w:sz w:val="28"/>
                <w:szCs w:val="28"/>
                <w:lang w:val="uk-UA"/>
              </w:rPr>
              <w:t>(кількість)</w:t>
            </w:r>
          </w:p>
        </w:tc>
        <w:tc>
          <w:tcPr>
            <w:tcW w:w="1616" w:type="dxa"/>
            <w:shd w:val="clear" w:color="auto" w:fill="FFFFFF"/>
            <w:vAlign w:val="center"/>
          </w:tcPr>
          <w:p w:rsidR="00215BF6" w:rsidRPr="00BE086B" w:rsidRDefault="00215BF6" w:rsidP="00F66F9B">
            <w:pPr>
              <w:jc w:val="center"/>
              <w:rPr>
                <w:b/>
                <w:sz w:val="28"/>
                <w:szCs w:val="28"/>
                <w:lang w:val="uk-UA"/>
              </w:rPr>
            </w:pPr>
            <w:r w:rsidRPr="00BE086B">
              <w:rPr>
                <w:b/>
                <w:sz w:val="28"/>
                <w:szCs w:val="28"/>
                <w:lang w:val="uk-UA"/>
              </w:rPr>
              <w:t>Нірки</w:t>
            </w:r>
          </w:p>
          <w:p w:rsidR="00215BF6" w:rsidRPr="00BE086B" w:rsidRDefault="00215BF6" w:rsidP="00F66F9B">
            <w:pPr>
              <w:jc w:val="center"/>
              <w:rPr>
                <w:b/>
                <w:sz w:val="28"/>
                <w:szCs w:val="28"/>
                <w:lang w:val="uk-UA"/>
              </w:rPr>
            </w:pPr>
            <w:r w:rsidRPr="00BE086B">
              <w:rPr>
                <w:b/>
                <w:sz w:val="28"/>
                <w:szCs w:val="28"/>
                <w:lang w:val="uk-UA"/>
              </w:rPr>
              <w:t>(кількість)</w:t>
            </w:r>
          </w:p>
        </w:tc>
        <w:tc>
          <w:tcPr>
            <w:tcW w:w="1616" w:type="dxa"/>
            <w:shd w:val="clear" w:color="auto" w:fill="FFFFFF"/>
            <w:vAlign w:val="center"/>
          </w:tcPr>
          <w:p w:rsidR="00215BF6" w:rsidRPr="00BE086B" w:rsidRDefault="00215BF6" w:rsidP="00F66F9B">
            <w:pPr>
              <w:jc w:val="center"/>
              <w:rPr>
                <w:b/>
                <w:sz w:val="28"/>
                <w:szCs w:val="28"/>
                <w:lang w:val="uk-UA"/>
              </w:rPr>
            </w:pPr>
            <w:r w:rsidRPr="00BE086B">
              <w:rPr>
                <w:b/>
                <w:sz w:val="28"/>
                <w:szCs w:val="28"/>
                <w:lang w:val="uk-UA"/>
              </w:rPr>
              <w:t>Стійка</w:t>
            </w:r>
          </w:p>
          <w:p w:rsidR="00215BF6" w:rsidRPr="00BE086B" w:rsidRDefault="00215BF6" w:rsidP="00F66F9B">
            <w:pPr>
              <w:jc w:val="center"/>
              <w:rPr>
                <w:b/>
                <w:sz w:val="28"/>
                <w:szCs w:val="28"/>
                <w:lang w:val="uk-UA"/>
              </w:rPr>
            </w:pPr>
            <w:r w:rsidRPr="00BE086B">
              <w:rPr>
                <w:b/>
                <w:sz w:val="28"/>
                <w:szCs w:val="28"/>
                <w:lang w:val="uk-UA"/>
              </w:rPr>
              <w:t>(кількість)</w:t>
            </w:r>
          </w:p>
        </w:tc>
        <w:tc>
          <w:tcPr>
            <w:tcW w:w="1616" w:type="dxa"/>
            <w:shd w:val="clear" w:color="auto" w:fill="FFFFFF"/>
            <w:vAlign w:val="center"/>
          </w:tcPr>
          <w:p w:rsidR="00215BF6" w:rsidRPr="00BE086B" w:rsidRDefault="00215BF6" w:rsidP="00F66F9B">
            <w:pPr>
              <w:jc w:val="center"/>
              <w:rPr>
                <w:b/>
                <w:sz w:val="28"/>
                <w:szCs w:val="28"/>
                <w:lang w:val="uk-UA"/>
              </w:rPr>
            </w:pPr>
            <w:r w:rsidRPr="00BE086B">
              <w:rPr>
                <w:b/>
                <w:sz w:val="28"/>
                <w:szCs w:val="28"/>
                <w:lang w:val="uk-UA"/>
              </w:rPr>
              <w:t>Грумінг</w:t>
            </w:r>
          </w:p>
          <w:p w:rsidR="00215BF6" w:rsidRPr="00BE086B" w:rsidRDefault="00215BF6" w:rsidP="00F66F9B">
            <w:pPr>
              <w:jc w:val="center"/>
              <w:rPr>
                <w:b/>
                <w:sz w:val="28"/>
                <w:szCs w:val="28"/>
                <w:lang w:val="uk-UA"/>
              </w:rPr>
            </w:pPr>
            <w:r w:rsidRPr="00BE086B">
              <w:rPr>
                <w:b/>
                <w:sz w:val="28"/>
                <w:szCs w:val="28"/>
                <w:lang w:val="uk-UA"/>
              </w:rPr>
              <w:t>(кількість)</w:t>
            </w:r>
          </w:p>
        </w:tc>
        <w:tc>
          <w:tcPr>
            <w:tcW w:w="1616" w:type="dxa"/>
            <w:shd w:val="clear" w:color="auto" w:fill="FFFFFF"/>
            <w:vAlign w:val="center"/>
          </w:tcPr>
          <w:p w:rsidR="00215BF6" w:rsidRPr="00BE086B" w:rsidRDefault="00215BF6" w:rsidP="00F66F9B">
            <w:pPr>
              <w:jc w:val="center"/>
              <w:rPr>
                <w:b/>
                <w:sz w:val="28"/>
                <w:szCs w:val="28"/>
                <w:lang w:val="uk-UA"/>
              </w:rPr>
            </w:pPr>
            <w:r w:rsidRPr="00BE086B">
              <w:rPr>
                <w:b/>
                <w:sz w:val="28"/>
                <w:szCs w:val="28"/>
                <w:lang w:val="uk-UA"/>
              </w:rPr>
              <w:t>Болюси</w:t>
            </w:r>
          </w:p>
          <w:p w:rsidR="00215BF6" w:rsidRPr="00BE086B" w:rsidRDefault="00215BF6" w:rsidP="00F66F9B">
            <w:pPr>
              <w:jc w:val="center"/>
              <w:rPr>
                <w:b/>
                <w:sz w:val="28"/>
                <w:szCs w:val="28"/>
                <w:lang w:val="uk-UA"/>
              </w:rPr>
            </w:pPr>
            <w:r w:rsidRPr="00BE086B">
              <w:rPr>
                <w:b/>
                <w:sz w:val="28"/>
                <w:szCs w:val="28"/>
                <w:lang w:val="uk-UA"/>
              </w:rPr>
              <w:t>(кількість)</w:t>
            </w:r>
          </w:p>
        </w:tc>
      </w:tr>
      <w:tr w:rsidR="00215BF6" w:rsidRPr="00BE086B" w:rsidTr="00F62137">
        <w:tc>
          <w:tcPr>
            <w:tcW w:w="1849" w:type="dxa"/>
            <w:shd w:val="clear" w:color="auto" w:fill="FFFFFF"/>
            <w:vAlign w:val="center"/>
          </w:tcPr>
          <w:p w:rsidR="00215BF6" w:rsidRPr="00BE086B" w:rsidRDefault="00215BF6" w:rsidP="00F62137">
            <w:pPr>
              <w:jc w:val="center"/>
              <w:rPr>
                <w:sz w:val="28"/>
                <w:szCs w:val="28"/>
                <w:lang w:val="uk-UA"/>
              </w:rPr>
            </w:pPr>
            <w:r w:rsidRPr="00BE086B">
              <w:rPr>
                <w:sz w:val="28"/>
                <w:szCs w:val="28"/>
                <w:lang w:val="uk-UA"/>
              </w:rPr>
              <w:t>Інтактні щури (n=20)</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25,88</w:t>
            </w:r>
          </w:p>
          <w:p w:rsidR="00215BF6" w:rsidRPr="00BE086B" w:rsidRDefault="00215BF6" w:rsidP="00F66F9B">
            <w:pPr>
              <w:jc w:val="center"/>
              <w:rPr>
                <w:sz w:val="28"/>
                <w:szCs w:val="28"/>
                <w:lang w:val="uk-UA"/>
              </w:rPr>
            </w:pPr>
            <w:r w:rsidRPr="00BE086B">
              <w:rPr>
                <w:sz w:val="28"/>
                <w:szCs w:val="28"/>
                <w:lang w:val="uk-UA"/>
              </w:rPr>
              <w:t>±0,90</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8,88</w:t>
            </w:r>
          </w:p>
          <w:p w:rsidR="00215BF6" w:rsidRPr="00BE086B" w:rsidRDefault="00215BF6" w:rsidP="00F66F9B">
            <w:pPr>
              <w:jc w:val="center"/>
              <w:rPr>
                <w:sz w:val="28"/>
                <w:szCs w:val="28"/>
                <w:lang w:val="uk-UA"/>
              </w:rPr>
            </w:pPr>
            <w:r w:rsidRPr="00BE086B">
              <w:rPr>
                <w:sz w:val="28"/>
                <w:szCs w:val="28"/>
                <w:lang w:val="uk-UA"/>
              </w:rPr>
              <w:t>±0,37</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6,50</w:t>
            </w:r>
          </w:p>
          <w:p w:rsidR="00215BF6" w:rsidRPr="00BE086B" w:rsidRDefault="00215BF6" w:rsidP="00F66F9B">
            <w:pPr>
              <w:jc w:val="center"/>
              <w:rPr>
                <w:sz w:val="28"/>
                <w:szCs w:val="28"/>
                <w:lang w:val="uk-UA"/>
              </w:rPr>
            </w:pPr>
            <w:r w:rsidRPr="00BE086B">
              <w:rPr>
                <w:sz w:val="28"/>
                <w:szCs w:val="28"/>
                <w:lang w:val="uk-UA"/>
              </w:rPr>
              <w:t>±0,42</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1,25</w:t>
            </w:r>
          </w:p>
          <w:p w:rsidR="00215BF6" w:rsidRPr="00BE086B" w:rsidRDefault="00215BF6" w:rsidP="00F66F9B">
            <w:pPr>
              <w:jc w:val="center"/>
              <w:rPr>
                <w:sz w:val="28"/>
                <w:szCs w:val="28"/>
                <w:lang w:val="uk-UA"/>
              </w:rPr>
            </w:pPr>
            <w:r w:rsidRPr="00BE086B">
              <w:rPr>
                <w:sz w:val="28"/>
                <w:szCs w:val="28"/>
                <w:lang w:val="uk-UA"/>
              </w:rPr>
              <w:t>±0,11</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1,13</w:t>
            </w:r>
          </w:p>
          <w:p w:rsidR="00215BF6" w:rsidRPr="00BE086B" w:rsidRDefault="00215BF6" w:rsidP="00F66F9B">
            <w:pPr>
              <w:jc w:val="center"/>
              <w:rPr>
                <w:sz w:val="28"/>
                <w:szCs w:val="28"/>
                <w:lang w:val="uk-UA"/>
              </w:rPr>
            </w:pPr>
            <w:r w:rsidRPr="00BE086B">
              <w:rPr>
                <w:sz w:val="28"/>
                <w:szCs w:val="28"/>
                <w:lang w:val="uk-UA"/>
              </w:rPr>
              <w:t>±0,15</w:t>
            </w:r>
          </w:p>
        </w:tc>
      </w:tr>
      <w:tr w:rsidR="00215BF6" w:rsidRPr="00BE086B" w:rsidTr="00F62137">
        <w:tc>
          <w:tcPr>
            <w:tcW w:w="1849" w:type="dxa"/>
            <w:shd w:val="clear" w:color="auto" w:fill="FFFFFF"/>
            <w:vAlign w:val="center"/>
          </w:tcPr>
          <w:p w:rsidR="00215BF6" w:rsidRPr="00BE086B" w:rsidRDefault="00215BF6" w:rsidP="00F62137">
            <w:pPr>
              <w:jc w:val="center"/>
              <w:rPr>
                <w:sz w:val="28"/>
                <w:szCs w:val="28"/>
                <w:lang w:val="uk-UA"/>
              </w:rPr>
            </w:pPr>
            <w:r w:rsidRPr="00BE086B">
              <w:rPr>
                <w:sz w:val="28"/>
                <w:szCs w:val="28"/>
                <w:lang w:val="uk-UA"/>
              </w:rPr>
              <w:t>Остеоартроз + гіпотиреоз (n=20)</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 xml:space="preserve">4,50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±0,37</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 xml:space="preserve">2,50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±0,12</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 xml:space="preserve">1,13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±0,26</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 xml:space="preserve">0,75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±0,11</w:t>
            </w:r>
          </w:p>
        </w:tc>
        <w:tc>
          <w:tcPr>
            <w:tcW w:w="1616" w:type="dxa"/>
            <w:shd w:val="clear" w:color="auto" w:fill="FFFFFF"/>
            <w:vAlign w:val="center"/>
          </w:tcPr>
          <w:p w:rsidR="00215BF6" w:rsidRPr="00BE086B" w:rsidRDefault="00215BF6" w:rsidP="00F66F9B">
            <w:pPr>
              <w:jc w:val="center"/>
              <w:rPr>
                <w:sz w:val="28"/>
                <w:szCs w:val="28"/>
                <w:lang w:val="uk-UA"/>
              </w:rPr>
            </w:pPr>
            <w:r w:rsidRPr="00BE086B">
              <w:rPr>
                <w:sz w:val="28"/>
                <w:szCs w:val="28"/>
                <w:lang w:val="uk-UA"/>
              </w:rPr>
              <w:t>0,88</w:t>
            </w:r>
          </w:p>
          <w:p w:rsidR="00215BF6" w:rsidRPr="00BE086B" w:rsidRDefault="00215BF6" w:rsidP="00F66F9B">
            <w:pPr>
              <w:jc w:val="center"/>
              <w:rPr>
                <w:sz w:val="28"/>
                <w:szCs w:val="28"/>
                <w:lang w:val="uk-UA"/>
              </w:rPr>
            </w:pPr>
            <w:r w:rsidRPr="00BE086B">
              <w:rPr>
                <w:sz w:val="28"/>
                <w:szCs w:val="28"/>
                <w:lang w:val="uk-UA"/>
              </w:rPr>
              <w:t>±0,08</w:t>
            </w:r>
          </w:p>
        </w:tc>
      </w:tr>
    </w:tbl>
    <w:p w:rsidR="00215BF6" w:rsidRPr="00BE086B" w:rsidRDefault="00215BF6" w:rsidP="00215BF6">
      <w:pPr>
        <w:keepNext/>
        <w:spacing w:line="360" w:lineRule="auto"/>
        <w:ind w:firstLine="709"/>
        <w:jc w:val="both"/>
        <w:rPr>
          <w:sz w:val="28"/>
          <w:szCs w:val="28"/>
          <w:lang w:val="uk-UA"/>
        </w:rPr>
      </w:pPr>
      <w:r w:rsidRPr="00BE086B">
        <w:rPr>
          <w:rFonts w:eastAsia="Microsoft YaHei"/>
          <w:b/>
          <w:iCs/>
          <w:sz w:val="28"/>
          <w:szCs w:val="28"/>
          <w:lang w:val="uk-UA" w:eastAsia="ru-RU"/>
        </w:rPr>
        <w:t>Примітк</w:t>
      </w:r>
      <w:r w:rsidR="00C74DB7" w:rsidRPr="00BE086B">
        <w:rPr>
          <w:rFonts w:eastAsia="Microsoft YaHei"/>
          <w:b/>
          <w:iCs/>
          <w:sz w:val="28"/>
          <w:szCs w:val="28"/>
          <w:lang w:val="uk-UA" w:eastAsia="ru-RU"/>
        </w:rPr>
        <w:t>и:</w:t>
      </w:r>
      <w:r w:rsidRPr="00BE086B">
        <w:rPr>
          <w:rFonts w:eastAsia="Microsoft YaHei"/>
          <w:iCs/>
          <w:sz w:val="28"/>
          <w:szCs w:val="28"/>
          <w:lang w:val="uk-UA" w:eastAsia="ru-RU"/>
        </w:rPr>
        <w:t xml:space="preserve"> # - р</w:t>
      </w:r>
      <w:r w:rsidRPr="00BE086B">
        <w:rPr>
          <w:rFonts w:eastAsia="Microsoft YaHei"/>
          <w:iCs/>
          <w:sz w:val="28"/>
          <w:szCs w:val="28"/>
          <w:lang w:val="en-US" w:eastAsia="ru-RU"/>
        </w:rPr>
        <w:t> </w:t>
      </w:r>
      <w:r w:rsidRPr="00BE086B">
        <w:rPr>
          <w:rFonts w:eastAsia="Microsoft YaHei"/>
          <w:iCs/>
          <w:sz w:val="28"/>
          <w:szCs w:val="28"/>
          <w:lang w:val="uk-UA" w:eastAsia="ru-RU"/>
        </w:rPr>
        <w:t>&lt;</w:t>
      </w:r>
      <w:r w:rsidRPr="00BE086B">
        <w:rPr>
          <w:rFonts w:eastAsia="Microsoft YaHei"/>
          <w:iCs/>
          <w:sz w:val="28"/>
          <w:szCs w:val="28"/>
          <w:lang w:val="en-US" w:eastAsia="ru-RU"/>
        </w:rPr>
        <w:t> </w:t>
      </w:r>
      <w:r w:rsidRPr="00BE086B">
        <w:rPr>
          <w:rFonts w:eastAsia="Microsoft YaHei"/>
          <w:iCs/>
          <w:sz w:val="28"/>
          <w:szCs w:val="28"/>
          <w:lang w:val="uk-UA" w:eastAsia="ru-RU"/>
        </w:rPr>
        <w:t>0,05</w:t>
      </w:r>
      <w:r w:rsidRPr="00BE086B">
        <w:rPr>
          <w:rFonts w:eastAsia="Microsoft YaHei"/>
          <w:iCs/>
          <w:sz w:val="28"/>
          <w:szCs w:val="28"/>
          <w:lang w:eastAsia="ru-RU"/>
        </w:rPr>
        <w:t>; #</w:t>
      </w:r>
      <w:r w:rsidRPr="00BE086B">
        <w:rPr>
          <w:rFonts w:eastAsia="Microsoft YaHei"/>
          <w:iCs/>
          <w:sz w:val="28"/>
          <w:szCs w:val="28"/>
          <w:lang w:val="uk-UA" w:eastAsia="ru-RU"/>
        </w:rPr>
        <w:t># - р</w:t>
      </w:r>
      <w:r w:rsidRPr="00BE086B">
        <w:rPr>
          <w:rFonts w:eastAsia="Microsoft YaHei"/>
          <w:iCs/>
          <w:sz w:val="28"/>
          <w:szCs w:val="28"/>
          <w:lang w:val="en-US" w:eastAsia="ru-RU"/>
        </w:rPr>
        <w:t> </w:t>
      </w:r>
      <w:r w:rsidRPr="00BE086B">
        <w:rPr>
          <w:rFonts w:eastAsia="Microsoft YaHei"/>
          <w:iCs/>
          <w:sz w:val="28"/>
          <w:szCs w:val="28"/>
          <w:lang w:val="uk-UA" w:eastAsia="ru-RU"/>
        </w:rPr>
        <w:t>&lt;</w:t>
      </w:r>
      <w:r w:rsidRPr="00BE086B">
        <w:rPr>
          <w:rFonts w:eastAsia="Microsoft YaHei"/>
          <w:iCs/>
          <w:sz w:val="28"/>
          <w:szCs w:val="28"/>
          <w:lang w:val="en-US" w:eastAsia="ru-RU"/>
        </w:rPr>
        <w:t> </w:t>
      </w:r>
      <w:r w:rsidRPr="00BE086B">
        <w:rPr>
          <w:rFonts w:eastAsia="Microsoft YaHei"/>
          <w:iCs/>
          <w:sz w:val="28"/>
          <w:szCs w:val="28"/>
          <w:lang w:val="uk-UA" w:eastAsia="ru-RU"/>
        </w:rPr>
        <w:t>0,0</w:t>
      </w:r>
      <w:r w:rsidRPr="00BE086B">
        <w:rPr>
          <w:rFonts w:eastAsia="Microsoft YaHei"/>
          <w:iCs/>
          <w:sz w:val="28"/>
          <w:szCs w:val="28"/>
          <w:lang w:eastAsia="ru-RU"/>
        </w:rPr>
        <w:t xml:space="preserve">01 </w:t>
      </w:r>
      <w:r w:rsidRPr="00BE086B">
        <w:rPr>
          <w:rFonts w:eastAsia="Microsoft YaHei"/>
          <w:iCs/>
          <w:sz w:val="28"/>
          <w:szCs w:val="28"/>
          <w:lang w:val="uk-UA" w:eastAsia="ru-RU"/>
        </w:rPr>
        <w:t>по відношенню до відповідного показника інтактних щурів.</w:t>
      </w:r>
    </w:p>
    <w:p w:rsidR="00215BF6" w:rsidRPr="00BE086B" w:rsidRDefault="00215BF6" w:rsidP="00215BF6">
      <w:pPr>
        <w:spacing w:line="360" w:lineRule="auto"/>
        <w:ind w:firstLine="709"/>
        <w:jc w:val="both"/>
        <w:rPr>
          <w:rFonts w:eastAsia="Microsoft YaHei"/>
          <w:sz w:val="28"/>
          <w:szCs w:val="28"/>
          <w:lang w:val="uk-UA"/>
        </w:rPr>
      </w:pPr>
    </w:p>
    <w:p w:rsidR="00215BF6" w:rsidRPr="00BE086B" w:rsidRDefault="00215BF6" w:rsidP="00215BF6">
      <w:pPr>
        <w:spacing w:line="360" w:lineRule="auto"/>
        <w:ind w:firstLine="709"/>
        <w:jc w:val="both"/>
        <w:rPr>
          <w:sz w:val="28"/>
          <w:szCs w:val="28"/>
          <w:lang w:val="uk-UA"/>
        </w:rPr>
      </w:pPr>
      <w:r w:rsidRPr="00BE086B">
        <w:rPr>
          <w:sz w:val="28"/>
          <w:szCs w:val="28"/>
          <w:lang w:val="uk-UA"/>
        </w:rPr>
        <w:lastRenderedPageBreak/>
        <w:t>Як видно з табл. 7.2 та рис. 7.2, на 42 добу дослідження спостерігалось пригнічення рухової, дослідницької та вегетативної активності щурів на фоні наростання патологічних змін під впливом ЕОА та ЕГ відносно групи інтактних щурів.</w:t>
      </w:r>
    </w:p>
    <w:p w:rsidR="00F666EF" w:rsidRDefault="0076049A" w:rsidP="0076049A">
      <w:pPr>
        <w:spacing w:line="360" w:lineRule="auto"/>
        <w:jc w:val="center"/>
        <w:rPr>
          <w:noProof/>
          <w:sz w:val="28"/>
          <w:szCs w:val="28"/>
          <w:lang w:eastAsia="ru-RU"/>
        </w:rPr>
      </w:pPr>
      <w:r>
        <w:rPr>
          <w:noProof/>
          <w:sz w:val="28"/>
          <w:szCs w:val="28"/>
          <w:lang w:eastAsia="ru-RU"/>
        </w:rPr>
        <w:drawing>
          <wp:inline distT="0" distB="0" distL="0" distR="0">
            <wp:extent cx="5943600" cy="2419200"/>
            <wp:effectExtent l="0" t="0" r="0"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7.2.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2419200"/>
                    </a:xfrm>
                    <a:prstGeom prst="rect">
                      <a:avLst/>
                    </a:prstGeom>
                  </pic:spPr>
                </pic:pic>
              </a:graphicData>
            </a:graphic>
          </wp:inline>
        </w:drawing>
      </w:r>
    </w:p>
    <w:p w:rsidR="00215BF6" w:rsidRPr="00BE086B" w:rsidRDefault="00215BF6" w:rsidP="001307CA">
      <w:pPr>
        <w:spacing w:line="360" w:lineRule="auto"/>
        <w:ind w:firstLine="709"/>
        <w:jc w:val="both"/>
        <w:rPr>
          <w:sz w:val="28"/>
          <w:szCs w:val="28"/>
          <w:lang w:val="uk-UA"/>
        </w:rPr>
      </w:pPr>
      <w:r w:rsidRPr="00BE086B">
        <w:rPr>
          <w:b/>
          <w:sz w:val="28"/>
          <w:szCs w:val="28"/>
          <w:lang w:val="uk-UA"/>
        </w:rPr>
        <w:t>Рис. 7.2.</w:t>
      </w:r>
      <w:r w:rsidRPr="00BE086B">
        <w:rPr>
          <w:sz w:val="28"/>
          <w:szCs w:val="28"/>
          <w:lang w:val="uk-UA"/>
        </w:rPr>
        <w:t xml:space="preserve"> Зміни показників психо-емоційного стану щурів на 42 добу за умов коморбідної патології (у % відносно </w:t>
      </w:r>
      <w:r w:rsidRPr="00BE086B">
        <w:rPr>
          <w:bCs/>
          <w:sz w:val="28"/>
          <w:szCs w:val="28"/>
          <w:lang w:val="uk-UA"/>
        </w:rPr>
        <w:t>групи інтактних тварин)</w:t>
      </w:r>
    </w:p>
    <w:p w:rsidR="00215BF6" w:rsidRPr="00BE086B" w:rsidRDefault="001307CA" w:rsidP="001307CA">
      <w:pPr>
        <w:keepNext/>
        <w:spacing w:line="360" w:lineRule="auto"/>
        <w:ind w:firstLine="709"/>
        <w:jc w:val="both"/>
        <w:rPr>
          <w:sz w:val="28"/>
          <w:szCs w:val="28"/>
          <w:lang w:val="uk-UA"/>
        </w:rPr>
      </w:pPr>
      <w:r w:rsidRPr="00BE086B">
        <w:rPr>
          <w:b/>
          <w:sz w:val="28"/>
          <w:szCs w:val="28"/>
          <w:lang w:val="uk-UA"/>
        </w:rPr>
        <w:t>Примітки:</w:t>
      </w:r>
      <w:r w:rsidR="00215BF6" w:rsidRPr="00BE086B">
        <w:rPr>
          <w:b/>
          <w:sz w:val="28"/>
          <w:szCs w:val="28"/>
          <w:lang w:val="uk-UA"/>
        </w:rPr>
        <w:t xml:space="preserve"> </w:t>
      </w:r>
      <w:r w:rsidR="00215BF6" w:rsidRPr="00BE086B">
        <w:rPr>
          <w:sz w:val="28"/>
          <w:szCs w:val="28"/>
          <w:lang w:val="uk-UA"/>
        </w:rPr>
        <w:t xml:space="preserve">* – </w:t>
      </w:r>
      <w:r w:rsidR="00215BF6" w:rsidRPr="00BE086B">
        <w:rPr>
          <w:sz w:val="28"/>
          <w:szCs w:val="28"/>
          <w:lang w:eastAsia="ru-RU"/>
        </w:rPr>
        <w:t>р </w:t>
      </w:r>
      <w:r w:rsidR="00215BF6" w:rsidRPr="00BE086B">
        <w:rPr>
          <w:rFonts w:eastAsia="Calibri"/>
          <w:iCs/>
          <w:sz w:val="28"/>
          <w:szCs w:val="28"/>
          <w:lang w:eastAsia="en-US"/>
        </w:rPr>
        <w:t>&lt; </w:t>
      </w:r>
      <w:r w:rsidR="00215BF6" w:rsidRPr="00BE086B">
        <w:rPr>
          <w:sz w:val="28"/>
          <w:szCs w:val="28"/>
          <w:lang w:eastAsia="ru-RU"/>
        </w:rPr>
        <w:t>0,0</w:t>
      </w:r>
      <w:r w:rsidRPr="00BE086B">
        <w:rPr>
          <w:sz w:val="28"/>
          <w:szCs w:val="28"/>
          <w:lang w:val="uk-UA" w:eastAsia="ru-RU"/>
        </w:rPr>
        <w:t>5;</w:t>
      </w:r>
      <w:r w:rsidR="00215BF6" w:rsidRPr="00BE086B">
        <w:rPr>
          <w:sz w:val="28"/>
          <w:szCs w:val="28"/>
          <w:lang w:val="uk-UA" w:eastAsia="ru-RU"/>
        </w:rPr>
        <w:t xml:space="preserve"> </w:t>
      </w:r>
      <w:r w:rsidR="00215BF6" w:rsidRPr="00BE086B">
        <w:rPr>
          <w:rFonts w:eastAsia="Microsoft YaHei"/>
          <w:iCs/>
          <w:sz w:val="28"/>
          <w:szCs w:val="28"/>
          <w:lang w:val="uk-UA" w:eastAsia="ru-RU"/>
        </w:rPr>
        <w:t>** - р</w:t>
      </w:r>
      <w:r w:rsidR="00215BF6" w:rsidRPr="00BE086B">
        <w:rPr>
          <w:rFonts w:eastAsia="Microsoft YaHei"/>
          <w:iCs/>
          <w:sz w:val="28"/>
          <w:szCs w:val="28"/>
          <w:lang w:val="en-US" w:eastAsia="ru-RU"/>
        </w:rPr>
        <w:t> </w:t>
      </w:r>
      <w:r w:rsidR="00215BF6" w:rsidRPr="00BE086B">
        <w:rPr>
          <w:rFonts w:eastAsia="Microsoft YaHei"/>
          <w:iCs/>
          <w:sz w:val="28"/>
          <w:szCs w:val="28"/>
          <w:lang w:val="uk-UA" w:eastAsia="ru-RU"/>
        </w:rPr>
        <w:t>&lt;</w:t>
      </w:r>
      <w:r w:rsidR="00215BF6" w:rsidRPr="00BE086B">
        <w:rPr>
          <w:rFonts w:eastAsia="Microsoft YaHei"/>
          <w:iCs/>
          <w:sz w:val="28"/>
          <w:szCs w:val="28"/>
          <w:lang w:val="en-US" w:eastAsia="ru-RU"/>
        </w:rPr>
        <w:t> </w:t>
      </w:r>
      <w:r w:rsidR="00215BF6" w:rsidRPr="00BE086B">
        <w:rPr>
          <w:rFonts w:eastAsia="Microsoft YaHei"/>
          <w:iCs/>
          <w:sz w:val="28"/>
          <w:szCs w:val="28"/>
          <w:lang w:val="uk-UA" w:eastAsia="ru-RU"/>
        </w:rPr>
        <w:t>0,0</w:t>
      </w:r>
      <w:r w:rsidR="00215BF6" w:rsidRPr="00BE086B">
        <w:rPr>
          <w:rFonts w:eastAsia="Microsoft YaHei"/>
          <w:iCs/>
          <w:sz w:val="28"/>
          <w:szCs w:val="28"/>
          <w:lang w:eastAsia="ru-RU"/>
        </w:rPr>
        <w:t>01</w:t>
      </w:r>
      <w:r w:rsidR="00215BF6" w:rsidRPr="00BE086B">
        <w:rPr>
          <w:sz w:val="28"/>
          <w:szCs w:val="28"/>
          <w:lang w:eastAsia="ru-RU"/>
        </w:rPr>
        <w:t xml:space="preserve"> по відношенню до </w:t>
      </w:r>
      <w:r w:rsidR="00215BF6" w:rsidRPr="00BE086B">
        <w:rPr>
          <w:rFonts w:eastAsia="Microsoft YaHei"/>
          <w:iCs/>
          <w:sz w:val="28"/>
          <w:szCs w:val="28"/>
          <w:lang w:val="uk-UA" w:eastAsia="ru-RU"/>
        </w:rPr>
        <w:t>показника інтактних щурів.</w:t>
      </w:r>
    </w:p>
    <w:p w:rsidR="00215BF6" w:rsidRPr="00BE086B" w:rsidRDefault="00215BF6" w:rsidP="00215BF6">
      <w:pPr>
        <w:spacing w:line="360" w:lineRule="auto"/>
        <w:ind w:firstLine="709"/>
        <w:jc w:val="right"/>
        <w:rPr>
          <w:sz w:val="28"/>
          <w:szCs w:val="28"/>
          <w:lang w:val="uk-UA"/>
        </w:rPr>
      </w:pPr>
      <w:r w:rsidRPr="00BE086B">
        <w:rPr>
          <w:i/>
          <w:iCs/>
          <w:sz w:val="28"/>
          <w:szCs w:val="28"/>
          <w:lang w:val="uk-UA"/>
        </w:rPr>
        <w:t>Таблиця 7.3</w:t>
      </w:r>
    </w:p>
    <w:p w:rsidR="00215BF6" w:rsidRPr="00BE086B" w:rsidRDefault="00215BF6" w:rsidP="00215BF6">
      <w:pPr>
        <w:spacing w:line="360" w:lineRule="auto"/>
        <w:ind w:firstLine="709"/>
        <w:jc w:val="center"/>
        <w:rPr>
          <w:sz w:val="28"/>
          <w:szCs w:val="28"/>
          <w:lang w:val="uk-UA"/>
        </w:rPr>
      </w:pPr>
      <w:r w:rsidRPr="00BE086B">
        <w:rPr>
          <w:b/>
          <w:bCs/>
          <w:sz w:val="28"/>
          <w:szCs w:val="28"/>
          <w:lang w:val="uk-UA"/>
        </w:rPr>
        <w:t xml:space="preserve">Показники </w:t>
      </w:r>
      <w:r w:rsidRPr="00BE086B">
        <w:rPr>
          <w:b/>
          <w:sz w:val="28"/>
          <w:szCs w:val="28"/>
          <w:lang w:val="uk-UA"/>
        </w:rPr>
        <w:t>рухової та емоційної активності щурів</w:t>
      </w:r>
    </w:p>
    <w:p w:rsidR="00215BF6" w:rsidRPr="00BE086B" w:rsidRDefault="00215BF6" w:rsidP="00215BF6">
      <w:pPr>
        <w:spacing w:line="360" w:lineRule="auto"/>
        <w:ind w:firstLine="709"/>
        <w:jc w:val="center"/>
        <w:rPr>
          <w:sz w:val="28"/>
          <w:szCs w:val="28"/>
          <w:lang w:val="uk-UA"/>
        </w:rPr>
      </w:pPr>
      <w:r w:rsidRPr="00BE086B">
        <w:rPr>
          <w:b/>
          <w:bCs/>
          <w:sz w:val="28"/>
          <w:szCs w:val="28"/>
          <w:lang w:val="uk-UA"/>
        </w:rPr>
        <w:t xml:space="preserve">на 70 добу експерименту, </w:t>
      </w:r>
      <w:r w:rsidRPr="00BE086B">
        <w:rPr>
          <w:b/>
          <w:sz w:val="28"/>
          <w:szCs w:val="28"/>
          <w:lang w:val="uk-UA"/>
        </w:rPr>
        <w:t>M±m</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587"/>
        <w:gridCol w:w="1588"/>
        <w:gridCol w:w="1587"/>
        <w:gridCol w:w="1588"/>
        <w:gridCol w:w="1588"/>
      </w:tblGrid>
      <w:tr w:rsidR="00215BF6" w:rsidRPr="00BE086B" w:rsidTr="00F66F9B">
        <w:tc>
          <w:tcPr>
            <w:tcW w:w="2127" w:type="dxa"/>
            <w:shd w:val="clear" w:color="auto" w:fill="FFFFFF"/>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Групи тварин</w:t>
            </w:r>
          </w:p>
          <w:p w:rsidR="00215BF6" w:rsidRPr="00BE086B" w:rsidRDefault="00215BF6" w:rsidP="00F66F9B">
            <w:pPr>
              <w:jc w:val="center"/>
              <w:rPr>
                <w:b/>
                <w:sz w:val="28"/>
                <w:szCs w:val="28"/>
                <w:lang w:val="uk-UA"/>
              </w:rPr>
            </w:pPr>
            <w:r w:rsidRPr="00BE086B">
              <w:rPr>
                <w:b/>
                <w:sz w:val="28"/>
                <w:szCs w:val="28"/>
                <w:lang w:val="uk-UA"/>
              </w:rPr>
              <w:t>(n=60)</w:t>
            </w:r>
          </w:p>
        </w:tc>
        <w:tc>
          <w:tcPr>
            <w:tcW w:w="1587" w:type="dxa"/>
            <w:shd w:val="clear" w:color="auto" w:fill="FFFFFF"/>
            <w:tcMar>
              <w:left w:w="28" w:type="dxa"/>
              <w:right w:w="28" w:type="dxa"/>
            </w:tcMar>
            <w:vAlign w:val="center"/>
          </w:tcPr>
          <w:p w:rsidR="00215BF6" w:rsidRPr="00BE086B" w:rsidRDefault="00215BF6" w:rsidP="00F66F9B">
            <w:pPr>
              <w:jc w:val="center"/>
              <w:rPr>
                <w:b/>
                <w:sz w:val="28"/>
                <w:szCs w:val="28"/>
                <w:lang w:val="uk-UA"/>
              </w:rPr>
            </w:pPr>
            <w:r w:rsidRPr="00BE086B">
              <w:rPr>
                <w:b/>
                <w:sz w:val="28"/>
                <w:szCs w:val="28"/>
                <w:lang w:val="uk-UA"/>
              </w:rPr>
              <w:t>Квадрати</w:t>
            </w:r>
          </w:p>
          <w:p w:rsidR="00215BF6" w:rsidRPr="00BE086B" w:rsidRDefault="00215BF6" w:rsidP="00F66F9B">
            <w:pPr>
              <w:jc w:val="center"/>
              <w:rPr>
                <w:b/>
                <w:sz w:val="28"/>
                <w:szCs w:val="28"/>
                <w:lang w:val="uk-UA"/>
              </w:rPr>
            </w:pPr>
            <w:r w:rsidRPr="00BE086B">
              <w:rPr>
                <w:b/>
                <w:sz w:val="28"/>
                <w:szCs w:val="28"/>
                <w:lang w:val="uk-UA"/>
              </w:rPr>
              <w:t>(кількість)</w:t>
            </w:r>
          </w:p>
        </w:tc>
        <w:tc>
          <w:tcPr>
            <w:tcW w:w="1588" w:type="dxa"/>
            <w:shd w:val="clear" w:color="auto" w:fill="FFFFFF"/>
            <w:tcMar>
              <w:left w:w="28" w:type="dxa"/>
              <w:right w:w="28" w:type="dxa"/>
            </w:tcMar>
            <w:vAlign w:val="center"/>
          </w:tcPr>
          <w:p w:rsidR="00215BF6" w:rsidRPr="00BE086B" w:rsidRDefault="00215BF6" w:rsidP="00F66F9B">
            <w:pPr>
              <w:jc w:val="center"/>
              <w:rPr>
                <w:b/>
                <w:sz w:val="28"/>
                <w:szCs w:val="28"/>
                <w:lang w:val="uk-UA"/>
              </w:rPr>
            </w:pPr>
            <w:r w:rsidRPr="00BE086B">
              <w:rPr>
                <w:b/>
                <w:sz w:val="28"/>
                <w:szCs w:val="28"/>
                <w:lang w:val="uk-UA"/>
              </w:rPr>
              <w:t>Нірки</w:t>
            </w:r>
          </w:p>
          <w:p w:rsidR="00215BF6" w:rsidRPr="00BE086B" w:rsidRDefault="00215BF6" w:rsidP="00F66F9B">
            <w:pPr>
              <w:jc w:val="center"/>
              <w:rPr>
                <w:b/>
                <w:sz w:val="28"/>
                <w:szCs w:val="28"/>
                <w:lang w:val="uk-UA"/>
              </w:rPr>
            </w:pPr>
            <w:r w:rsidRPr="00BE086B">
              <w:rPr>
                <w:b/>
                <w:sz w:val="28"/>
                <w:szCs w:val="28"/>
                <w:lang w:val="uk-UA"/>
              </w:rPr>
              <w:t>(кількість)</w:t>
            </w:r>
          </w:p>
        </w:tc>
        <w:tc>
          <w:tcPr>
            <w:tcW w:w="1587" w:type="dxa"/>
            <w:shd w:val="clear" w:color="auto" w:fill="FFFFFF"/>
            <w:tcMar>
              <w:left w:w="28" w:type="dxa"/>
              <w:right w:w="28" w:type="dxa"/>
            </w:tcMar>
            <w:vAlign w:val="center"/>
          </w:tcPr>
          <w:p w:rsidR="00215BF6" w:rsidRPr="00BE086B" w:rsidRDefault="00215BF6" w:rsidP="00F66F9B">
            <w:pPr>
              <w:jc w:val="center"/>
              <w:rPr>
                <w:b/>
                <w:sz w:val="28"/>
                <w:szCs w:val="28"/>
                <w:lang w:val="uk-UA"/>
              </w:rPr>
            </w:pPr>
            <w:r w:rsidRPr="00BE086B">
              <w:rPr>
                <w:b/>
                <w:sz w:val="28"/>
                <w:szCs w:val="28"/>
                <w:lang w:val="uk-UA"/>
              </w:rPr>
              <w:t>Стійка</w:t>
            </w:r>
          </w:p>
          <w:p w:rsidR="00215BF6" w:rsidRPr="00BE086B" w:rsidRDefault="00215BF6" w:rsidP="00F66F9B">
            <w:pPr>
              <w:jc w:val="center"/>
              <w:rPr>
                <w:b/>
                <w:sz w:val="28"/>
                <w:szCs w:val="28"/>
                <w:lang w:val="uk-UA"/>
              </w:rPr>
            </w:pPr>
            <w:r w:rsidRPr="00BE086B">
              <w:rPr>
                <w:b/>
                <w:sz w:val="28"/>
                <w:szCs w:val="28"/>
                <w:lang w:val="uk-UA"/>
              </w:rPr>
              <w:t>(кількість)</w:t>
            </w:r>
          </w:p>
        </w:tc>
        <w:tc>
          <w:tcPr>
            <w:tcW w:w="1588" w:type="dxa"/>
            <w:shd w:val="clear" w:color="auto" w:fill="FFFFFF"/>
            <w:tcMar>
              <w:left w:w="28" w:type="dxa"/>
              <w:right w:w="28" w:type="dxa"/>
            </w:tcMar>
            <w:vAlign w:val="center"/>
          </w:tcPr>
          <w:p w:rsidR="00215BF6" w:rsidRPr="00BE086B" w:rsidRDefault="00215BF6" w:rsidP="00F66F9B">
            <w:pPr>
              <w:jc w:val="center"/>
              <w:rPr>
                <w:b/>
                <w:sz w:val="28"/>
                <w:szCs w:val="28"/>
                <w:lang w:val="uk-UA"/>
              </w:rPr>
            </w:pPr>
            <w:r w:rsidRPr="00BE086B">
              <w:rPr>
                <w:b/>
                <w:sz w:val="28"/>
                <w:szCs w:val="28"/>
                <w:lang w:val="uk-UA"/>
              </w:rPr>
              <w:t>Грумінг</w:t>
            </w:r>
          </w:p>
          <w:p w:rsidR="00215BF6" w:rsidRPr="00BE086B" w:rsidRDefault="00215BF6" w:rsidP="00F66F9B">
            <w:pPr>
              <w:jc w:val="center"/>
              <w:rPr>
                <w:b/>
                <w:sz w:val="28"/>
                <w:szCs w:val="28"/>
                <w:lang w:val="uk-UA"/>
              </w:rPr>
            </w:pPr>
            <w:r w:rsidRPr="00BE086B">
              <w:rPr>
                <w:b/>
                <w:sz w:val="28"/>
                <w:szCs w:val="28"/>
                <w:lang w:val="uk-UA"/>
              </w:rPr>
              <w:t>(кількість)</w:t>
            </w:r>
          </w:p>
        </w:tc>
        <w:tc>
          <w:tcPr>
            <w:tcW w:w="1588" w:type="dxa"/>
            <w:shd w:val="clear" w:color="auto" w:fill="FFFFFF"/>
            <w:tcMar>
              <w:left w:w="28" w:type="dxa"/>
              <w:right w:w="28" w:type="dxa"/>
            </w:tcMar>
            <w:vAlign w:val="center"/>
          </w:tcPr>
          <w:p w:rsidR="00215BF6" w:rsidRPr="00BE086B" w:rsidRDefault="00215BF6" w:rsidP="00F66F9B">
            <w:pPr>
              <w:jc w:val="center"/>
              <w:rPr>
                <w:b/>
                <w:sz w:val="28"/>
                <w:szCs w:val="28"/>
                <w:lang w:val="uk-UA"/>
              </w:rPr>
            </w:pPr>
            <w:r w:rsidRPr="00BE086B">
              <w:rPr>
                <w:b/>
                <w:sz w:val="28"/>
                <w:szCs w:val="28"/>
                <w:lang w:val="uk-UA"/>
              </w:rPr>
              <w:t>Болюси</w:t>
            </w:r>
          </w:p>
          <w:p w:rsidR="00215BF6" w:rsidRPr="00BE086B" w:rsidRDefault="00215BF6" w:rsidP="00F66F9B">
            <w:pPr>
              <w:jc w:val="center"/>
              <w:rPr>
                <w:b/>
                <w:sz w:val="28"/>
                <w:szCs w:val="28"/>
                <w:lang w:val="uk-UA"/>
              </w:rPr>
            </w:pPr>
            <w:r w:rsidRPr="00BE086B">
              <w:rPr>
                <w:b/>
                <w:sz w:val="28"/>
                <w:szCs w:val="28"/>
                <w:lang w:val="uk-UA"/>
              </w:rPr>
              <w:t>(кількість)</w:t>
            </w:r>
          </w:p>
        </w:tc>
      </w:tr>
      <w:tr w:rsidR="00215BF6" w:rsidRPr="00BE086B" w:rsidTr="00F66F9B">
        <w:tc>
          <w:tcPr>
            <w:tcW w:w="2127"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Інтактні щури (ІЩ) (n=20)</w:t>
            </w:r>
          </w:p>
        </w:tc>
        <w:tc>
          <w:tcPr>
            <w:tcW w:w="1587"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25,63</w:t>
            </w:r>
          </w:p>
          <w:p w:rsidR="00215BF6" w:rsidRPr="00BE086B" w:rsidRDefault="00215BF6" w:rsidP="00F66F9B">
            <w:pPr>
              <w:jc w:val="center"/>
              <w:rPr>
                <w:sz w:val="28"/>
                <w:szCs w:val="28"/>
                <w:lang w:val="uk-UA"/>
              </w:rPr>
            </w:pPr>
            <w:r w:rsidRPr="00BE086B">
              <w:rPr>
                <w:sz w:val="28"/>
                <w:szCs w:val="28"/>
                <w:lang w:val="uk-UA"/>
              </w:rPr>
              <w:t>±0,93</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8,38</w:t>
            </w:r>
          </w:p>
          <w:p w:rsidR="00215BF6" w:rsidRPr="00BE086B" w:rsidRDefault="00215BF6" w:rsidP="00F66F9B">
            <w:pPr>
              <w:jc w:val="center"/>
              <w:rPr>
                <w:sz w:val="28"/>
                <w:szCs w:val="28"/>
                <w:lang w:val="uk-UA"/>
              </w:rPr>
            </w:pPr>
            <w:r w:rsidRPr="00BE086B">
              <w:rPr>
                <w:sz w:val="28"/>
                <w:szCs w:val="28"/>
                <w:lang w:val="uk-UA"/>
              </w:rPr>
              <w:t>±0,42</w:t>
            </w:r>
          </w:p>
        </w:tc>
        <w:tc>
          <w:tcPr>
            <w:tcW w:w="1587"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6,38</w:t>
            </w:r>
          </w:p>
          <w:p w:rsidR="00215BF6" w:rsidRPr="00BE086B" w:rsidRDefault="00215BF6" w:rsidP="00F66F9B">
            <w:pPr>
              <w:jc w:val="center"/>
              <w:rPr>
                <w:sz w:val="28"/>
                <w:szCs w:val="28"/>
                <w:lang w:val="uk-UA"/>
              </w:rPr>
            </w:pPr>
            <w:r w:rsidRPr="00BE086B">
              <w:rPr>
                <w:sz w:val="28"/>
                <w:szCs w:val="28"/>
                <w:lang w:val="uk-UA"/>
              </w:rPr>
              <w:t>±0,42</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1,13</w:t>
            </w:r>
          </w:p>
          <w:p w:rsidR="00215BF6" w:rsidRPr="00BE086B" w:rsidRDefault="00215BF6" w:rsidP="00F66F9B">
            <w:pPr>
              <w:jc w:val="center"/>
              <w:rPr>
                <w:sz w:val="28"/>
                <w:szCs w:val="28"/>
                <w:lang w:val="uk-UA"/>
              </w:rPr>
            </w:pPr>
            <w:r w:rsidRPr="00BE086B">
              <w:rPr>
                <w:sz w:val="28"/>
                <w:szCs w:val="28"/>
                <w:lang w:val="uk-UA"/>
              </w:rPr>
              <w:t>±0,19</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0,75</w:t>
            </w:r>
          </w:p>
          <w:p w:rsidR="00215BF6" w:rsidRPr="00BE086B" w:rsidRDefault="00215BF6" w:rsidP="00F66F9B">
            <w:pPr>
              <w:jc w:val="center"/>
              <w:rPr>
                <w:sz w:val="28"/>
                <w:szCs w:val="28"/>
                <w:lang w:val="uk-UA"/>
              </w:rPr>
            </w:pPr>
            <w:r w:rsidRPr="00BE086B">
              <w:rPr>
                <w:sz w:val="28"/>
                <w:szCs w:val="28"/>
                <w:lang w:val="uk-UA"/>
              </w:rPr>
              <w:t>±0,20</w:t>
            </w:r>
          </w:p>
        </w:tc>
      </w:tr>
      <w:tr w:rsidR="00215BF6" w:rsidRPr="00BE086B" w:rsidTr="00F66F9B">
        <w:tc>
          <w:tcPr>
            <w:tcW w:w="2127" w:type="dxa"/>
            <w:shd w:val="clear" w:color="auto" w:fill="FFFFFF"/>
            <w:tcMar>
              <w:left w:w="28" w:type="dxa"/>
              <w:right w:w="28" w:type="dxa"/>
            </w:tcMar>
            <w:vAlign w:val="center"/>
          </w:tcPr>
          <w:p w:rsidR="00215BF6" w:rsidRPr="00BE086B" w:rsidRDefault="00215BF6" w:rsidP="008B19AA">
            <w:pPr>
              <w:jc w:val="center"/>
              <w:rPr>
                <w:sz w:val="28"/>
                <w:szCs w:val="28"/>
                <w:lang w:val="uk-UA"/>
              </w:rPr>
            </w:pPr>
            <w:r w:rsidRPr="00BE086B">
              <w:rPr>
                <w:sz w:val="28"/>
                <w:szCs w:val="28"/>
                <w:lang w:val="uk-UA"/>
              </w:rPr>
              <w:t>Остеоартроз + гіпотиреоз (n=20)</w:t>
            </w:r>
          </w:p>
        </w:tc>
        <w:tc>
          <w:tcPr>
            <w:tcW w:w="1587"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 xml:space="preserve">11,75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±0,63</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 xml:space="preserve">1,88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±0,35</w:t>
            </w:r>
          </w:p>
        </w:tc>
        <w:tc>
          <w:tcPr>
            <w:tcW w:w="1587"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 xml:space="preserve">1,50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±0,21</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 xml:space="preserve">0,50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±0,12</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1,13</w:t>
            </w:r>
          </w:p>
          <w:p w:rsidR="00215BF6" w:rsidRPr="00BE086B" w:rsidRDefault="00215BF6" w:rsidP="00F66F9B">
            <w:pPr>
              <w:jc w:val="center"/>
              <w:rPr>
                <w:sz w:val="28"/>
                <w:szCs w:val="28"/>
                <w:lang w:val="uk-UA"/>
              </w:rPr>
            </w:pPr>
            <w:r w:rsidRPr="00BE086B">
              <w:rPr>
                <w:sz w:val="28"/>
                <w:szCs w:val="28"/>
                <w:lang w:val="uk-UA"/>
              </w:rPr>
              <w:t>±0,19</w:t>
            </w:r>
          </w:p>
        </w:tc>
      </w:tr>
      <w:tr w:rsidR="00215BF6" w:rsidRPr="00BE086B" w:rsidTr="00F66F9B">
        <w:tc>
          <w:tcPr>
            <w:tcW w:w="2127"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Хондроїтин сульфат</w:t>
            </w:r>
          </w:p>
          <w:p w:rsidR="00215BF6" w:rsidRPr="00BE086B" w:rsidRDefault="00215BF6" w:rsidP="00F66F9B">
            <w:pPr>
              <w:jc w:val="center"/>
              <w:rPr>
                <w:sz w:val="28"/>
                <w:szCs w:val="28"/>
                <w:lang w:val="uk-UA"/>
              </w:rPr>
            </w:pPr>
            <w:r w:rsidRPr="00BE086B">
              <w:rPr>
                <w:sz w:val="28"/>
                <w:szCs w:val="28"/>
                <w:lang w:val="uk-UA"/>
              </w:rPr>
              <w:t>35 мг/кг (n=20)</w:t>
            </w:r>
          </w:p>
        </w:tc>
        <w:tc>
          <w:tcPr>
            <w:tcW w:w="1587"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 xml:space="preserve">25,0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±0,93</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 xml:space="preserve">6,50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±0,41</w:t>
            </w:r>
          </w:p>
        </w:tc>
        <w:tc>
          <w:tcPr>
            <w:tcW w:w="1587"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8,50 *</w:t>
            </w:r>
            <w:r w:rsidRPr="00BE086B">
              <w:rPr>
                <w:b/>
                <w:iCs/>
                <w:sz w:val="28"/>
                <w:szCs w:val="28"/>
                <w:lang w:val="uk-UA"/>
              </w:rPr>
              <w:t>*</w:t>
            </w:r>
          </w:p>
          <w:p w:rsidR="00215BF6" w:rsidRPr="00BE086B" w:rsidRDefault="00215BF6" w:rsidP="00F66F9B">
            <w:pPr>
              <w:jc w:val="center"/>
              <w:rPr>
                <w:sz w:val="28"/>
                <w:szCs w:val="28"/>
                <w:lang w:val="uk-UA"/>
              </w:rPr>
            </w:pPr>
            <w:r w:rsidRPr="00BE086B">
              <w:rPr>
                <w:sz w:val="28"/>
                <w:szCs w:val="28"/>
                <w:lang w:val="uk-UA"/>
              </w:rPr>
              <w:t>±0,44</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0,75</w:t>
            </w:r>
          </w:p>
          <w:p w:rsidR="00215BF6" w:rsidRPr="00BE086B" w:rsidRDefault="00215BF6" w:rsidP="00F66F9B">
            <w:pPr>
              <w:jc w:val="center"/>
              <w:rPr>
                <w:sz w:val="28"/>
                <w:szCs w:val="28"/>
                <w:lang w:val="uk-UA"/>
              </w:rPr>
            </w:pPr>
            <w:r w:rsidRPr="00BE086B">
              <w:rPr>
                <w:sz w:val="28"/>
                <w:szCs w:val="28"/>
                <w:lang w:val="uk-UA"/>
              </w:rPr>
              <w:t>±0,11</w:t>
            </w:r>
          </w:p>
        </w:tc>
        <w:tc>
          <w:tcPr>
            <w:tcW w:w="1588" w:type="dxa"/>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 xml:space="preserve">0,63 </w:t>
            </w:r>
          </w:p>
          <w:p w:rsidR="00215BF6" w:rsidRPr="00BE086B" w:rsidRDefault="00215BF6" w:rsidP="00F66F9B">
            <w:pPr>
              <w:jc w:val="center"/>
              <w:rPr>
                <w:sz w:val="28"/>
                <w:szCs w:val="28"/>
                <w:lang w:val="uk-UA"/>
              </w:rPr>
            </w:pPr>
            <w:r w:rsidRPr="00BE086B">
              <w:rPr>
                <w:sz w:val="28"/>
                <w:szCs w:val="28"/>
                <w:lang w:val="uk-UA"/>
              </w:rPr>
              <w:t>±0,14</w:t>
            </w:r>
          </w:p>
        </w:tc>
      </w:tr>
    </w:tbl>
    <w:p w:rsidR="00215BF6" w:rsidRPr="00BE086B" w:rsidRDefault="00215BF6" w:rsidP="00215BF6">
      <w:pPr>
        <w:keepNext/>
        <w:spacing w:line="360" w:lineRule="auto"/>
        <w:ind w:firstLine="709"/>
        <w:jc w:val="both"/>
        <w:rPr>
          <w:sz w:val="28"/>
          <w:szCs w:val="28"/>
          <w:lang w:val="uk-UA"/>
        </w:rPr>
      </w:pPr>
      <w:r w:rsidRPr="00BE086B">
        <w:rPr>
          <w:rFonts w:eastAsia="Microsoft YaHei"/>
          <w:b/>
          <w:iCs/>
          <w:sz w:val="28"/>
          <w:szCs w:val="28"/>
          <w:lang w:val="uk-UA" w:eastAsia="ru-RU"/>
        </w:rPr>
        <w:t>Примітки:</w:t>
      </w:r>
      <w:r w:rsidRPr="00BE086B">
        <w:rPr>
          <w:rFonts w:eastAsia="Microsoft YaHei"/>
          <w:iCs/>
          <w:sz w:val="28"/>
          <w:szCs w:val="28"/>
          <w:lang w:val="uk-UA" w:eastAsia="ru-RU"/>
        </w:rPr>
        <w:t xml:space="preserve"> # - р</w:t>
      </w:r>
      <w:r w:rsidRPr="00BE086B">
        <w:rPr>
          <w:rFonts w:eastAsia="Microsoft YaHei"/>
          <w:iCs/>
          <w:sz w:val="28"/>
          <w:szCs w:val="28"/>
          <w:lang w:val="en-US" w:eastAsia="ru-RU"/>
        </w:rPr>
        <w:t> </w:t>
      </w:r>
      <w:r w:rsidRPr="00BE086B">
        <w:rPr>
          <w:rFonts w:eastAsia="Microsoft YaHei"/>
          <w:iCs/>
          <w:sz w:val="28"/>
          <w:szCs w:val="28"/>
          <w:lang w:val="uk-UA" w:eastAsia="ru-RU"/>
        </w:rPr>
        <w:t>&lt;</w:t>
      </w:r>
      <w:r w:rsidRPr="00BE086B">
        <w:rPr>
          <w:rFonts w:eastAsia="Microsoft YaHei"/>
          <w:iCs/>
          <w:sz w:val="28"/>
          <w:szCs w:val="28"/>
          <w:lang w:val="en-US" w:eastAsia="ru-RU"/>
        </w:rPr>
        <w:t> </w:t>
      </w:r>
      <w:r w:rsidRPr="00BE086B">
        <w:rPr>
          <w:rFonts w:eastAsia="Microsoft YaHei"/>
          <w:iCs/>
          <w:sz w:val="28"/>
          <w:szCs w:val="28"/>
          <w:lang w:val="uk-UA" w:eastAsia="ru-RU"/>
        </w:rPr>
        <w:t>0,05</w:t>
      </w:r>
      <w:r w:rsidRPr="00BE086B">
        <w:rPr>
          <w:rFonts w:eastAsia="Microsoft YaHei"/>
          <w:iCs/>
          <w:sz w:val="28"/>
          <w:szCs w:val="28"/>
          <w:lang w:eastAsia="ru-RU"/>
        </w:rPr>
        <w:t>; #</w:t>
      </w:r>
      <w:r w:rsidRPr="00BE086B">
        <w:rPr>
          <w:rFonts w:eastAsia="Microsoft YaHei"/>
          <w:iCs/>
          <w:sz w:val="28"/>
          <w:szCs w:val="28"/>
          <w:lang w:val="uk-UA" w:eastAsia="ru-RU"/>
        </w:rPr>
        <w:t># - р</w:t>
      </w:r>
      <w:r w:rsidRPr="00BE086B">
        <w:rPr>
          <w:rFonts w:eastAsia="Microsoft YaHei"/>
          <w:iCs/>
          <w:sz w:val="28"/>
          <w:szCs w:val="28"/>
          <w:lang w:val="en-US" w:eastAsia="ru-RU"/>
        </w:rPr>
        <w:t> </w:t>
      </w:r>
      <w:r w:rsidRPr="00BE086B">
        <w:rPr>
          <w:rFonts w:eastAsia="Microsoft YaHei"/>
          <w:iCs/>
          <w:sz w:val="28"/>
          <w:szCs w:val="28"/>
          <w:lang w:val="uk-UA" w:eastAsia="ru-RU"/>
        </w:rPr>
        <w:t>&lt;</w:t>
      </w:r>
      <w:r w:rsidRPr="00BE086B">
        <w:rPr>
          <w:rFonts w:eastAsia="Microsoft YaHei"/>
          <w:iCs/>
          <w:sz w:val="28"/>
          <w:szCs w:val="28"/>
          <w:lang w:val="en-US" w:eastAsia="ru-RU"/>
        </w:rPr>
        <w:t> </w:t>
      </w:r>
      <w:r w:rsidRPr="00BE086B">
        <w:rPr>
          <w:rFonts w:eastAsia="Microsoft YaHei"/>
          <w:iCs/>
          <w:sz w:val="28"/>
          <w:szCs w:val="28"/>
          <w:lang w:val="uk-UA" w:eastAsia="ru-RU"/>
        </w:rPr>
        <w:t>0,0</w:t>
      </w:r>
      <w:r w:rsidRPr="00BE086B">
        <w:rPr>
          <w:rFonts w:eastAsia="Microsoft YaHei"/>
          <w:iCs/>
          <w:sz w:val="28"/>
          <w:szCs w:val="28"/>
          <w:lang w:eastAsia="ru-RU"/>
        </w:rPr>
        <w:t>01</w:t>
      </w:r>
      <w:r w:rsidRPr="00BE086B">
        <w:rPr>
          <w:rFonts w:eastAsia="Microsoft YaHei"/>
          <w:iCs/>
          <w:sz w:val="28"/>
          <w:szCs w:val="28"/>
          <w:lang w:val="uk-UA" w:eastAsia="ru-RU"/>
        </w:rPr>
        <w:t xml:space="preserve"> по відношенню до відповідного показника інтактних щурів;</w:t>
      </w:r>
      <w:r w:rsidR="008B19AA" w:rsidRPr="00BE086B">
        <w:rPr>
          <w:rFonts w:eastAsia="Microsoft YaHei"/>
          <w:iCs/>
          <w:sz w:val="28"/>
          <w:szCs w:val="28"/>
          <w:lang w:val="uk-UA" w:eastAsia="ru-RU"/>
        </w:rPr>
        <w:t xml:space="preserve">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5</w:t>
      </w:r>
      <w:r w:rsidR="008B19AA" w:rsidRPr="00BE086B">
        <w:rPr>
          <w:sz w:val="28"/>
          <w:szCs w:val="28"/>
          <w:lang w:val="uk-UA" w:eastAsia="ru-RU"/>
        </w:rPr>
        <w:t>;</w:t>
      </w:r>
      <w:r w:rsidRPr="00BE086B">
        <w:rPr>
          <w:sz w:val="28"/>
          <w:szCs w:val="28"/>
          <w:lang w:val="uk-UA" w:eastAsia="ru-RU"/>
        </w:rPr>
        <w:t xml:space="preserve"> </w:t>
      </w:r>
      <w:r w:rsidRPr="00BE086B">
        <w:rPr>
          <w:rFonts w:eastAsia="Microsoft YaHei"/>
          <w:iCs/>
          <w:sz w:val="28"/>
          <w:szCs w:val="28"/>
          <w:lang w:val="uk-UA" w:eastAsia="ru-RU"/>
        </w:rPr>
        <w:t>** - р</w:t>
      </w:r>
      <w:r w:rsidRPr="00BE086B">
        <w:rPr>
          <w:rFonts w:eastAsia="Microsoft YaHei"/>
          <w:iCs/>
          <w:sz w:val="28"/>
          <w:szCs w:val="28"/>
          <w:lang w:val="en-US" w:eastAsia="ru-RU"/>
        </w:rPr>
        <w:t> </w:t>
      </w:r>
      <w:r w:rsidRPr="00BE086B">
        <w:rPr>
          <w:rFonts w:eastAsia="Microsoft YaHei"/>
          <w:iCs/>
          <w:sz w:val="28"/>
          <w:szCs w:val="28"/>
          <w:lang w:val="uk-UA" w:eastAsia="ru-RU"/>
        </w:rPr>
        <w:t>&lt;</w:t>
      </w:r>
      <w:r w:rsidRPr="00BE086B">
        <w:rPr>
          <w:rFonts w:eastAsia="Microsoft YaHei"/>
          <w:iCs/>
          <w:sz w:val="28"/>
          <w:szCs w:val="28"/>
          <w:lang w:val="en-US" w:eastAsia="ru-RU"/>
        </w:rPr>
        <w:t> </w:t>
      </w:r>
      <w:r w:rsidRPr="00BE086B">
        <w:rPr>
          <w:rFonts w:eastAsia="Microsoft YaHei"/>
          <w:iCs/>
          <w:sz w:val="28"/>
          <w:szCs w:val="28"/>
          <w:lang w:val="uk-UA" w:eastAsia="ru-RU"/>
        </w:rPr>
        <w:t>0,0</w:t>
      </w:r>
      <w:r w:rsidRPr="00BE086B">
        <w:rPr>
          <w:rFonts w:eastAsia="Microsoft YaHei"/>
          <w:iCs/>
          <w:sz w:val="28"/>
          <w:szCs w:val="28"/>
          <w:lang w:eastAsia="ru-RU"/>
        </w:rPr>
        <w:t>01</w:t>
      </w:r>
      <w:r w:rsidRPr="00BE086B">
        <w:rPr>
          <w:sz w:val="28"/>
          <w:szCs w:val="28"/>
          <w:lang w:eastAsia="ru-RU"/>
        </w:rPr>
        <w:t xml:space="preserve"> </w:t>
      </w:r>
      <w:r w:rsidRPr="00BE086B">
        <w:rPr>
          <w:rFonts w:eastAsia="Microsoft YaHei"/>
          <w:iCs/>
          <w:sz w:val="28"/>
          <w:szCs w:val="28"/>
          <w:lang w:val="uk-UA" w:eastAsia="ru-RU"/>
        </w:rPr>
        <w:t>по відношенню до відповідного показника групи активного контролю (</w:t>
      </w:r>
      <w:r w:rsidRPr="00BE086B">
        <w:rPr>
          <w:rFonts w:eastAsia="Microsoft YaHei"/>
          <w:sz w:val="28"/>
          <w:szCs w:val="28"/>
          <w:lang w:val="uk-UA"/>
        </w:rPr>
        <w:t>ЕОА + ЕГ)</w:t>
      </w:r>
      <w:r w:rsidRPr="00BE086B">
        <w:rPr>
          <w:rFonts w:eastAsia="Microsoft YaHei"/>
          <w:iCs/>
          <w:sz w:val="28"/>
          <w:szCs w:val="28"/>
          <w:lang w:val="uk-UA" w:eastAsia="ru-RU"/>
        </w:rPr>
        <w:t>.</w:t>
      </w:r>
    </w:p>
    <w:p w:rsidR="00215BF6" w:rsidRPr="00BE086B" w:rsidRDefault="00215BF6" w:rsidP="00215BF6">
      <w:pPr>
        <w:spacing w:line="360" w:lineRule="auto"/>
        <w:ind w:firstLine="709"/>
        <w:jc w:val="both"/>
        <w:rPr>
          <w:rFonts w:eastAsia="Microsoft YaHei"/>
          <w:sz w:val="28"/>
          <w:szCs w:val="28"/>
          <w:lang w:val="uk-UA"/>
        </w:rPr>
      </w:pPr>
    </w:p>
    <w:p w:rsidR="008B19AA" w:rsidRPr="00BE086B" w:rsidRDefault="008B19AA" w:rsidP="008B19AA">
      <w:pPr>
        <w:spacing w:line="360" w:lineRule="auto"/>
        <w:ind w:firstLine="709"/>
        <w:jc w:val="both"/>
        <w:rPr>
          <w:sz w:val="28"/>
          <w:szCs w:val="28"/>
          <w:lang w:val="uk-UA" w:eastAsia="ru-RU"/>
        </w:rPr>
      </w:pPr>
      <w:r w:rsidRPr="00BE086B">
        <w:rPr>
          <w:sz w:val="28"/>
          <w:szCs w:val="28"/>
          <w:lang w:val="uk-UA"/>
        </w:rPr>
        <w:lastRenderedPageBreak/>
        <w:t xml:space="preserve">Як видно з табл. 7.3 та рис. 7.3, призначення ХС сприяє відновленню рухової та дослідницької активності щурів у порівнянні з групою ЕОА + ЕГ (активний контроль), що свідчить про позитивний вплив препарату на перебіг патологічного коморбідного стану. </w:t>
      </w:r>
    </w:p>
    <w:p w:rsidR="008B19AA" w:rsidRPr="00BE086B" w:rsidRDefault="008B19AA" w:rsidP="008B19AA">
      <w:pPr>
        <w:spacing w:line="360" w:lineRule="auto"/>
        <w:ind w:firstLine="709"/>
        <w:jc w:val="both"/>
        <w:rPr>
          <w:sz w:val="28"/>
          <w:szCs w:val="28"/>
          <w:lang w:val="uk-UA" w:eastAsia="ru-RU"/>
        </w:rPr>
      </w:pPr>
      <w:r w:rsidRPr="00BE086B">
        <w:rPr>
          <w:sz w:val="28"/>
          <w:szCs w:val="28"/>
          <w:lang w:val="uk-UA"/>
        </w:rPr>
        <w:t xml:space="preserve">Так, за показниками досліджених квадратів цей показник при призначенні хондроїтину сульфату достовірно збільшився у 2,13 рази </w:t>
      </w:r>
      <w:r w:rsidRPr="00BE086B">
        <w:rPr>
          <w:rFonts w:eastAsia="Microsoft YaHei"/>
          <w:iCs/>
          <w:sz w:val="28"/>
          <w:szCs w:val="28"/>
          <w:lang w:val="uk-UA" w:eastAsia="ru-RU"/>
        </w:rPr>
        <w:t xml:space="preserve">(р &lt; 0,001) </w:t>
      </w:r>
      <w:r w:rsidRPr="00BE086B">
        <w:rPr>
          <w:sz w:val="28"/>
          <w:szCs w:val="28"/>
          <w:lang w:val="uk-UA"/>
        </w:rPr>
        <w:t>у порівнянні з групою ЕОА + ЕГ (активний контроль).</w:t>
      </w:r>
    </w:p>
    <w:p w:rsidR="006A76ED" w:rsidRDefault="002A47A7" w:rsidP="002A47A7">
      <w:pPr>
        <w:spacing w:line="360" w:lineRule="auto"/>
        <w:jc w:val="center"/>
        <w:rPr>
          <w:noProof/>
          <w:sz w:val="28"/>
          <w:szCs w:val="28"/>
          <w:lang w:eastAsia="ru-RU"/>
        </w:rPr>
      </w:pPr>
      <w:r>
        <w:rPr>
          <w:noProof/>
          <w:sz w:val="28"/>
          <w:szCs w:val="28"/>
          <w:lang w:eastAsia="ru-RU"/>
        </w:rPr>
        <w:drawing>
          <wp:inline distT="0" distB="0" distL="0" distR="0">
            <wp:extent cx="5943600" cy="24768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7.3.jpg"/>
                    <pic:cNvPicPr/>
                  </pic:nvPicPr>
                  <pic:blipFill>
                    <a:blip r:embed="rId48">
                      <a:extLst>
                        <a:ext uri="{28A0092B-C50C-407E-A947-70E740481C1C}">
                          <a14:useLocalDpi xmlns:a14="http://schemas.microsoft.com/office/drawing/2010/main" val="0"/>
                        </a:ext>
                      </a:extLst>
                    </a:blip>
                    <a:stretch>
                      <a:fillRect/>
                    </a:stretch>
                  </pic:blipFill>
                  <pic:spPr>
                    <a:xfrm>
                      <a:off x="0" y="0"/>
                      <a:ext cx="5943600" cy="2476800"/>
                    </a:xfrm>
                    <a:prstGeom prst="rect">
                      <a:avLst/>
                    </a:prstGeom>
                  </pic:spPr>
                </pic:pic>
              </a:graphicData>
            </a:graphic>
          </wp:inline>
        </w:drawing>
      </w:r>
    </w:p>
    <w:p w:rsidR="00215BF6" w:rsidRPr="00BE086B" w:rsidRDefault="00215BF6" w:rsidP="00215BF6">
      <w:pPr>
        <w:spacing w:line="360" w:lineRule="auto"/>
        <w:ind w:firstLine="709"/>
        <w:jc w:val="both"/>
        <w:rPr>
          <w:sz w:val="28"/>
          <w:szCs w:val="28"/>
          <w:lang w:val="uk-UA"/>
        </w:rPr>
      </w:pPr>
      <w:r w:rsidRPr="00BE086B">
        <w:rPr>
          <w:b/>
          <w:sz w:val="28"/>
          <w:szCs w:val="28"/>
          <w:lang w:val="uk-UA"/>
        </w:rPr>
        <w:t>Рис. 7.3.</w:t>
      </w:r>
      <w:r w:rsidRPr="00BE086B">
        <w:rPr>
          <w:sz w:val="28"/>
          <w:szCs w:val="28"/>
          <w:lang w:val="uk-UA"/>
        </w:rPr>
        <w:t xml:space="preserve"> Зміни показників психо-емоційного стану щурів на 70 добу при призначенні хондроїтину сульфату (у % відносно </w:t>
      </w:r>
      <w:r w:rsidRPr="00BE086B">
        <w:rPr>
          <w:bCs/>
          <w:sz w:val="28"/>
          <w:szCs w:val="28"/>
        </w:rPr>
        <w:t xml:space="preserve">групи </w:t>
      </w:r>
      <w:r w:rsidRPr="00BE086B">
        <w:rPr>
          <w:bCs/>
          <w:sz w:val="28"/>
          <w:szCs w:val="28"/>
          <w:lang w:val="uk-UA"/>
        </w:rPr>
        <w:t>ЕОА + ЕГ)</w:t>
      </w:r>
    </w:p>
    <w:p w:rsidR="00215BF6" w:rsidRPr="00BE086B" w:rsidRDefault="00215BF6" w:rsidP="00215BF6">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01</w:t>
      </w:r>
      <w:r w:rsidRPr="00BE086B">
        <w:rPr>
          <w:sz w:val="28"/>
          <w:szCs w:val="28"/>
          <w:lang w:eastAsia="ru-RU"/>
        </w:rPr>
        <w:t xml:space="preserve"> по відношенню до показників </w:t>
      </w:r>
      <w:r w:rsidRPr="00BE086B">
        <w:rPr>
          <w:sz w:val="28"/>
          <w:szCs w:val="28"/>
          <w:lang w:val="uk-UA" w:eastAsia="ru-RU"/>
        </w:rPr>
        <w:t>групи активного контролю (ЕОА + ЕГ).</w:t>
      </w:r>
    </w:p>
    <w:p w:rsidR="00215BF6" w:rsidRPr="00BE086B" w:rsidRDefault="00215BF6" w:rsidP="00215BF6">
      <w:pPr>
        <w:spacing w:line="360" w:lineRule="auto"/>
        <w:ind w:firstLine="709"/>
        <w:jc w:val="both"/>
        <w:rPr>
          <w:sz w:val="28"/>
          <w:szCs w:val="28"/>
          <w:lang w:val="uk-UA"/>
        </w:rPr>
      </w:pPr>
    </w:p>
    <w:p w:rsidR="00215BF6" w:rsidRPr="00BE086B" w:rsidRDefault="00215BF6" w:rsidP="00215BF6">
      <w:pPr>
        <w:spacing w:line="360" w:lineRule="auto"/>
        <w:ind w:firstLine="709"/>
        <w:jc w:val="both"/>
        <w:rPr>
          <w:sz w:val="28"/>
          <w:szCs w:val="28"/>
          <w:lang w:val="uk-UA"/>
        </w:rPr>
      </w:pPr>
      <w:r w:rsidRPr="00BE086B">
        <w:rPr>
          <w:sz w:val="28"/>
          <w:szCs w:val="28"/>
          <w:lang w:val="uk-UA"/>
        </w:rPr>
        <w:t xml:space="preserve">За кількістю стійок та досліджених норок ці показники при призначенні хондроїтину сульфату достовірно збільшились у 5,67 та 3,46 рази </w:t>
      </w:r>
      <w:r w:rsidRPr="00BE086B">
        <w:rPr>
          <w:rFonts w:eastAsia="Microsoft YaHei"/>
          <w:iCs/>
          <w:sz w:val="28"/>
          <w:szCs w:val="28"/>
          <w:lang w:val="uk-UA" w:eastAsia="ru-RU"/>
        </w:rPr>
        <w:t xml:space="preserve">(р &lt; 0,001) відповідно </w:t>
      </w:r>
      <w:r w:rsidRPr="00BE086B">
        <w:rPr>
          <w:sz w:val="28"/>
          <w:szCs w:val="28"/>
          <w:lang w:val="uk-UA"/>
        </w:rPr>
        <w:t>у порівнянні з групою ЕОА + ЕГ (активний контроль). Тривожний стан експериментальних тварин при призначенні хондроїтину сульфату характеризувався тенденцією до вирівнювання емоціонального фону відносно групи активного контролю, проте ці показники не мали вірогідного значення.</w:t>
      </w:r>
    </w:p>
    <w:p w:rsidR="008B19AA" w:rsidRDefault="008B19AA" w:rsidP="00215BF6">
      <w:pPr>
        <w:spacing w:line="360" w:lineRule="auto"/>
        <w:ind w:firstLine="709"/>
        <w:jc w:val="both"/>
        <w:rPr>
          <w:sz w:val="28"/>
          <w:szCs w:val="28"/>
          <w:lang w:val="uk-UA"/>
        </w:rPr>
      </w:pPr>
    </w:p>
    <w:p w:rsidR="00125A5A" w:rsidRPr="00BE086B" w:rsidRDefault="00125A5A" w:rsidP="00215BF6">
      <w:pPr>
        <w:spacing w:line="360" w:lineRule="auto"/>
        <w:ind w:firstLine="709"/>
        <w:jc w:val="both"/>
        <w:rPr>
          <w:sz w:val="28"/>
          <w:szCs w:val="28"/>
          <w:lang w:val="uk-UA"/>
        </w:rPr>
      </w:pPr>
    </w:p>
    <w:p w:rsidR="008B19AA" w:rsidRPr="00BE086B" w:rsidRDefault="008B19AA" w:rsidP="00215BF6">
      <w:pPr>
        <w:spacing w:line="360" w:lineRule="auto"/>
        <w:ind w:firstLine="709"/>
        <w:jc w:val="both"/>
        <w:rPr>
          <w:sz w:val="28"/>
          <w:szCs w:val="28"/>
          <w:lang w:val="uk-UA"/>
        </w:rPr>
      </w:pPr>
    </w:p>
    <w:p w:rsidR="00215BF6" w:rsidRPr="00BE086B" w:rsidRDefault="00215BF6" w:rsidP="00215BF6">
      <w:pPr>
        <w:spacing w:line="360" w:lineRule="auto"/>
        <w:ind w:firstLine="709"/>
        <w:jc w:val="both"/>
        <w:rPr>
          <w:sz w:val="28"/>
          <w:szCs w:val="28"/>
          <w:lang w:val="uk-UA"/>
        </w:rPr>
      </w:pPr>
      <w:r w:rsidRPr="00BE086B">
        <w:rPr>
          <w:i/>
          <w:sz w:val="28"/>
          <w:szCs w:val="28"/>
          <w:lang w:val="uk-UA"/>
        </w:rPr>
        <w:lastRenderedPageBreak/>
        <w:t>Біохімічні дослідження.</w:t>
      </w:r>
      <w:r w:rsidRPr="00BE086B">
        <w:rPr>
          <w:sz w:val="28"/>
          <w:szCs w:val="28"/>
          <w:lang w:val="uk-UA"/>
        </w:rPr>
        <w:t xml:space="preserve"> Результати біохімічних досліджень на 42 та 70 добу експерименту представлені в табл. 7.4 та 7.5 відповідно.</w:t>
      </w:r>
    </w:p>
    <w:p w:rsidR="00D70DBD" w:rsidRPr="00BE086B" w:rsidRDefault="00D70DBD" w:rsidP="00215BF6">
      <w:pPr>
        <w:spacing w:line="360" w:lineRule="auto"/>
        <w:ind w:firstLine="709"/>
        <w:jc w:val="both"/>
        <w:rPr>
          <w:sz w:val="28"/>
          <w:szCs w:val="28"/>
          <w:lang w:val="uk-UA"/>
        </w:rPr>
      </w:pPr>
    </w:p>
    <w:p w:rsidR="00215BF6" w:rsidRPr="00BE086B" w:rsidRDefault="00215BF6" w:rsidP="00215BF6">
      <w:pPr>
        <w:spacing w:line="360" w:lineRule="auto"/>
        <w:ind w:firstLine="709"/>
        <w:jc w:val="right"/>
        <w:rPr>
          <w:sz w:val="28"/>
          <w:szCs w:val="28"/>
          <w:lang w:val="uk-UA"/>
        </w:rPr>
      </w:pPr>
      <w:r w:rsidRPr="00BE086B">
        <w:rPr>
          <w:i/>
          <w:sz w:val="28"/>
          <w:szCs w:val="28"/>
          <w:lang w:val="uk-UA"/>
        </w:rPr>
        <w:t xml:space="preserve">Таблиця </w:t>
      </w:r>
      <w:r w:rsidRPr="00BE086B">
        <w:rPr>
          <w:i/>
          <w:iCs/>
          <w:sz w:val="28"/>
          <w:szCs w:val="28"/>
          <w:lang w:val="uk-UA"/>
        </w:rPr>
        <w:t>7.4</w:t>
      </w:r>
    </w:p>
    <w:p w:rsidR="00215BF6" w:rsidRPr="00BE086B" w:rsidRDefault="00215BF6" w:rsidP="00215BF6">
      <w:pPr>
        <w:spacing w:line="360" w:lineRule="auto"/>
        <w:jc w:val="center"/>
        <w:rPr>
          <w:sz w:val="28"/>
          <w:szCs w:val="28"/>
          <w:lang w:val="uk-UA"/>
        </w:rPr>
      </w:pPr>
      <w:r w:rsidRPr="00BE086B">
        <w:rPr>
          <w:b/>
          <w:sz w:val="28"/>
          <w:szCs w:val="28"/>
          <w:lang w:val="uk-UA"/>
        </w:rPr>
        <w:t>Рівень біохімічних показників на 42 добу експерименту, M±m</w:t>
      </w:r>
    </w:p>
    <w:tbl>
      <w:tblPr>
        <w:tblW w:w="9923" w:type="dxa"/>
        <w:tblInd w:w="-176" w:type="dxa"/>
        <w:tblLayout w:type="fixed"/>
        <w:tblLook w:val="0000" w:firstRow="0" w:lastRow="0" w:firstColumn="0" w:lastColumn="0" w:noHBand="0" w:noVBand="0"/>
      </w:tblPr>
      <w:tblGrid>
        <w:gridCol w:w="1905"/>
        <w:gridCol w:w="1336"/>
        <w:gridCol w:w="1336"/>
        <w:gridCol w:w="1337"/>
        <w:gridCol w:w="1336"/>
        <w:gridCol w:w="1336"/>
        <w:gridCol w:w="1337"/>
      </w:tblGrid>
      <w:tr w:rsidR="00215BF6" w:rsidRPr="00BE086B" w:rsidTr="00F66F9B">
        <w:trPr>
          <w:trHeight w:val="300"/>
        </w:trPr>
        <w:tc>
          <w:tcPr>
            <w:tcW w:w="1905" w:type="dxa"/>
            <w:tcBorders>
              <w:top w:val="single" w:sz="4" w:space="0" w:color="000080"/>
              <w:left w:val="single" w:sz="4" w:space="0" w:color="000080"/>
              <w:bottom w:val="single" w:sz="4" w:space="0" w:color="000080"/>
            </w:tcBorders>
            <w:shd w:val="clear" w:color="auto" w:fill="auto"/>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Групи тварин</w:t>
            </w:r>
          </w:p>
          <w:p w:rsidR="00215BF6" w:rsidRPr="00BE086B" w:rsidRDefault="00215BF6" w:rsidP="00F66F9B">
            <w:pPr>
              <w:jc w:val="center"/>
              <w:rPr>
                <w:b/>
                <w:sz w:val="28"/>
                <w:szCs w:val="28"/>
                <w:lang w:val="uk-UA"/>
              </w:rPr>
            </w:pPr>
            <w:r w:rsidRPr="00BE086B">
              <w:rPr>
                <w:b/>
                <w:sz w:val="28"/>
                <w:szCs w:val="28"/>
                <w:lang w:val="uk-UA"/>
              </w:rPr>
              <w:t>(n=60)</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tcPr>
          <w:p w:rsidR="00D70DBD" w:rsidRPr="00BE086B" w:rsidRDefault="00215BF6" w:rsidP="00F66F9B">
            <w:pPr>
              <w:jc w:val="center"/>
              <w:rPr>
                <w:b/>
                <w:sz w:val="28"/>
                <w:szCs w:val="28"/>
                <w:lang w:val="uk-UA"/>
              </w:rPr>
            </w:pPr>
            <w:r w:rsidRPr="00BE086B">
              <w:rPr>
                <w:b/>
                <w:sz w:val="28"/>
                <w:szCs w:val="28"/>
                <w:lang w:val="uk-UA"/>
              </w:rPr>
              <w:t>Серому-коїди,</w:t>
            </w:r>
          </w:p>
          <w:p w:rsidR="00215BF6" w:rsidRPr="00BE086B" w:rsidRDefault="00215BF6" w:rsidP="00F66F9B">
            <w:pPr>
              <w:jc w:val="center"/>
              <w:rPr>
                <w:b/>
                <w:sz w:val="28"/>
                <w:szCs w:val="28"/>
                <w:lang w:val="uk-UA"/>
              </w:rPr>
            </w:pPr>
            <w:r w:rsidRPr="00BE086B">
              <w:rPr>
                <w:b/>
                <w:sz w:val="28"/>
                <w:szCs w:val="28"/>
                <w:lang w:val="uk-UA"/>
              </w:rPr>
              <w:t>Од</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Сіалові кислоти, ммоль/л</w:t>
            </w:r>
          </w:p>
        </w:tc>
        <w:tc>
          <w:tcPr>
            <w:tcW w:w="1337" w:type="dxa"/>
            <w:tcBorders>
              <w:top w:val="single" w:sz="4" w:space="0" w:color="000080"/>
              <w:left w:val="single" w:sz="4" w:space="0" w:color="000080"/>
              <w:bottom w:val="single" w:sz="4" w:space="0" w:color="000080"/>
            </w:tcBorders>
            <w:shd w:val="clear" w:color="auto" w:fill="FFFFFF"/>
            <w:tcMar>
              <w:left w:w="28" w:type="dxa"/>
              <w:right w:w="28" w:type="dxa"/>
            </w:tcMar>
          </w:tcPr>
          <w:p w:rsidR="008B19AA" w:rsidRPr="00BE086B" w:rsidRDefault="00215BF6" w:rsidP="00F66F9B">
            <w:pPr>
              <w:jc w:val="center"/>
              <w:rPr>
                <w:b/>
                <w:sz w:val="28"/>
                <w:szCs w:val="28"/>
                <w:lang w:val="uk-UA"/>
              </w:rPr>
            </w:pPr>
            <w:r w:rsidRPr="00BE086B">
              <w:rPr>
                <w:b/>
                <w:sz w:val="28"/>
                <w:szCs w:val="28"/>
                <w:lang w:val="uk-UA"/>
              </w:rPr>
              <w:t>ГАГ,</w:t>
            </w:r>
          </w:p>
          <w:p w:rsidR="00215BF6" w:rsidRPr="00BE086B" w:rsidRDefault="00215BF6" w:rsidP="00F66F9B">
            <w:pPr>
              <w:jc w:val="center"/>
              <w:rPr>
                <w:b/>
                <w:sz w:val="28"/>
                <w:szCs w:val="28"/>
                <w:lang w:val="uk-UA"/>
              </w:rPr>
            </w:pPr>
            <w:r w:rsidRPr="00BE086B">
              <w:rPr>
                <w:b/>
                <w:sz w:val="28"/>
                <w:szCs w:val="28"/>
                <w:lang w:val="uk-UA"/>
              </w:rPr>
              <w:t>мг/г</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Оксипро-лін, мкг/мл</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Кальцій, ммоль/л</w:t>
            </w:r>
          </w:p>
        </w:tc>
        <w:tc>
          <w:tcPr>
            <w:tcW w:w="1337" w:type="dxa"/>
            <w:tcBorders>
              <w:top w:val="single" w:sz="4" w:space="0" w:color="000080"/>
              <w:left w:val="single" w:sz="4" w:space="0" w:color="000080"/>
              <w:bottom w:val="single" w:sz="4" w:space="0" w:color="000080"/>
              <w:right w:val="single" w:sz="4" w:space="0" w:color="000080"/>
            </w:tcBorders>
            <w:shd w:val="clear" w:color="auto" w:fill="auto"/>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СТХ II, нг/мл</w:t>
            </w:r>
          </w:p>
        </w:tc>
      </w:tr>
      <w:tr w:rsidR="00215BF6" w:rsidRPr="00BE086B" w:rsidTr="00F66F9B">
        <w:trPr>
          <w:trHeight w:val="400"/>
        </w:trPr>
        <w:tc>
          <w:tcPr>
            <w:tcW w:w="1905" w:type="dxa"/>
            <w:tcBorders>
              <w:top w:val="single" w:sz="4" w:space="0" w:color="000080"/>
              <w:left w:val="single" w:sz="4" w:space="0" w:color="000080"/>
              <w:bottom w:val="single" w:sz="4" w:space="0" w:color="000080"/>
            </w:tcBorders>
            <w:shd w:val="clear" w:color="auto" w:fill="auto"/>
            <w:tcMar>
              <w:left w:w="28" w:type="dxa"/>
              <w:right w:w="28" w:type="dxa"/>
            </w:tcMar>
            <w:vAlign w:val="center"/>
          </w:tcPr>
          <w:p w:rsidR="00D70DBD" w:rsidRPr="00BE086B" w:rsidRDefault="00215BF6" w:rsidP="00F66F9B">
            <w:pPr>
              <w:jc w:val="center"/>
              <w:rPr>
                <w:sz w:val="28"/>
                <w:szCs w:val="28"/>
                <w:lang w:val="uk-UA"/>
              </w:rPr>
            </w:pPr>
            <w:r w:rsidRPr="00BE086B">
              <w:rPr>
                <w:sz w:val="28"/>
                <w:szCs w:val="28"/>
                <w:lang w:val="uk-UA"/>
              </w:rPr>
              <w:t>Інтактні щури (ІЩ)</w:t>
            </w:r>
          </w:p>
          <w:p w:rsidR="00215BF6" w:rsidRPr="00BE086B" w:rsidRDefault="00215BF6" w:rsidP="00F66F9B">
            <w:pPr>
              <w:jc w:val="center"/>
              <w:rPr>
                <w:sz w:val="28"/>
                <w:szCs w:val="28"/>
                <w:lang w:val="uk-UA"/>
              </w:rPr>
            </w:pPr>
            <w:r w:rsidRPr="00BE086B">
              <w:rPr>
                <w:sz w:val="28"/>
                <w:szCs w:val="28"/>
                <w:lang w:val="uk-UA"/>
              </w:rPr>
              <w:t>(n=20)</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0,12</w:t>
            </w:r>
          </w:p>
          <w:p w:rsidR="00215BF6" w:rsidRPr="00BE086B" w:rsidRDefault="00215BF6" w:rsidP="00F66F9B">
            <w:pPr>
              <w:jc w:val="center"/>
              <w:rPr>
                <w:sz w:val="28"/>
                <w:szCs w:val="28"/>
                <w:lang w:val="uk-UA"/>
              </w:rPr>
            </w:pPr>
            <w:r w:rsidRPr="00BE086B">
              <w:rPr>
                <w:sz w:val="28"/>
                <w:szCs w:val="28"/>
                <w:lang w:val="uk-UA"/>
              </w:rPr>
              <w:t>±0,01</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1,54</w:t>
            </w:r>
          </w:p>
          <w:p w:rsidR="00215BF6" w:rsidRPr="00BE086B" w:rsidRDefault="00215BF6" w:rsidP="00F66F9B">
            <w:pPr>
              <w:jc w:val="center"/>
              <w:rPr>
                <w:sz w:val="28"/>
                <w:szCs w:val="28"/>
                <w:lang w:val="uk-UA"/>
              </w:rPr>
            </w:pPr>
            <w:r w:rsidRPr="00BE086B">
              <w:rPr>
                <w:sz w:val="28"/>
                <w:szCs w:val="28"/>
                <w:lang w:val="uk-UA"/>
              </w:rPr>
              <w:t>±0,02</w:t>
            </w:r>
          </w:p>
        </w:tc>
        <w:tc>
          <w:tcPr>
            <w:tcW w:w="1337"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0,83</w:t>
            </w:r>
          </w:p>
          <w:p w:rsidR="00215BF6" w:rsidRPr="00BE086B" w:rsidRDefault="00215BF6" w:rsidP="00F66F9B">
            <w:pPr>
              <w:jc w:val="center"/>
              <w:rPr>
                <w:sz w:val="28"/>
                <w:szCs w:val="28"/>
                <w:lang w:val="uk-UA"/>
              </w:rPr>
            </w:pPr>
            <w:r w:rsidRPr="00BE086B">
              <w:rPr>
                <w:sz w:val="28"/>
                <w:szCs w:val="28"/>
                <w:lang w:val="uk-UA"/>
              </w:rPr>
              <w:t>±0,02</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1,01</w:t>
            </w:r>
          </w:p>
          <w:p w:rsidR="00215BF6" w:rsidRPr="00BE086B" w:rsidRDefault="00215BF6" w:rsidP="00F66F9B">
            <w:pPr>
              <w:jc w:val="center"/>
              <w:rPr>
                <w:sz w:val="28"/>
                <w:szCs w:val="28"/>
                <w:lang w:val="uk-UA"/>
              </w:rPr>
            </w:pPr>
            <w:r w:rsidRPr="00BE086B">
              <w:rPr>
                <w:sz w:val="28"/>
                <w:szCs w:val="28"/>
                <w:lang w:val="uk-UA"/>
              </w:rPr>
              <w:t>±0,04</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2,55</w:t>
            </w:r>
          </w:p>
          <w:p w:rsidR="00215BF6" w:rsidRPr="00BE086B" w:rsidRDefault="00215BF6" w:rsidP="00F66F9B">
            <w:pPr>
              <w:jc w:val="center"/>
              <w:rPr>
                <w:sz w:val="28"/>
                <w:szCs w:val="28"/>
                <w:lang w:val="uk-UA"/>
              </w:rPr>
            </w:pPr>
            <w:r w:rsidRPr="00BE086B">
              <w:rPr>
                <w:sz w:val="28"/>
                <w:szCs w:val="28"/>
                <w:lang w:val="uk-UA"/>
              </w:rPr>
              <w:t>±0,25</w:t>
            </w:r>
          </w:p>
        </w:tc>
        <w:tc>
          <w:tcPr>
            <w:tcW w:w="1337" w:type="dxa"/>
            <w:tcBorders>
              <w:top w:val="single" w:sz="4" w:space="0" w:color="000080"/>
              <w:left w:val="single" w:sz="4" w:space="0" w:color="000080"/>
              <w:bottom w:val="single" w:sz="4" w:space="0" w:color="000080"/>
              <w:right w:val="single" w:sz="4" w:space="0" w:color="000080"/>
            </w:tcBorders>
            <w:shd w:val="clear" w:color="auto" w:fill="auto"/>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w:t>
            </w:r>
          </w:p>
        </w:tc>
      </w:tr>
      <w:tr w:rsidR="00215BF6" w:rsidRPr="00BE086B" w:rsidTr="00F66F9B">
        <w:trPr>
          <w:trHeight w:val="400"/>
        </w:trPr>
        <w:tc>
          <w:tcPr>
            <w:tcW w:w="1905" w:type="dxa"/>
            <w:tcBorders>
              <w:top w:val="single" w:sz="4" w:space="0" w:color="000080"/>
              <w:left w:val="single" w:sz="4" w:space="0" w:color="000080"/>
              <w:bottom w:val="single" w:sz="4" w:space="0" w:color="000080"/>
            </w:tcBorders>
            <w:shd w:val="clear" w:color="auto" w:fill="auto"/>
            <w:tcMar>
              <w:left w:w="28" w:type="dxa"/>
              <w:right w:w="28" w:type="dxa"/>
            </w:tcMar>
            <w:vAlign w:val="center"/>
          </w:tcPr>
          <w:p w:rsidR="00D70DBD" w:rsidRPr="00BE086B" w:rsidRDefault="00215BF6" w:rsidP="008B19AA">
            <w:pPr>
              <w:jc w:val="center"/>
              <w:rPr>
                <w:sz w:val="28"/>
                <w:szCs w:val="28"/>
                <w:lang w:val="uk-UA"/>
              </w:rPr>
            </w:pPr>
            <w:r w:rsidRPr="00BE086B">
              <w:rPr>
                <w:sz w:val="28"/>
                <w:szCs w:val="28"/>
                <w:lang w:val="uk-UA"/>
              </w:rPr>
              <w:t>Остеоартроз + гіпотиреоз</w:t>
            </w:r>
          </w:p>
          <w:p w:rsidR="00215BF6" w:rsidRPr="00BE086B" w:rsidRDefault="00D70DBD" w:rsidP="008B19AA">
            <w:pPr>
              <w:jc w:val="center"/>
              <w:rPr>
                <w:sz w:val="28"/>
                <w:szCs w:val="28"/>
                <w:lang w:val="uk-UA"/>
              </w:rPr>
            </w:pPr>
            <w:r w:rsidRPr="00BE086B">
              <w:rPr>
                <w:sz w:val="28"/>
                <w:szCs w:val="28"/>
                <w:lang w:val="uk-UA"/>
              </w:rPr>
              <w:t>(ЕОА + ЕГ)</w:t>
            </w:r>
            <w:r w:rsidR="00215BF6" w:rsidRPr="00BE086B">
              <w:rPr>
                <w:sz w:val="28"/>
                <w:szCs w:val="28"/>
                <w:lang w:val="uk-UA"/>
              </w:rPr>
              <w:t xml:space="preserve"> (n=40)</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textAlignment w:val="top"/>
              <w:rPr>
                <w:sz w:val="28"/>
                <w:szCs w:val="28"/>
                <w:lang w:val="uk-UA"/>
              </w:rPr>
            </w:pPr>
            <w:r w:rsidRPr="00BE086B">
              <w:rPr>
                <w:sz w:val="28"/>
                <w:szCs w:val="28"/>
                <w:lang w:val="uk-UA"/>
              </w:rPr>
              <w:t>0,56 ##</w:t>
            </w:r>
          </w:p>
          <w:p w:rsidR="00215BF6" w:rsidRPr="00BE086B" w:rsidRDefault="00215BF6" w:rsidP="00F66F9B">
            <w:pPr>
              <w:jc w:val="center"/>
              <w:textAlignment w:val="top"/>
              <w:rPr>
                <w:sz w:val="28"/>
                <w:szCs w:val="28"/>
                <w:lang w:val="uk-UA"/>
              </w:rPr>
            </w:pPr>
            <w:r w:rsidRPr="00BE086B">
              <w:rPr>
                <w:sz w:val="28"/>
                <w:szCs w:val="28"/>
                <w:lang w:val="uk-UA"/>
              </w:rPr>
              <w:t>±0,02</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textAlignment w:val="top"/>
              <w:rPr>
                <w:sz w:val="28"/>
                <w:szCs w:val="28"/>
                <w:lang w:val="uk-UA"/>
              </w:rPr>
            </w:pPr>
            <w:r w:rsidRPr="00BE086B">
              <w:rPr>
                <w:sz w:val="28"/>
                <w:szCs w:val="28"/>
                <w:lang w:val="uk-UA"/>
              </w:rPr>
              <w:t>4,69 ##</w:t>
            </w:r>
          </w:p>
          <w:p w:rsidR="00215BF6" w:rsidRPr="00BE086B" w:rsidRDefault="00215BF6" w:rsidP="00F66F9B">
            <w:pPr>
              <w:jc w:val="center"/>
              <w:textAlignment w:val="top"/>
              <w:rPr>
                <w:sz w:val="28"/>
                <w:szCs w:val="28"/>
                <w:lang w:val="uk-UA"/>
              </w:rPr>
            </w:pPr>
            <w:r w:rsidRPr="00BE086B">
              <w:rPr>
                <w:sz w:val="28"/>
                <w:szCs w:val="28"/>
                <w:lang w:val="uk-UA"/>
              </w:rPr>
              <w:t>±0,25</w:t>
            </w:r>
          </w:p>
        </w:tc>
        <w:tc>
          <w:tcPr>
            <w:tcW w:w="1337"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textAlignment w:val="top"/>
              <w:rPr>
                <w:sz w:val="28"/>
                <w:szCs w:val="28"/>
                <w:lang w:val="uk-UA"/>
              </w:rPr>
            </w:pPr>
            <w:r w:rsidRPr="00BE086B">
              <w:rPr>
                <w:sz w:val="28"/>
                <w:szCs w:val="28"/>
                <w:lang w:val="uk-UA"/>
              </w:rPr>
              <w:t>1,13 #</w:t>
            </w:r>
          </w:p>
          <w:p w:rsidR="00215BF6" w:rsidRPr="00BE086B" w:rsidRDefault="00215BF6" w:rsidP="00F66F9B">
            <w:pPr>
              <w:jc w:val="center"/>
              <w:textAlignment w:val="top"/>
              <w:rPr>
                <w:sz w:val="28"/>
                <w:szCs w:val="28"/>
                <w:lang w:val="uk-UA"/>
              </w:rPr>
            </w:pPr>
            <w:r w:rsidRPr="00BE086B">
              <w:rPr>
                <w:sz w:val="28"/>
                <w:szCs w:val="28"/>
                <w:lang w:val="uk-UA"/>
              </w:rPr>
              <w:t>±0,09</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textAlignment w:val="top"/>
              <w:rPr>
                <w:sz w:val="28"/>
                <w:szCs w:val="28"/>
                <w:lang w:val="uk-UA"/>
              </w:rPr>
            </w:pPr>
            <w:r w:rsidRPr="00BE086B">
              <w:rPr>
                <w:sz w:val="28"/>
                <w:szCs w:val="28"/>
                <w:lang w:val="uk-UA"/>
              </w:rPr>
              <w:t>4,05 ##</w:t>
            </w:r>
          </w:p>
          <w:p w:rsidR="00215BF6" w:rsidRPr="00BE086B" w:rsidRDefault="00215BF6" w:rsidP="00F66F9B">
            <w:pPr>
              <w:jc w:val="center"/>
              <w:textAlignment w:val="top"/>
              <w:rPr>
                <w:sz w:val="28"/>
                <w:szCs w:val="28"/>
                <w:lang w:val="uk-UA"/>
              </w:rPr>
            </w:pPr>
            <w:r w:rsidRPr="00BE086B">
              <w:rPr>
                <w:sz w:val="28"/>
                <w:szCs w:val="28"/>
                <w:lang w:val="uk-UA"/>
              </w:rPr>
              <w:t>±0,04</w:t>
            </w:r>
          </w:p>
        </w:tc>
        <w:tc>
          <w:tcPr>
            <w:tcW w:w="1336"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3,28 #</w:t>
            </w:r>
          </w:p>
          <w:p w:rsidR="00215BF6" w:rsidRPr="00BE086B" w:rsidRDefault="00215BF6" w:rsidP="00F66F9B">
            <w:pPr>
              <w:jc w:val="center"/>
              <w:rPr>
                <w:sz w:val="28"/>
                <w:szCs w:val="28"/>
                <w:lang w:val="uk-UA"/>
              </w:rPr>
            </w:pPr>
            <w:r w:rsidRPr="00BE086B">
              <w:rPr>
                <w:sz w:val="28"/>
                <w:szCs w:val="28"/>
                <w:lang w:val="uk-UA"/>
              </w:rPr>
              <w:t>±0,18</w:t>
            </w:r>
          </w:p>
        </w:tc>
        <w:tc>
          <w:tcPr>
            <w:tcW w:w="1337" w:type="dxa"/>
            <w:tcBorders>
              <w:top w:val="single" w:sz="4" w:space="0" w:color="000080"/>
              <w:left w:val="single" w:sz="4" w:space="0" w:color="000080"/>
              <w:bottom w:val="single" w:sz="4" w:space="0" w:color="000080"/>
              <w:right w:val="single" w:sz="4" w:space="0" w:color="000080"/>
            </w:tcBorders>
            <w:shd w:val="clear" w:color="auto" w:fill="auto"/>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295,0 ##</w:t>
            </w:r>
          </w:p>
          <w:p w:rsidR="00215BF6" w:rsidRPr="00BE086B" w:rsidRDefault="00215BF6" w:rsidP="00F66F9B">
            <w:pPr>
              <w:jc w:val="center"/>
              <w:rPr>
                <w:sz w:val="28"/>
                <w:szCs w:val="28"/>
                <w:lang w:val="uk-UA"/>
              </w:rPr>
            </w:pPr>
            <w:r w:rsidRPr="00BE086B">
              <w:rPr>
                <w:sz w:val="28"/>
                <w:szCs w:val="28"/>
                <w:lang w:val="uk-UA"/>
              </w:rPr>
              <w:t>±1,26</w:t>
            </w:r>
          </w:p>
        </w:tc>
      </w:tr>
    </w:tbl>
    <w:p w:rsidR="00D70DBD" w:rsidRPr="00BE086B" w:rsidRDefault="00D70DBD" w:rsidP="00215BF6">
      <w:pPr>
        <w:keepNext/>
        <w:spacing w:line="360" w:lineRule="auto"/>
        <w:ind w:firstLine="709"/>
        <w:jc w:val="both"/>
        <w:rPr>
          <w:rFonts w:eastAsia="Microsoft YaHei"/>
          <w:b/>
          <w:iCs/>
          <w:sz w:val="28"/>
          <w:szCs w:val="28"/>
          <w:lang w:val="uk-UA" w:eastAsia="ru-RU"/>
        </w:rPr>
      </w:pPr>
    </w:p>
    <w:p w:rsidR="00215BF6" w:rsidRPr="00BE086B" w:rsidRDefault="008B19AA" w:rsidP="00215BF6">
      <w:pPr>
        <w:keepNext/>
        <w:spacing w:line="360" w:lineRule="auto"/>
        <w:ind w:firstLine="709"/>
        <w:jc w:val="both"/>
        <w:rPr>
          <w:sz w:val="28"/>
          <w:szCs w:val="28"/>
          <w:lang w:val="uk-UA"/>
        </w:rPr>
      </w:pPr>
      <w:r w:rsidRPr="00BE086B">
        <w:rPr>
          <w:rFonts w:eastAsia="Microsoft YaHei"/>
          <w:b/>
          <w:iCs/>
          <w:sz w:val="28"/>
          <w:szCs w:val="28"/>
          <w:lang w:val="uk-UA" w:eastAsia="ru-RU"/>
        </w:rPr>
        <w:t>Примітки:</w:t>
      </w:r>
      <w:r w:rsidR="00215BF6" w:rsidRPr="00BE086B">
        <w:rPr>
          <w:rFonts w:eastAsia="Microsoft YaHei"/>
          <w:iCs/>
          <w:sz w:val="28"/>
          <w:szCs w:val="28"/>
          <w:lang w:val="uk-UA" w:eastAsia="ru-RU"/>
        </w:rPr>
        <w:t xml:space="preserve"> # - р</w:t>
      </w:r>
      <w:r w:rsidR="00215BF6" w:rsidRPr="00BE086B">
        <w:rPr>
          <w:rFonts w:eastAsia="Microsoft YaHei"/>
          <w:iCs/>
          <w:sz w:val="28"/>
          <w:szCs w:val="28"/>
          <w:lang w:val="en-US" w:eastAsia="ru-RU"/>
        </w:rPr>
        <w:t> </w:t>
      </w:r>
      <w:r w:rsidR="00215BF6" w:rsidRPr="00BE086B">
        <w:rPr>
          <w:rFonts w:eastAsia="Microsoft YaHei"/>
          <w:iCs/>
          <w:sz w:val="28"/>
          <w:szCs w:val="28"/>
          <w:lang w:val="uk-UA" w:eastAsia="ru-RU"/>
        </w:rPr>
        <w:t>&lt;</w:t>
      </w:r>
      <w:r w:rsidR="00215BF6" w:rsidRPr="00BE086B">
        <w:rPr>
          <w:rFonts w:eastAsia="Microsoft YaHei"/>
          <w:iCs/>
          <w:sz w:val="28"/>
          <w:szCs w:val="28"/>
          <w:lang w:val="en-US" w:eastAsia="ru-RU"/>
        </w:rPr>
        <w:t> </w:t>
      </w:r>
      <w:r w:rsidR="00215BF6" w:rsidRPr="00BE086B">
        <w:rPr>
          <w:rFonts w:eastAsia="Microsoft YaHei"/>
          <w:iCs/>
          <w:sz w:val="28"/>
          <w:szCs w:val="28"/>
          <w:lang w:val="uk-UA" w:eastAsia="ru-RU"/>
        </w:rPr>
        <w:t>0,05</w:t>
      </w:r>
      <w:r w:rsidR="00215BF6" w:rsidRPr="00BE086B">
        <w:rPr>
          <w:rFonts w:eastAsia="Microsoft YaHei"/>
          <w:iCs/>
          <w:sz w:val="28"/>
          <w:szCs w:val="28"/>
          <w:lang w:eastAsia="ru-RU"/>
        </w:rPr>
        <w:t>; #</w:t>
      </w:r>
      <w:r w:rsidR="00215BF6" w:rsidRPr="00BE086B">
        <w:rPr>
          <w:rFonts w:eastAsia="Microsoft YaHei"/>
          <w:iCs/>
          <w:sz w:val="28"/>
          <w:szCs w:val="28"/>
          <w:lang w:val="uk-UA" w:eastAsia="ru-RU"/>
        </w:rPr>
        <w:t># - р</w:t>
      </w:r>
      <w:r w:rsidR="00215BF6" w:rsidRPr="00BE086B">
        <w:rPr>
          <w:rFonts w:eastAsia="Microsoft YaHei"/>
          <w:iCs/>
          <w:sz w:val="28"/>
          <w:szCs w:val="28"/>
          <w:lang w:val="en-US" w:eastAsia="ru-RU"/>
        </w:rPr>
        <w:t> </w:t>
      </w:r>
      <w:r w:rsidR="00215BF6" w:rsidRPr="00BE086B">
        <w:rPr>
          <w:rFonts w:eastAsia="Microsoft YaHei"/>
          <w:iCs/>
          <w:sz w:val="28"/>
          <w:szCs w:val="28"/>
          <w:lang w:val="uk-UA" w:eastAsia="ru-RU"/>
        </w:rPr>
        <w:t>&lt;</w:t>
      </w:r>
      <w:r w:rsidR="00215BF6" w:rsidRPr="00BE086B">
        <w:rPr>
          <w:rFonts w:eastAsia="Microsoft YaHei"/>
          <w:iCs/>
          <w:sz w:val="28"/>
          <w:szCs w:val="28"/>
          <w:lang w:val="en-US" w:eastAsia="ru-RU"/>
        </w:rPr>
        <w:t> </w:t>
      </w:r>
      <w:r w:rsidR="00215BF6" w:rsidRPr="00BE086B">
        <w:rPr>
          <w:rFonts w:eastAsia="Microsoft YaHei"/>
          <w:iCs/>
          <w:sz w:val="28"/>
          <w:szCs w:val="28"/>
          <w:lang w:val="uk-UA" w:eastAsia="ru-RU"/>
        </w:rPr>
        <w:t>0,0</w:t>
      </w:r>
      <w:r w:rsidR="00215BF6" w:rsidRPr="00BE086B">
        <w:rPr>
          <w:rFonts w:eastAsia="Microsoft YaHei"/>
          <w:iCs/>
          <w:sz w:val="28"/>
          <w:szCs w:val="28"/>
          <w:lang w:eastAsia="ru-RU"/>
        </w:rPr>
        <w:t>01</w:t>
      </w:r>
      <w:r w:rsidR="00215BF6" w:rsidRPr="00BE086B">
        <w:rPr>
          <w:rFonts w:eastAsia="Microsoft YaHei"/>
          <w:iCs/>
          <w:sz w:val="28"/>
          <w:szCs w:val="28"/>
          <w:lang w:val="uk-UA" w:eastAsia="ru-RU"/>
        </w:rPr>
        <w:t xml:space="preserve"> по відношенню до відповідного показника </w:t>
      </w:r>
      <w:r w:rsidR="00D70DBD" w:rsidRPr="00BE086B">
        <w:rPr>
          <w:rFonts w:eastAsia="Microsoft YaHei"/>
          <w:iCs/>
          <w:sz w:val="28"/>
          <w:szCs w:val="28"/>
          <w:lang w:val="uk-UA" w:eastAsia="ru-RU"/>
        </w:rPr>
        <w:t>ІЩ</w:t>
      </w:r>
      <w:r w:rsidR="00215BF6" w:rsidRPr="00BE086B">
        <w:rPr>
          <w:rFonts w:eastAsia="Microsoft YaHei"/>
          <w:iCs/>
          <w:sz w:val="28"/>
          <w:szCs w:val="28"/>
          <w:lang w:val="uk-UA" w:eastAsia="ru-RU"/>
        </w:rPr>
        <w:t>.</w:t>
      </w:r>
    </w:p>
    <w:p w:rsidR="00215BF6" w:rsidRPr="00BE086B" w:rsidRDefault="00215BF6" w:rsidP="00215BF6">
      <w:pPr>
        <w:spacing w:line="360" w:lineRule="auto"/>
        <w:ind w:firstLine="709"/>
        <w:jc w:val="both"/>
        <w:rPr>
          <w:sz w:val="28"/>
          <w:szCs w:val="28"/>
          <w:lang w:val="uk-UA"/>
        </w:rPr>
      </w:pPr>
    </w:p>
    <w:p w:rsidR="00215BF6" w:rsidRPr="00BE086B" w:rsidRDefault="00215BF6" w:rsidP="00215BF6">
      <w:pPr>
        <w:spacing w:line="360" w:lineRule="auto"/>
        <w:ind w:firstLine="709"/>
        <w:jc w:val="both"/>
        <w:rPr>
          <w:rFonts w:eastAsia="Microsoft YaHei"/>
          <w:iCs/>
          <w:sz w:val="28"/>
          <w:szCs w:val="28"/>
          <w:lang w:val="uk-UA" w:eastAsia="ru-RU"/>
        </w:rPr>
      </w:pPr>
      <w:r w:rsidRPr="00BE086B">
        <w:rPr>
          <w:sz w:val="28"/>
          <w:szCs w:val="28"/>
          <w:lang w:val="uk-UA"/>
        </w:rPr>
        <w:t xml:space="preserve">Як видно з табл. 7.4 та рис. 7.4, на 42 добу експерименту відносно групи ІЩ, експериментальний стан ЕОА + ЕГ призводить до достовірного підвищення рівня серомукоїдів у 4,67 рази </w:t>
      </w:r>
      <w:r w:rsidRPr="00BE086B">
        <w:rPr>
          <w:rFonts w:eastAsia="Microsoft YaHei"/>
          <w:iCs/>
          <w:sz w:val="28"/>
          <w:szCs w:val="28"/>
          <w:lang w:val="uk-UA" w:eastAsia="ru-RU"/>
        </w:rPr>
        <w:t xml:space="preserve">(р &lt; 0,001), сіалових кислот – у 3,05 рази (р &lt; 0,001), ГАГ – у 1,36 рази (р &lt; 0,05), оксипроліну – у 4,01 рази (р &lt; 0,001) та кальцію – у 1,29 рази (р &lt; 0,05). За рівнем маркеру С-телопептиду колагену </w:t>
      </w:r>
      <w:r w:rsidRPr="00BE086B">
        <w:rPr>
          <w:rFonts w:eastAsia="Microsoft YaHei"/>
          <w:iCs/>
          <w:sz w:val="28"/>
          <w:szCs w:val="28"/>
          <w:lang w:val="en-US" w:eastAsia="ru-RU"/>
        </w:rPr>
        <w:t>II</w:t>
      </w:r>
      <w:r w:rsidRPr="00BE086B">
        <w:rPr>
          <w:rFonts w:eastAsia="Microsoft YaHei"/>
          <w:iCs/>
          <w:sz w:val="28"/>
          <w:szCs w:val="28"/>
          <w:lang w:val="uk-UA" w:eastAsia="ru-RU"/>
        </w:rPr>
        <w:t xml:space="preserve"> типу (СТХ </w:t>
      </w:r>
      <w:r w:rsidRPr="00BE086B">
        <w:rPr>
          <w:rFonts w:eastAsia="Microsoft YaHei"/>
          <w:iCs/>
          <w:sz w:val="28"/>
          <w:szCs w:val="28"/>
          <w:lang w:val="en-US" w:eastAsia="ru-RU"/>
        </w:rPr>
        <w:t>II</w:t>
      </w:r>
      <w:r w:rsidRPr="00BE086B">
        <w:rPr>
          <w:rFonts w:eastAsia="Microsoft YaHei"/>
          <w:iCs/>
          <w:sz w:val="28"/>
          <w:szCs w:val="28"/>
          <w:lang w:val="uk-UA" w:eastAsia="ru-RU"/>
        </w:rPr>
        <w:t>) відзначається його визначення у сироватці крові щурів, що за відсутності патології не відбувається.</w:t>
      </w:r>
    </w:p>
    <w:p w:rsidR="00215BF6" w:rsidRPr="00BE086B" w:rsidRDefault="002A47A7" w:rsidP="00215BF6">
      <w:pPr>
        <w:spacing w:line="360" w:lineRule="auto"/>
        <w:jc w:val="center"/>
        <w:rPr>
          <w:sz w:val="28"/>
          <w:szCs w:val="28"/>
        </w:rPr>
      </w:pPr>
      <w:r>
        <w:rPr>
          <w:noProof/>
          <w:sz w:val="28"/>
          <w:szCs w:val="28"/>
          <w:lang w:eastAsia="ru-RU"/>
        </w:rPr>
        <w:lastRenderedPageBreak/>
        <w:drawing>
          <wp:inline distT="0" distB="0" distL="0" distR="0">
            <wp:extent cx="5947200" cy="26496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7.4.jpg"/>
                    <pic:cNvPicPr/>
                  </pic:nvPicPr>
                  <pic:blipFill>
                    <a:blip r:embed="rId49">
                      <a:extLst>
                        <a:ext uri="{28A0092B-C50C-407E-A947-70E740481C1C}">
                          <a14:useLocalDpi xmlns:a14="http://schemas.microsoft.com/office/drawing/2010/main" val="0"/>
                        </a:ext>
                      </a:extLst>
                    </a:blip>
                    <a:stretch>
                      <a:fillRect/>
                    </a:stretch>
                  </pic:blipFill>
                  <pic:spPr>
                    <a:xfrm>
                      <a:off x="0" y="0"/>
                      <a:ext cx="5947200" cy="2649600"/>
                    </a:xfrm>
                    <a:prstGeom prst="rect">
                      <a:avLst/>
                    </a:prstGeom>
                  </pic:spPr>
                </pic:pic>
              </a:graphicData>
            </a:graphic>
          </wp:inline>
        </w:drawing>
      </w:r>
    </w:p>
    <w:p w:rsidR="00215BF6" w:rsidRPr="00BE086B" w:rsidRDefault="00215BF6" w:rsidP="008B19AA">
      <w:pPr>
        <w:spacing w:line="360" w:lineRule="auto"/>
        <w:ind w:firstLine="709"/>
        <w:jc w:val="both"/>
        <w:rPr>
          <w:sz w:val="28"/>
          <w:szCs w:val="28"/>
          <w:lang w:val="uk-UA"/>
        </w:rPr>
      </w:pPr>
      <w:r w:rsidRPr="00BE086B">
        <w:rPr>
          <w:b/>
          <w:sz w:val="28"/>
          <w:szCs w:val="28"/>
          <w:lang w:val="uk-UA"/>
        </w:rPr>
        <w:t>Рис. 7.4.</w:t>
      </w:r>
      <w:r w:rsidRPr="00BE086B">
        <w:rPr>
          <w:sz w:val="28"/>
          <w:szCs w:val="28"/>
          <w:lang w:val="uk-UA"/>
        </w:rPr>
        <w:t xml:space="preserve"> Зміни біохімічних показників сироватки крові щурів на 42 добу за умов коморбідної патології (у % відносно </w:t>
      </w:r>
      <w:r w:rsidRPr="00BE086B">
        <w:rPr>
          <w:bCs/>
          <w:sz w:val="28"/>
          <w:szCs w:val="28"/>
          <w:lang w:val="uk-UA"/>
        </w:rPr>
        <w:t xml:space="preserve">групи </w:t>
      </w:r>
      <w:r w:rsidR="008B19AA" w:rsidRPr="00BE086B">
        <w:rPr>
          <w:bCs/>
          <w:sz w:val="28"/>
          <w:szCs w:val="28"/>
          <w:lang w:val="uk-UA"/>
        </w:rPr>
        <w:t>ІЩ</w:t>
      </w:r>
      <w:r w:rsidRPr="00BE086B">
        <w:rPr>
          <w:bCs/>
          <w:sz w:val="28"/>
          <w:szCs w:val="28"/>
          <w:lang w:val="uk-UA"/>
        </w:rPr>
        <w:t>)</w:t>
      </w:r>
      <w:r w:rsidR="008B19AA" w:rsidRPr="00BE086B">
        <w:rPr>
          <w:bCs/>
          <w:sz w:val="28"/>
          <w:szCs w:val="28"/>
          <w:lang w:val="uk-UA"/>
        </w:rPr>
        <w:t xml:space="preserve">. </w:t>
      </w:r>
      <w:r w:rsidR="008B19AA" w:rsidRPr="00BE086B">
        <w:rPr>
          <w:b/>
          <w:sz w:val="28"/>
          <w:szCs w:val="28"/>
          <w:lang w:val="uk-UA"/>
        </w:rPr>
        <w:t>Примітки:</w:t>
      </w:r>
      <w:r w:rsidRPr="00BE086B">
        <w:rPr>
          <w:b/>
          <w:sz w:val="28"/>
          <w:szCs w:val="28"/>
          <w:lang w:val="uk-UA"/>
        </w:rPr>
        <w:t xml:space="preserve">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5</w:t>
      </w:r>
      <w:r w:rsidR="008B19AA" w:rsidRPr="00BE086B">
        <w:rPr>
          <w:sz w:val="28"/>
          <w:szCs w:val="28"/>
          <w:lang w:val="uk-UA" w:eastAsia="ru-RU"/>
        </w:rPr>
        <w:t>;</w:t>
      </w:r>
      <w:r w:rsidRPr="00BE086B">
        <w:rPr>
          <w:sz w:val="28"/>
          <w:szCs w:val="28"/>
          <w:lang w:val="uk-UA" w:eastAsia="ru-RU"/>
        </w:rPr>
        <w:t xml:space="preserve"> </w:t>
      </w:r>
      <w:r w:rsidRPr="00BE086B">
        <w:rPr>
          <w:rFonts w:eastAsia="Microsoft YaHei"/>
          <w:iCs/>
          <w:sz w:val="28"/>
          <w:szCs w:val="28"/>
          <w:lang w:val="uk-UA" w:eastAsia="ru-RU"/>
        </w:rPr>
        <w:t>** - р</w:t>
      </w:r>
      <w:r w:rsidRPr="00BE086B">
        <w:rPr>
          <w:rFonts w:eastAsia="Microsoft YaHei"/>
          <w:iCs/>
          <w:sz w:val="28"/>
          <w:szCs w:val="28"/>
          <w:lang w:val="en-US" w:eastAsia="ru-RU"/>
        </w:rPr>
        <w:t> </w:t>
      </w:r>
      <w:r w:rsidRPr="00BE086B">
        <w:rPr>
          <w:rFonts w:eastAsia="Microsoft YaHei"/>
          <w:iCs/>
          <w:sz w:val="28"/>
          <w:szCs w:val="28"/>
          <w:lang w:val="uk-UA" w:eastAsia="ru-RU"/>
        </w:rPr>
        <w:t>&lt;</w:t>
      </w:r>
      <w:r w:rsidRPr="00BE086B">
        <w:rPr>
          <w:rFonts w:eastAsia="Microsoft YaHei"/>
          <w:iCs/>
          <w:sz w:val="28"/>
          <w:szCs w:val="28"/>
          <w:lang w:val="en-US" w:eastAsia="ru-RU"/>
        </w:rPr>
        <w:t> </w:t>
      </w:r>
      <w:r w:rsidRPr="00BE086B">
        <w:rPr>
          <w:rFonts w:eastAsia="Microsoft YaHei"/>
          <w:iCs/>
          <w:sz w:val="28"/>
          <w:szCs w:val="28"/>
          <w:lang w:val="uk-UA" w:eastAsia="ru-RU"/>
        </w:rPr>
        <w:t>0,0</w:t>
      </w:r>
      <w:r w:rsidRPr="00BE086B">
        <w:rPr>
          <w:rFonts w:eastAsia="Microsoft YaHei"/>
          <w:iCs/>
          <w:sz w:val="28"/>
          <w:szCs w:val="28"/>
          <w:lang w:eastAsia="ru-RU"/>
        </w:rPr>
        <w:t>01</w:t>
      </w:r>
      <w:r w:rsidRPr="00BE086B">
        <w:rPr>
          <w:sz w:val="28"/>
          <w:szCs w:val="28"/>
          <w:lang w:eastAsia="ru-RU"/>
        </w:rPr>
        <w:t xml:space="preserve"> по відношенню до </w:t>
      </w:r>
      <w:r w:rsidRPr="00BE086B">
        <w:rPr>
          <w:rFonts w:eastAsia="Microsoft YaHei"/>
          <w:iCs/>
          <w:sz w:val="28"/>
          <w:szCs w:val="28"/>
          <w:lang w:val="uk-UA" w:eastAsia="ru-RU"/>
        </w:rPr>
        <w:t xml:space="preserve">показника </w:t>
      </w:r>
      <w:r w:rsidR="008B19AA" w:rsidRPr="00BE086B">
        <w:rPr>
          <w:rFonts w:eastAsia="Microsoft YaHei"/>
          <w:iCs/>
          <w:sz w:val="28"/>
          <w:szCs w:val="28"/>
          <w:lang w:val="uk-UA" w:eastAsia="ru-RU"/>
        </w:rPr>
        <w:t>ІЩ</w:t>
      </w:r>
      <w:r w:rsidRPr="00BE086B">
        <w:rPr>
          <w:rFonts w:eastAsia="Microsoft YaHei"/>
          <w:iCs/>
          <w:sz w:val="28"/>
          <w:szCs w:val="28"/>
          <w:lang w:val="uk-UA" w:eastAsia="ru-RU"/>
        </w:rPr>
        <w:t>.</w:t>
      </w:r>
    </w:p>
    <w:p w:rsidR="00215BF6" w:rsidRPr="00BE086B" w:rsidRDefault="00215BF6" w:rsidP="008B19AA">
      <w:pPr>
        <w:spacing w:line="360" w:lineRule="auto"/>
        <w:ind w:firstLine="709"/>
        <w:jc w:val="both"/>
        <w:rPr>
          <w:sz w:val="28"/>
          <w:szCs w:val="28"/>
          <w:lang w:val="uk-UA"/>
        </w:rPr>
      </w:pPr>
    </w:p>
    <w:p w:rsidR="00215BF6" w:rsidRPr="00BE086B" w:rsidRDefault="00215BF6" w:rsidP="00215BF6">
      <w:pPr>
        <w:spacing w:line="360" w:lineRule="auto"/>
        <w:ind w:firstLine="709"/>
        <w:jc w:val="right"/>
        <w:rPr>
          <w:sz w:val="28"/>
          <w:szCs w:val="28"/>
          <w:lang w:val="uk-UA"/>
        </w:rPr>
      </w:pPr>
      <w:r w:rsidRPr="00BE086B">
        <w:rPr>
          <w:i/>
          <w:sz w:val="28"/>
          <w:szCs w:val="28"/>
          <w:lang w:val="uk-UA"/>
        </w:rPr>
        <w:t>Таблиця 7.5</w:t>
      </w:r>
    </w:p>
    <w:p w:rsidR="00215BF6" w:rsidRPr="00BE086B" w:rsidRDefault="00215BF6" w:rsidP="00215BF6">
      <w:pPr>
        <w:spacing w:line="360" w:lineRule="auto"/>
        <w:ind w:firstLine="709"/>
        <w:jc w:val="center"/>
        <w:rPr>
          <w:sz w:val="28"/>
          <w:szCs w:val="28"/>
          <w:lang w:val="uk-UA"/>
        </w:rPr>
      </w:pPr>
      <w:r w:rsidRPr="00BE086B">
        <w:rPr>
          <w:b/>
          <w:sz w:val="28"/>
          <w:szCs w:val="28"/>
          <w:lang w:val="uk-UA"/>
        </w:rPr>
        <w:t>Рівень біохімічних показників на 70 добу експерименту, M±m</w:t>
      </w:r>
    </w:p>
    <w:tbl>
      <w:tblPr>
        <w:tblW w:w="9923" w:type="dxa"/>
        <w:tblInd w:w="-176" w:type="dxa"/>
        <w:tblLayout w:type="fixed"/>
        <w:tblLook w:val="0000" w:firstRow="0" w:lastRow="0" w:firstColumn="0" w:lastColumn="0" w:noHBand="0" w:noVBand="0"/>
      </w:tblPr>
      <w:tblGrid>
        <w:gridCol w:w="1764"/>
        <w:gridCol w:w="1359"/>
        <w:gridCol w:w="1360"/>
        <w:gridCol w:w="1360"/>
        <w:gridCol w:w="1360"/>
        <w:gridCol w:w="1360"/>
        <w:gridCol w:w="1360"/>
      </w:tblGrid>
      <w:tr w:rsidR="00215BF6" w:rsidRPr="00BE086B" w:rsidTr="00F66F9B">
        <w:trPr>
          <w:trHeight w:val="300"/>
        </w:trPr>
        <w:tc>
          <w:tcPr>
            <w:tcW w:w="1764" w:type="dxa"/>
            <w:tcBorders>
              <w:top w:val="single" w:sz="4" w:space="0" w:color="000080"/>
              <w:left w:val="single" w:sz="4" w:space="0" w:color="000080"/>
              <w:bottom w:val="single" w:sz="4" w:space="0" w:color="000080"/>
            </w:tcBorders>
            <w:shd w:val="clear" w:color="auto" w:fill="auto"/>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Групи тварин</w:t>
            </w:r>
          </w:p>
          <w:p w:rsidR="00215BF6" w:rsidRPr="00BE086B" w:rsidRDefault="00215BF6" w:rsidP="00F66F9B">
            <w:pPr>
              <w:jc w:val="center"/>
              <w:rPr>
                <w:b/>
                <w:sz w:val="28"/>
                <w:szCs w:val="28"/>
                <w:lang w:val="uk-UA"/>
              </w:rPr>
            </w:pPr>
            <w:r w:rsidRPr="00BE086B">
              <w:rPr>
                <w:b/>
                <w:sz w:val="28"/>
                <w:szCs w:val="28"/>
                <w:lang w:val="uk-UA"/>
              </w:rPr>
              <w:t>(n=100)</w:t>
            </w:r>
          </w:p>
        </w:tc>
        <w:tc>
          <w:tcPr>
            <w:tcW w:w="1359" w:type="dxa"/>
            <w:tcBorders>
              <w:top w:val="single" w:sz="4" w:space="0" w:color="000080"/>
              <w:left w:val="single" w:sz="4" w:space="0" w:color="000080"/>
              <w:bottom w:val="single" w:sz="4" w:space="0" w:color="000080"/>
            </w:tcBorders>
            <w:shd w:val="clear" w:color="auto" w:fill="FFFFFF"/>
            <w:tcMar>
              <w:left w:w="28" w:type="dxa"/>
              <w:right w:w="28" w:type="dxa"/>
            </w:tcMar>
          </w:tcPr>
          <w:p w:rsidR="00D70DBD" w:rsidRPr="00BE086B" w:rsidRDefault="00215BF6" w:rsidP="00F66F9B">
            <w:pPr>
              <w:jc w:val="center"/>
              <w:rPr>
                <w:b/>
                <w:sz w:val="28"/>
                <w:szCs w:val="28"/>
                <w:lang w:val="uk-UA"/>
              </w:rPr>
            </w:pPr>
            <w:r w:rsidRPr="00BE086B">
              <w:rPr>
                <w:b/>
                <w:sz w:val="28"/>
                <w:szCs w:val="28"/>
                <w:lang w:val="uk-UA"/>
              </w:rPr>
              <w:t>Серому-коїди,</w:t>
            </w:r>
          </w:p>
          <w:p w:rsidR="00215BF6" w:rsidRPr="00BE086B" w:rsidRDefault="00215BF6" w:rsidP="00F66F9B">
            <w:pPr>
              <w:jc w:val="center"/>
              <w:rPr>
                <w:b/>
                <w:sz w:val="28"/>
                <w:szCs w:val="28"/>
                <w:lang w:val="uk-UA"/>
              </w:rPr>
            </w:pPr>
            <w:r w:rsidRPr="00BE086B">
              <w:rPr>
                <w:b/>
                <w:sz w:val="28"/>
                <w:szCs w:val="28"/>
                <w:lang w:val="uk-UA"/>
              </w:rPr>
              <w:t>Од</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Сіалові кислоти, ммоль/л</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tcPr>
          <w:p w:rsidR="00D70DBD" w:rsidRPr="00BE086B" w:rsidRDefault="00215BF6" w:rsidP="00F66F9B">
            <w:pPr>
              <w:jc w:val="center"/>
              <w:rPr>
                <w:b/>
                <w:sz w:val="28"/>
                <w:szCs w:val="28"/>
                <w:lang w:val="uk-UA"/>
              </w:rPr>
            </w:pPr>
            <w:r w:rsidRPr="00BE086B">
              <w:rPr>
                <w:b/>
                <w:sz w:val="28"/>
                <w:szCs w:val="28"/>
                <w:lang w:val="uk-UA"/>
              </w:rPr>
              <w:t>ГАГ,</w:t>
            </w:r>
          </w:p>
          <w:p w:rsidR="00215BF6" w:rsidRPr="00BE086B" w:rsidRDefault="00215BF6" w:rsidP="00F66F9B">
            <w:pPr>
              <w:jc w:val="center"/>
              <w:rPr>
                <w:b/>
                <w:sz w:val="28"/>
                <w:szCs w:val="28"/>
                <w:lang w:val="uk-UA"/>
              </w:rPr>
            </w:pPr>
            <w:r w:rsidRPr="00BE086B">
              <w:rPr>
                <w:b/>
                <w:sz w:val="28"/>
                <w:szCs w:val="28"/>
                <w:lang w:val="uk-UA"/>
              </w:rPr>
              <w:t>мг/г</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Оксипро-лін, мкг/мл</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Кальцій, ммоль/л</w:t>
            </w:r>
          </w:p>
        </w:tc>
        <w:tc>
          <w:tcPr>
            <w:tcW w:w="1360" w:type="dxa"/>
            <w:tcBorders>
              <w:top w:val="single" w:sz="4" w:space="0" w:color="000080"/>
              <w:left w:val="single" w:sz="4" w:space="0" w:color="000080"/>
              <w:bottom w:val="single" w:sz="4" w:space="0" w:color="000080"/>
              <w:right w:val="single" w:sz="4" w:space="0" w:color="000080"/>
            </w:tcBorders>
            <w:shd w:val="clear" w:color="auto" w:fill="FFFFFF"/>
            <w:tcMar>
              <w:left w:w="28" w:type="dxa"/>
              <w:right w:w="28" w:type="dxa"/>
            </w:tcMar>
          </w:tcPr>
          <w:p w:rsidR="00215BF6" w:rsidRPr="00BE086B" w:rsidRDefault="00215BF6" w:rsidP="00F66F9B">
            <w:pPr>
              <w:jc w:val="center"/>
              <w:rPr>
                <w:b/>
                <w:sz w:val="28"/>
                <w:szCs w:val="28"/>
                <w:lang w:val="uk-UA"/>
              </w:rPr>
            </w:pPr>
            <w:r w:rsidRPr="00BE086B">
              <w:rPr>
                <w:b/>
                <w:sz w:val="28"/>
                <w:szCs w:val="28"/>
                <w:lang w:val="uk-UA"/>
              </w:rPr>
              <w:t>СТХ II, нг/мл</w:t>
            </w:r>
          </w:p>
        </w:tc>
      </w:tr>
      <w:tr w:rsidR="00215BF6" w:rsidRPr="00BE086B" w:rsidTr="00F66F9B">
        <w:trPr>
          <w:trHeight w:val="400"/>
        </w:trPr>
        <w:tc>
          <w:tcPr>
            <w:tcW w:w="1764" w:type="dxa"/>
            <w:tcBorders>
              <w:top w:val="single" w:sz="4" w:space="0" w:color="000080"/>
              <w:left w:val="single" w:sz="4" w:space="0" w:color="000080"/>
              <w:bottom w:val="single" w:sz="4" w:space="0" w:color="000080"/>
            </w:tcBorders>
            <w:shd w:val="clear" w:color="auto" w:fill="auto"/>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Інтактні щури (ІЩ) (n=20)</w:t>
            </w:r>
          </w:p>
        </w:tc>
        <w:tc>
          <w:tcPr>
            <w:tcW w:w="1359"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0,14</w:t>
            </w:r>
          </w:p>
          <w:p w:rsidR="00215BF6" w:rsidRPr="00BE086B" w:rsidRDefault="00215BF6" w:rsidP="00F66F9B">
            <w:pPr>
              <w:jc w:val="center"/>
              <w:rPr>
                <w:sz w:val="28"/>
                <w:szCs w:val="28"/>
                <w:lang w:val="uk-UA"/>
              </w:rPr>
            </w:pPr>
            <w:r w:rsidRPr="00BE086B">
              <w:rPr>
                <w:sz w:val="28"/>
                <w:szCs w:val="28"/>
                <w:lang w:val="uk-UA"/>
              </w:rPr>
              <w:t>±0,02</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1,51</w:t>
            </w:r>
          </w:p>
          <w:p w:rsidR="00215BF6" w:rsidRPr="00BE086B" w:rsidRDefault="00215BF6" w:rsidP="00F66F9B">
            <w:pPr>
              <w:jc w:val="center"/>
              <w:rPr>
                <w:sz w:val="28"/>
                <w:szCs w:val="28"/>
                <w:lang w:val="uk-UA"/>
              </w:rPr>
            </w:pPr>
            <w:r w:rsidRPr="00BE086B">
              <w:rPr>
                <w:sz w:val="28"/>
                <w:szCs w:val="28"/>
                <w:lang w:val="uk-UA"/>
              </w:rPr>
              <w:t>±0,04</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0,82</w:t>
            </w:r>
          </w:p>
          <w:p w:rsidR="00215BF6" w:rsidRPr="00BE086B" w:rsidRDefault="00215BF6" w:rsidP="00F66F9B">
            <w:pPr>
              <w:jc w:val="center"/>
              <w:rPr>
                <w:sz w:val="28"/>
                <w:szCs w:val="28"/>
                <w:lang w:val="uk-UA"/>
              </w:rPr>
            </w:pPr>
            <w:r w:rsidRPr="00BE086B">
              <w:rPr>
                <w:sz w:val="28"/>
                <w:szCs w:val="28"/>
                <w:lang w:val="uk-UA"/>
              </w:rPr>
              <w:t>±0,03</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1,01</w:t>
            </w:r>
          </w:p>
          <w:p w:rsidR="00215BF6" w:rsidRPr="00BE086B" w:rsidRDefault="00215BF6" w:rsidP="00F66F9B">
            <w:pPr>
              <w:jc w:val="center"/>
              <w:rPr>
                <w:sz w:val="28"/>
                <w:szCs w:val="28"/>
                <w:lang w:val="uk-UA"/>
              </w:rPr>
            </w:pPr>
            <w:r w:rsidRPr="00BE086B">
              <w:rPr>
                <w:sz w:val="28"/>
                <w:szCs w:val="28"/>
                <w:lang w:val="uk-UA"/>
              </w:rPr>
              <w:t>±0,02</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2,45</w:t>
            </w:r>
          </w:p>
          <w:p w:rsidR="00215BF6" w:rsidRPr="00BE086B" w:rsidRDefault="00215BF6" w:rsidP="00F66F9B">
            <w:pPr>
              <w:jc w:val="center"/>
              <w:rPr>
                <w:sz w:val="28"/>
                <w:szCs w:val="28"/>
                <w:lang w:val="uk-UA"/>
              </w:rPr>
            </w:pPr>
            <w:r w:rsidRPr="00BE086B">
              <w:rPr>
                <w:sz w:val="28"/>
                <w:szCs w:val="28"/>
                <w:lang w:val="uk-UA"/>
              </w:rPr>
              <w:t>±0,23</w:t>
            </w:r>
          </w:p>
        </w:tc>
        <w:tc>
          <w:tcPr>
            <w:tcW w:w="1360" w:type="dxa"/>
            <w:tcBorders>
              <w:top w:val="single" w:sz="4" w:space="0" w:color="000080"/>
              <w:left w:val="single" w:sz="4" w:space="0" w:color="000080"/>
              <w:bottom w:val="single" w:sz="4" w:space="0" w:color="000080"/>
              <w:right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w:t>
            </w:r>
          </w:p>
        </w:tc>
      </w:tr>
      <w:tr w:rsidR="00215BF6" w:rsidRPr="00BE086B" w:rsidTr="00F66F9B">
        <w:trPr>
          <w:trHeight w:val="400"/>
        </w:trPr>
        <w:tc>
          <w:tcPr>
            <w:tcW w:w="1764" w:type="dxa"/>
            <w:tcBorders>
              <w:top w:val="single" w:sz="4" w:space="0" w:color="000080"/>
              <w:left w:val="single" w:sz="4" w:space="0" w:color="000080"/>
              <w:bottom w:val="single" w:sz="4" w:space="0" w:color="000080"/>
            </w:tcBorders>
            <w:shd w:val="clear" w:color="auto" w:fill="auto"/>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Остеоартроз + гіпотиреоз (ЕОА+ЕГ) (n=40)</w:t>
            </w:r>
          </w:p>
        </w:tc>
        <w:tc>
          <w:tcPr>
            <w:tcW w:w="1359"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textAlignment w:val="top"/>
              <w:rPr>
                <w:sz w:val="28"/>
                <w:szCs w:val="28"/>
                <w:lang w:val="uk-UA"/>
              </w:rPr>
            </w:pPr>
            <w:r w:rsidRPr="00BE086B">
              <w:rPr>
                <w:sz w:val="28"/>
                <w:szCs w:val="28"/>
                <w:lang w:val="uk-UA"/>
              </w:rPr>
              <w:t>0,65 #</w:t>
            </w:r>
          </w:p>
          <w:p w:rsidR="00215BF6" w:rsidRPr="00BE086B" w:rsidRDefault="00215BF6" w:rsidP="00F66F9B">
            <w:pPr>
              <w:jc w:val="center"/>
              <w:textAlignment w:val="top"/>
              <w:rPr>
                <w:sz w:val="28"/>
                <w:szCs w:val="28"/>
                <w:lang w:val="uk-UA"/>
              </w:rPr>
            </w:pPr>
            <w:r w:rsidRPr="00BE086B">
              <w:rPr>
                <w:sz w:val="28"/>
                <w:szCs w:val="28"/>
                <w:lang w:val="uk-UA"/>
              </w:rPr>
              <w:t>±0,04</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textAlignment w:val="top"/>
              <w:rPr>
                <w:sz w:val="28"/>
                <w:szCs w:val="28"/>
                <w:lang w:val="uk-UA"/>
              </w:rPr>
            </w:pPr>
            <w:r w:rsidRPr="00BE086B">
              <w:rPr>
                <w:sz w:val="28"/>
                <w:szCs w:val="28"/>
                <w:lang w:val="uk-UA"/>
              </w:rPr>
              <w:t>5,18 #</w:t>
            </w:r>
          </w:p>
          <w:p w:rsidR="00215BF6" w:rsidRPr="00BE086B" w:rsidRDefault="00215BF6" w:rsidP="00F66F9B">
            <w:pPr>
              <w:jc w:val="center"/>
              <w:textAlignment w:val="top"/>
              <w:rPr>
                <w:sz w:val="28"/>
                <w:szCs w:val="28"/>
                <w:lang w:val="uk-UA"/>
              </w:rPr>
            </w:pPr>
            <w:r w:rsidRPr="00BE086B">
              <w:rPr>
                <w:sz w:val="28"/>
                <w:szCs w:val="28"/>
                <w:lang w:val="uk-UA"/>
              </w:rPr>
              <w:t>±0,47</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textAlignment w:val="top"/>
              <w:rPr>
                <w:sz w:val="28"/>
                <w:szCs w:val="28"/>
                <w:lang w:val="uk-UA"/>
              </w:rPr>
            </w:pPr>
            <w:r w:rsidRPr="00BE086B">
              <w:rPr>
                <w:sz w:val="28"/>
                <w:szCs w:val="28"/>
                <w:lang w:val="uk-UA"/>
              </w:rPr>
              <w:t>1,32 #</w:t>
            </w:r>
          </w:p>
          <w:p w:rsidR="00215BF6" w:rsidRPr="00BE086B" w:rsidRDefault="00215BF6" w:rsidP="00F66F9B">
            <w:pPr>
              <w:jc w:val="center"/>
              <w:textAlignment w:val="top"/>
              <w:rPr>
                <w:sz w:val="28"/>
                <w:szCs w:val="28"/>
                <w:lang w:val="uk-UA"/>
              </w:rPr>
            </w:pPr>
            <w:r w:rsidRPr="00BE086B">
              <w:rPr>
                <w:sz w:val="28"/>
                <w:szCs w:val="28"/>
                <w:lang w:val="uk-UA"/>
              </w:rPr>
              <w:t>±0,08</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textAlignment w:val="top"/>
              <w:rPr>
                <w:sz w:val="28"/>
                <w:szCs w:val="28"/>
                <w:lang w:val="uk-UA"/>
              </w:rPr>
            </w:pPr>
            <w:r w:rsidRPr="00BE086B">
              <w:rPr>
                <w:sz w:val="28"/>
                <w:szCs w:val="28"/>
                <w:lang w:val="uk-UA"/>
              </w:rPr>
              <w:t>5,09 #</w:t>
            </w:r>
          </w:p>
          <w:p w:rsidR="00215BF6" w:rsidRPr="00BE086B" w:rsidRDefault="00215BF6" w:rsidP="00F66F9B">
            <w:pPr>
              <w:jc w:val="center"/>
              <w:textAlignment w:val="top"/>
              <w:rPr>
                <w:sz w:val="28"/>
                <w:szCs w:val="28"/>
                <w:lang w:val="uk-UA"/>
              </w:rPr>
            </w:pPr>
            <w:r w:rsidRPr="00BE086B">
              <w:rPr>
                <w:sz w:val="28"/>
                <w:szCs w:val="28"/>
                <w:lang w:val="uk-UA"/>
              </w:rPr>
              <w:t>±0,07</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15,4 #</w:t>
            </w:r>
          </w:p>
          <w:p w:rsidR="00215BF6" w:rsidRPr="00BE086B" w:rsidRDefault="00215BF6" w:rsidP="00F66F9B">
            <w:pPr>
              <w:jc w:val="center"/>
              <w:rPr>
                <w:sz w:val="28"/>
                <w:szCs w:val="28"/>
                <w:lang w:val="uk-UA"/>
              </w:rPr>
            </w:pPr>
            <w:r w:rsidRPr="00BE086B">
              <w:rPr>
                <w:sz w:val="28"/>
                <w:szCs w:val="28"/>
                <w:lang w:val="uk-UA"/>
              </w:rPr>
              <w:t>±1,14</w:t>
            </w:r>
          </w:p>
        </w:tc>
        <w:tc>
          <w:tcPr>
            <w:tcW w:w="1360" w:type="dxa"/>
            <w:tcBorders>
              <w:top w:val="single" w:sz="4" w:space="0" w:color="000080"/>
              <w:left w:val="single" w:sz="4" w:space="0" w:color="000080"/>
              <w:bottom w:val="single" w:sz="4" w:space="0" w:color="000080"/>
              <w:right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303,96</w:t>
            </w:r>
          </w:p>
          <w:p w:rsidR="00215BF6" w:rsidRPr="00BE086B" w:rsidRDefault="00215BF6" w:rsidP="00F66F9B">
            <w:pPr>
              <w:jc w:val="center"/>
              <w:rPr>
                <w:sz w:val="28"/>
                <w:szCs w:val="28"/>
                <w:lang w:val="uk-UA"/>
              </w:rPr>
            </w:pPr>
            <w:r w:rsidRPr="00BE086B">
              <w:rPr>
                <w:sz w:val="28"/>
                <w:szCs w:val="28"/>
                <w:lang w:val="uk-UA"/>
              </w:rPr>
              <w:t>±3,78</w:t>
            </w:r>
          </w:p>
        </w:tc>
      </w:tr>
      <w:tr w:rsidR="00215BF6" w:rsidRPr="00BE086B" w:rsidTr="00F66F9B">
        <w:trPr>
          <w:trHeight w:val="400"/>
        </w:trPr>
        <w:tc>
          <w:tcPr>
            <w:tcW w:w="1764" w:type="dxa"/>
            <w:tcBorders>
              <w:top w:val="single" w:sz="4" w:space="0" w:color="000080"/>
              <w:left w:val="single" w:sz="4" w:space="0" w:color="000080"/>
              <w:bottom w:val="single" w:sz="4" w:space="0" w:color="000080"/>
            </w:tcBorders>
            <w:shd w:val="clear" w:color="auto" w:fill="auto"/>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Хондроїтин сульфат</w:t>
            </w:r>
          </w:p>
          <w:p w:rsidR="00215BF6" w:rsidRPr="00BE086B" w:rsidRDefault="00215BF6" w:rsidP="00F66F9B">
            <w:pPr>
              <w:jc w:val="center"/>
              <w:rPr>
                <w:sz w:val="28"/>
                <w:szCs w:val="28"/>
                <w:lang w:val="uk-UA"/>
              </w:rPr>
            </w:pPr>
            <w:r w:rsidRPr="00BE086B">
              <w:rPr>
                <w:sz w:val="28"/>
                <w:szCs w:val="28"/>
                <w:lang w:val="uk-UA"/>
              </w:rPr>
              <w:t>35 мг/кг (n=40)</w:t>
            </w:r>
          </w:p>
        </w:tc>
        <w:tc>
          <w:tcPr>
            <w:tcW w:w="1359"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0,42 *#</w:t>
            </w:r>
          </w:p>
          <w:p w:rsidR="00215BF6" w:rsidRPr="00BE086B" w:rsidRDefault="00215BF6" w:rsidP="00F66F9B">
            <w:pPr>
              <w:jc w:val="center"/>
              <w:rPr>
                <w:sz w:val="28"/>
                <w:szCs w:val="28"/>
                <w:lang w:val="uk-UA"/>
              </w:rPr>
            </w:pPr>
            <w:r w:rsidRPr="00BE086B">
              <w:rPr>
                <w:sz w:val="28"/>
                <w:szCs w:val="28"/>
                <w:lang w:val="uk-UA"/>
              </w:rPr>
              <w:t>±0,02</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3,31*#</w:t>
            </w:r>
          </w:p>
          <w:p w:rsidR="00215BF6" w:rsidRPr="00BE086B" w:rsidRDefault="00215BF6" w:rsidP="00F66F9B">
            <w:pPr>
              <w:jc w:val="center"/>
              <w:rPr>
                <w:sz w:val="28"/>
                <w:szCs w:val="28"/>
                <w:lang w:val="uk-UA"/>
              </w:rPr>
            </w:pPr>
            <w:r w:rsidRPr="00BE086B">
              <w:rPr>
                <w:sz w:val="28"/>
                <w:szCs w:val="28"/>
                <w:lang w:val="uk-UA"/>
              </w:rPr>
              <w:t>±0,09</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0,92 *</w:t>
            </w:r>
          </w:p>
          <w:p w:rsidR="00215BF6" w:rsidRPr="00BE086B" w:rsidRDefault="00215BF6" w:rsidP="00F66F9B">
            <w:pPr>
              <w:jc w:val="center"/>
              <w:rPr>
                <w:sz w:val="28"/>
                <w:szCs w:val="28"/>
                <w:lang w:val="uk-UA"/>
              </w:rPr>
            </w:pPr>
            <w:r w:rsidRPr="00BE086B">
              <w:rPr>
                <w:sz w:val="28"/>
                <w:szCs w:val="28"/>
                <w:lang w:val="uk-UA"/>
              </w:rPr>
              <w:t>±0,06</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2,57 *#</w:t>
            </w:r>
          </w:p>
          <w:p w:rsidR="00215BF6" w:rsidRPr="00BE086B" w:rsidRDefault="00215BF6" w:rsidP="00F66F9B">
            <w:pPr>
              <w:jc w:val="center"/>
              <w:rPr>
                <w:sz w:val="28"/>
                <w:szCs w:val="28"/>
                <w:lang w:val="uk-UA"/>
              </w:rPr>
            </w:pPr>
            <w:r w:rsidRPr="00BE086B">
              <w:rPr>
                <w:sz w:val="28"/>
                <w:szCs w:val="28"/>
                <w:lang w:val="uk-UA"/>
              </w:rPr>
              <w:t>±0,04</w:t>
            </w:r>
          </w:p>
        </w:tc>
        <w:tc>
          <w:tcPr>
            <w:tcW w:w="1360" w:type="dxa"/>
            <w:tcBorders>
              <w:top w:val="single" w:sz="4" w:space="0" w:color="000080"/>
              <w:left w:val="single" w:sz="4" w:space="0" w:color="000080"/>
              <w:bottom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9,35 *#</w:t>
            </w:r>
          </w:p>
          <w:p w:rsidR="00215BF6" w:rsidRPr="00BE086B" w:rsidRDefault="00215BF6" w:rsidP="00F66F9B">
            <w:pPr>
              <w:jc w:val="center"/>
              <w:rPr>
                <w:sz w:val="28"/>
                <w:szCs w:val="28"/>
                <w:lang w:val="uk-UA"/>
              </w:rPr>
            </w:pPr>
            <w:r w:rsidRPr="00BE086B">
              <w:rPr>
                <w:sz w:val="28"/>
                <w:szCs w:val="28"/>
                <w:lang w:val="uk-UA"/>
              </w:rPr>
              <w:t>±0,28</w:t>
            </w:r>
          </w:p>
        </w:tc>
        <w:tc>
          <w:tcPr>
            <w:tcW w:w="1360" w:type="dxa"/>
            <w:tcBorders>
              <w:top w:val="single" w:sz="4" w:space="0" w:color="000080"/>
              <w:left w:val="single" w:sz="4" w:space="0" w:color="000080"/>
              <w:bottom w:val="single" w:sz="4" w:space="0" w:color="000080"/>
              <w:right w:val="single" w:sz="4" w:space="0" w:color="000080"/>
            </w:tcBorders>
            <w:shd w:val="clear" w:color="auto" w:fill="FFFFFF"/>
            <w:tcMar>
              <w:left w:w="28" w:type="dxa"/>
              <w:right w:w="28" w:type="dxa"/>
            </w:tcMar>
            <w:vAlign w:val="center"/>
          </w:tcPr>
          <w:p w:rsidR="00215BF6" w:rsidRPr="00BE086B" w:rsidRDefault="00215BF6" w:rsidP="00F66F9B">
            <w:pPr>
              <w:jc w:val="center"/>
              <w:rPr>
                <w:sz w:val="28"/>
                <w:szCs w:val="28"/>
                <w:lang w:val="uk-UA"/>
              </w:rPr>
            </w:pPr>
            <w:r w:rsidRPr="00BE086B">
              <w:rPr>
                <w:sz w:val="28"/>
                <w:szCs w:val="28"/>
                <w:lang w:val="uk-UA"/>
              </w:rPr>
              <w:t>225,86 *</w:t>
            </w:r>
          </w:p>
          <w:p w:rsidR="00215BF6" w:rsidRPr="00BE086B" w:rsidRDefault="00215BF6" w:rsidP="00F66F9B">
            <w:pPr>
              <w:jc w:val="center"/>
              <w:rPr>
                <w:sz w:val="28"/>
                <w:szCs w:val="28"/>
                <w:lang w:val="uk-UA"/>
              </w:rPr>
            </w:pPr>
            <w:r w:rsidRPr="00BE086B">
              <w:rPr>
                <w:sz w:val="28"/>
                <w:szCs w:val="28"/>
                <w:lang w:val="uk-UA"/>
              </w:rPr>
              <w:t>±1,55</w:t>
            </w:r>
          </w:p>
        </w:tc>
      </w:tr>
    </w:tbl>
    <w:p w:rsidR="00D70DBD" w:rsidRPr="00BE086B" w:rsidRDefault="00D70DBD" w:rsidP="00215BF6">
      <w:pPr>
        <w:keepNext/>
        <w:spacing w:line="360" w:lineRule="auto"/>
        <w:ind w:firstLine="709"/>
        <w:jc w:val="both"/>
        <w:rPr>
          <w:rFonts w:eastAsia="Microsoft YaHei"/>
          <w:b/>
          <w:bCs/>
          <w:iCs/>
          <w:sz w:val="28"/>
          <w:szCs w:val="28"/>
          <w:lang w:val="uk-UA" w:eastAsia="ru-RU"/>
        </w:rPr>
      </w:pPr>
    </w:p>
    <w:p w:rsidR="00215BF6" w:rsidRPr="00BE086B" w:rsidRDefault="00215BF6" w:rsidP="00215BF6">
      <w:pPr>
        <w:keepNext/>
        <w:spacing w:line="360" w:lineRule="auto"/>
        <w:ind w:firstLine="709"/>
        <w:jc w:val="both"/>
        <w:rPr>
          <w:sz w:val="28"/>
          <w:szCs w:val="28"/>
          <w:lang w:val="uk-UA"/>
        </w:rPr>
      </w:pPr>
      <w:r w:rsidRPr="00BE086B">
        <w:rPr>
          <w:rFonts w:eastAsia="Microsoft YaHei"/>
          <w:b/>
          <w:bCs/>
          <w:iCs/>
          <w:sz w:val="28"/>
          <w:szCs w:val="28"/>
          <w:lang w:val="uk-UA" w:eastAsia="ru-RU"/>
        </w:rPr>
        <w:t>Примітки:</w:t>
      </w:r>
      <w:r w:rsidRPr="00BE086B">
        <w:rPr>
          <w:rFonts w:eastAsia="Microsoft YaHei"/>
          <w:iCs/>
          <w:sz w:val="28"/>
          <w:szCs w:val="28"/>
          <w:lang w:val="uk-UA" w:eastAsia="ru-RU"/>
        </w:rPr>
        <w:t xml:space="preserve"> # - р</w:t>
      </w:r>
      <w:r w:rsidRPr="00BE086B">
        <w:rPr>
          <w:rFonts w:eastAsia="Microsoft YaHei"/>
          <w:iCs/>
          <w:sz w:val="28"/>
          <w:szCs w:val="28"/>
          <w:lang w:val="en-US" w:eastAsia="ru-RU"/>
        </w:rPr>
        <w:t> </w:t>
      </w:r>
      <w:r w:rsidRPr="00BE086B">
        <w:rPr>
          <w:rFonts w:eastAsia="Microsoft YaHei"/>
          <w:iCs/>
          <w:sz w:val="28"/>
          <w:szCs w:val="28"/>
          <w:lang w:val="uk-UA" w:eastAsia="ru-RU"/>
        </w:rPr>
        <w:t>&lt;</w:t>
      </w:r>
      <w:r w:rsidRPr="00BE086B">
        <w:rPr>
          <w:rFonts w:eastAsia="Microsoft YaHei"/>
          <w:iCs/>
          <w:sz w:val="28"/>
          <w:szCs w:val="28"/>
          <w:lang w:val="en-US" w:eastAsia="ru-RU"/>
        </w:rPr>
        <w:t> </w:t>
      </w:r>
      <w:r w:rsidRPr="00BE086B">
        <w:rPr>
          <w:rFonts w:eastAsia="Microsoft YaHei"/>
          <w:iCs/>
          <w:sz w:val="28"/>
          <w:szCs w:val="28"/>
          <w:lang w:val="uk-UA" w:eastAsia="ru-RU"/>
        </w:rPr>
        <w:t>0,001 по відношенню до відповідного показника інтактних щурів;</w:t>
      </w:r>
      <w:r w:rsidR="00D70DBD" w:rsidRPr="00BE086B">
        <w:rPr>
          <w:rFonts w:eastAsia="Microsoft YaHei"/>
          <w:iCs/>
          <w:sz w:val="28"/>
          <w:szCs w:val="28"/>
          <w:lang w:val="uk-UA" w:eastAsia="ru-RU"/>
        </w:rPr>
        <w:t xml:space="preserve">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01</w:t>
      </w:r>
      <w:r w:rsidRPr="00BE086B">
        <w:rPr>
          <w:sz w:val="28"/>
          <w:szCs w:val="28"/>
          <w:lang w:eastAsia="ru-RU"/>
        </w:rPr>
        <w:t xml:space="preserve"> </w:t>
      </w:r>
      <w:r w:rsidRPr="00BE086B">
        <w:rPr>
          <w:rFonts w:eastAsia="Microsoft YaHei"/>
          <w:iCs/>
          <w:sz w:val="28"/>
          <w:szCs w:val="28"/>
          <w:lang w:val="uk-UA" w:eastAsia="ru-RU"/>
        </w:rPr>
        <w:t>по відношенню до відповідного показника групи активного контролю (</w:t>
      </w:r>
      <w:r w:rsidRPr="00BE086B">
        <w:rPr>
          <w:rFonts w:eastAsia="Microsoft YaHei"/>
          <w:sz w:val="28"/>
          <w:szCs w:val="28"/>
          <w:lang w:val="uk-UA"/>
        </w:rPr>
        <w:t>ЕОА + ЕГ)</w:t>
      </w:r>
      <w:r w:rsidRPr="00BE086B">
        <w:rPr>
          <w:rFonts w:eastAsia="Microsoft YaHei"/>
          <w:iCs/>
          <w:sz w:val="28"/>
          <w:szCs w:val="28"/>
          <w:lang w:val="uk-UA" w:eastAsia="ru-RU"/>
        </w:rPr>
        <w:t>.</w:t>
      </w:r>
    </w:p>
    <w:p w:rsidR="00215BF6" w:rsidRPr="00BE086B" w:rsidRDefault="00215BF6" w:rsidP="00215BF6">
      <w:pPr>
        <w:spacing w:line="360" w:lineRule="auto"/>
        <w:ind w:firstLine="709"/>
        <w:jc w:val="both"/>
        <w:rPr>
          <w:sz w:val="28"/>
          <w:szCs w:val="28"/>
          <w:lang w:val="uk-UA"/>
        </w:rPr>
      </w:pPr>
    </w:p>
    <w:p w:rsidR="00215BF6" w:rsidRPr="00BE086B" w:rsidRDefault="00215BF6" w:rsidP="00215BF6">
      <w:pPr>
        <w:spacing w:line="360" w:lineRule="auto"/>
        <w:ind w:firstLine="709"/>
        <w:jc w:val="both"/>
        <w:rPr>
          <w:sz w:val="28"/>
          <w:szCs w:val="28"/>
          <w:lang w:val="uk-UA"/>
        </w:rPr>
      </w:pPr>
      <w:r w:rsidRPr="00BE086B">
        <w:rPr>
          <w:sz w:val="28"/>
          <w:szCs w:val="28"/>
          <w:lang w:val="uk-UA"/>
        </w:rPr>
        <w:lastRenderedPageBreak/>
        <w:t xml:space="preserve">Як видно з табл. 7.5 та рис. 7.5, на фоні 28-добового введення хондроїтину сульфату (70 доба експерименту) відносно </w:t>
      </w:r>
      <w:r w:rsidRPr="00BE086B">
        <w:rPr>
          <w:rFonts w:eastAsia="Microsoft YaHei"/>
          <w:iCs/>
          <w:sz w:val="28"/>
          <w:szCs w:val="28"/>
          <w:lang w:val="uk-UA" w:eastAsia="ru-RU"/>
        </w:rPr>
        <w:t>групи активного контролю (</w:t>
      </w:r>
      <w:r w:rsidRPr="00BE086B">
        <w:rPr>
          <w:rFonts w:eastAsia="Microsoft YaHei"/>
          <w:sz w:val="28"/>
          <w:szCs w:val="28"/>
          <w:lang w:val="uk-UA"/>
        </w:rPr>
        <w:t xml:space="preserve">ЕОА + ЕГ) </w:t>
      </w:r>
      <w:r w:rsidRPr="00BE086B">
        <w:rPr>
          <w:sz w:val="28"/>
          <w:szCs w:val="28"/>
          <w:lang w:val="uk-UA"/>
        </w:rPr>
        <w:t xml:space="preserve">відмічається достовірне зниження </w:t>
      </w:r>
      <w:r w:rsidRPr="00BE086B">
        <w:rPr>
          <w:rFonts w:eastAsia="Microsoft YaHei"/>
          <w:iCs/>
          <w:sz w:val="28"/>
          <w:szCs w:val="28"/>
          <w:lang w:val="uk-UA" w:eastAsia="ru-RU"/>
        </w:rPr>
        <w:t xml:space="preserve">(р &lt; 0,001) </w:t>
      </w:r>
      <w:r w:rsidRPr="00BE086B">
        <w:rPr>
          <w:sz w:val="28"/>
          <w:szCs w:val="28"/>
          <w:lang w:val="uk-UA"/>
        </w:rPr>
        <w:t>рівня серомукоїдів у 1,55 рази (на 35,4%)</w:t>
      </w:r>
      <w:r w:rsidRPr="00BE086B">
        <w:rPr>
          <w:rFonts w:eastAsia="Microsoft YaHei"/>
          <w:iCs/>
          <w:sz w:val="28"/>
          <w:szCs w:val="28"/>
          <w:lang w:val="uk-UA" w:eastAsia="ru-RU"/>
        </w:rPr>
        <w:t>, сіалових кислот – у 1,56 рази (на 36,1%), ГАГ – у 1,43 рази (на 30,3%), оксипроліну – у 1,98 рази (на 49,5%) та кальцію – у 1,65 рази (на 39,3%). Привертає</w:t>
      </w:r>
      <w:r w:rsidRPr="00BE086B">
        <w:rPr>
          <w:sz w:val="28"/>
          <w:szCs w:val="28"/>
          <w:lang w:val="uk-UA"/>
        </w:rPr>
        <w:t xml:space="preserve"> увагу зниження рівня маркеру СТХ II у 1,35 рази </w:t>
      </w:r>
      <w:r w:rsidRPr="00BE086B">
        <w:rPr>
          <w:rFonts w:eastAsia="Microsoft YaHei"/>
          <w:iCs/>
          <w:sz w:val="28"/>
          <w:szCs w:val="28"/>
          <w:lang w:val="uk-UA" w:eastAsia="ru-RU"/>
        </w:rPr>
        <w:t xml:space="preserve">(р &lt; 0,001) </w:t>
      </w:r>
      <w:r w:rsidRPr="00BE086B">
        <w:rPr>
          <w:sz w:val="28"/>
          <w:szCs w:val="28"/>
          <w:lang w:val="uk-UA"/>
        </w:rPr>
        <w:t xml:space="preserve">відносно </w:t>
      </w:r>
      <w:r w:rsidRPr="00BE086B">
        <w:rPr>
          <w:rFonts w:eastAsia="Microsoft YaHei"/>
          <w:iCs/>
          <w:sz w:val="28"/>
          <w:szCs w:val="28"/>
          <w:lang w:val="uk-UA" w:eastAsia="ru-RU"/>
        </w:rPr>
        <w:t>групи активного контролю (</w:t>
      </w:r>
      <w:r w:rsidRPr="00BE086B">
        <w:rPr>
          <w:rFonts w:eastAsia="Microsoft YaHei"/>
          <w:sz w:val="28"/>
          <w:szCs w:val="28"/>
          <w:lang w:val="uk-UA"/>
        </w:rPr>
        <w:t>ЕОА + ЕГ)</w:t>
      </w:r>
      <w:r w:rsidRPr="00BE086B">
        <w:rPr>
          <w:sz w:val="28"/>
          <w:szCs w:val="28"/>
          <w:lang w:val="uk-UA"/>
        </w:rPr>
        <w:t>, який відображає процес деструкції хрящової тканини, зокрема колагену II типу.</w:t>
      </w:r>
    </w:p>
    <w:p w:rsidR="00BF1B3F" w:rsidRDefault="002A47A7" w:rsidP="002A47A7">
      <w:pPr>
        <w:spacing w:line="360" w:lineRule="auto"/>
        <w:jc w:val="center"/>
        <w:rPr>
          <w:noProof/>
          <w:sz w:val="28"/>
          <w:szCs w:val="28"/>
          <w:lang w:eastAsia="ru-RU"/>
        </w:rPr>
      </w:pPr>
      <w:r>
        <w:rPr>
          <w:noProof/>
          <w:sz w:val="28"/>
          <w:szCs w:val="28"/>
          <w:lang w:eastAsia="ru-RU"/>
        </w:rPr>
        <w:drawing>
          <wp:inline distT="0" distB="0" distL="0" distR="0">
            <wp:extent cx="5943600" cy="24084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7.5.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2408400"/>
                    </a:xfrm>
                    <a:prstGeom prst="rect">
                      <a:avLst/>
                    </a:prstGeom>
                  </pic:spPr>
                </pic:pic>
              </a:graphicData>
            </a:graphic>
          </wp:inline>
        </w:drawing>
      </w:r>
    </w:p>
    <w:p w:rsidR="00215BF6" w:rsidRPr="00BE086B" w:rsidRDefault="00215BF6" w:rsidP="002A47A7">
      <w:pPr>
        <w:spacing w:line="360" w:lineRule="auto"/>
        <w:ind w:firstLine="709"/>
        <w:jc w:val="both"/>
        <w:rPr>
          <w:sz w:val="28"/>
          <w:szCs w:val="28"/>
          <w:lang w:val="uk-UA"/>
        </w:rPr>
      </w:pPr>
      <w:r w:rsidRPr="00BE086B">
        <w:rPr>
          <w:b/>
          <w:sz w:val="28"/>
          <w:szCs w:val="28"/>
          <w:lang w:val="uk-UA"/>
        </w:rPr>
        <w:t>Рис. 7.5.</w:t>
      </w:r>
      <w:r w:rsidRPr="00BE086B">
        <w:rPr>
          <w:sz w:val="28"/>
          <w:szCs w:val="28"/>
          <w:lang w:val="uk-UA"/>
        </w:rPr>
        <w:t xml:space="preserve"> Зміни біохімічних показників сироватки крові щурів на 70 добу при призначенні хондроїтину сульфату (у % відносно </w:t>
      </w:r>
      <w:r w:rsidRPr="00BE086B">
        <w:rPr>
          <w:bCs/>
          <w:sz w:val="28"/>
          <w:szCs w:val="28"/>
          <w:lang w:val="uk-UA"/>
        </w:rPr>
        <w:t>групи ЕОА + ЕГ)</w:t>
      </w:r>
    </w:p>
    <w:p w:rsidR="00215BF6" w:rsidRPr="00BE086B" w:rsidRDefault="00215BF6" w:rsidP="00D70DBD">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01</w:t>
      </w:r>
      <w:r w:rsidRPr="00BE086B">
        <w:rPr>
          <w:sz w:val="28"/>
          <w:szCs w:val="28"/>
          <w:lang w:eastAsia="ru-RU"/>
        </w:rPr>
        <w:t xml:space="preserve"> по відношенню до </w:t>
      </w:r>
      <w:r w:rsidRPr="00BE086B">
        <w:rPr>
          <w:rFonts w:eastAsia="Microsoft YaHei"/>
          <w:iCs/>
          <w:sz w:val="28"/>
          <w:szCs w:val="28"/>
          <w:lang w:val="uk-UA" w:eastAsia="ru-RU"/>
        </w:rPr>
        <w:t xml:space="preserve">показника </w:t>
      </w:r>
      <w:r w:rsidRPr="00BE086B">
        <w:rPr>
          <w:sz w:val="28"/>
          <w:szCs w:val="28"/>
          <w:lang w:val="uk-UA" w:eastAsia="ru-RU"/>
        </w:rPr>
        <w:t>групи активного контролю (ЕОА + ЕГ).</w:t>
      </w:r>
    </w:p>
    <w:p w:rsidR="00215BF6" w:rsidRPr="00BE086B" w:rsidRDefault="00215BF6" w:rsidP="00215BF6">
      <w:pPr>
        <w:spacing w:line="360" w:lineRule="auto"/>
        <w:ind w:firstLine="709"/>
        <w:jc w:val="both"/>
        <w:rPr>
          <w:sz w:val="28"/>
          <w:szCs w:val="28"/>
          <w:lang w:val="uk-UA"/>
        </w:rPr>
      </w:pPr>
    </w:p>
    <w:p w:rsidR="00215BF6" w:rsidRPr="00BE086B" w:rsidRDefault="00215BF6" w:rsidP="00215BF6">
      <w:pPr>
        <w:spacing w:line="360" w:lineRule="auto"/>
        <w:ind w:firstLine="709"/>
        <w:jc w:val="both"/>
        <w:rPr>
          <w:sz w:val="28"/>
          <w:szCs w:val="28"/>
          <w:lang w:val="uk-UA"/>
        </w:rPr>
      </w:pPr>
      <w:r w:rsidRPr="00BE086B">
        <w:rPr>
          <w:sz w:val="28"/>
          <w:szCs w:val="28"/>
          <w:lang w:val="uk-UA"/>
        </w:rPr>
        <w:t>З огляду на отримані результати можна стверджувати, що експериментальні моделі ОА та гіпотиреозу сприяють руйнуванню хрящової тканини колінного суглобу щурів, що призводить до збільшення розмірів суглобів завдяки запальному процесу та пригніченню спонтанної поведінкової активності внаслідок болю під час рухів у суглобі та загального впливу функціональної недостатності щитоподібної залози.</w:t>
      </w:r>
    </w:p>
    <w:p w:rsidR="00215BF6" w:rsidRPr="00BE086B" w:rsidRDefault="00215BF6" w:rsidP="00215BF6">
      <w:pPr>
        <w:spacing w:line="360" w:lineRule="auto"/>
        <w:ind w:firstLine="709"/>
        <w:jc w:val="both"/>
        <w:rPr>
          <w:sz w:val="28"/>
          <w:szCs w:val="28"/>
          <w:lang w:val="uk-UA"/>
        </w:rPr>
      </w:pPr>
      <w:r w:rsidRPr="00BE086B">
        <w:rPr>
          <w:sz w:val="28"/>
          <w:szCs w:val="28"/>
          <w:lang w:val="uk-UA"/>
        </w:rPr>
        <w:t xml:space="preserve">Також спостерігається відновлення рухової та дослідницької активності щурів на тлі призначення хондроїтину сульфату. Показники біохімічних </w:t>
      </w:r>
      <w:r w:rsidRPr="00BE086B">
        <w:rPr>
          <w:sz w:val="28"/>
          <w:szCs w:val="28"/>
          <w:lang w:val="uk-UA"/>
        </w:rPr>
        <w:lastRenderedPageBreak/>
        <w:t xml:space="preserve">параметрів відображають загальну реакцію на запалення та дегенеративно-дистрофічний процес, що проявляється їх підвищенням та по мірі усунення патологічних явищ під впливом призначення хондроїтину сульфату спостерігається їх поступове відновлення до фізіологічних величин. </w:t>
      </w:r>
    </w:p>
    <w:p w:rsidR="00215BF6" w:rsidRPr="00BE086B" w:rsidRDefault="00215BF6" w:rsidP="00215BF6">
      <w:pPr>
        <w:spacing w:line="360" w:lineRule="auto"/>
        <w:ind w:firstLine="709"/>
        <w:jc w:val="both"/>
        <w:rPr>
          <w:sz w:val="28"/>
          <w:szCs w:val="28"/>
          <w:lang w:val="uk-UA"/>
        </w:rPr>
      </w:pPr>
      <w:r w:rsidRPr="00BE086B">
        <w:rPr>
          <w:sz w:val="28"/>
          <w:szCs w:val="28"/>
          <w:lang w:val="uk-UA"/>
        </w:rPr>
        <w:t>Таким чином, експериментальний остеоартроз та гіпотиреоз призводять до збільшення морфометричних розмірів уражених суглобів, пригнічення показників рухової, дослідницької та вегетативної активності щурів та змін біохімічних показників сироватки крові на фоні запалення та дегенеративно-дистрофічного процесу</w:t>
      </w:r>
      <w:r w:rsidR="00FE5E6D" w:rsidRPr="00BE086B">
        <w:rPr>
          <w:sz w:val="28"/>
          <w:szCs w:val="28"/>
          <w:lang w:val="uk-UA"/>
        </w:rPr>
        <w:t xml:space="preserve"> </w:t>
      </w:r>
      <w:r w:rsidR="00FE5E6D" w:rsidRPr="00BE086B">
        <w:rPr>
          <w:bCs/>
          <w:sz w:val="28"/>
          <w:szCs w:val="28"/>
          <w:lang w:val="uk-UA"/>
        </w:rPr>
        <w:t>[360, 412, 413]</w:t>
      </w:r>
      <w:r w:rsidRPr="00BE086B">
        <w:rPr>
          <w:sz w:val="28"/>
          <w:szCs w:val="28"/>
          <w:lang w:val="uk-UA"/>
        </w:rPr>
        <w:t>.</w:t>
      </w:r>
    </w:p>
    <w:p w:rsidR="00215BF6" w:rsidRPr="00BE086B" w:rsidRDefault="00215BF6" w:rsidP="00215BF6">
      <w:pPr>
        <w:spacing w:line="360" w:lineRule="auto"/>
        <w:ind w:firstLine="709"/>
        <w:jc w:val="both"/>
        <w:rPr>
          <w:sz w:val="28"/>
          <w:szCs w:val="28"/>
          <w:lang w:val="uk-UA"/>
        </w:rPr>
      </w:pPr>
      <w:r w:rsidRPr="00BE086B">
        <w:rPr>
          <w:sz w:val="28"/>
          <w:szCs w:val="28"/>
          <w:lang w:val="uk-UA"/>
        </w:rPr>
        <w:t>Призначення хондроїтину сульфату сприяє позитивному впливу на перебіг патологічних змін внаслідок коморбідного стану, що характеризується відновленням морфометричних розмірів уражених суглобів, показників рухової, дослідницької та вегетативної активності щурів та біохімічних показників</w:t>
      </w:r>
      <w:r w:rsidR="00FE5E6D" w:rsidRPr="00BE086B">
        <w:rPr>
          <w:sz w:val="28"/>
          <w:szCs w:val="28"/>
          <w:lang w:val="uk-UA"/>
        </w:rPr>
        <w:t xml:space="preserve"> </w:t>
      </w:r>
      <w:r w:rsidR="00FE5E6D" w:rsidRPr="00BE086B">
        <w:rPr>
          <w:bCs/>
          <w:sz w:val="28"/>
          <w:szCs w:val="28"/>
          <w:lang w:val="uk-UA"/>
        </w:rPr>
        <w:t>[356, 360]</w:t>
      </w:r>
      <w:r w:rsidRPr="00BE086B">
        <w:rPr>
          <w:sz w:val="28"/>
          <w:szCs w:val="28"/>
          <w:lang w:val="uk-UA"/>
        </w:rPr>
        <w:t>.</w:t>
      </w:r>
    </w:p>
    <w:p w:rsidR="00215BF6" w:rsidRPr="00BE086B" w:rsidRDefault="00215BF6" w:rsidP="00215BF6">
      <w:pPr>
        <w:spacing w:line="360" w:lineRule="auto"/>
        <w:ind w:firstLine="709"/>
        <w:jc w:val="both"/>
        <w:rPr>
          <w:sz w:val="28"/>
          <w:szCs w:val="28"/>
          <w:lang w:val="uk-UA"/>
        </w:rPr>
      </w:pPr>
      <w:r w:rsidRPr="00BE086B">
        <w:rPr>
          <w:sz w:val="28"/>
          <w:szCs w:val="28"/>
          <w:lang w:val="uk-UA"/>
        </w:rPr>
        <w:t>Отримані результати обґрунтовують доцільність призначення хондроїтину сульфату при остеоартрозі на фоні гіпотиреозу та відображають роль препарату у лікуванні патологічних станів, що було підтверджено в наших наступних дослідженнях.</w:t>
      </w:r>
    </w:p>
    <w:p w:rsidR="00215BF6" w:rsidRPr="00BE086B" w:rsidRDefault="00215BF6" w:rsidP="00215BF6">
      <w:pPr>
        <w:spacing w:line="360" w:lineRule="auto"/>
        <w:ind w:firstLine="709"/>
        <w:jc w:val="center"/>
        <w:rPr>
          <w:sz w:val="28"/>
          <w:szCs w:val="28"/>
          <w:lang w:val="uk-UA"/>
        </w:rPr>
      </w:pPr>
    </w:p>
    <w:p w:rsidR="00215BF6" w:rsidRPr="00BE086B" w:rsidRDefault="00215BF6" w:rsidP="00215BF6">
      <w:pPr>
        <w:spacing w:line="360" w:lineRule="auto"/>
        <w:ind w:firstLine="709"/>
        <w:jc w:val="both"/>
        <w:rPr>
          <w:b/>
          <w:sz w:val="28"/>
          <w:szCs w:val="28"/>
          <w:lang w:val="uk-UA"/>
        </w:rPr>
      </w:pPr>
      <w:r w:rsidRPr="00BE086B">
        <w:rPr>
          <w:b/>
          <w:sz w:val="28"/>
          <w:szCs w:val="28"/>
          <w:lang w:val="uk-UA"/>
        </w:rPr>
        <w:t>7.2 Вплив комбінації L–тироксину, диклофенаку натрію та х</w:t>
      </w:r>
      <w:r w:rsidRPr="00BE086B">
        <w:rPr>
          <w:b/>
          <w:bCs/>
          <w:sz w:val="28"/>
          <w:szCs w:val="28"/>
          <w:lang w:val="uk-UA"/>
        </w:rPr>
        <w:t xml:space="preserve">ондроїтину сульфату </w:t>
      </w:r>
      <w:r w:rsidRPr="00BE086B">
        <w:rPr>
          <w:b/>
          <w:sz w:val="28"/>
          <w:szCs w:val="28"/>
          <w:lang w:val="uk-UA"/>
        </w:rPr>
        <w:t>на біль за умов експериментальної коморбідної патології</w:t>
      </w:r>
    </w:p>
    <w:p w:rsidR="00215BF6" w:rsidRPr="00BE086B" w:rsidRDefault="00215BF6" w:rsidP="00215BF6">
      <w:pPr>
        <w:spacing w:line="360" w:lineRule="auto"/>
        <w:ind w:firstLine="709"/>
        <w:jc w:val="both"/>
        <w:rPr>
          <w:sz w:val="28"/>
          <w:szCs w:val="28"/>
          <w:lang w:val="uk-UA" w:eastAsia="ru-RU"/>
        </w:rPr>
      </w:pPr>
    </w:p>
    <w:p w:rsidR="00215BF6" w:rsidRPr="00BE086B" w:rsidRDefault="00215BF6" w:rsidP="00215BF6">
      <w:pPr>
        <w:spacing w:line="360" w:lineRule="auto"/>
        <w:ind w:firstLine="709"/>
        <w:jc w:val="both"/>
        <w:rPr>
          <w:sz w:val="28"/>
          <w:szCs w:val="28"/>
          <w:lang w:val="uk-UA"/>
        </w:rPr>
      </w:pPr>
      <w:r w:rsidRPr="00BE086B">
        <w:rPr>
          <w:sz w:val="28"/>
          <w:szCs w:val="28"/>
          <w:lang w:val="uk-UA" w:eastAsia="ru-RU"/>
        </w:rPr>
        <w:t>В підрозділі описані результати вивчення зміни порогу больової чутливості у експериментальних тварин при коморбідній патології (остеоартрозу та гіпотиреозу) на фоні 5-добової замісної гормональної терапії.</w:t>
      </w:r>
    </w:p>
    <w:p w:rsidR="00215BF6" w:rsidRPr="00BE086B" w:rsidRDefault="00215BF6" w:rsidP="00215BF6">
      <w:pPr>
        <w:spacing w:line="360" w:lineRule="auto"/>
        <w:ind w:firstLine="709"/>
        <w:jc w:val="both"/>
        <w:rPr>
          <w:sz w:val="28"/>
          <w:szCs w:val="28"/>
          <w:lang w:val="uk-UA"/>
        </w:rPr>
      </w:pPr>
      <w:r w:rsidRPr="00BE086B">
        <w:rPr>
          <w:rStyle w:val="Default20Paragraph20Font"/>
          <w:sz w:val="28"/>
          <w:szCs w:val="28"/>
          <w:lang w:val="uk-UA"/>
        </w:rPr>
        <w:t xml:space="preserve">Больовий поріг визначали у щурів за реакцією вокалізації при електрошкірному подразненні кореня хвоста, </w:t>
      </w:r>
      <w:r w:rsidRPr="00BE086B">
        <w:rPr>
          <w:bCs/>
          <w:sz w:val="28"/>
          <w:szCs w:val="28"/>
          <w:lang w:val="uk-UA"/>
        </w:rPr>
        <w:t>моделі термічного подразнення кореня хвоста та</w:t>
      </w:r>
      <w:r w:rsidRPr="00BE086B">
        <w:rPr>
          <w:bCs/>
          <w:sz w:val="28"/>
          <w:szCs w:val="28"/>
          <w:lang w:val="uk-UA" w:eastAsia="ru-RU"/>
        </w:rPr>
        <w:t xml:space="preserve"> моделі «оцтовокислих корчів» при одноразовому введенні препаратів</w:t>
      </w:r>
      <w:r w:rsidR="00FE5E6D" w:rsidRPr="00BE086B">
        <w:rPr>
          <w:bCs/>
          <w:sz w:val="28"/>
          <w:szCs w:val="28"/>
          <w:lang w:eastAsia="ru-RU"/>
        </w:rPr>
        <w:t xml:space="preserve"> </w:t>
      </w:r>
      <w:r w:rsidR="00FE5E6D" w:rsidRPr="00BE086B">
        <w:rPr>
          <w:bCs/>
          <w:sz w:val="28"/>
          <w:szCs w:val="28"/>
          <w:lang w:val="uk-UA"/>
        </w:rPr>
        <w:t>[360]</w:t>
      </w:r>
      <w:r w:rsidRPr="00BE086B">
        <w:rPr>
          <w:bCs/>
          <w:sz w:val="28"/>
          <w:szCs w:val="28"/>
          <w:lang w:val="uk-UA" w:eastAsia="ru-RU"/>
        </w:rPr>
        <w:t>.</w:t>
      </w:r>
    </w:p>
    <w:p w:rsidR="00215BF6" w:rsidRPr="00BE086B" w:rsidRDefault="00215BF6" w:rsidP="00215BF6">
      <w:pPr>
        <w:spacing w:line="360" w:lineRule="auto"/>
        <w:ind w:firstLine="709"/>
        <w:jc w:val="both"/>
        <w:rPr>
          <w:sz w:val="28"/>
          <w:szCs w:val="28"/>
          <w:lang w:val="uk-UA"/>
        </w:rPr>
      </w:pPr>
    </w:p>
    <w:p w:rsidR="00215BF6" w:rsidRPr="00BE086B" w:rsidRDefault="00215BF6" w:rsidP="00215BF6">
      <w:pPr>
        <w:pStyle w:val="12"/>
        <w:spacing w:before="0" w:after="0" w:line="360" w:lineRule="auto"/>
        <w:ind w:firstLine="709"/>
        <w:jc w:val="both"/>
        <w:rPr>
          <w:rFonts w:cs="Times New Roman"/>
          <w:sz w:val="28"/>
          <w:szCs w:val="28"/>
          <w:lang w:val="uk-UA"/>
        </w:rPr>
      </w:pPr>
      <w:r w:rsidRPr="00BE086B">
        <w:rPr>
          <w:rStyle w:val="Default20Paragraph20Font"/>
          <w:rFonts w:cs="Times New Roman"/>
          <w:b/>
          <w:bCs/>
          <w:i w:val="0"/>
          <w:iCs w:val="0"/>
          <w:sz w:val="28"/>
          <w:szCs w:val="28"/>
          <w:lang w:val="uk-UA"/>
        </w:rPr>
        <w:t>7.2.1. Дослідження больової чутливості на моделі електрошкірного подразнення хвоста щура</w:t>
      </w:r>
    </w:p>
    <w:p w:rsidR="00215BF6" w:rsidRPr="00BE086B" w:rsidRDefault="00215BF6" w:rsidP="00215BF6">
      <w:pPr>
        <w:spacing w:line="360" w:lineRule="auto"/>
        <w:ind w:firstLine="709"/>
        <w:jc w:val="both"/>
        <w:rPr>
          <w:sz w:val="28"/>
          <w:szCs w:val="28"/>
          <w:lang w:val="uk-UA"/>
        </w:rPr>
      </w:pPr>
    </w:p>
    <w:p w:rsidR="00215BF6" w:rsidRPr="00BE086B" w:rsidRDefault="00215BF6" w:rsidP="00215BF6">
      <w:pPr>
        <w:spacing w:line="360" w:lineRule="auto"/>
        <w:ind w:firstLine="709"/>
        <w:jc w:val="both"/>
        <w:rPr>
          <w:sz w:val="28"/>
          <w:szCs w:val="28"/>
          <w:lang w:val="uk-UA"/>
        </w:rPr>
      </w:pPr>
      <w:r w:rsidRPr="00BE086B">
        <w:rPr>
          <w:sz w:val="28"/>
          <w:szCs w:val="28"/>
          <w:lang w:val="uk-UA" w:eastAsia="ru-RU"/>
        </w:rPr>
        <w:t>Наші дослідження показали, що через півгодини (30 хв) після введення ЛЗ тваринам, диклофенак натрію підвищував поріг болю у тварин з модельованим станом ЕОА + ЕГ у 1,67 рази (р &lt; 0,05), на 60 хвилині – у 1,31 рази (р &lt; 0,05), на 90 хвилині – у 1,5 рази; больовий поріг в подальшому знижувався (табл. 7.6).</w:t>
      </w:r>
    </w:p>
    <w:p w:rsidR="00215BF6" w:rsidRPr="00BE086B" w:rsidRDefault="00215BF6" w:rsidP="00215BF6">
      <w:pPr>
        <w:spacing w:line="360" w:lineRule="auto"/>
        <w:ind w:firstLine="709"/>
        <w:jc w:val="both"/>
        <w:rPr>
          <w:sz w:val="28"/>
          <w:szCs w:val="28"/>
          <w:lang w:val="uk-UA" w:eastAsia="ru-RU"/>
        </w:rPr>
      </w:pPr>
      <w:r w:rsidRPr="00BE086B">
        <w:rPr>
          <w:sz w:val="28"/>
          <w:szCs w:val="28"/>
          <w:lang w:val="uk-UA" w:eastAsia="ru-RU"/>
        </w:rPr>
        <w:t>Як видно з табл. 7.6, у хондроїтину сульфату також виявився знеболюючий ефект, що проявилося у підвищенні порогу болю у щурів на 60 хвилині експерименту у 1,25 рази, на 90 хвилині – у 1,17 рази (р &lt; 0,05).</w:t>
      </w:r>
    </w:p>
    <w:p w:rsidR="00BF1B3F" w:rsidRDefault="00BF1B3F" w:rsidP="00215BF6">
      <w:pPr>
        <w:spacing w:line="360" w:lineRule="auto"/>
        <w:ind w:firstLine="709"/>
        <w:jc w:val="right"/>
        <w:rPr>
          <w:i/>
          <w:sz w:val="28"/>
          <w:szCs w:val="28"/>
          <w:lang w:val="uk-UA" w:eastAsia="ru-RU"/>
        </w:rPr>
      </w:pPr>
    </w:p>
    <w:p w:rsidR="00215BF6" w:rsidRPr="00BE086B" w:rsidRDefault="00215BF6" w:rsidP="00215BF6">
      <w:pPr>
        <w:spacing w:line="360" w:lineRule="auto"/>
        <w:ind w:firstLine="709"/>
        <w:jc w:val="right"/>
        <w:rPr>
          <w:sz w:val="28"/>
          <w:szCs w:val="28"/>
          <w:lang w:val="uk-UA"/>
        </w:rPr>
      </w:pPr>
      <w:r w:rsidRPr="00BE086B">
        <w:rPr>
          <w:i/>
          <w:sz w:val="28"/>
          <w:szCs w:val="28"/>
          <w:lang w:val="uk-UA" w:eastAsia="ru-RU"/>
        </w:rPr>
        <w:t>Таблиця 7.6</w:t>
      </w:r>
    </w:p>
    <w:p w:rsidR="00215BF6" w:rsidRPr="00BE086B" w:rsidRDefault="00215BF6" w:rsidP="00215BF6">
      <w:pPr>
        <w:spacing w:line="360" w:lineRule="auto"/>
        <w:jc w:val="center"/>
        <w:rPr>
          <w:sz w:val="28"/>
          <w:szCs w:val="28"/>
          <w:lang w:val="uk-UA"/>
        </w:rPr>
      </w:pPr>
      <w:r w:rsidRPr="00BE086B">
        <w:rPr>
          <w:b/>
          <w:bCs/>
          <w:sz w:val="28"/>
          <w:szCs w:val="28"/>
          <w:lang w:val="uk-UA" w:eastAsia="ru-RU"/>
        </w:rPr>
        <w:t xml:space="preserve">Вплив досліджуваної комбінації на больовий поріг в тесті електрошкірного подразнення хвоста </w:t>
      </w:r>
      <w:r w:rsidRPr="00BE086B">
        <w:rPr>
          <w:b/>
          <w:bCs/>
          <w:sz w:val="28"/>
          <w:szCs w:val="28"/>
          <w:lang w:val="uk-UA"/>
        </w:rPr>
        <w:t xml:space="preserve">щура, </w:t>
      </w:r>
      <w:r w:rsidRPr="00BE086B">
        <w:rPr>
          <w:b/>
          <w:sz w:val="28"/>
          <w:szCs w:val="28"/>
          <w:lang w:val="uk-UA"/>
        </w:rPr>
        <w:t>M±m</w:t>
      </w:r>
    </w:p>
    <w:tbl>
      <w:tblPr>
        <w:tblW w:w="9651"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548"/>
        <w:gridCol w:w="993"/>
        <w:gridCol w:w="992"/>
        <w:gridCol w:w="992"/>
        <w:gridCol w:w="1134"/>
        <w:gridCol w:w="992"/>
      </w:tblGrid>
      <w:tr w:rsidR="00215BF6" w:rsidRPr="00BE086B" w:rsidTr="00F66F9B">
        <w:trPr>
          <w:trHeight w:val="477"/>
        </w:trPr>
        <w:tc>
          <w:tcPr>
            <w:tcW w:w="4548" w:type="dxa"/>
            <w:vMerge w:val="restart"/>
            <w:shd w:val="clear" w:color="auto" w:fill="auto"/>
            <w:vAlign w:val="center"/>
          </w:tcPr>
          <w:p w:rsidR="00215BF6" w:rsidRPr="00BE086B" w:rsidRDefault="00215BF6" w:rsidP="00F66F9B">
            <w:pPr>
              <w:jc w:val="center"/>
              <w:rPr>
                <w:b/>
                <w:sz w:val="28"/>
                <w:szCs w:val="28"/>
                <w:lang w:val="uk-UA"/>
              </w:rPr>
            </w:pPr>
            <w:r w:rsidRPr="00BE086B">
              <w:rPr>
                <w:b/>
                <w:sz w:val="28"/>
                <w:szCs w:val="28"/>
                <w:lang w:val="uk-UA" w:eastAsia="ru-RU"/>
              </w:rPr>
              <w:t>Групи тварин</w:t>
            </w:r>
          </w:p>
          <w:p w:rsidR="00215BF6" w:rsidRPr="00BE086B" w:rsidRDefault="00215BF6" w:rsidP="00F66F9B">
            <w:pPr>
              <w:jc w:val="center"/>
              <w:rPr>
                <w:b/>
                <w:sz w:val="28"/>
                <w:szCs w:val="28"/>
                <w:lang w:val="uk-UA"/>
              </w:rPr>
            </w:pPr>
            <w:r w:rsidRPr="00BE086B">
              <w:rPr>
                <w:b/>
                <w:sz w:val="28"/>
                <w:szCs w:val="28"/>
                <w:lang w:val="uk-UA" w:eastAsia="ru-RU"/>
              </w:rPr>
              <w:t>(n =40)</w:t>
            </w:r>
          </w:p>
        </w:tc>
        <w:tc>
          <w:tcPr>
            <w:tcW w:w="5103" w:type="dxa"/>
            <w:gridSpan w:val="5"/>
            <w:shd w:val="clear" w:color="auto" w:fill="auto"/>
            <w:vAlign w:val="center"/>
          </w:tcPr>
          <w:p w:rsidR="00215BF6" w:rsidRPr="00BE086B" w:rsidRDefault="00215BF6" w:rsidP="00F66F9B">
            <w:pPr>
              <w:jc w:val="center"/>
              <w:rPr>
                <w:b/>
                <w:sz w:val="28"/>
                <w:szCs w:val="28"/>
                <w:lang w:val="uk-UA"/>
              </w:rPr>
            </w:pPr>
            <w:r w:rsidRPr="00BE086B">
              <w:rPr>
                <w:b/>
                <w:sz w:val="28"/>
                <w:szCs w:val="28"/>
                <w:lang w:val="uk-UA" w:eastAsia="ru-RU"/>
              </w:rPr>
              <w:t>Величина больового порогу (мА)</w:t>
            </w:r>
          </w:p>
        </w:tc>
      </w:tr>
      <w:tr w:rsidR="00215BF6" w:rsidRPr="00BE086B" w:rsidTr="00F66F9B">
        <w:trPr>
          <w:trHeight w:val="383"/>
        </w:trPr>
        <w:tc>
          <w:tcPr>
            <w:tcW w:w="4548" w:type="dxa"/>
            <w:vMerge/>
            <w:shd w:val="clear" w:color="auto" w:fill="auto"/>
            <w:vAlign w:val="center"/>
          </w:tcPr>
          <w:p w:rsidR="00215BF6" w:rsidRPr="00BE086B" w:rsidRDefault="00215BF6" w:rsidP="00F66F9B">
            <w:pPr>
              <w:snapToGrid w:val="0"/>
              <w:jc w:val="center"/>
              <w:rPr>
                <w:b/>
                <w:sz w:val="28"/>
                <w:szCs w:val="28"/>
                <w:lang w:val="uk-UA" w:eastAsia="ru-RU"/>
              </w:rPr>
            </w:pPr>
          </w:p>
        </w:tc>
        <w:tc>
          <w:tcPr>
            <w:tcW w:w="993" w:type="dxa"/>
            <w:shd w:val="clear" w:color="auto" w:fill="auto"/>
            <w:vAlign w:val="center"/>
          </w:tcPr>
          <w:p w:rsidR="00215BF6" w:rsidRPr="00BE086B" w:rsidRDefault="00215BF6" w:rsidP="00F66F9B">
            <w:pPr>
              <w:jc w:val="center"/>
              <w:rPr>
                <w:b/>
                <w:sz w:val="28"/>
                <w:szCs w:val="28"/>
                <w:lang w:val="uk-UA"/>
              </w:rPr>
            </w:pPr>
            <w:r w:rsidRPr="00BE086B">
              <w:rPr>
                <w:b/>
                <w:sz w:val="28"/>
                <w:szCs w:val="28"/>
                <w:lang w:val="uk-UA" w:eastAsia="ru-RU"/>
              </w:rPr>
              <w:t>ВС</w:t>
            </w:r>
          </w:p>
        </w:tc>
        <w:tc>
          <w:tcPr>
            <w:tcW w:w="992" w:type="dxa"/>
            <w:shd w:val="clear" w:color="auto" w:fill="auto"/>
            <w:vAlign w:val="center"/>
          </w:tcPr>
          <w:p w:rsidR="00215BF6" w:rsidRPr="00BE086B" w:rsidRDefault="00215BF6" w:rsidP="00F66F9B">
            <w:pPr>
              <w:jc w:val="center"/>
              <w:rPr>
                <w:b/>
                <w:sz w:val="28"/>
                <w:szCs w:val="28"/>
                <w:lang w:val="uk-UA"/>
              </w:rPr>
            </w:pPr>
            <w:r w:rsidRPr="00BE086B">
              <w:rPr>
                <w:b/>
                <w:sz w:val="28"/>
                <w:szCs w:val="28"/>
                <w:lang w:val="uk-UA" w:eastAsia="ru-RU"/>
              </w:rPr>
              <w:t>30 хв</w:t>
            </w:r>
          </w:p>
        </w:tc>
        <w:tc>
          <w:tcPr>
            <w:tcW w:w="992" w:type="dxa"/>
            <w:shd w:val="clear" w:color="auto" w:fill="auto"/>
            <w:vAlign w:val="center"/>
          </w:tcPr>
          <w:p w:rsidR="00215BF6" w:rsidRPr="00BE086B" w:rsidRDefault="00215BF6" w:rsidP="00F66F9B">
            <w:pPr>
              <w:jc w:val="center"/>
              <w:rPr>
                <w:b/>
                <w:sz w:val="28"/>
                <w:szCs w:val="28"/>
                <w:lang w:val="uk-UA"/>
              </w:rPr>
            </w:pPr>
            <w:r w:rsidRPr="00BE086B">
              <w:rPr>
                <w:b/>
                <w:sz w:val="28"/>
                <w:szCs w:val="28"/>
                <w:lang w:val="uk-UA" w:eastAsia="ru-RU"/>
              </w:rPr>
              <w:t>60 хв</w:t>
            </w:r>
          </w:p>
        </w:tc>
        <w:tc>
          <w:tcPr>
            <w:tcW w:w="1134" w:type="dxa"/>
            <w:shd w:val="clear" w:color="auto" w:fill="auto"/>
            <w:vAlign w:val="center"/>
          </w:tcPr>
          <w:p w:rsidR="00215BF6" w:rsidRPr="00BE086B" w:rsidRDefault="00215BF6" w:rsidP="00F66F9B">
            <w:pPr>
              <w:jc w:val="center"/>
              <w:rPr>
                <w:b/>
                <w:sz w:val="28"/>
                <w:szCs w:val="28"/>
                <w:lang w:val="uk-UA"/>
              </w:rPr>
            </w:pPr>
            <w:r w:rsidRPr="00BE086B">
              <w:rPr>
                <w:b/>
                <w:sz w:val="28"/>
                <w:szCs w:val="28"/>
                <w:lang w:val="uk-UA" w:eastAsia="ru-RU"/>
              </w:rPr>
              <w:t>90 хв</w:t>
            </w:r>
          </w:p>
        </w:tc>
        <w:tc>
          <w:tcPr>
            <w:tcW w:w="992" w:type="dxa"/>
            <w:shd w:val="clear" w:color="auto" w:fill="auto"/>
            <w:vAlign w:val="center"/>
          </w:tcPr>
          <w:p w:rsidR="00215BF6" w:rsidRPr="00BE086B" w:rsidRDefault="00215BF6" w:rsidP="00F66F9B">
            <w:pPr>
              <w:jc w:val="center"/>
              <w:rPr>
                <w:b/>
                <w:sz w:val="28"/>
                <w:szCs w:val="28"/>
                <w:lang w:val="uk-UA"/>
              </w:rPr>
            </w:pPr>
            <w:r w:rsidRPr="00BE086B">
              <w:rPr>
                <w:b/>
                <w:sz w:val="28"/>
                <w:szCs w:val="28"/>
                <w:lang w:val="uk-UA" w:eastAsia="ru-RU"/>
              </w:rPr>
              <w:t>120 хв</w:t>
            </w:r>
          </w:p>
        </w:tc>
      </w:tr>
      <w:tr w:rsidR="00215BF6" w:rsidRPr="00BE086B" w:rsidTr="00F66F9B">
        <w:trPr>
          <w:trHeight w:val="545"/>
        </w:trPr>
        <w:tc>
          <w:tcPr>
            <w:tcW w:w="4548"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ЕОА + ЕГ</w:t>
            </w:r>
          </w:p>
          <w:p w:rsidR="00215BF6" w:rsidRPr="00BE086B" w:rsidRDefault="00215BF6" w:rsidP="00F66F9B">
            <w:pPr>
              <w:jc w:val="center"/>
              <w:rPr>
                <w:sz w:val="28"/>
                <w:szCs w:val="28"/>
                <w:lang w:val="uk-UA"/>
              </w:rPr>
            </w:pPr>
            <w:r w:rsidRPr="00BE086B">
              <w:rPr>
                <w:sz w:val="28"/>
                <w:szCs w:val="28"/>
                <w:lang w:val="uk-UA" w:eastAsia="ru-RU"/>
              </w:rPr>
              <w:t>(n=10)</w:t>
            </w:r>
          </w:p>
        </w:tc>
        <w:tc>
          <w:tcPr>
            <w:tcW w:w="993"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2,30</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0,10</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2,10</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0,08</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2,22</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0,09</w:t>
            </w:r>
          </w:p>
        </w:tc>
        <w:tc>
          <w:tcPr>
            <w:tcW w:w="1134"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2,27</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0,10</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2,2</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0,11</w:t>
            </w:r>
          </w:p>
        </w:tc>
      </w:tr>
      <w:tr w:rsidR="00215BF6" w:rsidRPr="00BE086B" w:rsidTr="00F66F9B">
        <w:trPr>
          <w:trHeight w:val="553"/>
        </w:trPr>
        <w:tc>
          <w:tcPr>
            <w:tcW w:w="4548"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ЕОА+ЕГ +</w:t>
            </w:r>
          </w:p>
          <w:p w:rsidR="00215BF6" w:rsidRPr="00BE086B" w:rsidRDefault="00215BF6" w:rsidP="00F66F9B">
            <w:pPr>
              <w:jc w:val="center"/>
              <w:rPr>
                <w:sz w:val="28"/>
                <w:szCs w:val="28"/>
                <w:lang w:val="uk-UA"/>
              </w:rPr>
            </w:pPr>
            <w:r w:rsidRPr="00BE086B">
              <w:rPr>
                <w:sz w:val="28"/>
                <w:szCs w:val="28"/>
                <w:lang w:val="uk-UA" w:eastAsia="ru-RU"/>
              </w:rPr>
              <w:t>Диклофенак натрію 10 мг/кг (n=10)</w:t>
            </w:r>
          </w:p>
        </w:tc>
        <w:tc>
          <w:tcPr>
            <w:tcW w:w="993"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2,18</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0,08</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3,62*</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0,12</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2,86*</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0,11</w:t>
            </w:r>
          </w:p>
        </w:tc>
        <w:tc>
          <w:tcPr>
            <w:tcW w:w="1134"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3,27*</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0,09</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3,58*</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0,08</w:t>
            </w:r>
          </w:p>
        </w:tc>
      </w:tr>
      <w:tr w:rsidR="00215BF6" w:rsidRPr="00BE086B" w:rsidTr="00F66F9B">
        <w:trPr>
          <w:trHeight w:val="547"/>
        </w:trPr>
        <w:tc>
          <w:tcPr>
            <w:tcW w:w="4548"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rPr>
              <w:t>ЕОА+ЕГ +</w:t>
            </w:r>
          </w:p>
          <w:p w:rsidR="00215BF6" w:rsidRPr="00BE086B" w:rsidRDefault="00215BF6" w:rsidP="00F66F9B">
            <w:pPr>
              <w:jc w:val="center"/>
              <w:rPr>
                <w:sz w:val="28"/>
                <w:szCs w:val="28"/>
                <w:lang w:val="uk-UA"/>
              </w:rPr>
            </w:pPr>
            <w:r w:rsidRPr="00BE086B">
              <w:rPr>
                <w:sz w:val="28"/>
                <w:szCs w:val="28"/>
                <w:lang w:val="uk-UA"/>
              </w:rPr>
              <w:t>Хондроїтин сульфат 35 мг/кг</w:t>
            </w:r>
            <w:r w:rsidRPr="00BE086B">
              <w:rPr>
                <w:sz w:val="28"/>
                <w:szCs w:val="28"/>
                <w:lang w:val="uk-UA" w:eastAsia="ru-RU"/>
              </w:rPr>
              <w:t xml:space="preserve"> (n=10)</w:t>
            </w:r>
          </w:p>
        </w:tc>
        <w:tc>
          <w:tcPr>
            <w:tcW w:w="993"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1,99</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0,07</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2,19</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0,30</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2.49*</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0,08</w:t>
            </w:r>
          </w:p>
        </w:tc>
        <w:tc>
          <w:tcPr>
            <w:tcW w:w="1134" w:type="dxa"/>
            <w:shd w:val="clear" w:color="auto" w:fill="auto"/>
            <w:vAlign w:val="center"/>
          </w:tcPr>
          <w:p w:rsidR="00215BF6" w:rsidRPr="00BE086B" w:rsidRDefault="00215BF6" w:rsidP="00F66F9B">
            <w:pPr>
              <w:jc w:val="center"/>
              <w:rPr>
                <w:sz w:val="28"/>
                <w:szCs w:val="28"/>
                <w:lang w:val="uk-UA"/>
              </w:rPr>
            </w:pPr>
            <w:r w:rsidRPr="00BE086B">
              <w:rPr>
                <w:rFonts w:eastAsia="Calibri"/>
                <w:iCs/>
                <w:sz w:val="28"/>
                <w:szCs w:val="28"/>
                <w:lang w:val="uk-UA" w:eastAsia="en-US"/>
              </w:rPr>
              <w:t>2,33</w:t>
            </w:r>
            <w:r w:rsidRPr="00BE086B">
              <w:rPr>
                <w:sz w:val="28"/>
                <w:szCs w:val="28"/>
                <w:lang w:val="uk-UA" w:eastAsia="ru-RU"/>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0,11</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2,09</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0,27</w:t>
            </w:r>
          </w:p>
        </w:tc>
      </w:tr>
      <w:tr w:rsidR="00215BF6" w:rsidRPr="00BE086B" w:rsidTr="00F66F9B">
        <w:trPr>
          <w:trHeight w:val="427"/>
        </w:trPr>
        <w:tc>
          <w:tcPr>
            <w:tcW w:w="4548" w:type="dxa"/>
            <w:shd w:val="clear" w:color="auto" w:fill="auto"/>
            <w:vAlign w:val="center"/>
          </w:tcPr>
          <w:p w:rsidR="00215BF6" w:rsidRPr="00BE086B" w:rsidRDefault="00215BF6" w:rsidP="00F66F9B">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ЕОА+ЕГ + Диклофенак натрію 10 мг/ї кг + Хондроїтин сульфат 35 мг/кг + </w:t>
            </w:r>
            <w:r w:rsidRPr="00BE086B">
              <w:rPr>
                <w:rFonts w:ascii="Times New Roman" w:hAnsi="Times New Roman" w:cs="Times New Roman"/>
                <w:color w:val="auto"/>
                <w:sz w:val="28"/>
                <w:szCs w:val="28"/>
              </w:rPr>
              <w:t>L</w:t>
            </w:r>
            <w:r w:rsidRPr="00BE086B">
              <w:rPr>
                <w:rFonts w:ascii="Times New Roman" w:hAnsi="Times New Roman" w:cs="Times New Roman"/>
                <w:color w:val="auto"/>
                <w:sz w:val="28"/>
                <w:szCs w:val="28"/>
                <w:lang w:val="uk-UA"/>
              </w:rPr>
              <w:t xml:space="preserve">-тироксин </w:t>
            </w:r>
            <w:r w:rsidRPr="00BE086B">
              <w:rPr>
                <w:rFonts w:ascii="Times New Roman" w:eastAsia="Times New Roman" w:hAnsi="Times New Roman" w:cs="Times New Roman"/>
                <w:color w:val="auto"/>
                <w:sz w:val="28"/>
                <w:szCs w:val="28"/>
                <w:lang w:val="uk-UA" w:eastAsia="ru-RU"/>
              </w:rPr>
              <w:t>(</w:t>
            </w:r>
            <w:r w:rsidRPr="00BE086B">
              <w:rPr>
                <w:rFonts w:ascii="Times New Roman" w:eastAsia="Times New Roman" w:hAnsi="Times New Roman" w:cs="Times New Roman"/>
                <w:color w:val="auto"/>
                <w:sz w:val="28"/>
                <w:szCs w:val="28"/>
                <w:lang w:eastAsia="ru-RU"/>
              </w:rPr>
              <w:t>n</w:t>
            </w:r>
            <w:r w:rsidRPr="00BE086B">
              <w:rPr>
                <w:rFonts w:ascii="Times New Roman" w:eastAsia="Times New Roman" w:hAnsi="Times New Roman" w:cs="Times New Roman"/>
                <w:color w:val="auto"/>
                <w:sz w:val="28"/>
                <w:szCs w:val="28"/>
                <w:lang w:val="uk-UA" w:eastAsia="ru-RU"/>
              </w:rPr>
              <w:t>=10)</w:t>
            </w:r>
          </w:p>
        </w:tc>
        <w:tc>
          <w:tcPr>
            <w:tcW w:w="993"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2,20</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0,12</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3,74*</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0,17</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4,86*</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0,19</w:t>
            </w:r>
          </w:p>
        </w:tc>
        <w:tc>
          <w:tcPr>
            <w:tcW w:w="1134"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5,98*</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0,19</w:t>
            </w:r>
          </w:p>
        </w:tc>
        <w:tc>
          <w:tcPr>
            <w:tcW w:w="992"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5,28*</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0,12*</w:t>
            </w:r>
          </w:p>
        </w:tc>
      </w:tr>
    </w:tbl>
    <w:p w:rsidR="00BF1B3F" w:rsidRDefault="00BF1B3F" w:rsidP="00215BF6">
      <w:pPr>
        <w:suppressAutoHyphens w:val="0"/>
        <w:spacing w:line="360" w:lineRule="auto"/>
        <w:ind w:firstLine="709"/>
        <w:jc w:val="both"/>
        <w:rPr>
          <w:b/>
          <w:bCs/>
          <w:iCs/>
          <w:sz w:val="28"/>
          <w:szCs w:val="28"/>
          <w:lang w:val="uk-UA"/>
        </w:rPr>
      </w:pPr>
    </w:p>
    <w:p w:rsidR="00215BF6" w:rsidRPr="00BE086B" w:rsidRDefault="00215BF6" w:rsidP="00215BF6">
      <w:pPr>
        <w:suppressAutoHyphens w:val="0"/>
        <w:spacing w:line="360" w:lineRule="auto"/>
        <w:ind w:firstLine="709"/>
        <w:jc w:val="both"/>
        <w:rPr>
          <w:sz w:val="28"/>
          <w:szCs w:val="28"/>
          <w:lang w:val="uk-UA"/>
        </w:rPr>
      </w:pPr>
      <w:r w:rsidRPr="00BE086B">
        <w:rPr>
          <w:b/>
          <w:bCs/>
          <w:iCs/>
          <w:sz w:val="28"/>
          <w:szCs w:val="28"/>
          <w:lang w:val="uk-UA"/>
        </w:rPr>
        <w:t>Примітки:</w:t>
      </w:r>
      <w:r w:rsidRPr="00BE086B">
        <w:rPr>
          <w:iCs/>
          <w:sz w:val="28"/>
          <w:szCs w:val="28"/>
          <w:lang w:val="uk-UA"/>
        </w:rPr>
        <w:t xml:space="preserve"> * - р </w:t>
      </w:r>
      <w:r w:rsidRPr="00BE086B">
        <w:rPr>
          <w:rFonts w:eastAsia="Calibri"/>
          <w:iCs/>
          <w:sz w:val="28"/>
          <w:szCs w:val="28"/>
          <w:lang w:eastAsia="en-US"/>
        </w:rPr>
        <w:t>&lt;</w:t>
      </w:r>
      <w:r w:rsidRPr="00BE086B">
        <w:rPr>
          <w:iCs/>
          <w:sz w:val="28"/>
          <w:szCs w:val="28"/>
          <w:lang w:val="uk-UA"/>
        </w:rPr>
        <w:t xml:space="preserve"> 0,05 по відношенню до ПБЧ у вихідному стані (ВС);</w:t>
      </w:r>
    </w:p>
    <w:p w:rsidR="00215BF6" w:rsidRPr="00BE086B" w:rsidRDefault="00215BF6" w:rsidP="00215BF6">
      <w:pPr>
        <w:spacing w:line="360" w:lineRule="auto"/>
        <w:ind w:firstLine="709"/>
        <w:jc w:val="both"/>
        <w:rPr>
          <w:sz w:val="28"/>
          <w:szCs w:val="28"/>
          <w:lang w:val="uk-UA"/>
        </w:rPr>
      </w:pPr>
      <w:r w:rsidRPr="00BE086B">
        <w:rPr>
          <w:rFonts w:eastAsia="Calibri"/>
          <w:iCs/>
          <w:sz w:val="28"/>
          <w:szCs w:val="28"/>
          <w:lang w:val="uk-UA" w:eastAsia="en-US"/>
        </w:rPr>
        <w:t xml:space="preserve">¤ - р </w:t>
      </w:r>
      <w:r w:rsidRPr="00BE086B">
        <w:rPr>
          <w:rFonts w:eastAsia="Calibri"/>
          <w:iCs/>
          <w:sz w:val="28"/>
          <w:szCs w:val="28"/>
          <w:lang w:eastAsia="en-US"/>
        </w:rPr>
        <w:t>&lt;</w:t>
      </w:r>
      <w:r w:rsidRPr="00BE086B">
        <w:rPr>
          <w:rFonts w:eastAsia="Calibri"/>
          <w:iCs/>
          <w:sz w:val="28"/>
          <w:szCs w:val="28"/>
          <w:lang w:val="uk-UA" w:eastAsia="en-US"/>
        </w:rPr>
        <w:t xml:space="preserve"> 0,05 у порівнянні з показниками групи активного контролю (ЕОА + ЕГ</w:t>
      </w:r>
      <w:r w:rsidRPr="00BE086B">
        <w:rPr>
          <w:sz w:val="28"/>
          <w:szCs w:val="28"/>
          <w:lang w:val="uk-UA"/>
        </w:rPr>
        <w:t>).</w:t>
      </w:r>
    </w:p>
    <w:p w:rsidR="00215BF6" w:rsidRPr="00BE086B" w:rsidRDefault="00215BF6" w:rsidP="00215BF6">
      <w:pPr>
        <w:spacing w:line="360" w:lineRule="auto"/>
        <w:ind w:firstLine="709"/>
        <w:jc w:val="right"/>
        <w:rPr>
          <w:sz w:val="28"/>
          <w:szCs w:val="28"/>
          <w:lang w:val="uk-UA"/>
        </w:rPr>
      </w:pPr>
    </w:p>
    <w:p w:rsidR="00215BF6" w:rsidRPr="00BE086B" w:rsidRDefault="00215BF6" w:rsidP="00215BF6">
      <w:pPr>
        <w:pStyle w:val="WW-"/>
        <w:spacing w:after="0" w:line="360" w:lineRule="auto"/>
        <w:ind w:firstLine="709"/>
        <w:jc w:val="both"/>
        <w:rPr>
          <w:rFonts w:ascii="Times New Roman" w:eastAsia="Times New Roman" w:hAnsi="Times New Roman" w:cs="Times New Roman"/>
          <w:color w:val="auto"/>
          <w:sz w:val="28"/>
          <w:szCs w:val="28"/>
          <w:lang w:eastAsia="ru-RU"/>
        </w:rPr>
      </w:pPr>
      <w:r w:rsidRPr="00BE086B">
        <w:rPr>
          <w:rFonts w:ascii="Times New Roman" w:eastAsia="Times New Roman" w:hAnsi="Times New Roman" w:cs="Times New Roman"/>
          <w:color w:val="auto"/>
          <w:sz w:val="28"/>
          <w:szCs w:val="28"/>
          <w:lang w:val="uk-UA" w:eastAsia="ru-RU"/>
        </w:rPr>
        <w:lastRenderedPageBreak/>
        <w:t>Як видно з табл. 7.6, антиноцицептивна дія досліджуваної комбінації</w:t>
      </w:r>
      <w:r w:rsidRPr="00BE086B">
        <w:rPr>
          <w:rFonts w:ascii="Times New Roman" w:hAnsi="Times New Roman" w:cs="Times New Roman"/>
          <w:color w:val="auto"/>
          <w:sz w:val="28"/>
          <w:szCs w:val="28"/>
          <w:lang w:val="uk-UA"/>
        </w:rPr>
        <w:t xml:space="preserve"> (диклофенак натрію + хондроїтину сульфат + </w:t>
      </w:r>
      <w:r w:rsidRPr="00BE086B">
        <w:rPr>
          <w:rFonts w:ascii="Times New Roman" w:hAnsi="Times New Roman" w:cs="Times New Roman"/>
          <w:color w:val="auto"/>
          <w:sz w:val="28"/>
          <w:szCs w:val="28"/>
        </w:rPr>
        <w:t>L</w:t>
      </w:r>
      <w:r w:rsidRPr="00BE086B">
        <w:rPr>
          <w:rFonts w:ascii="Times New Roman" w:hAnsi="Times New Roman" w:cs="Times New Roman"/>
          <w:color w:val="auto"/>
          <w:sz w:val="28"/>
          <w:szCs w:val="28"/>
          <w:lang w:val="uk-UA"/>
        </w:rPr>
        <w:t xml:space="preserve">-тироксин) </w:t>
      </w:r>
      <w:r w:rsidRPr="00BE086B">
        <w:rPr>
          <w:rFonts w:ascii="Times New Roman" w:eastAsia="Times New Roman" w:hAnsi="Times New Roman" w:cs="Times New Roman"/>
          <w:color w:val="auto"/>
          <w:sz w:val="28"/>
          <w:szCs w:val="28"/>
          <w:lang w:val="uk-UA" w:eastAsia="ru-RU"/>
        </w:rPr>
        <w:t xml:space="preserve">проявлялась більш виражено. Вже через 30 хвилин після введення даної комбінації ЛЗ, поріг болю у тварин збільшився у 1,7 рази (р &lt; 0,05), на 60-й хвилині він підвищився у 2,21 рази (р &lt; 0,05). </w:t>
      </w:r>
      <w:r w:rsidRPr="00BE086B">
        <w:rPr>
          <w:rFonts w:ascii="Times New Roman" w:eastAsia="Times New Roman" w:hAnsi="Times New Roman" w:cs="Times New Roman"/>
          <w:color w:val="auto"/>
          <w:sz w:val="28"/>
          <w:szCs w:val="28"/>
          <w:lang w:eastAsia="ru-RU"/>
        </w:rPr>
        <w:t>Привертає увагу, що найбільш виражено дана комбінація проявляла свою знеболювальну активність на 90 хвилині експерименту, пригнічуючи ноцицептивну чутливість щурів у 2,72 рази (р &lt; 0,05).</w:t>
      </w:r>
    </w:p>
    <w:p w:rsidR="00215BF6" w:rsidRPr="00BE086B" w:rsidRDefault="00215BF6" w:rsidP="00215BF6">
      <w:pPr>
        <w:spacing w:line="360" w:lineRule="auto"/>
        <w:ind w:firstLine="709"/>
        <w:jc w:val="both"/>
        <w:rPr>
          <w:sz w:val="28"/>
          <w:szCs w:val="28"/>
          <w:lang w:val="uk-UA" w:eastAsia="ru-RU"/>
        </w:rPr>
      </w:pPr>
      <w:r w:rsidRPr="00BE086B">
        <w:rPr>
          <w:sz w:val="28"/>
          <w:szCs w:val="28"/>
          <w:lang w:eastAsia="ru-RU"/>
        </w:rPr>
        <w:t xml:space="preserve">Зміни </w:t>
      </w:r>
      <w:r w:rsidRPr="00BE086B">
        <w:rPr>
          <w:sz w:val="28"/>
          <w:szCs w:val="28"/>
          <w:lang w:val="uk-UA" w:eastAsia="ru-RU"/>
        </w:rPr>
        <w:t>больового порогу в тесті електрошкірного подразнення хвоста щура при призначенні лікарських засобів</w:t>
      </w:r>
      <w:r w:rsidRPr="00BE086B">
        <w:rPr>
          <w:sz w:val="28"/>
          <w:szCs w:val="28"/>
          <w:lang w:eastAsia="ru-RU"/>
        </w:rPr>
        <w:t xml:space="preserve"> по відношенню до </w:t>
      </w:r>
      <w:r w:rsidRPr="00BE086B">
        <w:rPr>
          <w:sz w:val="28"/>
          <w:szCs w:val="28"/>
          <w:lang w:val="uk-UA" w:eastAsia="ru-RU"/>
        </w:rPr>
        <w:t xml:space="preserve">відповідних </w:t>
      </w:r>
      <w:r w:rsidRPr="00BE086B">
        <w:rPr>
          <w:rFonts w:eastAsia="Microsoft YaHei"/>
          <w:iCs/>
          <w:sz w:val="28"/>
          <w:szCs w:val="28"/>
          <w:lang w:val="uk-UA" w:eastAsia="ru-RU"/>
        </w:rPr>
        <w:t xml:space="preserve">показників </w:t>
      </w:r>
      <w:r w:rsidRPr="00BE086B">
        <w:rPr>
          <w:sz w:val="28"/>
          <w:szCs w:val="28"/>
          <w:lang w:val="uk-UA" w:eastAsia="ru-RU"/>
        </w:rPr>
        <w:t>групи активного контролю (ЕОА + ЕГ) представлені на рис. 7.6.</w:t>
      </w:r>
    </w:p>
    <w:p w:rsidR="00215BF6" w:rsidRPr="00BE086B" w:rsidRDefault="00F12AD5" w:rsidP="00215BF6">
      <w:pPr>
        <w:spacing w:line="360" w:lineRule="auto"/>
        <w:jc w:val="center"/>
        <w:rPr>
          <w:sz w:val="28"/>
          <w:szCs w:val="28"/>
        </w:rPr>
      </w:pPr>
      <w:r>
        <w:rPr>
          <w:noProof/>
          <w:sz w:val="28"/>
          <w:szCs w:val="28"/>
          <w:lang w:eastAsia="ru-RU"/>
        </w:rPr>
        <w:drawing>
          <wp:inline distT="0" distB="0" distL="0" distR="0">
            <wp:extent cx="5936400" cy="3430800"/>
            <wp:effectExtent l="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7.6.jpg"/>
                    <pic:cNvPicPr/>
                  </pic:nvPicPr>
                  <pic:blipFill>
                    <a:blip r:embed="rId51">
                      <a:extLst>
                        <a:ext uri="{28A0092B-C50C-407E-A947-70E740481C1C}">
                          <a14:useLocalDpi xmlns:a14="http://schemas.microsoft.com/office/drawing/2010/main" val="0"/>
                        </a:ext>
                      </a:extLst>
                    </a:blip>
                    <a:stretch>
                      <a:fillRect/>
                    </a:stretch>
                  </pic:blipFill>
                  <pic:spPr>
                    <a:xfrm>
                      <a:off x="0" y="0"/>
                      <a:ext cx="5936400" cy="3430800"/>
                    </a:xfrm>
                    <a:prstGeom prst="rect">
                      <a:avLst/>
                    </a:prstGeom>
                  </pic:spPr>
                </pic:pic>
              </a:graphicData>
            </a:graphic>
          </wp:inline>
        </w:drawing>
      </w:r>
    </w:p>
    <w:p w:rsidR="00215BF6" w:rsidRPr="00BE086B" w:rsidRDefault="00215BF6" w:rsidP="00215BF6">
      <w:pPr>
        <w:spacing w:line="360" w:lineRule="auto"/>
        <w:ind w:firstLine="709"/>
        <w:jc w:val="both"/>
        <w:rPr>
          <w:sz w:val="28"/>
          <w:szCs w:val="28"/>
          <w:lang w:val="uk-UA"/>
        </w:rPr>
      </w:pPr>
      <w:r w:rsidRPr="00BE086B">
        <w:rPr>
          <w:b/>
          <w:sz w:val="28"/>
          <w:szCs w:val="28"/>
          <w:lang w:val="uk-UA"/>
        </w:rPr>
        <w:t>Рис. 7.6.</w:t>
      </w:r>
      <w:r w:rsidRPr="00BE086B">
        <w:rPr>
          <w:sz w:val="28"/>
          <w:szCs w:val="28"/>
          <w:lang w:val="uk-UA"/>
        </w:rPr>
        <w:t xml:space="preserve"> Зміни </w:t>
      </w:r>
      <w:r w:rsidRPr="00BE086B">
        <w:rPr>
          <w:bCs/>
          <w:sz w:val="28"/>
          <w:szCs w:val="28"/>
          <w:lang w:val="uk-UA" w:eastAsia="ru-RU"/>
        </w:rPr>
        <w:t xml:space="preserve">больового порогу в тесті електрошкірного подразнення хвоста </w:t>
      </w:r>
      <w:r w:rsidRPr="00BE086B">
        <w:rPr>
          <w:bCs/>
          <w:sz w:val="28"/>
          <w:szCs w:val="28"/>
          <w:lang w:val="uk-UA"/>
        </w:rPr>
        <w:t>щура</w:t>
      </w:r>
      <w:r w:rsidRPr="00BE086B">
        <w:rPr>
          <w:sz w:val="28"/>
          <w:szCs w:val="28"/>
          <w:lang w:val="uk-UA"/>
        </w:rPr>
        <w:t xml:space="preserve"> при призначенні лікарських засобів (у % відносно </w:t>
      </w:r>
      <w:r w:rsidRPr="00BE086B">
        <w:rPr>
          <w:bCs/>
          <w:sz w:val="28"/>
          <w:szCs w:val="28"/>
          <w:lang w:val="uk-UA"/>
        </w:rPr>
        <w:t>групи ЕОА + ЕГ).</w:t>
      </w:r>
    </w:p>
    <w:p w:rsidR="00215BF6" w:rsidRPr="00BE086B" w:rsidRDefault="00215BF6" w:rsidP="00215BF6">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5</w:t>
      </w:r>
      <w:r w:rsidRPr="00BE086B">
        <w:rPr>
          <w:sz w:val="28"/>
          <w:szCs w:val="28"/>
          <w:lang w:eastAsia="ru-RU"/>
        </w:rPr>
        <w:t xml:space="preserve"> по відношенню до </w:t>
      </w:r>
      <w:r w:rsidRPr="00BE086B">
        <w:rPr>
          <w:rFonts w:eastAsia="Microsoft YaHei"/>
          <w:iCs/>
          <w:sz w:val="28"/>
          <w:szCs w:val="28"/>
          <w:lang w:val="uk-UA" w:eastAsia="ru-RU"/>
        </w:rPr>
        <w:t xml:space="preserve">показника </w:t>
      </w:r>
      <w:r w:rsidRPr="00BE086B">
        <w:rPr>
          <w:sz w:val="28"/>
          <w:szCs w:val="28"/>
          <w:lang w:val="uk-UA" w:eastAsia="ru-RU"/>
        </w:rPr>
        <w:t>групи активного контролю (ЕОА + ЕГ).</w:t>
      </w:r>
    </w:p>
    <w:p w:rsidR="00215BF6" w:rsidRPr="00BE086B" w:rsidRDefault="00215BF6" w:rsidP="00215BF6">
      <w:pPr>
        <w:pStyle w:val="WW-"/>
        <w:spacing w:after="0" w:line="360" w:lineRule="auto"/>
        <w:ind w:firstLine="709"/>
        <w:jc w:val="both"/>
        <w:rPr>
          <w:rFonts w:ascii="Times New Roman" w:eastAsia="Times New Roman" w:hAnsi="Times New Roman" w:cs="Times New Roman"/>
          <w:color w:val="auto"/>
          <w:sz w:val="28"/>
          <w:szCs w:val="28"/>
          <w:lang w:val="uk-UA" w:eastAsia="ru-RU"/>
        </w:rPr>
      </w:pPr>
    </w:p>
    <w:p w:rsidR="00215BF6" w:rsidRPr="00BE086B" w:rsidRDefault="00215BF6" w:rsidP="00215BF6">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eastAsia="Times New Roman" w:hAnsi="Times New Roman" w:cs="Times New Roman"/>
          <w:color w:val="auto"/>
          <w:sz w:val="28"/>
          <w:szCs w:val="28"/>
          <w:lang w:val="uk-UA" w:eastAsia="ru-RU"/>
        </w:rPr>
        <w:t>Отже,</w:t>
      </w:r>
      <w:r w:rsidRPr="00BE086B">
        <w:rPr>
          <w:rFonts w:ascii="Times New Roman" w:hAnsi="Times New Roman" w:cs="Times New Roman"/>
          <w:color w:val="auto"/>
          <w:sz w:val="28"/>
          <w:szCs w:val="28"/>
          <w:lang w:val="uk-UA"/>
        </w:rPr>
        <w:t xml:space="preserve"> </w:t>
      </w:r>
      <w:r w:rsidRPr="00BE086B">
        <w:rPr>
          <w:rFonts w:ascii="Times New Roman" w:eastAsia="Times New Roman" w:hAnsi="Times New Roman" w:cs="Times New Roman"/>
          <w:color w:val="auto"/>
          <w:sz w:val="28"/>
          <w:szCs w:val="28"/>
          <w:lang w:val="uk-UA" w:eastAsia="ru-RU"/>
        </w:rPr>
        <w:t xml:space="preserve">досліджувана комбінація (диклофенак натрію + хондроїтину сульфат + </w:t>
      </w:r>
      <w:r w:rsidRPr="00BE086B">
        <w:rPr>
          <w:rFonts w:ascii="Times New Roman" w:eastAsia="Times New Roman" w:hAnsi="Times New Roman" w:cs="Times New Roman"/>
          <w:color w:val="auto"/>
          <w:sz w:val="28"/>
          <w:szCs w:val="28"/>
          <w:lang w:eastAsia="ru-RU"/>
        </w:rPr>
        <w:t>L</w:t>
      </w:r>
      <w:r w:rsidRPr="00BE086B">
        <w:rPr>
          <w:rFonts w:ascii="Times New Roman" w:eastAsia="Times New Roman" w:hAnsi="Times New Roman" w:cs="Times New Roman"/>
          <w:color w:val="auto"/>
          <w:sz w:val="28"/>
          <w:szCs w:val="28"/>
          <w:lang w:val="uk-UA" w:eastAsia="ru-RU"/>
        </w:rPr>
        <w:t>-тироксин</w:t>
      </w:r>
      <w:r w:rsidRPr="00BE086B">
        <w:rPr>
          <w:rFonts w:ascii="Times New Roman" w:hAnsi="Times New Roman" w:cs="Times New Roman"/>
          <w:color w:val="auto"/>
          <w:sz w:val="28"/>
          <w:szCs w:val="28"/>
          <w:lang w:val="uk-UA"/>
        </w:rPr>
        <w:t>)</w:t>
      </w:r>
      <w:r w:rsidRPr="00BE086B">
        <w:rPr>
          <w:rFonts w:ascii="Times New Roman" w:eastAsia="Times New Roman" w:hAnsi="Times New Roman" w:cs="Times New Roman"/>
          <w:color w:val="auto"/>
          <w:sz w:val="28"/>
          <w:szCs w:val="28"/>
          <w:lang w:val="uk-UA" w:eastAsia="ru-RU"/>
        </w:rPr>
        <w:t xml:space="preserve"> проявляє більш виражену аналгетичну активність у </w:t>
      </w:r>
      <w:r w:rsidRPr="00BE086B">
        <w:rPr>
          <w:rFonts w:ascii="Times New Roman" w:eastAsia="Times New Roman" w:hAnsi="Times New Roman" w:cs="Times New Roman"/>
          <w:color w:val="auto"/>
          <w:sz w:val="28"/>
          <w:szCs w:val="28"/>
          <w:lang w:val="uk-UA" w:eastAsia="ru-RU"/>
        </w:rPr>
        <w:lastRenderedPageBreak/>
        <w:t>тесті, який відображає надсегментарний рівень аналгезії, ніж її складові компоненти.</w:t>
      </w:r>
    </w:p>
    <w:p w:rsidR="00215BF6" w:rsidRPr="00BE086B" w:rsidRDefault="00215BF6" w:rsidP="00215BF6">
      <w:pPr>
        <w:pStyle w:val="WW-"/>
        <w:spacing w:after="0" w:line="360" w:lineRule="auto"/>
        <w:jc w:val="both"/>
        <w:rPr>
          <w:rFonts w:ascii="Times New Roman" w:hAnsi="Times New Roman" w:cs="Times New Roman"/>
          <w:color w:val="auto"/>
          <w:sz w:val="28"/>
          <w:szCs w:val="28"/>
          <w:lang w:val="uk-UA"/>
        </w:rPr>
      </w:pPr>
    </w:p>
    <w:p w:rsidR="00215BF6" w:rsidRPr="00BE086B" w:rsidRDefault="00215BF6" w:rsidP="00215BF6">
      <w:pPr>
        <w:spacing w:line="360" w:lineRule="auto"/>
        <w:ind w:firstLine="709"/>
        <w:jc w:val="both"/>
        <w:rPr>
          <w:b/>
          <w:sz w:val="28"/>
          <w:szCs w:val="28"/>
          <w:lang w:val="uk-UA"/>
        </w:rPr>
      </w:pPr>
      <w:r w:rsidRPr="00BE086B">
        <w:rPr>
          <w:b/>
          <w:bCs/>
          <w:sz w:val="28"/>
          <w:szCs w:val="28"/>
          <w:lang w:val="uk-UA" w:eastAsia="ru-RU"/>
        </w:rPr>
        <w:t>7.2.2. Оцінка аналгетичної активності досліджуваних препаратів методом термоподразнення хвоста у щурів</w:t>
      </w:r>
    </w:p>
    <w:p w:rsidR="00215BF6" w:rsidRPr="00BE086B" w:rsidRDefault="00215BF6" w:rsidP="00215BF6">
      <w:pPr>
        <w:spacing w:line="360" w:lineRule="auto"/>
        <w:ind w:firstLine="709"/>
        <w:jc w:val="both"/>
        <w:rPr>
          <w:sz w:val="28"/>
          <w:szCs w:val="28"/>
          <w:lang w:val="uk-UA"/>
        </w:rPr>
      </w:pPr>
    </w:p>
    <w:p w:rsidR="00215BF6" w:rsidRPr="00BE086B" w:rsidRDefault="00215BF6" w:rsidP="00215BF6">
      <w:pPr>
        <w:spacing w:line="360" w:lineRule="auto"/>
        <w:ind w:firstLine="709"/>
        <w:jc w:val="both"/>
        <w:rPr>
          <w:sz w:val="28"/>
          <w:szCs w:val="28"/>
          <w:lang w:val="uk-UA"/>
        </w:rPr>
      </w:pPr>
      <w:r w:rsidRPr="00BE086B">
        <w:rPr>
          <w:sz w:val="28"/>
          <w:szCs w:val="28"/>
          <w:lang w:val="uk-UA" w:eastAsia="ru-RU"/>
        </w:rPr>
        <w:t>Результати досліджень аналгетичної активності досліджуваних препаратів методом термоподразнення хвоста у щурів наведені в табл. 7.7.</w:t>
      </w:r>
    </w:p>
    <w:p w:rsidR="00215BF6" w:rsidRPr="00BE086B" w:rsidRDefault="00215BF6" w:rsidP="00215BF6">
      <w:pPr>
        <w:pStyle w:val="WW-"/>
        <w:spacing w:after="0" w:line="360" w:lineRule="auto"/>
        <w:ind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 xml:space="preserve">Як видно з табл. 7.7, препарат диклофенак натрію </w:t>
      </w:r>
      <w:r w:rsidRPr="00BE086B">
        <w:rPr>
          <w:rFonts w:ascii="Times New Roman" w:eastAsia="Times New Roman" w:hAnsi="Times New Roman" w:cs="Times New Roman"/>
          <w:color w:val="auto"/>
          <w:sz w:val="28"/>
          <w:szCs w:val="28"/>
          <w:lang w:eastAsia="ru-RU"/>
        </w:rPr>
        <w:t>при внутрішньошлунковому одноразовому введенні у дозі 10 мг/кг показав максимальну знеболювальну активність на 90 хвилині експерименту, що проявлялося у зменшенні імерсії хвоста у 1,67 рази (р &lt; 0,05).</w:t>
      </w:r>
    </w:p>
    <w:p w:rsidR="00BF1B3F" w:rsidRDefault="00BF1B3F" w:rsidP="00215BF6">
      <w:pPr>
        <w:spacing w:line="360" w:lineRule="auto"/>
        <w:jc w:val="right"/>
        <w:rPr>
          <w:i/>
          <w:iCs/>
          <w:sz w:val="28"/>
          <w:szCs w:val="28"/>
          <w:lang w:val="uk-UA" w:eastAsia="ru-RU"/>
        </w:rPr>
      </w:pPr>
    </w:p>
    <w:p w:rsidR="00215BF6" w:rsidRPr="00BE086B" w:rsidRDefault="00215BF6" w:rsidP="00215BF6">
      <w:pPr>
        <w:spacing w:line="360" w:lineRule="auto"/>
        <w:jc w:val="right"/>
        <w:rPr>
          <w:sz w:val="28"/>
          <w:szCs w:val="28"/>
          <w:lang w:val="uk-UA"/>
        </w:rPr>
      </w:pPr>
      <w:r w:rsidRPr="00BE086B">
        <w:rPr>
          <w:i/>
          <w:iCs/>
          <w:sz w:val="28"/>
          <w:szCs w:val="28"/>
          <w:lang w:val="uk-UA" w:eastAsia="ru-RU"/>
        </w:rPr>
        <w:t>Таблиця 7.7</w:t>
      </w:r>
    </w:p>
    <w:p w:rsidR="00215BF6" w:rsidRPr="00BE086B" w:rsidRDefault="00215BF6" w:rsidP="00215BF6">
      <w:pPr>
        <w:spacing w:line="360" w:lineRule="auto"/>
        <w:jc w:val="center"/>
        <w:rPr>
          <w:sz w:val="28"/>
          <w:szCs w:val="28"/>
          <w:lang w:val="uk-UA"/>
        </w:rPr>
      </w:pPr>
      <w:r w:rsidRPr="00BE086B">
        <w:rPr>
          <w:b/>
          <w:bCs/>
          <w:sz w:val="28"/>
          <w:szCs w:val="28"/>
          <w:lang w:val="uk-UA" w:eastAsia="ru-RU"/>
        </w:rPr>
        <w:t xml:space="preserve">Вплив досліджуваної комбінації на больовий поріг в тесті термоподразнення хвоста щура, </w:t>
      </w:r>
      <w:r w:rsidRPr="00BE086B">
        <w:rPr>
          <w:b/>
          <w:sz w:val="28"/>
          <w:szCs w:val="28"/>
          <w:lang w:val="uk-UA"/>
        </w:rPr>
        <w:t>M±m</w:t>
      </w:r>
    </w:p>
    <w:tbl>
      <w:tblPr>
        <w:tblW w:w="9651"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115"/>
        <w:gridCol w:w="1134"/>
        <w:gridCol w:w="851"/>
        <w:gridCol w:w="850"/>
        <w:gridCol w:w="851"/>
        <w:gridCol w:w="850"/>
      </w:tblGrid>
      <w:tr w:rsidR="00215BF6" w:rsidRPr="00BE086B" w:rsidTr="00F66F9B">
        <w:trPr>
          <w:trHeight w:val="23"/>
        </w:trPr>
        <w:tc>
          <w:tcPr>
            <w:tcW w:w="5115" w:type="dxa"/>
            <w:vMerge w:val="restart"/>
            <w:shd w:val="clear" w:color="auto" w:fill="auto"/>
          </w:tcPr>
          <w:p w:rsidR="00215BF6" w:rsidRPr="00BE086B" w:rsidRDefault="00215BF6" w:rsidP="00F66F9B">
            <w:pPr>
              <w:jc w:val="center"/>
              <w:rPr>
                <w:b/>
                <w:sz w:val="28"/>
                <w:szCs w:val="28"/>
                <w:lang w:val="uk-UA"/>
              </w:rPr>
            </w:pPr>
            <w:r w:rsidRPr="00BE086B">
              <w:rPr>
                <w:b/>
                <w:sz w:val="28"/>
                <w:szCs w:val="28"/>
                <w:lang w:val="uk-UA" w:eastAsia="ru-RU"/>
              </w:rPr>
              <w:t>Групи тварин</w:t>
            </w:r>
          </w:p>
          <w:p w:rsidR="00215BF6" w:rsidRPr="00BE086B" w:rsidRDefault="00215BF6" w:rsidP="00F66F9B">
            <w:pPr>
              <w:jc w:val="center"/>
              <w:rPr>
                <w:b/>
                <w:sz w:val="28"/>
                <w:szCs w:val="28"/>
                <w:lang w:val="uk-UA"/>
              </w:rPr>
            </w:pPr>
            <w:r w:rsidRPr="00BE086B">
              <w:rPr>
                <w:b/>
                <w:sz w:val="28"/>
                <w:szCs w:val="28"/>
                <w:lang w:val="uk-UA" w:eastAsia="ru-RU"/>
              </w:rPr>
              <w:t xml:space="preserve">(n=40) </w:t>
            </w:r>
          </w:p>
        </w:tc>
        <w:tc>
          <w:tcPr>
            <w:tcW w:w="4536" w:type="dxa"/>
            <w:gridSpan w:val="5"/>
            <w:shd w:val="clear" w:color="auto" w:fill="auto"/>
          </w:tcPr>
          <w:p w:rsidR="00215BF6" w:rsidRPr="00BE086B" w:rsidRDefault="00215BF6" w:rsidP="00F66F9B">
            <w:pPr>
              <w:jc w:val="center"/>
              <w:rPr>
                <w:b/>
                <w:sz w:val="28"/>
                <w:szCs w:val="28"/>
                <w:lang w:val="uk-UA"/>
              </w:rPr>
            </w:pPr>
            <w:r w:rsidRPr="00BE086B">
              <w:rPr>
                <w:b/>
                <w:sz w:val="28"/>
                <w:szCs w:val="28"/>
                <w:lang w:val="uk-UA" w:eastAsia="ru-RU"/>
              </w:rPr>
              <w:t>Первинна захисна реакція, сек</w:t>
            </w:r>
          </w:p>
        </w:tc>
      </w:tr>
      <w:tr w:rsidR="00215BF6" w:rsidRPr="00BE086B" w:rsidTr="00F66F9B">
        <w:trPr>
          <w:trHeight w:val="23"/>
        </w:trPr>
        <w:tc>
          <w:tcPr>
            <w:tcW w:w="5115" w:type="dxa"/>
            <w:vMerge/>
            <w:shd w:val="clear" w:color="auto" w:fill="auto"/>
          </w:tcPr>
          <w:p w:rsidR="00215BF6" w:rsidRPr="00BE086B" w:rsidRDefault="00215BF6" w:rsidP="00F66F9B">
            <w:pPr>
              <w:snapToGrid w:val="0"/>
              <w:rPr>
                <w:b/>
                <w:sz w:val="28"/>
                <w:szCs w:val="28"/>
                <w:lang w:val="uk-UA" w:eastAsia="ru-RU"/>
              </w:rPr>
            </w:pPr>
          </w:p>
        </w:tc>
        <w:tc>
          <w:tcPr>
            <w:tcW w:w="1134" w:type="dxa"/>
            <w:shd w:val="clear" w:color="auto" w:fill="auto"/>
          </w:tcPr>
          <w:p w:rsidR="00215BF6" w:rsidRPr="00BE086B" w:rsidRDefault="00215BF6" w:rsidP="00F66F9B">
            <w:pPr>
              <w:jc w:val="center"/>
              <w:rPr>
                <w:b/>
                <w:sz w:val="28"/>
                <w:szCs w:val="28"/>
                <w:lang w:val="uk-UA"/>
              </w:rPr>
            </w:pPr>
            <w:r w:rsidRPr="00BE086B">
              <w:rPr>
                <w:b/>
                <w:sz w:val="28"/>
                <w:szCs w:val="28"/>
                <w:lang w:val="uk-UA" w:eastAsia="ru-RU"/>
              </w:rPr>
              <w:t xml:space="preserve">ВС </w:t>
            </w:r>
          </w:p>
        </w:tc>
        <w:tc>
          <w:tcPr>
            <w:tcW w:w="851" w:type="dxa"/>
            <w:shd w:val="clear" w:color="auto" w:fill="auto"/>
          </w:tcPr>
          <w:p w:rsidR="00215BF6" w:rsidRPr="00BE086B" w:rsidRDefault="00215BF6" w:rsidP="00F66F9B">
            <w:pPr>
              <w:jc w:val="center"/>
              <w:rPr>
                <w:b/>
                <w:sz w:val="28"/>
                <w:szCs w:val="28"/>
                <w:lang w:val="uk-UA"/>
              </w:rPr>
            </w:pPr>
            <w:r w:rsidRPr="00BE086B">
              <w:rPr>
                <w:b/>
                <w:sz w:val="28"/>
                <w:szCs w:val="28"/>
                <w:lang w:val="uk-UA" w:eastAsia="ru-RU"/>
              </w:rPr>
              <w:t xml:space="preserve">30 хв </w:t>
            </w:r>
          </w:p>
        </w:tc>
        <w:tc>
          <w:tcPr>
            <w:tcW w:w="850" w:type="dxa"/>
            <w:shd w:val="clear" w:color="auto" w:fill="auto"/>
          </w:tcPr>
          <w:p w:rsidR="00215BF6" w:rsidRPr="00BE086B" w:rsidRDefault="00215BF6" w:rsidP="00F66F9B">
            <w:pPr>
              <w:jc w:val="center"/>
              <w:rPr>
                <w:b/>
                <w:sz w:val="28"/>
                <w:szCs w:val="28"/>
                <w:lang w:val="uk-UA"/>
              </w:rPr>
            </w:pPr>
            <w:r w:rsidRPr="00BE086B">
              <w:rPr>
                <w:b/>
                <w:sz w:val="28"/>
                <w:szCs w:val="28"/>
                <w:lang w:val="uk-UA" w:eastAsia="ru-RU"/>
              </w:rPr>
              <w:t xml:space="preserve">60 хв </w:t>
            </w:r>
          </w:p>
        </w:tc>
        <w:tc>
          <w:tcPr>
            <w:tcW w:w="851" w:type="dxa"/>
            <w:shd w:val="clear" w:color="auto" w:fill="auto"/>
          </w:tcPr>
          <w:p w:rsidR="00215BF6" w:rsidRPr="00BE086B" w:rsidRDefault="00215BF6" w:rsidP="00F66F9B">
            <w:pPr>
              <w:jc w:val="center"/>
              <w:rPr>
                <w:b/>
                <w:sz w:val="28"/>
                <w:szCs w:val="28"/>
                <w:lang w:val="uk-UA"/>
              </w:rPr>
            </w:pPr>
            <w:r w:rsidRPr="00BE086B">
              <w:rPr>
                <w:b/>
                <w:sz w:val="28"/>
                <w:szCs w:val="28"/>
                <w:lang w:val="uk-UA" w:eastAsia="ru-RU"/>
              </w:rPr>
              <w:t xml:space="preserve">90 хв </w:t>
            </w:r>
          </w:p>
        </w:tc>
        <w:tc>
          <w:tcPr>
            <w:tcW w:w="850" w:type="dxa"/>
            <w:shd w:val="clear" w:color="auto" w:fill="auto"/>
          </w:tcPr>
          <w:p w:rsidR="00215BF6" w:rsidRPr="00BE086B" w:rsidRDefault="00215BF6" w:rsidP="00F66F9B">
            <w:pPr>
              <w:jc w:val="center"/>
              <w:rPr>
                <w:b/>
                <w:sz w:val="28"/>
                <w:szCs w:val="28"/>
                <w:lang w:val="uk-UA"/>
              </w:rPr>
            </w:pPr>
            <w:r w:rsidRPr="00BE086B">
              <w:rPr>
                <w:b/>
                <w:sz w:val="28"/>
                <w:szCs w:val="28"/>
                <w:lang w:val="uk-UA" w:eastAsia="ru-RU"/>
              </w:rPr>
              <w:t xml:space="preserve">120 хв </w:t>
            </w:r>
          </w:p>
        </w:tc>
      </w:tr>
      <w:tr w:rsidR="00215BF6" w:rsidRPr="00BE086B" w:rsidTr="00F66F9B">
        <w:trPr>
          <w:trHeight w:val="23"/>
        </w:trPr>
        <w:tc>
          <w:tcPr>
            <w:tcW w:w="5115" w:type="dxa"/>
            <w:shd w:val="clear" w:color="auto" w:fill="auto"/>
          </w:tcPr>
          <w:p w:rsidR="00215BF6" w:rsidRPr="00BE086B" w:rsidRDefault="00215BF6" w:rsidP="00F66F9B">
            <w:pPr>
              <w:jc w:val="center"/>
              <w:rPr>
                <w:sz w:val="28"/>
                <w:szCs w:val="28"/>
                <w:lang w:val="uk-UA"/>
              </w:rPr>
            </w:pPr>
            <w:r w:rsidRPr="00BE086B">
              <w:rPr>
                <w:sz w:val="28"/>
                <w:szCs w:val="28"/>
                <w:lang w:val="uk-UA"/>
              </w:rPr>
              <w:t>Група ЕОА + ЕГ</w:t>
            </w:r>
          </w:p>
          <w:p w:rsidR="00215BF6" w:rsidRPr="00BE086B" w:rsidRDefault="00215BF6" w:rsidP="00F66F9B">
            <w:pPr>
              <w:jc w:val="center"/>
              <w:rPr>
                <w:sz w:val="28"/>
                <w:szCs w:val="28"/>
                <w:lang w:val="uk-UA"/>
              </w:rPr>
            </w:pPr>
            <w:r w:rsidRPr="00BE086B">
              <w:rPr>
                <w:sz w:val="28"/>
                <w:szCs w:val="28"/>
                <w:lang w:val="uk-UA"/>
              </w:rPr>
              <w:t>(n=10)</w:t>
            </w:r>
          </w:p>
        </w:tc>
        <w:tc>
          <w:tcPr>
            <w:tcW w:w="1134"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4,3</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0,3</w:t>
            </w:r>
          </w:p>
        </w:tc>
        <w:tc>
          <w:tcPr>
            <w:tcW w:w="851"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4,5</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0,3</w:t>
            </w:r>
          </w:p>
        </w:tc>
        <w:tc>
          <w:tcPr>
            <w:tcW w:w="85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4,4</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0,2</w:t>
            </w:r>
          </w:p>
        </w:tc>
        <w:tc>
          <w:tcPr>
            <w:tcW w:w="851"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4,3</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0,4</w:t>
            </w:r>
          </w:p>
        </w:tc>
        <w:tc>
          <w:tcPr>
            <w:tcW w:w="85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4,7</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0,4</w:t>
            </w:r>
          </w:p>
        </w:tc>
      </w:tr>
      <w:tr w:rsidR="00215BF6" w:rsidRPr="00BE086B" w:rsidTr="00F66F9B">
        <w:trPr>
          <w:trHeight w:val="23"/>
        </w:trPr>
        <w:tc>
          <w:tcPr>
            <w:tcW w:w="5115" w:type="dxa"/>
            <w:shd w:val="clear" w:color="auto" w:fill="auto"/>
          </w:tcPr>
          <w:p w:rsidR="00215BF6" w:rsidRPr="00BE086B" w:rsidRDefault="00215BF6" w:rsidP="00F66F9B">
            <w:pPr>
              <w:pStyle w:val="WW-"/>
              <w:spacing w:after="0" w:line="100" w:lineRule="atLeast"/>
              <w:jc w:val="center"/>
              <w:rPr>
                <w:rFonts w:ascii="Times New Roman" w:hAnsi="Times New Roman" w:cs="Times New Roman"/>
                <w:color w:val="auto"/>
                <w:sz w:val="28"/>
                <w:szCs w:val="28"/>
              </w:rPr>
            </w:pPr>
            <w:r w:rsidRPr="00BE086B">
              <w:rPr>
                <w:rFonts w:ascii="Times New Roman" w:hAnsi="Times New Roman" w:cs="Times New Roman"/>
                <w:color w:val="auto"/>
                <w:sz w:val="28"/>
                <w:szCs w:val="28"/>
              </w:rPr>
              <w:t>ЕОА+ЕГ + Диклофенак натрію</w:t>
            </w:r>
          </w:p>
          <w:p w:rsidR="00215BF6" w:rsidRPr="00BE086B" w:rsidRDefault="00215BF6" w:rsidP="00F66F9B">
            <w:pPr>
              <w:pStyle w:val="WW-"/>
              <w:spacing w:after="0" w:line="100" w:lineRule="atLeast"/>
              <w:jc w:val="center"/>
              <w:rPr>
                <w:rFonts w:ascii="Times New Roman" w:hAnsi="Times New Roman" w:cs="Times New Roman"/>
                <w:color w:val="auto"/>
                <w:sz w:val="28"/>
                <w:szCs w:val="28"/>
              </w:rPr>
            </w:pPr>
            <w:r w:rsidRPr="00BE086B">
              <w:rPr>
                <w:rFonts w:ascii="Times New Roman" w:hAnsi="Times New Roman" w:cs="Times New Roman"/>
                <w:color w:val="auto"/>
                <w:sz w:val="28"/>
                <w:szCs w:val="28"/>
              </w:rPr>
              <w:t xml:space="preserve">10 мг/ кг </w:t>
            </w:r>
            <w:r w:rsidRPr="00BE086B">
              <w:rPr>
                <w:rFonts w:ascii="Times New Roman" w:eastAsia="Times New Roman" w:hAnsi="Times New Roman" w:cs="Times New Roman"/>
                <w:color w:val="auto"/>
                <w:sz w:val="28"/>
                <w:szCs w:val="28"/>
                <w:lang w:eastAsia="ru-RU"/>
              </w:rPr>
              <w:t>(n=10)</w:t>
            </w:r>
          </w:p>
        </w:tc>
        <w:tc>
          <w:tcPr>
            <w:tcW w:w="1134"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4,6</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0,7</w:t>
            </w:r>
          </w:p>
        </w:tc>
        <w:tc>
          <w:tcPr>
            <w:tcW w:w="851"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5,6</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0,9</w:t>
            </w:r>
          </w:p>
        </w:tc>
        <w:tc>
          <w:tcPr>
            <w:tcW w:w="85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6,7*</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0,6</w:t>
            </w:r>
          </w:p>
        </w:tc>
        <w:tc>
          <w:tcPr>
            <w:tcW w:w="851" w:type="dxa"/>
            <w:shd w:val="clear" w:color="auto" w:fill="auto"/>
            <w:vAlign w:val="center"/>
          </w:tcPr>
          <w:p w:rsidR="00215BF6" w:rsidRPr="00BE086B" w:rsidRDefault="00215BF6" w:rsidP="00F66F9B">
            <w:pPr>
              <w:jc w:val="center"/>
              <w:rPr>
                <w:rFonts w:eastAsia="Calibri"/>
                <w:iCs/>
                <w:sz w:val="28"/>
                <w:szCs w:val="28"/>
                <w:lang w:val="uk-UA" w:eastAsia="en-US"/>
              </w:rPr>
            </w:pPr>
            <w:r w:rsidRPr="00BE086B">
              <w:rPr>
                <w:sz w:val="28"/>
                <w:szCs w:val="28"/>
                <w:lang w:val="uk-UA" w:eastAsia="ru-RU"/>
              </w:rPr>
              <w:t>7,68*</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0,3</w:t>
            </w:r>
          </w:p>
        </w:tc>
        <w:tc>
          <w:tcPr>
            <w:tcW w:w="85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5,5</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0,5</w:t>
            </w:r>
          </w:p>
        </w:tc>
      </w:tr>
      <w:tr w:rsidR="00215BF6" w:rsidRPr="00BE086B" w:rsidTr="00F66F9B">
        <w:trPr>
          <w:trHeight w:val="23"/>
        </w:trPr>
        <w:tc>
          <w:tcPr>
            <w:tcW w:w="5115" w:type="dxa"/>
            <w:shd w:val="clear" w:color="auto" w:fill="auto"/>
          </w:tcPr>
          <w:p w:rsidR="00215BF6" w:rsidRPr="00BE086B" w:rsidRDefault="00215BF6" w:rsidP="00F66F9B">
            <w:pPr>
              <w:jc w:val="center"/>
              <w:rPr>
                <w:sz w:val="28"/>
                <w:szCs w:val="28"/>
                <w:lang w:val="uk-UA"/>
              </w:rPr>
            </w:pPr>
            <w:r w:rsidRPr="00BE086B">
              <w:rPr>
                <w:sz w:val="28"/>
                <w:szCs w:val="28"/>
                <w:lang w:val="uk-UA"/>
              </w:rPr>
              <w:t>ЕОА+ЕГ + Хондроїтин сульфат</w:t>
            </w:r>
          </w:p>
          <w:p w:rsidR="00215BF6" w:rsidRPr="00BE086B" w:rsidRDefault="00215BF6" w:rsidP="00DF06B2">
            <w:pPr>
              <w:jc w:val="center"/>
              <w:rPr>
                <w:sz w:val="28"/>
                <w:szCs w:val="28"/>
                <w:lang w:val="uk-UA"/>
              </w:rPr>
            </w:pPr>
            <w:r w:rsidRPr="00BE086B">
              <w:rPr>
                <w:sz w:val="28"/>
                <w:szCs w:val="28"/>
                <w:lang w:val="uk-UA"/>
              </w:rPr>
              <w:t>35 мг/кг</w:t>
            </w:r>
            <w:r w:rsidRPr="00BE086B">
              <w:rPr>
                <w:sz w:val="28"/>
                <w:szCs w:val="28"/>
                <w:lang w:val="uk-UA" w:eastAsia="ru-RU"/>
              </w:rPr>
              <w:t xml:space="preserve"> (n=10)</w:t>
            </w:r>
          </w:p>
        </w:tc>
        <w:tc>
          <w:tcPr>
            <w:tcW w:w="1134"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4,2</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0,3</w:t>
            </w:r>
          </w:p>
        </w:tc>
        <w:tc>
          <w:tcPr>
            <w:tcW w:w="851"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4,6</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0,6</w:t>
            </w:r>
          </w:p>
        </w:tc>
        <w:tc>
          <w:tcPr>
            <w:tcW w:w="85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5,0*</w:t>
            </w:r>
          </w:p>
          <w:p w:rsidR="00215BF6" w:rsidRPr="00BE086B" w:rsidRDefault="00215BF6" w:rsidP="00F66F9B">
            <w:pPr>
              <w:jc w:val="center"/>
              <w:rPr>
                <w:sz w:val="28"/>
                <w:szCs w:val="28"/>
                <w:lang w:val="uk-UA" w:eastAsia="ru-RU"/>
              </w:rPr>
            </w:pPr>
            <w:r w:rsidRPr="00BE086B">
              <w:rPr>
                <w:sz w:val="28"/>
                <w:szCs w:val="28"/>
                <w:lang w:val="uk-UA"/>
              </w:rPr>
              <w:t>±</w:t>
            </w:r>
            <w:r w:rsidRPr="00BE086B">
              <w:rPr>
                <w:sz w:val="28"/>
                <w:szCs w:val="28"/>
                <w:lang w:val="uk-UA" w:eastAsia="ru-RU"/>
              </w:rPr>
              <w:t>0,2</w:t>
            </w:r>
          </w:p>
        </w:tc>
        <w:tc>
          <w:tcPr>
            <w:tcW w:w="851"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4,6</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0,5</w:t>
            </w:r>
          </w:p>
        </w:tc>
        <w:tc>
          <w:tcPr>
            <w:tcW w:w="85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4,5</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0,6</w:t>
            </w:r>
          </w:p>
        </w:tc>
      </w:tr>
      <w:tr w:rsidR="00215BF6" w:rsidRPr="00BE086B" w:rsidTr="00F66F9B">
        <w:trPr>
          <w:trHeight w:val="23"/>
        </w:trPr>
        <w:tc>
          <w:tcPr>
            <w:tcW w:w="5115" w:type="dxa"/>
            <w:shd w:val="clear" w:color="auto" w:fill="auto"/>
          </w:tcPr>
          <w:p w:rsidR="00215BF6" w:rsidRPr="00BE086B" w:rsidRDefault="00215BF6" w:rsidP="00F66F9B">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ЕОА+ЕГ + Диклофенак натрію</w:t>
            </w:r>
          </w:p>
          <w:p w:rsidR="00215BF6" w:rsidRPr="00BE086B" w:rsidRDefault="00215BF6" w:rsidP="00F66F9B">
            <w:pPr>
              <w:pStyle w:val="WW-"/>
              <w:spacing w:after="0" w:line="100" w:lineRule="atLeast"/>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10 мг/ кг + Хондроїтин сульфат</w:t>
            </w:r>
          </w:p>
          <w:p w:rsidR="00215BF6" w:rsidRPr="00BE086B" w:rsidRDefault="00215BF6" w:rsidP="00F66F9B">
            <w:pPr>
              <w:jc w:val="center"/>
              <w:rPr>
                <w:sz w:val="28"/>
                <w:szCs w:val="28"/>
                <w:lang w:val="uk-UA"/>
              </w:rPr>
            </w:pPr>
            <w:r w:rsidRPr="00BE086B">
              <w:rPr>
                <w:sz w:val="28"/>
                <w:szCs w:val="28"/>
                <w:lang w:val="uk-UA"/>
              </w:rPr>
              <w:t xml:space="preserve">35 мг/кг + L-тироксин </w:t>
            </w:r>
            <w:r w:rsidRPr="00BE086B">
              <w:rPr>
                <w:sz w:val="28"/>
                <w:szCs w:val="28"/>
                <w:lang w:val="uk-UA" w:eastAsia="ru-RU"/>
              </w:rPr>
              <w:t>(n=10)</w:t>
            </w:r>
          </w:p>
        </w:tc>
        <w:tc>
          <w:tcPr>
            <w:tcW w:w="1134"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4,1</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0,4</w:t>
            </w:r>
          </w:p>
        </w:tc>
        <w:tc>
          <w:tcPr>
            <w:tcW w:w="851"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4,9</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0,8</w:t>
            </w:r>
          </w:p>
        </w:tc>
        <w:tc>
          <w:tcPr>
            <w:tcW w:w="850" w:type="dxa"/>
            <w:shd w:val="clear" w:color="auto" w:fill="auto"/>
            <w:vAlign w:val="center"/>
          </w:tcPr>
          <w:p w:rsidR="00215BF6" w:rsidRPr="00BE086B" w:rsidRDefault="00215BF6" w:rsidP="00F66F9B">
            <w:pPr>
              <w:snapToGrid w:val="0"/>
              <w:jc w:val="center"/>
              <w:rPr>
                <w:sz w:val="28"/>
                <w:szCs w:val="28"/>
                <w:lang w:val="uk-UA" w:eastAsia="ru-RU"/>
              </w:rPr>
            </w:pPr>
            <w:r w:rsidRPr="00BE086B">
              <w:rPr>
                <w:sz w:val="28"/>
                <w:szCs w:val="28"/>
                <w:lang w:val="uk-UA" w:eastAsia="ru-RU"/>
              </w:rPr>
              <w:t>7,1*</w:t>
            </w:r>
            <w:r w:rsidRPr="00BE086B">
              <w:rPr>
                <w:rFonts w:eastAsia="Calibri"/>
                <w:iCs/>
                <w:sz w:val="28"/>
                <w:szCs w:val="28"/>
                <w:lang w:val="uk-UA" w:eastAsia="en-US"/>
              </w:rPr>
              <w:t>¤</w:t>
            </w:r>
          </w:p>
          <w:p w:rsidR="00215BF6" w:rsidRPr="00BE086B" w:rsidRDefault="00215BF6" w:rsidP="00F66F9B">
            <w:pPr>
              <w:snapToGrid w:val="0"/>
              <w:jc w:val="center"/>
              <w:rPr>
                <w:sz w:val="28"/>
                <w:szCs w:val="28"/>
                <w:lang w:val="uk-UA" w:eastAsia="ru-RU"/>
              </w:rPr>
            </w:pPr>
            <w:r w:rsidRPr="00BE086B">
              <w:rPr>
                <w:sz w:val="28"/>
                <w:szCs w:val="28"/>
                <w:lang w:val="uk-UA"/>
              </w:rPr>
              <w:t>±0,4</w:t>
            </w:r>
          </w:p>
        </w:tc>
        <w:tc>
          <w:tcPr>
            <w:tcW w:w="851"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7,4*</w:t>
            </w:r>
            <w:r w:rsidRPr="00BE086B">
              <w:rPr>
                <w:rFonts w:eastAsia="Calibri"/>
                <w:iCs/>
                <w:sz w:val="28"/>
                <w:szCs w:val="28"/>
                <w:lang w:val="uk-UA" w:eastAsia="en-US"/>
              </w:rPr>
              <w:t>¤</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0,3</w:t>
            </w:r>
          </w:p>
        </w:tc>
        <w:tc>
          <w:tcPr>
            <w:tcW w:w="85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5,4*</w:t>
            </w:r>
          </w:p>
          <w:p w:rsidR="00215BF6" w:rsidRPr="00BE086B" w:rsidRDefault="00215BF6" w:rsidP="00F66F9B">
            <w:pPr>
              <w:jc w:val="center"/>
              <w:rPr>
                <w:sz w:val="28"/>
                <w:szCs w:val="28"/>
                <w:lang w:val="uk-UA" w:eastAsia="ru-RU"/>
              </w:rPr>
            </w:pPr>
            <w:r w:rsidRPr="00BE086B">
              <w:rPr>
                <w:sz w:val="28"/>
                <w:szCs w:val="28"/>
                <w:lang w:val="uk-UA"/>
              </w:rPr>
              <w:t>±</w:t>
            </w:r>
            <w:r w:rsidRPr="00BE086B">
              <w:rPr>
                <w:sz w:val="28"/>
                <w:szCs w:val="28"/>
                <w:lang w:val="uk-UA" w:eastAsia="ru-RU"/>
              </w:rPr>
              <w:t>0,3</w:t>
            </w:r>
          </w:p>
        </w:tc>
      </w:tr>
    </w:tbl>
    <w:p w:rsidR="00BF1B3F" w:rsidRDefault="00BF1B3F" w:rsidP="00215BF6">
      <w:pPr>
        <w:suppressAutoHyphens w:val="0"/>
        <w:spacing w:line="360" w:lineRule="auto"/>
        <w:ind w:firstLine="709"/>
        <w:jc w:val="both"/>
        <w:rPr>
          <w:b/>
          <w:bCs/>
          <w:iCs/>
          <w:sz w:val="28"/>
          <w:szCs w:val="28"/>
          <w:lang w:val="uk-UA"/>
        </w:rPr>
      </w:pPr>
    </w:p>
    <w:p w:rsidR="00215BF6" w:rsidRPr="00BE086B" w:rsidRDefault="00215BF6" w:rsidP="00215BF6">
      <w:pPr>
        <w:suppressAutoHyphens w:val="0"/>
        <w:spacing w:line="360" w:lineRule="auto"/>
        <w:ind w:firstLine="709"/>
        <w:jc w:val="both"/>
        <w:rPr>
          <w:sz w:val="28"/>
          <w:szCs w:val="28"/>
          <w:lang w:val="uk-UA"/>
        </w:rPr>
      </w:pPr>
      <w:r w:rsidRPr="00BE086B">
        <w:rPr>
          <w:b/>
          <w:bCs/>
          <w:iCs/>
          <w:sz w:val="28"/>
          <w:szCs w:val="28"/>
          <w:lang w:val="uk-UA"/>
        </w:rPr>
        <w:t>Примітки:</w:t>
      </w:r>
      <w:r w:rsidRPr="00BE086B">
        <w:rPr>
          <w:iCs/>
          <w:sz w:val="28"/>
          <w:szCs w:val="28"/>
          <w:lang w:val="uk-UA"/>
        </w:rPr>
        <w:t xml:space="preserve"> * - р </w:t>
      </w:r>
      <w:r w:rsidRPr="00BE086B">
        <w:rPr>
          <w:sz w:val="28"/>
          <w:szCs w:val="28"/>
          <w:lang w:val="uk-UA" w:eastAsia="ru-RU"/>
        </w:rPr>
        <w:t>&lt;</w:t>
      </w:r>
      <w:r w:rsidRPr="00BE086B">
        <w:rPr>
          <w:iCs/>
          <w:sz w:val="28"/>
          <w:szCs w:val="28"/>
          <w:lang w:val="uk-UA"/>
        </w:rPr>
        <w:t xml:space="preserve"> 0,05 по відношенню до ПБЧ у вихідному стані (ВС);</w:t>
      </w:r>
    </w:p>
    <w:p w:rsidR="00215BF6" w:rsidRPr="00BE086B" w:rsidRDefault="00215BF6" w:rsidP="00215BF6">
      <w:pPr>
        <w:spacing w:line="360" w:lineRule="auto"/>
        <w:ind w:firstLine="709"/>
        <w:jc w:val="both"/>
        <w:rPr>
          <w:sz w:val="28"/>
          <w:szCs w:val="28"/>
          <w:lang w:val="uk-UA"/>
        </w:rPr>
      </w:pPr>
      <w:r w:rsidRPr="00BE086B">
        <w:rPr>
          <w:rFonts w:eastAsia="Calibri"/>
          <w:iCs/>
          <w:sz w:val="28"/>
          <w:szCs w:val="28"/>
          <w:lang w:val="uk-UA" w:eastAsia="en-US"/>
        </w:rPr>
        <w:t xml:space="preserve">¤ - р </w:t>
      </w:r>
      <w:r w:rsidRPr="00BE086B">
        <w:rPr>
          <w:sz w:val="28"/>
          <w:szCs w:val="28"/>
          <w:lang w:val="uk-UA" w:eastAsia="ru-RU"/>
        </w:rPr>
        <w:t>&lt;</w:t>
      </w:r>
      <w:r w:rsidRPr="00BE086B">
        <w:rPr>
          <w:rFonts w:eastAsia="Calibri"/>
          <w:iCs/>
          <w:sz w:val="28"/>
          <w:szCs w:val="28"/>
          <w:lang w:val="uk-UA" w:eastAsia="en-US"/>
        </w:rPr>
        <w:t xml:space="preserve"> 0,05 у порівнянні з показниками групи активного контролю (ЕОА+ЕГ</w:t>
      </w:r>
      <w:r w:rsidRPr="00BE086B">
        <w:rPr>
          <w:sz w:val="28"/>
          <w:szCs w:val="28"/>
          <w:lang w:val="uk-UA"/>
        </w:rPr>
        <w:t>).</w:t>
      </w:r>
    </w:p>
    <w:p w:rsidR="00215BF6" w:rsidRPr="00BE086B" w:rsidRDefault="00215BF6" w:rsidP="00215BF6">
      <w:pPr>
        <w:spacing w:line="360" w:lineRule="auto"/>
        <w:ind w:firstLine="709"/>
        <w:jc w:val="both"/>
        <w:rPr>
          <w:sz w:val="28"/>
          <w:szCs w:val="28"/>
          <w:lang w:val="uk-UA" w:eastAsia="ru-RU"/>
        </w:rPr>
      </w:pPr>
    </w:p>
    <w:p w:rsidR="00215BF6" w:rsidRPr="00BE086B" w:rsidRDefault="00215BF6" w:rsidP="00215BF6">
      <w:pPr>
        <w:tabs>
          <w:tab w:val="left" w:pos="2251"/>
        </w:tabs>
        <w:spacing w:line="360" w:lineRule="auto"/>
        <w:ind w:firstLine="709"/>
        <w:jc w:val="both"/>
        <w:rPr>
          <w:sz w:val="28"/>
          <w:szCs w:val="28"/>
          <w:lang w:val="uk-UA"/>
        </w:rPr>
      </w:pPr>
      <w:r w:rsidRPr="00BE086B">
        <w:rPr>
          <w:sz w:val="28"/>
          <w:szCs w:val="28"/>
          <w:lang w:val="uk-UA" w:eastAsia="ru-RU"/>
        </w:rPr>
        <w:lastRenderedPageBreak/>
        <w:t xml:space="preserve">Другий складовий компонент - </w:t>
      </w:r>
      <w:r w:rsidRPr="00BE086B">
        <w:rPr>
          <w:sz w:val="28"/>
          <w:szCs w:val="28"/>
          <w:lang w:val="uk-UA"/>
        </w:rPr>
        <w:t xml:space="preserve">хондроїтин сульфат </w:t>
      </w:r>
      <w:r w:rsidRPr="00BE086B">
        <w:rPr>
          <w:sz w:val="28"/>
          <w:szCs w:val="28"/>
          <w:lang w:val="uk-UA" w:eastAsia="ru-RU"/>
        </w:rPr>
        <w:t xml:space="preserve">в цьому тесті показав себе більш слабким анальгетиком. Спостерігалось статистично значиме </w:t>
      </w:r>
      <w:r w:rsidRPr="00BE086B">
        <w:rPr>
          <w:sz w:val="28"/>
          <w:szCs w:val="28"/>
          <w:lang w:eastAsia="ru-RU"/>
        </w:rPr>
        <w:t>(р</w:t>
      </w:r>
      <w:r w:rsidRPr="00BE086B">
        <w:rPr>
          <w:sz w:val="28"/>
          <w:szCs w:val="28"/>
          <w:lang w:val="uk-UA" w:eastAsia="ru-RU"/>
        </w:rPr>
        <w:t> </w:t>
      </w:r>
      <w:r w:rsidRPr="00BE086B">
        <w:rPr>
          <w:sz w:val="28"/>
          <w:szCs w:val="28"/>
          <w:lang w:eastAsia="ru-RU"/>
        </w:rPr>
        <w:t>&lt;</w:t>
      </w:r>
      <w:r w:rsidRPr="00BE086B">
        <w:rPr>
          <w:sz w:val="28"/>
          <w:szCs w:val="28"/>
          <w:lang w:val="uk-UA" w:eastAsia="ru-RU"/>
        </w:rPr>
        <w:t> </w:t>
      </w:r>
      <w:r w:rsidRPr="00BE086B">
        <w:rPr>
          <w:sz w:val="28"/>
          <w:szCs w:val="28"/>
          <w:lang w:eastAsia="ru-RU"/>
        </w:rPr>
        <w:t>0,05)</w:t>
      </w:r>
      <w:r w:rsidRPr="00BE086B">
        <w:rPr>
          <w:sz w:val="28"/>
          <w:szCs w:val="28"/>
          <w:lang w:val="uk-UA" w:eastAsia="ru-RU"/>
        </w:rPr>
        <w:t xml:space="preserve"> підвищення порога болю у 1,19 рази після його одноразового введення та спостерігалося воно тільки на 60 хвилині після введення (табл. 7.7).</w:t>
      </w:r>
    </w:p>
    <w:p w:rsidR="00215BF6" w:rsidRPr="00BE086B" w:rsidRDefault="00215BF6" w:rsidP="00215BF6">
      <w:pPr>
        <w:spacing w:line="360" w:lineRule="auto"/>
        <w:ind w:firstLine="709"/>
        <w:jc w:val="both"/>
        <w:rPr>
          <w:sz w:val="28"/>
          <w:szCs w:val="28"/>
          <w:lang w:val="uk-UA" w:eastAsia="ru-RU"/>
        </w:rPr>
      </w:pPr>
      <w:r w:rsidRPr="00BE086B">
        <w:rPr>
          <w:sz w:val="28"/>
          <w:szCs w:val="28"/>
          <w:lang w:val="uk-UA" w:eastAsia="ru-RU"/>
        </w:rPr>
        <w:t>Комбінація зазначених препаратів в досліджуваних дозах виявляла більш виражену, у порівнянні з диклофенаком натрію, знеболювальну дію. Так, больовий поріг на фоні введення комбінації препаратів підвищувався на 60-й хвилині у 1,73 рази (р &lt; 0,05), достигаючи максимуму на 90 хвилині після введення.</w:t>
      </w:r>
    </w:p>
    <w:p w:rsidR="00215BF6" w:rsidRPr="00BE086B" w:rsidRDefault="00215BF6" w:rsidP="00215BF6">
      <w:pPr>
        <w:spacing w:line="360" w:lineRule="auto"/>
        <w:ind w:firstLine="709"/>
        <w:jc w:val="both"/>
        <w:rPr>
          <w:sz w:val="28"/>
          <w:szCs w:val="28"/>
          <w:lang w:val="uk-UA"/>
        </w:rPr>
      </w:pPr>
      <w:r w:rsidRPr="00BE086B">
        <w:rPr>
          <w:sz w:val="28"/>
          <w:szCs w:val="28"/>
          <w:lang w:val="uk-UA"/>
        </w:rPr>
        <w:t xml:space="preserve">Зміни </w:t>
      </w:r>
      <w:r w:rsidRPr="00BE086B">
        <w:rPr>
          <w:bCs/>
          <w:sz w:val="28"/>
          <w:szCs w:val="28"/>
          <w:lang w:val="uk-UA" w:eastAsia="ru-RU"/>
        </w:rPr>
        <w:t>больового порогу в тесті термоподразнення хвоста щура</w:t>
      </w:r>
      <w:r w:rsidRPr="00BE086B">
        <w:rPr>
          <w:sz w:val="28"/>
          <w:szCs w:val="28"/>
          <w:lang w:val="uk-UA"/>
        </w:rPr>
        <w:t xml:space="preserve"> при призначенні лікарських засобів </w:t>
      </w:r>
      <w:r w:rsidRPr="00BE086B">
        <w:rPr>
          <w:sz w:val="28"/>
          <w:szCs w:val="28"/>
          <w:lang w:eastAsia="ru-RU"/>
        </w:rPr>
        <w:t xml:space="preserve">по відношенню до </w:t>
      </w:r>
      <w:r w:rsidRPr="00BE086B">
        <w:rPr>
          <w:sz w:val="28"/>
          <w:szCs w:val="28"/>
          <w:lang w:val="uk-UA" w:eastAsia="ru-RU"/>
        </w:rPr>
        <w:t xml:space="preserve">відповідних </w:t>
      </w:r>
      <w:r w:rsidRPr="00BE086B">
        <w:rPr>
          <w:rFonts w:eastAsia="Microsoft YaHei"/>
          <w:iCs/>
          <w:sz w:val="28"/>
          <w:szCs w:val="28"/>
          <w:lang w:val="uk-UA" w:eastAsia="ru-RU"/>
        </w:rPr>
        <w:t xml:space="preserve">показників </w:t>
      </w:r>
      <w:r w:rsidRPr="00BE086B">
        <w:rPr>
          <w:sz w:val="28"/>
          <w:szCs w:val="28"/>
          <w:lang w:val="uk-UA" w:eastAsia="ru-RU"/>
        </w:rPr>
        <w:t>групи активного контролю (ЕОА + ЕГ) представлені на рис. 7.7.</w:t>
      </w:r>
    </w:p>
    <w:p w:rsidR="00215BF6" w:rsidRPr="00BE086B" w:rsidRDefault="00F12AD5" w:rsidP="00215BF6">
      <w:pPr>
        <w:spacing w:line="360" w:lineRule="auto"/>
        <w:jc w:val="center"/>
        <w:rPr>
          <w:sz w:val="28"/>
          <w:szCs w:val="28"/>
        </w:rPr>
      </w:pPr>
      <w:r>
        <w:rPr>
          <w:noProof/>
          <w:sz w:val="28"/>
          <w:szCs w:val="28"/>
          <w:lang w:eastAsia="ru-RU"/>
        </w:rPr>
        <w:drawing>
          <wp:inline distT="0" distB="0" distL="0" distR="0">
            <wp:extent cx="5932800" cy="33912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7.7.jpg"/>
                    <pic:cNvPicPr/>
                  </pic:nvPicPr>
                  <pic:blipFill>
                    <a:blip r:embed="rId52">
                      <a:extLst>
                        <a:ext uri="{28A0092B-C50C-407E-A947-70E740481C1C}">
                          <a14:useLocalDpi xmlns:a14="http://schemas.microsoft.com/office/drawing/2010/main" val="0"/>
                        </a:ext>
                      </a:extLst>
                    </a:blip>
                    <a:stretch>
                      <a:fillRect/>
                    </a:stretch>
                  </pic:blipFill>
                  <pic:spPr>
                    <a:xfrm>
                      <a:off x="0" y="0"/>
                      <a:ext cx="5932800" cy="3391200"/>
                    </a:xfrm>
                    <a:prstGeom prst="rect">
                      <a:avLst/>
                    </a:prstGeom>
                  </pic:spPr>
                </pic:pic>
              </a:graphicData>
            </a:graphic>
          </wp:inline>
        </w:drawing>
      </w:r>
    </w:p>
    <w:p w:rsidR="00215BF6" w:rsidRPr="00BE086B" w:rsidRDefault="00215BF6" w:rsidP="00215BF6">
      <w:pPr>
        <w:spacing w:line="360" w:lineRule="auto"/>
        <w:ind w:firstLine="709"/>
        <w:jc w:val="both"/>
        <w:rPr>
          <w:sz w:val="28"/>
          <w:szCs w:val="28"/>
          <w:lang w:val="uk-UA"/>
        </w:rPr>
      </w:pPr>
      <w:r w:rsidRPr="00BE086B">
        <w:rPr>
          <w:b/>
          <w:sz w:val="28"/>
          <w:szCs w:val="28"/>
          <w:lang w:val="uk-UA"/>
        </w:rPr>
        <w:t>Рис. 7.7.</w:t>
      </w:r>
      <w:r w:rsidRPr="00BE086B">
        <w:rPr>
          <w:sz w:val="28"/>
          <w:szCs w:val="28"/>
          <w:lang w:val="uk-UA"/>
        </w:rPr>
        <w:t xml:space="preserve"> Зміни </w:t>
      </w:r>
      <w:r w:rsidRPr="00BE086B">
        <w:rPr>
          <w:bCs/>
          <w:sz w:val="28"/>
          <w:szCs w:val="28"/>
          <w:lang w:val="uk-UA" w:eastAsia="ru-RU"/>
        </w:rPr>
        <w:t>больового порогу в тесті термоподразнення хвоста щура</w:t>
      </w:r>
      <w:r w:rsidRPr="00BE086B">
        <w:rPr>
          <w:sz w:val="28"/>
          <w:szCs w:val="28"/>
          <w:lang w:val="uk-UA"/>
        </w:rPr>
        <w:t xml:space="preserve"> при призначенні лікарських засобів (у % відносно </w:t>
      </w:r>
      <w:r w:rsidRPr="00BE086B">
        <w:rPr>
          <w:bCs/>
          <w:sz w:val="28"/>
          <w:szCs w:val="28"/>
          <w:lang w:val="uk-UA"/>
        </w:rPr>
        <w:t>групи ЕОА + ЕГ)</w:t>
      </w:r>
      <w:r w:rsidR="00DF06B2" w:rsidRPr="00BE086B">
        <w:rPr>
          <w:bCs/>
          <w:sz w:val="28"/>
          <w:szCs w:val="28"/>
          <w:lang w:val="uk-UA"/>
        </w:rPr>
        <w:t>.</w:t>
      </w:r>
    </w:p>
    <w:p w:rsidR="00215BF6" w:rsidRPr="00BE086B" w:rsidRDefault="00215BF6" w:rsidP="00215BF6">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5</w:t>
      </w:r>
      <w:r w:rsidRPr="00BE086B">
        <w:rPr>
          <w:sz w:val="28"/>
          <w:szCs w:val="28"/>
          <w:lang w:eastAsia="ru-RU"/>
        </w:rPr>
        <w:t xml:space="preserve"> по відношенню до </w:t>
      </w:r>
      <w:r w:rsidRPr="00BE086B">
        <w:rPr>
          <w:rFonts w:eastAsia="Microsoft YaHei"/>
          <w:iCs/>
          <w:sz w:val="28"/>
          <w:szCs w:val="28"/>
          <w:lang w:val="uk-UA" w:eastAsia="ru-RU"/>
        </w:rPr>
        <w:t xml:space="preserve">показника </w:t>
      </w:r>
      <w:r w:rsidRPr="00BE086B">
        <w:rPr>
          <w:sz w:val="28"/>
          <w:szCs w:val="28"/>
          <w:lang w:val="uk-UA" w:eastAsia="ru-RU"/>
        </w:rPr>
        <w:t>групи активного контролю (ЕОА + ЕГ).</w:t>
      </w:r>
    </w:p>
    <w:p w:rsidR="00215BF6" w:rsidRPr="00BE086B" w:rsidRDefault="00215BF6" w:rsidP="00215BF6">
      <w:pPr>
        <w:spacing w:line="360" w:lineRule="auto"/>
        <w:jc w:val="both"/>
        <w:rPr>
          <w:sz w:val="28"/>
          <w:szCs w:val="28"/>
          <w:lang w:val="uk-UA"/>
        </w:rPr>
      </w:pPr>
    </w:p>
    <w:p w:rsidR="00215BF6" w:rsidRPr="00BE086B" w:rsidRDefault="00215BF6" w:rsidP="00215BF6">
      <w:pPr>
        <w:spacing w:line="360" w:lineRule="auto"/>
        <w:ind w:firstLine="709"/>
        <w:jc w:val="both"/>
        <w:rPr>
          <w:sz w:val="28"/>
          <w:szCs w:val="28"/>
          <w:lang w:val="uk-UA"/>
        </w:rPr>
      </w:pPr>
      <w:r w:rsidRPr="00BE086B">
        <w:rPr>
          <w:sz w:val="28"/>
          <w:szCs w:val="28"/>
          <w:lang w:val="uk-UA" w:eastAsia="ru-RU"/>
        </w:rPr>
        <w:lastRenderedPageBreak/>
        <w:t>Швидка рефлекторна реакція відсмикування хвоста здійснюється в основному із залученням спінальних механізмів. Тому гальмування цього рефлексу демонструє можливості спінальної аналгезії, яка добре виражена при використанні даної комбінації (табл. 7.7).</w:t>
      </w:r>
    </w:p>
    <w:p w:rsidR="00215BF6" w:rsidRPr="00BE086B" w:rsidRDefault="00215BF6" w:rsidP="00215BF6">
      <w:pPr>
        <w:spacing w:line="360" w:lineRule="auto"/>
        <w:ind w:firstLine="709"/>
        <w:jc w:val="both"/>
        <w:rPr>
          <w:sz w:val="28"/>
          <w:szCs w:val="28"/>
          <w:lang w:val="uk-UA"/>
        </w:rPr>
      </w:pPr>
      <w:r w:rsidRPr="00BE086B">
        <w:rPr>
          <w:sz w:val="28"/>
          <w:szCs w:val="28"/>
          <w:lang w:val="uk-UA" w:eastAsia="ru-RU"/>
        </w:rPr>
        <w:t>Таким чином, встановлено, що комбінація, яка містить диклофенак натрію, хондроїтину сульфат та L-тироксин, виявляла більш виражений знеболювальний ефект, який перевищував за силою аналгезуючу дію, яка надається монопрепаратами комбінації.</w:t>
      </w:r>
    </w:p>
    <w:p w:rsidR="00215BF6" w:rsidRPr="00BE086B" w:rsidRDefault="00215BF6" w:rsidP="00215BF6">
      <w:pPr>
        <w:pStyle w:val="WW-"/>
        <w:spacing w:after="0" w:line="360" w:lineRule="auto"/>
        <w:ind w:firstLine="709"/>
        <w:jc w:val="both"/>
        <w:rPr>
          <w:rFonts w:ascii="Times New Roman" w:eastAsia="Times New Roman" w:hAnsi="Times New Roman" w:cs="Times New Roman"/>
          <w:b/>
          <w:bCs/>
          <w:color w:val="auto"/>
          <w:sz w:val="28"/>
          <w:szCs w:val="28"/>
          <w:lang w:val="uk-UA" w:eastAsia="ru-RU"/>
        </w:rPr>
      </w:pPr>
    </w:p>
    <w:p w:rsidR="00215BF6" w:rsidRPr="00BE086B" w:rsidRDefault="00215BF6" w:rsidP="00215BF6">
      <w:pPr>
        <w:pStyle w:val="WW-"/>
        <w:spacing w:after="0" w:line="360" w:lineRule="auto"/>
        <w:ind w:firstLine="709"/>
        <w:jc w:val="both"/>
        <w:rPr>
          <w:rFonts w:ascii="Times New Roman" w:hAnsi="Times New Roman" w:cs="Times New Roman"/>
          <w:b/>
          <w:color w:val="auto"/>
          <w:sz w:val="28"/>
          <w:szCs w:val="28"/>
          <w:lang w:val="uk-UA"/>
        </w:rPr>
      </w:pPr>
      <w:r w:rsidRPr="00BE086B">
        <w:rPr>
          <w:rFonts w:ascii="Times New Roman" w:eastAsia="Times New Roman" w:hAnsi="Times New Roman" w:cs="Times New Roman"/>
          <w:b/>
          <w:bCs/>
          <w:color w:val="auto"/>
          <w:sz w:val="28"/>
          <w:szCs w:val="28"/>
          <w:lang w:val="uk-UA" w:eastAsia="ru-RU"/>
        </w:rPr>
        <w:t xml:space="preserve">7.2.3. </w:t>
      </w:r>
      <w:r w:rsidRPr="00BE086B">
        <w:rPr>
          <w:rFonts w:ascii="Times New Roman" w:hAnsi="Times New Roman" w:cs="Times New Roman"/>
          <w:b/>
          <w:bCs/>
          <w:color w:val="auto"/>
          <w:sz w:val="28"/>
          <w:szCs w:val="28"/>
          <w:lang w:val="uk-UA" w:eastAsia="ru-RU"/>
        </w:rPr>
        <w:t>Дослідження аналгетичної активності досліджуваної комбінації на моделі «оцтовокислих корчів»</w:t>
      </w:r>
    </w:p>
    <w:p w:rsidR="00215BF6" w:rsidRPr="00BE086B" w:rsidRDefault="00215BF6" w:rsidP="00215BF6">
      <w:pPr>
        <w:spacing w:line="360" w:lineRule="auto"/>
        <w:ind w:firstLine="709"/>
        <w:jc w:val="both"/>
        <w:rPr>
          <w:bCs/>
          <w:sz w:val="28"/>
          <w:szCs w:val="28"/>
          <w:lang w:val="uk-UA" w:eastAsia="ru-RU"/>
        </w:rPr>
      </w:pPr>
    </w:p>
    <w:p w:rsidR="00215BF6" w:rsidRPr="00BE086B" w:rsidRDefault="00215BF6" w:rsidP="00215BF6">
      <w:pPr>
        <w:spacing w:line="360" w:lineRule="auto"/>
        <w:ind w:firstLine="709"/>
        <w:jc w:val="both"/>
        <w:rPr>
          <w:sz w:val="28"/>
          <w:szCs w:val="28"/>
          <w:lang w:val="uk-UA"/>
        </w:rPr>
      </w:pPr>
      <w:r w:rsidRPr="00BE086B">
        <w:rPr>
          <w:sz w:val="28"/>
          <w:szCs w:val="28"/>
          <w:lang w:val="uk-UA" w:eastAsia="ru-RU"/>
        </w:rPr>
        <w:t>Для вивчення периферичних механізмів аналгетичної дії досліджуваної комбінації препаратів нами використана модель периферичного болю - «оцтовокислі корчі», в основі яких лежить хімічне больове подразнення</w:t>
      </w:r>
      <w:r w:rsidR="00FE5E6D" w:rsidRPr="00BE086B">
        <w:rPr>
          <w:sz w:val="28"/>
          <w:szCs w:val="28"/>
          <w:lang w:val="uk-UA" w:eastAsia="ru-RU"/>
        </w:rPr>
        <w:t xml:space="preserve"> </w:t>
      </w:r>
      <w:r w:rsidR="00FE5E6D" w:rsidRPr="00BE086B">
        <w:rPr>
          <w:bCs/>
          <w:sz w:val="28"/>
          <w:szCs w:val="28"/>
          <w:lang w:val="uk-UA"/>
        </w:rPr>
        <w:t>[360]</w:t>
      </w:r>
      <w:r w:rsidRPr="00BE086B">
        <w:rPr>
          <w:sz w:val="28"/>
          <w:szCs w:val="28"/>
          <w:lang w:val="uk-UA" w:eastAsia="ru-RU"/>
        </w:rPr>
        <w:t>.</w:t>
      </w:r>
    </w:p>
    <w:p w:rsidR="00215BF6" w:rsidRPr="00BE086B" w:rsidRDefault="00215BF6" w:rsidP="00215BF6">
      <w:pPr>
        <w:pStyle w:val="WW-"/>
        <w:spacing w:after="0" w:line="360" w:lineRule="auto"/>
        <w:ind w:firstLine="709"/>
        <w:jc w:val="both"/>
        <w:rPr>
          <w:rFonts w:ascii="Times New Roman" w:hAnsi="Times New Roman" w:cs="Times New Roman"/>
          <w:color w:val="auto"/>
          <w:sz w:val="28"/>
          <w:szCs w:val="28"/>
        </w:rPr>
      </w:pPr>
      <w:r w:rsidRPr="00BE086B">
        <w:rPr>
          <w:rFonts w:ascii="Times New Roman" w:eastAsia="Times New Roman" w:hAnsi="Times New Roman" w:cs="Times New Roman"/>
          <w:color w:val="auto"/>
          <w:sz w:val="28"/>
          <w:szCs w:val="28"/>
          <w:lang w:eastAsia="ru-RU"/>
        </w:rPr>
        <w:t>Як показали дослідження, введення д</w:t>
      </w:r>
      <w:r w:rsidRPr="00BE086B">
        <w:rPr>
          <w:rFonts w:ascii="Times New Roman" w:hAnsi="Times New Roman" w:cs="Times New Roman"/>
          <w:color w:val="auto"/>
          <w:sz w:val="28"/>
          <w:szCs w:val="28"/>
        </w:rPr>
        <w:t xml:space="preserve">иклофенаку натрію </w:t>
      </w:r>
      <w:r w:rsidRPr="00BE086B">
        <w:rPr>
          <w:rFonts w:ascii="Times New Roman" w:eastAsia="Times New Roman" w:hAnsi="Times New Roman" w:cs="Times New Roman"/>
          <w:color w:val="auto"/>
          <w:sz w:val="28"/>
          <w:szCs w:val="28"/>
          <w:lang w:eastAsia="ru-RU"/>
        </w:rPr>
        <w:t>призводило до істотного зниження кількості «оцтовокислих корчів» у 2,96 рази (р &lt; 0,001). У меншій мірі досліджуваний показник знижувався на тлі введення х</w:t>
      </w:r>
      <w:r w:rsidRPr="00BE086B">
        <w:rPr>
          <w:rFonts w:ascii="Times New Roman" w:hAnsi="Times New Roman" w:cs="Times New Roman"/>
          <w:color w:val="auto"/>
          <w:sz w:val="28"/>
          <w:szCs w:val="28"/>
        </w:rPr>
        <w:t>ондроїтину сульфату</w:t>
      </w:r>
      <w:r w:rsidRPr="00BE086B">
        <w:rPr>
          <w:rFonts w:ascii="Times New Roman" w:eastAsia="Times New Roman" w:hAnsi="Times New Roman" w:cs="Times New Roman"/>
          <w:color w:val="auto"/>
          <w:sz w:val="28"/>
          <w:szCs w:val="28"/>
          <w:lang w:eastAsia="ru-RU"/>
        </w:rPr>
        <w:t>, де редукція корчів склала 1,47 рази (р &lt; 0,001) (табл. 7.8).</w:t>
      </w:r>
    </w:p>
    <w:p w:rsidR="00215BF6" w:rsidRPr="00BE086B" w:rsidRDefault="00215BF6" w:rsidP="00215BF6">
      <w:pPr>
        <w:pStyle w:val="WW-"/>
        <w:spacing w:after="0" w:line="360" w:lineRule="auto"/>
        <w:ind w:firstLine="709"/>
        <w:jc w:val="both"/>
        <w:rPr>
          <w:rFonts w:ascii="Times New Roman" w:hAnsi="Times New Roman" w:cs="Times New Roman"/>
          <w:color w:val="auto"/>
          <w:sz w:val="28"/>
          <w:szCs w:val="28"/>
        </w:rPr>
      </w:pPr>
      <w:r w:rsidRPr="00BE086B">
        <w:rPr>
          <w:rFonts w:ascii="Times New Roman" w:eastAsia="Times New Roman" w:hAnsi="Times New Roman" w:cs="Times New Roman"/>
          <w:color w:val="auto"/>
          <w:sz w:val="28"/>
          <w:szCs w:val="28"/>
          <w:lang w:eastAsia="ru-RU"/>
        </w:rPr>
        <w:t>Введення комбінації препаратів, як і в попередніх серіях спостережень, показала найбільш сильний знеболювальний ефект. При одноразовому введенні д</w:t>
      </w:r>
      <w:r w:rsidRPr="00BE086B">
        <w:rPr>
          <w:rFonts w:ascii="Times New Roman" w:hAnsi="Times New Roman" w:cs="Times New Roman"/>
          <w:color w:val="auto"/>
          <w:sz w:val="28"/>
          <w:szCs w:val="28"/>
        </w:rPr>
        <w:t xml:space="preserve">иклофенаку натрію, хондроїтину сульфату та L-тироксину, </w:t>
      </w:r>
      <w:r w:rsidRPr="00BE086B">
        <w:rPr>
          <w:rFonts w:ascii="Times New Roman" w:eastAsia="Times New Roman" w:hAnsi="Times New Roman" w:cs="Times New Roman"/>
          <w:color w:val="auto"/>
          <w:sz w:val="28"/>
          <w:szCs w:val="28"/>
          <w:lang w:eastAsia="ru-RU"/>
        </w:rPr>
        <w:t>у 7,7 разів (р &lt; 0,001) зменшилася ймовірність появи «корчів» у тварин після введення 0,6% оцтової кислоти (табл. 7.8).</w:t>
      </w:r>
    </w:p>
    <w:p w:rsidR="00215BF6" w:rsidRPr="00BE086B" w:rsidRDefault="00215BF6" w:rsidP="00215BF6">
      <w:pPr>
        <w:spacing w:line="360" w:lineRule="auto"/>
        <w:ind w:firstLine="709"/>
        <w:jc w:val="right"/>
        <w:rPr>
          <w:i/>
          <w:iCs/>
          <w:sz w:val="28"/>
          <w:szCs w:val="28"/>
          <w:lang w:val="uk-UA" w:eastAsia="ru-RU"/>
        </w:rPr>
      </w:pPr>
    </w:p>
    <w:p w:rsidR="00215BF6" w:rsidRDefault="00215BF6" w:rsidP="00215BF6">
      <w:pPr>
        <w:spacing w:line="360" w:lineRule="auto"/>
        <w:ind w:firstLine="709"/>
        <w:jc w:val="right"/>
        <w:rPr>
          <w:i/>
          <w:iCs/>
          <w:sz w:val="28"/>
          <w:szCs w:val="28"/>
          <w:lang w:val="uk-UA" w:eastAsia="ru-RU"/>
        </w:rPr>
      </w:pPr>
    </w:p>
    <w:p w:rsidR="00125A5A" w:rsidRDefault="00125A5A" w:rsidP="00215BF6">
      <w:pPr>
        <w:spacing w:line="360" w:lineRule="auto"/>
        <w:ind w:firstLine="709"/>
        <w:jc w:val="right"/>
        <w:rPr>
          <w:i/>
          <w:iCs/>
          <w:sz w:val="28"/>
          <w:szCs w:val="28"/>
          <w:lang w:val="uk-UA" w:eastAsia="ru-RU"/>
        </w:rPr>
      </w:pPr>
    </w:p>
    <w:p w:rsidR="00125A5A" w:rsidRDefault="00125A5A" w:rsidP="00215BF6">
      <w:pPr>
        <w:spacing w:line="360" w:lineRule="auto"/>
        <w:ind w:firstLine="709"/>
        <w:jc w:val="right"/>
        <w:rPr>
          <w:i/>
          <w:iCs/>
          <w:sz w:val="28"/>
          <w:szCs w:val="28"/>
          <w:lang w:val="uk-UA" w:eastAsia="ru-RU"/>
        </w:rPr>
      </w:pPr>
    </w:p>
    <w:p w:rsidR="00125A5A" w:rsidRDefault="00125A5A" w:rsidP="00215BF6">
      <w:pPr>
        <w:spacing w:line="360" w:lineRule="auto"/>
        <w:ind w:firstLine="709"/>
        <w:jc w:val="right"/>
        <w:rPr>
          <w:i/>
          <w:iCs/>
          <w:sz w:val="28"/>
          <w:szCs w:val="28"/>
          <w:lang w:val="uk-UA" w:eastAsia="ru-RU"/>
        </w:rPr>
      </w:pPr>
    </w:p>
    <w:p w:rsidR="00125A5A" w:rsidRDefault="00125A5A" w:rsidP="00215BF6">
      <w:pPr>
        <w:spacing w:line="360" w:lineRule="auto"/>
        <w:ind w:firstLine="709"/>
        <w:jc w:val="right"/>
        <w:rPr>
          <w:i/>
          <w:iCs/>
          <w:sz w:val="28"/>
          <w:szCs w:val="28"/>
          <w:lang w:val="uk-UA" w:eastAsia="ru-RU"/>
        </w:rPr>
      </w:pPr>
    </w:p>
    <w:p w:rsidR="00215BF6" w:rsidRPr="00BE086B" w:rsidRDefault="00215BF6" w:rsidP="00215BF6">
      <w:pPr>
        <w:spacing w:line="360" w:lineRule="auto"/>
        <w:ind w:firstLine="709"/>
        <w:jc w:val="right"/>
        <w:rPr>
          <w:sz w:val="28"/>
          <w:szCs w:val="28"/>
          <w:lang w:val="uk-UA"/>
        </w:rPr>
      </w:pPr>
      <w:r w:rsidRPr="00BE086B">
        <w:rPr>
          <w:i/>
          <w:iCs/>
          <w:sz w:val="28"/>
          <w:szCs w:val="28"/>
          <w:lang w:val="uk-UA" w:eastAsia="ru-RU"/>
        </w:rPr>
        <w:lastRenderedPageBreak/>
        <w:t>Таблиця 7.8</w:t>
      </w:r>
    </w:p>
    <w:p w:rsidR="00215BF6" w:rsidRPr="00BE086B" w:rsidRDefault="00215BF6" w:rsidP="00215BF6">
      <w:pPr>
        <w:spacing w:line="360" w:lineRule="auto"/>
        <w:jc w:val="center"/>
        <w:rPr>
          <w:sz w:val="28"/>
          <w:szCs w:val="28"/>
          <w:lang w:val="uk-UA"/>
        </w:rPr>
      </w:pPr>
      <w:r w:rsidRPr="00BE086B">
        <w:rPr>
          <w:b/>
          <w:bCs/>
          <w:sz w:val="28"/>
          <w:szCs w:val="28"/>
          <w:lang w:val="uk-UA" w:eastAsia="ru-RU"/>
        </w:rPr>
        <w:t xml:space="preserve">Вплив досліджуваної комбінації </w:t>
      </w:r>
      <w:r w:rsidRPr="00BE086B">
        <w:rPr>
          <w:b/>
          <w:bCs/>
          <w:sz w:val="28"/>
          <w:szCs w:val="28"/>
          <w:lang w:val="uk-UA"/>
        </w:rPr>
        <w:t xml:space="preserve">на поріг болю в умовах моделі «оцтовокислих корчів» у щурів, </w:t>
      </w:r>
      <w:r w:rsidRPr="00BE086B">
        <w:rPr>
          <w:b/>
          <w:sz w:val="28"/>
          <w:szCs w:val="28"/>
          <w:lang w:val="uk-UA"/>
        </w:rPr>
        <w:t>M±m</w:t>
      </w:r>
    </w:p>
    <w:tbl>
      <w:tblPr>
        <w:tblW w:w="0" w:type="auto"/>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533"/>
        <w:gridCol w:w="2410"/>
      </w:tblGrid>
      <w:tr w:rsidR="00215BF6" w:rsidRPr="00BE086B" w:rsidTr="00F66F9B">
        <w:trPr>
          <w:trHeight w:val="769"/>
        </w:trPr>
        <w:tc>
          <w:tcPr>
            <w:tcW w:w="6533" w:type="dxa"/>
            <w:shd w:val="clear" w:color="auto" w:fill="auto"/>
            <w:vAlign w:val="center"/>
          </w:tcPr>
          <w:p w:rsidR="00215BF6" w:rsidRPr="00BE086B" w:rsidRDefault="00215BF6" w:rsidP="00F66F9B">
            <w:pPr>
              <w:keepNext/>
              <w:jc w:val="center"/>
              <w:rPr>
                <w:sz w:val="28"/>
                <w:szCs w:val="28"/>
                <w:lang w:val="uk-UA"/>
              </w:rPr>
            </w:pPr>
            <w:r w:rsidRPr="00BE086B">
              <w:rPr>
                <w:b/>
                <w:bCs/>
                <w:sz w:val="28"/>
                <w:szCs w:val="28"/>
                <w:lang w:val="uk-UA" w:eastAsia="ru-RU"/>
              </w:rPr>
              <w:t>Групи (n=40)</w:t>
            </w:r>
          </w:p>
        </w:tc>
        <w:tc>
          <w:tcPr>
            <w:tcW w:w="2410" w:type="dxa"/>
            <w:shd w:val="clear" w:color="auto" w:fill="auto"/>
            <w:vAlign w:val="center"/>
          </w:tcPr>
          <w:p w:rsidR="00215BF6" w:rsidRPr="00BE086B" w:rsidRDefault="00215BF6" w:rsidP="00F66F9B">
            <w:pPr>
              <w:jc w:val="center"/>
              <w:rPr>
                <w:sz w:val="28"/>
                <w:szCs w:val="28"/>
                <w:lang w:val="uk-UA"/>
              </w:rPr>
            </w:pPr>
            <w:r w:rsidRPr="00BE086B">
              <w:rPr>
                <w:b/>
                <w:bCs/>
                <w:sz w:val="28"/>
                <w:szCs w:val="28"/>
                <w:lang w:val="uk-UA" w:eastAsia="ru-RU"/>
              </w:rPr>
              <w:t xml:space="preserve">Середня кількість </w:t>
            </w:r>
            <w:r w:rsidR="00C31177" w:rsidRPr="00BE086B">
              <w:rPr>
                <w:b/>
                <w:bCs/>
                <w:sz w:val="28"/>
                <w:szCs w:val="28"/>
                <w:lang w:val="uk-UA" w:eastAsia="ru-RU"/>
              </w:rPr>
              <w:t>«</w:t>
            </w:r>
            <w:r w:rsidRPr="00BE086B">
              <w:rPr>
                <w:b/>
                <w:bCs/>
                <w:sz w:val="28"/>
                <w:szCs w:val="28"/>
                <w:lang w:val="uk-UA" w:eastAsia="ru-RU"/>
              </w:rPr>
              <w:t>корчів</w:t>
            </w:r>
            <w:r w:rsidR="00C31177" w:rsidRPr="00BE086B">
              <w:rPr>
                <w:b/>
                <w:bCs/>
                <w:sz w:val="28"/>
                <w:szCs w:val="28"/>
                <w:lang w:val="uk-UA" w:eastAsia="ru-RU"/>
              </w:rPr>
              <w:t>»</w:t>
            </w:r>
          </w:p>
        </w:tc>
      </w:tr>
      <w:tr w:rsidR="00215BF6" w:rsidRPr="00BE086B" w:rsidTr="00F66F9B">
        <w:trPr>
          <w:trHeight w:val="704"/>
        </w:trPr>
        <w:tc>
          <w:tcPr>
            <w:tcW w:w="6533"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ЕОА + ЕГ (n=10)</w:t>
            </w:r>
          </w:p>
        </w:tc>
        <w:tc>
          <w:tcPr>
            <w:tcW w:w="241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49,8</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2,1</w:t>
            </w:r>
          </w:p>
        </w:tc>
      </w:tr>
      <w:tr w:rsidR="00215BF6" w:rsidRPr="00BE086B" w:rsidTr="00F66F9B">
        <w:trPr>
          <w:trHeight w:val="711"/>
        </w:trPr>
        <w:tc>
          <w:tcPr>
            <w:tcW w:w="6533"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ЕОА+ЕГ + Диклофенак натрію</w:t>
            </w:r>
          </w:p>
          <w:p w:rsidR="00215BF6" w:rsidRPr="00BE086B" w:rsidRDefault="00215BF6" w:rsidP="00F66F9B">
            <w:pPr>
              <w:jc w:val="center"/>
              <w:rPr>
                <w:sz w:val="28"/>
                <w:szCs w:val="28"/>
                <w:lang w:val="uk-UA"/>
              </w:rPr>
            </w:pPr>
            <w:r w:rsidRPr="00BE086B">
              <w:rPr>
                <w:sz w:val="28"/>
                <w:szCs w:val="28"/>
                <w:lang w:val="uk-UA" w:eastAsia="ru-RU"/>
              </w:rPr>
              <w:t>10 мг/кг (n=10)</w:t>
            </w:r>
          </w:p>
        </w:tc>
        <w:tc>
          <w:tcPr>
            <w:tcW w:w="241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16,8*</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2,9</w:t>
            </w:r>
          </w:p>
        </w:tc>
      </w:tr>
      <w:tr w:rsidR="00215BF6" w:rsidRPr="00BE086B" w:rsidTr="00F66F9B">
        <w:trPr>
          <w:trHeight w:val="703"/>
        </w:trPr>
        <w:tc>
          <w:tcPr>
            <w:tcW w:w="6533"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ЕОА+ЕГ + Хондроїтин сульфат</w:t>
            </w:r>
          </w:p>
          <w:p w:rsidR="00215BF6" w:rsidRPr="00BE086B" w:rsidRDefault="00215BF6" w:rsidP="00F66F9B">
            <w:pPr>
              <w:jc w:val="center"/>
              <w:rPr>
                <w:sz w:val="28"/>
                <w:szCs w:val="28"/>
                <w:lang w:val="uk-UA"/>
              </w:rPr>
            </w:pPr>
            <w:r w:rsidRPr="00BE086B">
              <w:rPr>
                <w:sz w:val="28"/>
                <w:szCs w:val="28"/>
                <w:lang w:val="uk-UA" w:eastAsia="ru-RU"/>
              </w:rPr>
              <w:t>35 мг/кг (n=10)</w:t>
            </w:r>
          </w:p>
        </w:tc>
        <w:tc>
          <w:tcPr>
            <w:tcW w:w="241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33,9*</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3,8</w:t>
            </w:r>
          </w:p>
        </w:tc>
      </w:tr>
      <w:tr w:rsidR="00215BF6" w:rsidRPr="00BE086B" w:rsidTr="00F66F9B">
        <w:trPr>
          <w:trHeight w:val="709"/>
        </w:trPr>
        <w:tc>
          <w:tcPr>
            <w:tcW w:w="6533" w:type="dxa"/>
            <w:shd w:val="clear" w:color="auto" w:fill="auto"/>
            <w:vAlign w:val="center"/>
          </w:tcPr>
          <w:p w:rsidR="00215BF6" w:rsidRPr="00BE086B" w:rsidRDefault="00215BF6" w:rsidP="00F66F9B">
            <w:pPr>
              <w:pStyle w:val="WW-"/>
              <w:spacing w:after="0" w:line="240" w:lineRule="auto"/>
              <w:jc w:val="center"/>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ЕОА + ЕГ + Диклофенак натрію 10 мг/ кг + Хондроїтин сульфат 35 мг/кг + </w:t>
            </w:r>
            <w:r w:rsidRPr="00BE086B">
              <w:rPr>
                <w:rFonts w:ascii="Times New Roman" w:hAnsi="Times New Roman" w:cs="Times New Roman"/>
                <w:color w:val="auto"/>
                <w:sz w:val="28"/>
                <w:szCs w:val="28"/>
              </w:rPr>
              <w:t>L</w:t>
            </w:r>
            <w:r w:rsidRPr="00BE086B">
              <w:rPr>
                <w:rFonts w:ascii="Times New Roman" w:hAnsi="Times New Roman" w:cs="Times New Roman"/>
                <w:color w:val="auto"/>
                <w:sz w:val="28"/>
                <w:szCs w:val="28"/>
                <w:lang w:val="uk-UA"/>
              </w:rPr>
              <w:t xml:space="preserve">-тироксин </w:t>
            </w:r>
            <w:r w:rsidRPr="00BE086B">
              <w:rPr>
                <w:rFonts w:ascii="Times New Roman" w:eastAsia="Times New Roman" w:hAnsi="Times New Roman" w:cs="Times New Roman"/>
                <w:color w:val="auto"/>
                <w:sz w:val="28"/>
                <w:szCs w:val="28"/>
                <w:lang w:val="uk-UA" w:eastAsia="ru-RU"/>
              </w:rPr>
              <w:t>(</w:t>
            </w:r>
            <w:r w:rsidRPr="00BE086B">
              <w:rPr>
                <w:rFonts w:ascii="Times New Roman" w:eastAsia="Times New Roman" w:hAnsi="Times New Roman" w:cs="Times New Roman"/>
                <w:color w:val="auto"/>
                <w:sz w:val="28"/>
                <w:szCs w:val="28"/>
                <w:lang w:eastAsia="ru-RU"/>
              </w:rPr>
              <w:t>n</w:t>
            </w:r>
            <w:r w:rsidRPr="00BE086B">
              <w:rPr>
                <w:rFonts w:ascii="Times New Roman" w:eastAsia="Times New Roman" w:hAnsi="Times New Roman" w:cs="Times New Roman"/>
                <w:color w:val="auto"/>
                <w:sz w:val="28"/>
                <w:szCs w:val="28"/>
                <w:lang w:val="uk-UA" w:eastAsia="ru-RU"/>
              </w:rPr>
              <w:t>=10)</w:t>
            </w:r>
          </w:p>
        </w:tc>
        <w:tc>
          <w:tcPr>
            <w:tcW w:w="2410" w:type="dxa"/>
            <w:shd w:val="clear" w:color="auto" w:fill="auto"/>
            <w:vAlign w:val="center"/>
          </w:tcPr>
          <w:p w:rsidR="00215BF6" w:rsidRPr="00BE086B" w:rsidRDefault="00215BF6" w:rsidP="00F66F9B">
            <w:pPr>
              <w:jc w:val="center"/>
              <w:rPr>
                <w:sz w:val="28"/>
                <w:szCs w:val="28"/>
                <w:lang w:val="uk-UA"/>
              </w:rPr>
            </w:pPr>
            <w:r w:rsidRPr="00BE086B">
              <w:rPr>
                <w:sz w:val="28"/>
                <w:szCs w:val="28"/>
                <w:lang w:val="uk-UA" w:eastAsia="ru-RU"/>
              </w:rPr>
              <w:t>6,5*</w:t>
            </w:r>
          </w:p>
          <w:p w:rsidR="00215BF6" w:rsidRPr="00BE086B" w:rsidRDefault="00215BF6" w:rsidP="00F66F9B">
            <w:pPr>
              <w:jc w:val="center"/>
              <w:rPr>
                <w:sz w:val="28"/>
                <w:szCs w:val="28"/>
                <w:lang w:val="uk-UA"/>
              </w:rPr>
            </w:pPr>
            <w:r w:rsidRPr="00BE086B">
              <w:rPr>
                <w:sz w:val="28"/>
                <w:szCs w:val="28"/>
                <w:lang w:val="uk-UA"/>
              </w:rPr>
              <w:t>±</w:t>
            </w:r>
            <w:r w:rsidRPr="00BE086B">
              <w:rPr>
                <w:sz w:val="28"/>
                <w:szCs w:val="28"/>
                <w:lang w:val="uk-UA" w:eastAsia="ru-RU"/>
              </w:rPr>
              <w:t>0,9</w:t>
            </w:r>
          </w:p>
        </w:tc>
      </w:tr>
    </w:tbl>
    <w:p w:rsidR="00215BF6" w:rsidRPr="00BE086B" w:rsidRDefault="00215BF6" w:rsidP="00215BF6">
      <w:pPr>
        <w:suppressAutoHyphens w:val="0"/>
        <w:spacing w:line="360" w:lineRule="auto"/>
        <w:ind w:firstLine="709"/>
        <w:jc w:val="both"/>
        <w:rPr>
          <w:sz w:val="28"/>
          <w:szCs w:val="28"/>
          <w:lang w:val="uk-UA"/>
        </w:rPr>
      </w:pPr>
      <w:r w:rsidRPr="00BE086B">
        <w:rPr>
          <w:b/>
          <w:bCs/>
          <w:iCs/>
          <w:sz w:val="28"/>
          <w:szCs w:val="28"/>
          <w:lang w:val="uk-UA"/>
        </w:rPr>
        <w:t>Примітка.</w:t>
      </w:r>
      <w:r w:rsidRPr="00BE086B">
        <w:rPr>
          <w:iCs/>
          <w:sz w:val="28"/>
          <w:szCs w:val="28"/>
          <w:lang w:val="uk-UA"/>
        </w:rPr>
        <w:t xml:space="preserve"> * </w:t>
      </w:r>
      <w:r w:rsidRPr="00BE086B">
        <w:rPr>
          <w:rFonts w:eastAsia="Calibri"/>
          <w:iCs/>
          <w:sz w:val="28"/>
          <w:szCs w:val="28"/>
          <w:lang w:val="uk-UA" w:eastAsia="en-US"/>
        </w:rPr>
        <w:t xml:space="preserve">- р </w:t>
      </w:r>
      <w:r w:rsidRPr="00BE086B">
        <w:rPr>
          <w:sz w:val="28"/>
          <w:szCs w:val="28"/>
          <w:lang w:val="uk-UA" w:eastAsia="ru-RU"/>
        </w:rPr>
        <w:t>&lt;</w:t>
      </w:r>
      <w:r w:rsidRPr="00BE086B">
        <w:rPr>
          <w:rFonts w:eastAsia="Calibri"/>
          <w:iCs/>
          <w:sz w:val="28"/>
          <w:szCs w:val="28"/>
          <w:lang w:val="uk-UA" w:eastAsia="en-US"/>
        </w:rPr>
        <w:t xml:space="preserve"> 0,001 у порівнянні з показниками групи активного контролю (ЕОА+ЕГ</w:t>
      </w:r>
      <w:r w:rsidRPr="00BE086B">
        <w:rPr>
          <w:sz w:val="28"/>
          <w:szCs w:val="28"/>
          <w:lang w:val="uk-UA"/>
        </w:rPr>
        <w:t>).</w:t>
      </w:r>
    </w:p>
    <w:p w:rsidR="00215BF6" w:rsidRPr="00BE086B" w:rsidRDefault="00215BF6" w:rsidP="00215BF6">
      <w:pPr>
        <w:spacing w:line="360" w:lineRule="auto"/>
        <w:ind w:firstLine="709"/>
        <w:jc w:val="both"/>
        <w:rPr>
          <w:sz w:val="28"/>
          <w:szCs w:val="28"/>
          <w:lang w:val="uk-UA" w:eastAsia="ru-RU"/>
        </w:rPr>
      </w:pPr>
    </w:p>
    <w:p w:rsidR="00215BF6" w:rsidRPr="00BE086B" w:rsidRDefault="00215BF6" w:rsidP="00215BF6">
      <w:pPr>
        <w:pStyle w:val="WW-"/>
        <w:spacing w:after="0" w:line="360" w:lineRule="auto"/>
        <w:ind w:firstLine="709"/>
        <w:jc w:val="both"/>
        <w:rPr>
          <w:rFonts w:ascii="Times New Roman" w:eastAsia="Times New Roman" w:hAnsi="Times New Roman" w:cs="Times New Roman"/>
          <w:color w:val="auto"/>
          <w:sz w:val="28"/>
          <w:szCs w:val="28"/>
          <w:lang w:val="uk-UA" w:eastAsia="ru-RU"/>
        </w:rPr>
      </w:pPr>
      <w:r w:rsidRPr="00BE086B">
        <w:rPr>
          <w:rFonts w:ascii="Times New Roman" w:eastAsia="Times New Roman" w:hAnsi="Times New Roman" w:cs="Times New Roman"/>
          <w:color w:val="auto"/>
          <w:sz w:val="28"/>
          <w:szCs w:val="28"/>
          <w:lang w:val="uk-UA" w:eastAsia="ru-RU"/>
        </w:rPr>
        <w:t>Таким чином, задана комбінація - д</w:t>
      </w:r>
      <w:r w:rsidRPr="00BE086B">
        <w:rPr>
          <w:rFonts w:ascii="Times New Roman" w:hAnsi="Times New Roman" w:cs="Times New Roman"/>
          <w:color w:val="auto"/>
          <w:sz w:val="28"/>
          <w:szCs w:val="28"/>
          <w:lang w:val="uk-UA"/>
        </w:rPr>
        <w:t xml:space="preserve">иклофенак натрію, хондроїтин сульфат та </w:t>
      </w:r>
      <w:r w:rsidRPr="00BE086B">
        <w:rPr>
          <w:rFonts w:ascii="Times New Roman" w:hAnsi="Times New Roman" w:cs="Times New Roman"/>
          <w:color w:val="auto"/>
          <w:sz w:val="28"/>
          <w:szCs w:val="28"/>
        </w:rPr>
        <w:t>L</w:t>
      </w:r>
      <w:r w:rsidRPr="00BE086B">
        <w:rPr>
          <w:rFonts w:ascii="Times New Roman" w:hAnsi="Times New Roman" w:cs="Times New Roman"/>
          <w:color w:val="auto"/>
          <w:sz w:val="28"/>
          <w:szCs w:val="28"/>
          <w:lang w:val="uk-UA"/>
        </w:rPr>
        <w:t>-тироксин</w:t>
      </w:r>
      <w:r w:rsidRPr="00BE086B">
        <w:rPr>
          <w:rFonts w:ascii="Times New Roman" w:eastAsia="Times New Roman" w:hAnsi="Times New Roman" w:cs="Times New Roman"/>
          <w:color w:val="auto"/>
          <w:sz w:val="28"/>
          <w:szCs w:val="28"/>
          <w:lang w:val="uk-UA" w:eastAsia="ru-RU"/>
        </w:rPr>
        <w:t xml:space="preserve"> при одноразовому введенні має виражений аналгетичний ефект, який за силою дії перевершує дію препарат-компонентів комбінації.</w:t>
      </w:r>
    </w:p>
    <w:p w:rsidR="00BF1B3F" w:rsidRDefault="00F12AD5" w:rsidP="00BF1B3F">
      <w:pPr>
        <w:spacing w:line="360" w:lineRule="auto"/>
        <w:jc w:val="center"/>
        <w:rPr>
          <w:noProof/>
          <w:sz w:val="28"/>
          <w:szCs w:val="28"/>
          <w:lang w:eastAsia="ru-RU"/>
        </w:rPr>
      </w:pPr>
      <w:r>
        <w:rPr>
          <w:noProof/>
          <w:sz w:val="28"/>
          <w:szCs w:val="28"/>
          <w:lang w:eastAsia="ru-RU"/>
        </w:rPr>
        <w:drawing>
          <wp:inline distT="0" distB="0" distL="0" distR="0">
            <wp:extent cx="5310000" cy="2001600"/>
            <wp:effectExtent l="0" t="0" r="508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7.8.jpg"/>
                    <pic:cNvPicPr/>
                  </pic:nvPicPr>
                  <pic:blipFill>
                    <a:blip r:embed="rId53">
                      <a:extLst>
                        <a:ext uri="{28A0092B-C50C-407E-A947-70E740481C1C}">
                          <a14:useLocalDpi xmlns:a14="http://schemas.microsoft.com/office/drawing/2010/main" val="0"/>
                        </a:ext>
                      </a:extLst>
                    </a:blip>
                    <a:stretch>
                      <a:fillRect/>
                    </a:stretch>
                  </pic:blipFill>
                  <pic:spPr>
                    <a:xfrm>
                      <a:off x="0" y="0"/>
                      <a:ext cx="5310000" cy="2001600"/>
                    </a:xfrm>
                    <a:prstGeom prst="rect">
                      <a:avLst/>
                    </a:prstGeom>
                  </pic:spPr>
                </pic:pic>
              </a:graphicData>
            </a:graphic>
          </wp:inline>
        </w:drawing>
      </w:r>
    </w:p>
    <w:p w:rsidR="00215BF6" w:rsidRPr="00BE086B" w:rsidRDefault="00215BF6" w:rsidP="00215BF6">
      <w:pPr>
        <w:spacing w:line="360" w:lineRule="auto"/>
        <w:ind w:firstLine="709"/>
        <w:jc w:val="both"/>
        <w:rPr>
          <w:sz w:val="28"/>
          <w:szCs w:val="28"/>
          <w:lang w:val="uk-UA"/>
        </w:rPr>
      </w:pPr>
      <w:r w:rsidRPr="00BE086B">
        <w:rPr>
          <w:b/>
          <w:sz w:val="28"/>
          <w:szCs w:val="28"/>
          <w:lang w:val="uk-UA"/>
        </w:rPr>
        <w:t>Рис. 7.8.</w:t>
      </w:r>
      <w:r w:rsidRPr="00BE086B">
        <w:rPr>
          <w:sz w:val="28"/>
          <w:szCs w:val="28"/>
          <w:lang w:val="uk-UA"/>
        </w:rPr>
        <w:t xml:space="preserve"> Зміни </w:t>
      </w:r>
      <w:r w:rsidRPr="00BE086B">
        <w:rPr>
          <w:bCs/>
          <w:sz w:val="28"/>
          <w:szCs w:val="28"/>
          <w:lang w:val="uk-UA" w:eastAsia="ru-RU"/>
        </w:rPr>
        <w:t xml:space="preserve">больового порогу </w:t>
      </w:r>
      <w:r w:rsidRPr="00BE086B">
        <w:rPr>
          <w:bCs/>
          <w:sz w:val="28"/>
          <w:szCs w:val="28"/>
          <w:lang w:val="uk-UA"/>
        </w:rPr>
        <w:t>в умовах моделі «оцтовокислих корчів» у щурів</w:t>
      </w:r>
      <w:r w:rsidRPr="00BE086B">
        <w:rPr>
          <w:sz w:val="28"/>
          <w:szCs w:val="28"/>
          <w:lang w:val="uk-UA"/>
        </w:rPr>
        <w:t xml:space="preserve"> при призначенні лікарських засобів (у % відносно </w:t>
      </w:r>
      <w:r w:rsidRPr="00BE086B">
        <w:rPr>
          <w:bCs/>
          <w:sz w:val="28"/>
          <w:szCs w:val="28"/>
          <w:lang w:val="uk-UA"/>
        </w:rPr>
        <w:t>групи ЕОА + ЕГ)</w:t>
      </w:r>
      <w:r w:rsidR="00DF06B2" w:rsidRPr="00BE086B">
        <w:rPr>
          <w:bCs/>
          <w:sz w:val="28"/>
          <w:szCs w:val="28"/>
          <w:lang w:val="uk-UA"/>
        </w:rPr>
        <w:t>.</w:t>
      </w:r>
    </w:p>
    <w:p w:rsidR="00215BF6" w:rsidRPr="00BE086B" w:rsidRDefault="00215BF6" w:rsidP="00215BF6">
      <w:pPr>
        <w:spacing w:line="360" w:lineRule="auto"/>
        <w:ind w:firstLine="709"/>
        <w:jc w:val="both"/>
        <w:rPr>
          <w:sz w:val="28"/>
          <w:szCs w:val="28"/>
          <w:lang w:val="uk-UA" w:eastAsia="ru-RU"/>
        </w:rPr>
      </w:pPr>
      <w:r w:rsidRPr="00BE086B">
        <w:rPr>
          <w:b/>
          <w:sz w:val="28"/>
          <w:szCs w:val="28"/>
          <w:lang w:val="uk-UA"/>
        </w:rPr>
        <w:t xml:space="preserve">Примітка. </w:t>
      </w:r>
      <w:r w:rsidRPr="00BE086B">
        <w:rPr>
          <w:sz w:val="28"/>
          <w:szCs w:val="28"/>
          <w:lang w:val="uk-UA"/>
        </w:rPr>
        <w:t xml:space="preserve">* – </w:t>
      </w:r>
      <w:r w:rsidRPr="00BE086B">
        <w:rPr>
          <w:sz w:val="28"/>
          <w:szCs w:val="28"/>
          <w:lang w:eastAsia="ru-RU"/>
        </w:rPr>
        <w:t>р </w:t>
      </w:r>
      <w:r w:rsidRPr="00BE086B">
        <w:rPr>
          <w:rFonts w:eastAsia="Calibri"/>
          <w:iCs/>
          <w:sz w:val="28"/>
          <w:szCs w:val="28"/>
          <w:lang w:eastAsia="en-US"/>
        </w:rPr>
        <w:t>&lt; </w:t>
      </w:r>
      <w:r w:rsidRPr="00BE086B">
        <w:rPr>
          <w:sz w:val="28"/>
          <w:szCs w:val="28"/>
          <w:lang w:eastAsia="ru-RU"/>
        </w:rPr>
        <w:t>0,0</w:t>
      </w:r>
      <w:r w:rsidRPr="00BE086B">
        <w:rPr>
          <w:sz w:val="28"/>
          <w:szCs w:val="28"/>
          <w:lang w:val="uk-UA" w:eastAsia="ru-RU"/>
        </w:rPr>
        <w:t>01</w:t>
      </w:r>
      <w:r w:rsidRPr="00BE086B">
        <w:rPr>
          <w:sz w:val="28"/>
          <w:szCs w:val="28"/>
          <w:lang w:eastAsia="ru-RU"/>
        </w:rPr>
        <w:t xml:space="preserve"> по відношенню до </w:t>
      </w:r>
      <w:r w:rsidRPr="00BE086B">
        <w:rPr>
          <w:rFonts w:eastAsia="Microsoft YaHei"/>
          <w:iCs/>
          <w:sz w:val="28"/>
          <w:szCs w:val="28"/>
          <w:lang w:val="uk-UA" w:eastAsia="ru-RU"/>
        </w:rPr>
        <w:t xml:space="preserve">показника </w:t>
      </w:r>
      <w:r w:rsidRPr="00BE086B">
        <w:rPr>
          <w:sz w:val="28"/>
          <w:szCs w:val="28"/>
          <w:lang w:val="uk-UA" w:eastAsia="ru-RU"/>
        </w:rPr>
        <w:t>групи активного контролю (ЕОА + ЕГ).</w:t>
      </w:r>
    </w:p>
    <w:p w:rsidR="00215BF6" w:rsidRPr="00BE086B" w:rsidRDefault="00215BF6" w:rsidP="00215BF6">
      <w:pPr>
        <w:pStyle w:val="WW-"/>
        <w:spacing w:after="0" w:line="360" w:lineRule="auto"/>
        <w:ind w:firstLine="709"/>
        <w:jc w:val="both"/>
        <w:rPr>
          <w:rFonts w:ascii="Times New Roman" w:eastAsia="Times New Roman" w:hAnsi="Times New Roman" w:cs="Times New Roman"/>
          <w:color w:val="auto"/>
          <w:sz w:val="28"/>
          <w:szCs w:val="28"/>
          <w:lang w:val="uk-UA" w:eastAsia="ru-RU"/>
        </w:rPr>
      </w:pPr>
      <w:r w:rsidRPr="00BE086B">
        <w:rPr>
          <w:rFonts w:ascii="Times New Roman" w:eastAsia="Times New Roman" w:hAnsi="Times New Roman" w:cs="Times New Roman"/>
          <w:color w:val="auto"/>
          <w:sz w:val="28"/>
          <w:szCs w:val="28"/>
          <w:lang w:val="uk-UA" w:eastAsia="ru-RU"/>
        </w:rPr>
        <w:lastRenderedPageBreak/>
        <w:t>Встановлено, що після одноразового внутрішньошлункового введення д</w:t>
      </w:r>
      <w:r w:rsidRPr="00BE086B">
        <w:rPr>
          <w:rFonts w:ascii="Times New Roman" w:hAnsi="Times New Roman" w:cs="Times New Roman"/>
          <w:color w:val="auto"/>
          <w:sz w:val="28"/>
          <w:szCs w:val="28"/>
          <w:lang w:val="uk-UA"/>
        </w:rPr>
        <w:t xml:space="preserve">иклофенаку натрію, хондроїтину сульфату та </w:t>
      </w:r>
      <w:r w:rsidRPr="00BE086B">
        <w:rPr>
          <w:rFonts w:ascii="Times New Roman" w:hAnsi="Times New Roman" w:cs="Times New Roman"/>
          <w:color w:val="auto"/>
          <w:sz w:val="28"/>
          <w:szCs w:val="28"/>
        </w:rPr>
        <w:t>L</w:t>
      </w:r>
      <w:r w:rsidRPr="00BE086B">
        <w:rPr>
          <w:rFonts w:ascii="Times New Roman" w:hAnsi="Times New Roman" w:cs="Times New Roman"/>
          <w:color w:val="auto"/>
          <w:sz w:val="28"/>
          <w:szCs w:val="28"/>
          <w:lang w:val="uk-UA"/>
        </w:rPr>
        <w:t>-тироксину</w:t>
      </w:r>
      <w:r w:rsidRPr="00BE086B">
        <w:rPr>
          <w:rFonts w:ascii="Times New Roman" w:eastAsia="Times New Roman" w:hAnsi="Times New Roman" w:cs="Times New Roman"/>
          <w:color w:val="auto"/>
          <w:sz w:val="28"/>
          <w:szCs w:val="28"/>
          <w:lang w:val="uk-UA" w:eastAsia="ru-RU"/>
        </w:rPr>
        <w:t xml:space="preserve"> зменшується ймовірність появи «корчів» у тварин</w:t>
      </w:r>
      <w:r w:rsidRPr="00BE086B">
        <w:rPr>
          <w:rFonts w:ascii="Times New Roman" w:hAnsi="Times New Roman" w:cs="Times New Roman"/>
          <w:color w:val="auto"/>
          <w:sz w:val="28"/>
          <w:szCs w:val="28"/>
          <w:lang w:val="uk-UA"/>
        </w:rPr>
        <w:t xml:space="preserve"> </w:t>
      </w:r>
      <w:r w:rsidRPr="00BE086B">
        <w:rPr>
          <w:rFonts w:ascii="Times New Roman" w:eastAsia="Times New Roman" w:hAnsi="Times New Roman" w:cs="Times New Roman"/>
          <w:color w:val="auto"/>
          <w:sz w:val="28"/>
          <w:szCs w:val="28"/>
          <w:lang w:val="uk-UA" w:eastAsia="ru-RU"/>
        </w:rPr>
        <w:t>у 7,7 разів (р</w:t>
      </w:r>
      <w:r w:rsidRPr="00BE086B">
        <w:rPr>
          <w:rFonts w:ascii="Times New Roman" w:eastAsia="Times New Roman" w:hAnsi="Times New Roman" w:cs="Times New Roman"/>
          <w:color w:val="auto"/>
          <w:sz w:val="28"/>
          <w:szCs w:val="28"/>
          <w:lang w:eastAsia="ru-RU"/>
        </w:rPr>
        <w:t> </w:t>
      </w:r>
      <w:r w:rsidRPr="00BE086B">
        <w:rPr>
          <w:rFonts w:ascii="Times New Roman" w:eastAsia="Times New Roman" w:hAnsi="Times New Roman" w:cs="Times New Roman"/>
          <w:color w:val="auto"/>
          <w:sz w:val="28"/>
          <w:szCs w:val="28"/>
          <w:lang w:val="uk-UA" w:eastAsia="ru-RU"/>
        </w:rPr>
        <w:t>&lt;</w:t>
      </w:r>
      <w:r w:rsidRPr="00BE086B">
        <w:rPr>
          <w:rFonts w:ascii="Times New Roman" w:eastAsia="Times New Roman" w:hAnsi="Times New Roman" w:cs="Times New Roman"/>
          <w:color w:val="auto"/>
          <w:sz w:val="28"/>
          <w:szCs w:val="28"/>
          <w:lang w:eastAsia="ru-RU"/>
        </w:rPr>
        <w:t> </w:t>
      </w:r>
      <w:r w:rsidRPr="00BE086B">
        <w:rPr>
          <w:rFonts w:ascii="Times New Roman" w:eastAsia="Times New Roman" w:hAnsi="Times New Roman" w:cs="Times New Roman"/>
          <w:color w:val="auto"/>
          <w:sz w:val="28"/>
          <w:szCs w:val="28"/>
          <w:lang w:val="uk-UA" w:eastAsia="ru-RU"/>
        </w:rPr>
        <w:t xml:space="preserve">0,001) відносно </w:t>
      </w:r>
      <w:r w:rsidRPr="00BE086B">
        <w:rPr>
          <w:rFonts w:ascii="Times New Roman" w:eastAsia="Calibri" w:hAnsi="Times New Roman" w:cs="Times New Roman"/>
          <w:iCs/>
          <w:color w:val="auto"/>
          <w:sz w:val="28"/>
          <w:szCs w:val="28"/>
          <w:lang w:val="uk-UA" w:eastAsia="en-US"/>
        </w:rPr>
        <w:t>групи активного контролю (ЕОА+ЕГ</w:t>
      </w:r>
      <w:r w:rsidRPr="00BE086B">
        <w:rPr>
          <w:rFonts w:ascii="Times New Roman" w:hAnsi="Times New Roman" w:cs="Times New Roman"/>
          <w:color w:val="auto"/>
          <w:sz w:val="28"/>
          <w:szCs w:val="28"/>
          <w:lang w:val="uk-UA"/>
        </w:rPr>
        <w:t>).</w:t>
      </w:r>
    </w:p>
    <w:p w:rsidR="00215BF6" w:rsidRPr="00BE086B" w:rsidRDefault="00215BF6" w:rsidP="00215BF6">
      <w:pPr>
        <w:pStyle w:val="12"/>
        <w:spacing w:before="0" w:after="0" w:line="360" w:lineRule="auto"/>
        <w:ind w:firstLine="709"/>
        <w:jc w:val="both"/>
        <w:rPr>
          <w:rFonts w:cs="Times New Roman"/>
          <w:bCs/>
          <w:sz w:val="28"/>
          <w:szCs w:val="28"/>
          <w:lang w:val="uk-UA"/>
        </w:rPr>
      </w:pPr>
    </w:p>
    <w:p w:rsidR="00215BF6" w:rsidRPr="00BE086B" w:rsidRDefault="00215BF6" w:rsidP="00215BF6">
      <w:pPr>
        <w:spacing w:line="360" w:lineRule="auto"/>
        <w:jc w:val="center"/>
        <w:rPr>
          <w:b/>
          <w:bCs/>
          <w:sz w:val="28"/>
          <w:szCs w:val="28"/>
          <w:lang w:val="uk-UA"/>
        </w:rPr>
      </w:pPr>
      <w:r w:rsidRPr="00BE086B">
        <w:rPr>
          <w:rStyle w:val="translation-chunk"/>
          <w:b/>
          <w:bCs/>
          <w:sz w:val="28"/>
          <w:szCs w:val="28"/>
          <w:lang w:val="uk-UA"/>
        </w:rPr>
        <w:t>7.3. Біофармацевтичний аналіз взаємодії</w:t>
      </w:r>
      <w:r w:rsidRPr="00BE086B">
        <w:rPr>
          <w:b/>
          <w:bCs/>
          <w:sz w:val="28"/>
          <w:szCs w:val="28"/>
          <w:lang w:val="uk-UA"/>
        </w:rPr>
        <w:t xml:space="preserve"> компонентів комбінованого засобу: диклофенак натрію, хондроїтин сульфат та L-тироксин при експериментальному остеоартрозі на тлі гіпотиреозу</w:t>
      </w:r>
    </w:p>
    <w:p w:rsidR="00215BF6" w:rsidRPr="00BE086B" w:rsidRDefault="00215BF6" w:rsidP="00215BF6">
      <w:pPr>
        <w:spacing w:line="360" w:lineRule="auto"/>
        <w:jc w:val="center"/>
        <w:rPr>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У підрозділі описані результати дослідження біофармацевтичної взаємодії диклофенаку натрію, хондроїтину сульфату та L-тироксину, як компонентів фармакотерапії проявів остеоартрозу на фоні гіпотиреозу, що проведені за допомогою комп’ютерної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w:t>
      </w: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Для дослідження біофармацевтичної взаємодії комбінованого засобу, що складається з диклофенаку натрію, хондроїтину сульфату та L-тироксину з використанням комп’ютерної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проведений послідовний аналіз їх потенційних взаємних впливів на різних рівнях – фізичному, хімічному та фізико-хімічному, а також оцінена фармакокінетична та фармакологічна сумісність компонентів [</w:t>
      </w:r>
      <w:r w:rsidR="00F63285" w:rsidRPr="00BE086B">
        <w:rPr>
          <w:sz w:val="28"/>
          <w:szCs w:val="28"/>
          <w:lang w:val="uk-UA"/>
        </w:rPr>
        <w:t xml:space="preserve">275, </w:t>
      </w:r>
      <w:r w:rsidRPr="00BE086B">
        <w:rPr>
          <w:sz w:val="28"/>
          <w:szCs w:val="28"/>
          <w:lang w:val="uk-UA"/>
        </w:rPr>
        <w:t>462].</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Для вирішення встановлених задач та реалізації етапів дослідження з оцінки можливості використання у комбінованому вигляді трьох лікарських засобів – L-тироксину (левотироксину), хондроїтіну-4 сульфату та диклофенаку натрію були:</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1. Досліджені фізико-хімічні властивості сполук;</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2. Вивчені ймовірні хімічні реакції у які можуть вступати зазначені сполуки завдяки наявності відповідних функціональних груп;</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3. Вивчені фармакокінетичні та фармакологічні взаємодії, що реалізуються переважно через вплив на однакові чи пов’язані між собою біохімічні, рецепторні та функціональні системи.</w:t>
      </w:r>
    </w:p>
    <w:p w:rsidR="00215BF6" w:rsidRPr="00BE086B" w:rsidRDefault="00215BF6" w:rsidP="009D0803">
      <w:pPr>
        <w:pStyle w:val="af5"/>
        <w:spacing w:after="0" w:line="360" w:lineRule="auto"/>
        <w:ind w:left="0" w:firstLine="709"/>
        <w:jc w:val="both"/>
        <w:rPr>
          <w:rFonts w:ascii="Times New Roman" w:hAnsi="Times New Roman" w:cs="Times New Roman"/>
          <w:b/>
          <w:sz w:val="28"/>
          <w:szCs w:val="28"/>
          <w:u w:val="single"/>
          <w:lang w:val="uk-UA"/>
        </w:rPr>
      </w:pPr>
    </w:p>
    <w:p w:rsidR="00215BF6" w:rsidRPr="00BE086B" w:rsidRDefault="00215BF6" w:rsidP="009D0803">
      <w:pPr>
        <w:pStyle w:val="af5"/>
        <w:spacing w:after="0" w:line="360" w:lineRule="auto"/>
        <w:ind w:left="0" w:firstLine="709"/>
        <w:jc w:val="both"/>
        <w:rPr>
          <w:rFonts w:ascii="Times New Roman" w:hAnsi="Times New Roman" w:cs="Times New Roman"/>
          <w:b/>
          <w:sz w:val="28"/>
          <w:szCs w:val="28"/>
          <w:lang w:val="uk-UA"/>
        </w:rPr>
      </w:pPr>
      <w:r w:rsidRPr="00BE086B">
        <w:rPr>
          <w:rFonts w:ascii="Times New Roman" w:hAnsi="Times New Roman" w:cs="Times New Roman"/>
          <w:b/>
          <w:sz w:val="28"/>
          <w:szCs w:val="28"/>
          <w:lang w:val="uk-UA"/>
        </w:rPr>
        <w:lastRenderedPageBreak/>
        <w:t>7.3.1. Дослідження фізико-хімічних властивостей хондроїтину сульфату</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За допомогою комп’ютерної програми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iCs/>
          <w:sz w:val="28"/>
          <w:szCs w:val="28"/>
          <w:lang w:val="uk-UA"/>
        </w:rPr>
        <w:t xml:space="preserve"> встановлено, що хондроїтину-4 сульфат</w:t>
      </w:r>
      <w:r w:rsidRPr="00BE086B">
        <w:rPr>
          <w:rFonts w:ascii="Times New Roman" w:hAnsi="Times New Roman" w:cs="Times New Roman"/>
          <w:sz w:val="28"/>
          <w:szCs w:val="28"/>
          <w:lang w:val="uk-UA"/>
        </w:rPr>
        <w:t xml:space="preserve"> являє собою полімерну сполуку, елементарною ланкою ланцюгу якого є структура сульфітованого глюкозаміну (рис. 7.9 та 7.10).</w:t>
      </w:r>
    </w:p>
    <w:p w:rsidR="00215BF6" w:rsidRPr="00BE086B" w:rsidRDefault="00AE0E72" w:rsidP="00DF06B2">
      <w:pPr>
        <w:spacing w:line="360" w:lineRule="auto"/>
        <w:ind w:firstLine="709"/>
        <w:jc w:val="center"/>
        <w:rPr>
          <w:b/>
          <w:bCs/>
          <w:sz w:val="28"/>
          <w:szCs w:val="28"/>
          <w:lang w:val="uk-UA"/>
        </w:rPr>
      </w:pPr>
      <w:r>
        <w:rPr>
          <w:b/>
          <w:bCs/>
          <w:noProof/>
          <w:sz w:val="28"/>
          <w:szCs w:val="28"/>
          <w:lang w:eastAsia="ru-RU"/>
        </w:rPr>
        <w:drawing>
          <wp:inline distT="0" distB="0" distL="0" distR="0">
            <wp:extent cx="1886400" cy="21924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7.9.jpg"/>
                    <pic:cNvPicPr/>
                  </pic:nvPicPr>
                  <pic:blipFill>
                    <a:blip r:embed="rId54">
                      <a:extLst>
                        <a:ext uri="{28A0092B-C50C-407E-A947-70E740481C1C}">
                          <a14:useLocalDpi xmlns:a14="http://schemas.microsoft.com/office/drawing/2010/main" val="0"/>
                        </a:ext>
                      </a:extLst>
                    </a:blip>
                    <a:stretch>
                      <a:fillRect/>
                    </a:stretch>
                  </pic:blipFill>
                  <pic:spPr>
                    <a:xfrm>
                      <a:off x="0" y="0"/>
                      <a:ext cx="1886400" cy="21924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7.9. </w:t>
      </w:r>
      <w:r w:rsidRPr="00BE086B">
        <w:rPr>
          <w:bCs/>
          <w:sz w:val="28"/>
          <w:szCs w:val="28"/>
          <w:lang w:val="uk-UA"/>
        </w:rPr>
        <w:t>Показана х</w:t>
      </w:r>
      <w:r w:rsidRPr="00BE086B">
        <w:rPr>
          <w:sz w:val="28"/>
          <w:szCs w:val="28"/>
          <w:lang w:val="uk-UA"/>
        </w:rPr>
        <w:t>імічна будова хондроїтину сульфату.</w:t>
      </w:r>
    </w:p>
    <w:p w:rsidR="00215BF6" w:rsidRPr="00BE086B" w:rsidRDefault="00AE0E72" w:rsidP="00DF06B2">
      <w:pPr>
        <w:pStyle w:val="af5"/>
        <w:spacing w:after="0" w:line="360" w:lineRule="auto"/>
        <w:ind w:left="0" w:firstLine="709"/>
        <w:jc w:val="center"/>
        <w:rPr>
          <w:rFonts w:ascii="Times New Roman" w:hAnsi="Times New Roman" w:cs="Times New Roman"/>
          <w:b/>
          <w:bCs/>
          <w:sz w:val="28"/>
          <w:szCs w:val="28"/>
          <w:lang w:val="uk-UA"/>
        </w:rPr>
      </w:pPr>
      <w:r>
        <w:rPr>
          <w:rFonts w:ascii="Times New Roman" w:hAnsi="Times New Roman" w:cs="Times New Roman"/>
          <w:b/>
          <w:bCs/>
          <w:noProof/>
          <w:sz w:val="28"/>
          <w:szCs w:val="28"/>
          <w:lang w:eastAsia="ru-RU"/>
        </w:rPr>
        <w:drawing>
          <wp:inline distT="0" distB="0" distL="0" distR="0">
            <wp:extent cx="2476800" cy="25236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7.10.jpg"/>
                    <pic:cNvPicPr/>
                  </pic:nvPicPr>
                  <pic:blipFill>
                    <a:blip r:embed="rId55">
                      <a:extLst>
                        <a:ext uri="{28A0092B-C50C-407E-A947-70E740481C1C}">
                          <a14:useLocalDpi xmlns:a14="http://schemas.microsoft.com/office/drawing/2010/main" val="0"/>
                        </a:ext>
                      </a:extLst>
                    </a:blip>
                    <a:stretch>
                      <a:fillRect/>
                    </a:stretch>
                  </pic:blipFill>
                  <pic:spPr>
                    <a:xfrm>
                      <a:off x="0" y="0"/>
                      <a:ext cx="2476800" cy="2523600"/>
                    </a:xfrm>
                    <a:prstGeom prst="rect">
                      <a:avLst/>
                    </a:prstGeom>
                  </pic:spPr>
                </pic:pic>
              </a:graphicData>
            </a:graphic>
          </wp:inline>
        </w:drawing>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b/>
          <w:bCs/>
          <w:sz w:val="28"/>
          <w:szCs w:val="28"/>
          <w:lang w:val="uk-UA"/>
        </w:rPr>
        <w:t>Рис. 7.10.</w:t>
      </w:r>
      <w:r w:rsidRPr="00BE086B">
        <w:rPr>
          <w:rFonts w:ascii="Times New Roman" w:hAnsi="Times New Roman" w:cs="Times New Roman"/>
          <w:sz w:val="28"/>
          <w:szCs w:val="28"/>
          <w:lang w:val="uk-UA"/>
        </w:rPr>
        <w:t xml:space="preserve"> Функціональні групи хондроїтину сульфату.</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 огляду на поліфункціональну природу сполуки, </w:t>
      </w:r>
      <w:r w:rsidR="0060112C" w:rsidRPr="00BE086B">
        <w:rPr>
          <w:rFonts w:ascii="Times New Roman" w:hAnsi="Times New Roman" w:cs="Times New Roman"/>
          <w:sz w:val="28"/>
          <w:szCs w:val="28"/>
          <w:lang w:val="uk-UA"/>
        </w:rPr>
        <w:t xml:space="preserve">у програмі </w:t>
      </w:r>
      <w:r w:rsidR="0060112C" w:rsidRPr="00BE086B">
        <w:rPr>
          <w:rFonts w:ascii="Times New Roman" w:hAnsi="Times New Roman" w:cs="Times New Roman"/>
          <w:bCs/>
          <w:sz w:val="28"/>
          <w:szCs w:val="28"/>
        </w:rPr>
        <w:t>ACD</w:t>
      </w:r>
      <w:r w:rsidR="0060112C" w:rsidRPr="00BE086B">
        <w:rPr>
          <w:rFonts w:ascii="Times New Roman" w:hAnsi="Times New Roman" w:cs="Times New Roman"/>
          <w:bCs/>
          <w:sz w:val="28"/>
          <w:szCs w:val="28"/>
          <w:lang w:val="uk-UA"/>
        </w:rPr>
        <w:t>/</w:t>
      </w:r>
      <w:r w:rsidR="0060112C" w:rsidRPr="00BE086B">
        <w:rPr>
          <w:rFonts w:ascii="Times New Roman" w:hAnsi="Times New Roman" w:cs="Times New Roman"/>
          <w:bCs/>
          <w:sz w:val="28"/>
          <w:szCs w:val="28"/>
        </w:rPr>
        <w:t>pKa</w:t>
      </w:r>
      <w:r w:rsidR="0060112C" w:rsidRPr="00BE086B">
        <w:rPr>
          <w:rFonts w:ascii="Times New Roman" w:hAnsi="Times New Roman" w:cs="Times New Roman"/>
          <w:bCs/>
          <w:sz w:val="28"/>
          <w:szCs w:val="28"/>
          <w:lang w:val="uk-UA"/>
        </w:rPr>
        <w:t xml:space="preserve"> </w:t>
      </w:r>
      <w:r w:rsidR="0060112C" w:rsidRPr="00BE086B">
        <w:rPr>
          <w:rFonts w:ascii="Times New Roman" w:hAnsi="Times New Roman" w:cs="Times New Roman"/>
          <w:bCs/>
          <w:sz w:val="28"/>
          <w:szCs w:val="28"/>
        </w:rPr>
        <w:t>DB</w:t>
      </w:r>
      <w:r w:rsidR="0060112C"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виділено шість основних груп, з якими можливо створення хімічних реакцій та, які обумовлюють можливі хімічні взаємодії. Перш за все, це сульфатна група (1), що як залишок сильної кислоти, здатна до депротонування та прояву кислих властивостей і схильна до утворення солей (рис. 7.11).</w:t>
      </w:r>
    </w:p>
    <w:p w:rsidR="00215BF6" w:rsidRPr="00BE086B" w:rsidRDefault="00AE0E72" w:rsidP="0060112C">
      <w:pPr>
        <w:spacing w:line="360" w:lineRule="auto"/>
        <w:ind w:firstLine="709"/>
        <w:jc w:val="center"/>
        <w:rPr>
          <w:sz w:val="28"/>
          <w:szCs w:val="28"/>
          <w:lang w:val="uk-UA"/>
        </w:rPr>
      </w:pPr>
      <w:r>
        <w:rPr>
          <w:noProof/>
          <w:sz w:val="28"/>
          <w:szCs w:val="28"/>
          <w:lang w:eastAsia="ru-RU"/>
        </w:rPr>
        <w:lastRenderedPageBreak/>
        <w:drawing>
          <wp:inline distT="0" distB="0" distL="0" distR="0">
            <wp:extent cx="4028400" cy="18180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7.11.jpg"/>
                    <pic:cNvPicPr/>
                  </pic:nvPicPr>
                  <pic:blipFill>
                    <a:blip r:embed="rId56">
                      <a:extLst>
                        <a:ext uri="{28A0092B-C50C-407E-A947-70E740481C1C}">
                          <a14:useLocalDpi xmlns:a14="http://schemas.microsoft.com/office/drawing/2010/main" val="0"/>
                        </a:ext>
                      </a:extLst>
                    </a:blip>
                    <a:stretch>
                      <a:fillRect/>
                    </a:stretch>
                  </pic:blipFill>
                  <pic:spPr>
                    <a:xfrm>
                      <a:off x="0" y="0"/>
                      <a:ext cx="4028400" cy="1818000"/>
                    </a:xfrm>
                    <a:prstGeom prst="rect">
                      <a:avLst/>
                    </a:prstGeom>
                  </pic:spPr>
                </pic:pic>
              </a:graphicData>
            </a:graphic>
          </wp:inline>
        </w:drawing>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b/>
          <w:bCs/>
          <w:sz w:val="28"/>
          <w:szCs w:val="28"/>
          <w:lang w:val="uk-UA"/>
        </w:rPr>
        <w:t>Рис. 7.11.</w:t>
      </w:r>
      <w:r w:rsidRPr="00BE086B">
        <w:rPr>
          <w:rFonts w:ascii="Times New Roman" w:hAnsi="Times New Roman" w:cs="Times New Roman"/>
          <w:sz w:val="28"/>
          <w:szCs w:val="28"/>
          <w:lang w:val="uk-UA"/>
        </w:rPr>
        <w:t xml:space="preserve"> Хімічні реакції сульфатної групи.</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60112C"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За допомогою програми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sz w:val="28"/>
          <w:szCs w:val="28"/>
          <w:lang w:val="uk-UA"/>
        </w:rPr>
        <w:t xml:space="preserve"> в</w:t>
      </w:r>
      <w:r w:rsidR="00215BF6" w:rsidRPr="00BE086B">
        <w:rPr>
          <w:rFonts w:ascii="Times New Roman" w:hAnsi="Times New Roman" w:cs="Times New Roman"/>
          <w:sz w:val="28"/>
          <w:szCs w:val="28"/>
          <w:lang w:val="uk-UA"/>
        </w:rPr>
        <w:t>становлено, що другою є амідна група</w:t>
      </w:r>
      <w:r w:rsidR="00215BF6" w:rsidRPr="00BE086B">
        <w:rPr>
          <w:rFonts w:ascii="Times New Roman" w:hAnsi="Times New Roman" w:cs="Times New Roman"/>
          <w:b/>
          <w:sz w:val="28"/>
          <w:szCs w:val="28"/>
          <w:lang w:val="uk-UA"/>
        </w:rPr>
        <w:t xml:space="preserve"> </w:t>
      </w:r>
      <w:r w:rsidR="00215BF6" w:rsidRPr="00BE086B">
        <w:rPr>
          <w:rFonts w:ascii="Times New Roman" w:hAnsi="Times New Roman" w:cs="Times New Roman"/>
          <w:sz w:val="28"/>
          <w:szCs w:val="28"/>
          <w:lang w:val="uk-UA"/>
        </w:rPr>
        <w:t>(2), азот якої проявляє основні властивості та здатний до протонування, що обумовлює схильність сполуки до депротонування та прояву слабких кислих властивостей, особливо з іонами важких металів (рис. 7.12).</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AE0E72" w:rsidP="00AE0E72">
      <w:pPr>
        <w:pStyle w:val="af5"/>
        <w:spacing w:after="0" w:line="360" w:lineRule="auto"/>
        <w:ind w:left="0" w:firstLine="709"/>
        <w:jc w:val="center"/>
        <w:rPr>
          <w:rFonts w:ascii="Times New Roman" w:hAnsi="Times New Roman" w:cs="Times New Roman"/>
          <w:b/>
          <w:bCs/>
          <w:sz w:val="28"/>
          <w:szCs w:val="28"/>
          <w:lang w:val="uk-UA"/>
        </w:rPr>
      </w:pPr>
      <w:r>
        <w:rPr>
          <w:rFonts w:ascii="Times New Roman" w:hAnsi="Times New Roman" w:cs="Times New Roman"/>
          <w:b/>
          <w:bCs/>
          <w:noProof/>
          <w:sz w:val="28"/>
          <w:szCs w:val="28"/>
          <w:lang w:eastAsia="ru-RU"/>
        </w:rPr>
        <w:drawing>
          <wp:inline distT="0" distB="0" distL="0" distR="0">
            <wp:extent cx="5450400" cy="20016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7.12.jpg"/>
                    <pic:cNvPicPr/>
                  </pic:nvPicPr>
                  <pic:blipFill>
                    <a:blip r:embed="rId57">
                      <a:extLst>
                        <a:ext uri="{28A0092B-C50C-407E-A947-70E740481C1C}">
                          <a14:useLocalDpi xmlns:a14="http://schemas.microsoft.com/office/drawing/2010/main" val="0"/>
                        </a:ext>
                      </a:extLst>
                    </a:blip>
                    <a:stretch>
                      <a:fillRect/>
                    </a:stretch>
                  </pic:blipFill>
                  <pic:spPr>
                    <a:xfrm>
                      <a:off x="0" y="0"/>
                      <a:ext cx="5450400" cy="2001600"/>
                    </a:xfrm>
                    <a:prstGeom prst="rect">
                      <a:avLst/>
                    </a:prstGeom>
                  </pic:spPr>
                </pic:pic>
              </a:graphicData>
            </a:graphic>
          </wp:inline>
        </w:drawing>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b/>
          <w:bCs/>
          <w:sz w:val="28"/>
          <w:szCs w:val="28"/>
          <w:lang w:val="uk-UA"/>
        </w:rPr>
        <w:t>Рис. 7.12.</w:t>
      </w:r>
      <w:r w:rsidRPr="00BE086B">
        <w:rPr>
          <w:rFonts w:ascii="Times New Roman" w:hAnsi="Times New Roman" w:cs="Times New Roman"/>
          <w:sz w:val="28"/>
          <w:szCs w:val="28"/>
          <w:lang w:val="uk-UA"/>
        </w:rPr>
        <w:t xml:space="preserve"> Хімічні реакції амідної групи.</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На підставі аналізу хімічних реакцій </w:t>
      </w:r>
      <w:r w:rsidR="0060112C" w:rsidRPr="00BE086B">
        <w:rPr>
          <w:rFonts w:ascii="Times New Roman" w:hAnsi="Times New Roman" w:cs="Times New Roman"/>
          <w:sz w:val="28"/>
          <w:szCs w:val="28"/>
          <w:lang w:val="uk-UA"/>
        </w:rPr>
        <w:t xml:space="preserve">у програмі </w:t>
      </w:r>
      <w:r w:rsidR="0060112C" w:rsidRPr="00BE086B">
        <w:rPr>
          <w:rFonts w:ascii="Times New Roman" w:hAnsi="Times New Roman" w:cs="Times New Roman"/>
          <w:bCs/>
          <w:sz w:val="28"/>
          <w:szCs w:val="28"/>
        </w:rPr>
        <w:t>ACD</w:t>
      </w:r>
      <w:r w:rsidR="0060112C" w:rsidRPr="00BE086B">
        <w:rPr>
          <w:rFonts w:ascii="Times New Roman" w:hAnsi="Times New Roman" w:cs="Times New Roman"/>
          <w:bCs/>
          <w:sz w:val="28"/>
          <w:szCs w:val="28"/>
          <w:lang w:val="uk-UA"/>
        </w:rPr>
        <w:t>/</w:t>
      </w:r>
      <w:r w:rsidR="0060112C" w:rsidRPr="00BE086B">
        <w:rPr>
          <w:rFonts w:ascii="Times New Roman" w:hAnsi="Times New Roman" w:cs="Times New Roman"/>
          <w:bCs/>
          <w:sz w:val="28"/>
          <w:szCs w:val="28"/>
        </w:rPr>
        <w:t>pKa</w:t>
      </w:r>
      <w:r w:rsidR="0060112C" w:rsidRPr="00BE086B">
        <w:rPr>
          <w:rFonts w:ascii="Times New Roman" w:hAnsi="Times New Roman" w:cs="Times New Roman"/>
          <w:bCs/>
          <w:sz w:val="28"/>
          <w:szCs w:val="28"/>
          <w:lang w:val="uk-UA"/>
        </w:rPr>
        <w:t xml:space="preserve"> </w:t>
      </w:r>
      <w:r w:rsidR="0060112C" w:rsidRPr="00BE086B">
        <w:rPr>
          <w:rFonts w:ascii="Times New Roman" w:hAnsi="Times New Roman" w:cs="Times New Roman"/>
          <w:bCs/>
          <w:sz w:val="28"/>
          <w:szCs w:val="28"/>
        </w:rPr>
        <w:t>DB</w:t>
      </w:r>
      <w:r w:rsidR="0060112C"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встановлено, що амідна група здатна до гідролізу з утворенням відповідного деацетильованого похідного. Проте цей процес зазвичай можливий лише в умовах сильнокислого середовища (протони виступають у якості каталізаторів) та при підвищеній температурі (рис. 7.13).</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AE0E72" w:rsidP="0060112C">
      <w:pPr>
        <w:pStyle w:val="af5"/>
        <w:spacing w:after="0" w:line="360" w:lineRule="auto"/>
        <w:ind w:left="0"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4122000" cy="12852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7.13.jpg"/>
                    <pic:cNvPicPr/>
                  </pic:nvPicPr>
                  <pic:blipFill>
                    <a:blip r:embed="rId58">
                      <a:extLst>
                        <a:ext uri="{28A0092B-C50C-407E-A947-70E740481C1C}">
                          <a14:useLocalDpi xmlns:a14="http://schemas.microsoft.com/office/drawing/2010/main" val="0"/>
                        </a:ext>
                      </a:extLst>
                    </a:blip>
                    <a:stretch>
                      <a:fillRect/>
                    </a:stretch>
                  </pic:blipFill>
                  <pic:spPr>
                    <a:xfrm>
                      <a:off x="0" y="0"/>
                      <a:ext cx="4122000" cy="1285200"/>
                    </a:xfrm>
                    <a:prstGeom prst="rect">
                      <a:avLst/>
                    </a:prstGeom>
                  </pic:spPr>
                </pic:pic>
              </a:graphicData>
            </a:graphic>
          </wp:inline>
        </w:drawing>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b/>
          <w:bCs/>
          <w:sz w:val="28"/>
          <w:szCs w:val="28"/>
          <w:lang w:val="uk-UA"/>
        </w:rPr>
        <w:t>Рис. 7.13.</w:t>
      </w:r>
      <w:r w:rsidRPr="00BE086B">
        <w:rPr>
          <w:rFonts w:ascii="Times New Roman" w:hAnsi="Times New Roman" w:cs="Times New Roman"/>
          <w:sz w:val="28"/>
          <w:szCs w:val="28"/>
          <w:lang w:val="uk-UA"/>
        </w:rPr>
        <w:t xml:space="preserve"> Гідроліз амідної групи.</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Default="0060112C"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За допомогою програми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sz w:val="28"/>
          <w:szCs w:val="28"/>
          <w:lang w:val="uk-UA"/>
        </w:rPr>
        <w:t xml:space="preserve"> в</w:t>
      </w:r>
      <w:r w:rsidR="00215BF6" w:rsidRPr="00BE086B">
        <w:rPr>
          <w:rFonts w:ascii="Times New Roman" w:hAnsi="Times New Roman" w:cs="Times New Roman"/>
          <w:sz w:val="28"/>
          <w:szCs w:val="28"/>
          <w:lang w:val="uk-UA"/>
        </w:rPr>
        <w:t>становлено, що третьою групою є карбоксильна (3), яка у молекулі хондроїтину належить до тих, що обумовлює кислотні властивості сполуки. Проте у порівнянні із залишком сірчаної кислоти карбоксильна група сполуки не має сильних кислотних властивостей, хоча за її активності можливе утворення солей та ефірів. Ця реакція є зворотною та у природних умовах її рівновага має зсув вліво, тобто, шляхом спонтанного гідролізу або під впливом неспецифічних ензимів – естераз відбувається процес гідролізу естерів (рис. 7.14).</w:t>
      </w:r>
    </w:p>
    <w:p w:rsidR="00C778FD" w:rsidRPr="00BE086B" w:rsidRDefault="00C778FD"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AE0E72" w:rsidP="0060112C">
      <w:pPr>
        <w:pStyle w:val="af5"/>
        <w:spacing w:after="0" w:line="360" w:lineRule="auto"/>
        <w:ind w:left="0" w:firstLine="709"/>
        <w:jc w:val="center"/>
        <w:rPr>
          <w:rFonts w:ascii="Times New Roman" w:hAnsi="Times New Roman" w:cs="Times New Roman"/>
          <w:b/>
          <w:bCs/>
          <w:sz w:val="28"/>
          <w:szCs w:val="28"/>
          <w:lang w:val="uk-UA"/>
        </w:rPr>
      </w:pPr>
      <w:r>
        <w:rPr>
          <w:rFonts w:ascii="Times New Roman" w:hAnsi="Times New Roman" w:cs="Times New Roman"/>
          <w:b/>
          <w:bCs/>
          <w:noProof/>
          <w:sz w:val="28"/>
          <w:szCs w:val="28"/>
          <w:lang w:eastAsia="ru-RU"/>
        </w:rPr>
        <w:drawing>
          <wp:inline distT="0" distB="0" distL="0" distR="0">
            <wp:extent cx="4932000" cy="3027600"/>
            <wp:effectExtent l="0" t="0" r="2540"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7.14.jpg"/>
                    <pic:cNvPicPr/>
                  </pic:nvPicPr>
                  <pic:blipFill>
                    <a:blip r:embed="rId59">
                      <a:extLst>
                        <a:ext uri="{28A0092B-C50C-407E-A947-70E740481C1C}">
                          <a14:useLocalDpi xmlns:a14="http://schemas.microsoft.com/office/drawing/2010/main" val="0"/>
                        </a:ext>
                      </a:extLst>
                    </a:blip>
                    <a:stretch>
                      <a:fillRect/>
                    </a:stretch>
                  </pic:blipFill>
                  <pic:spPr>
                    <a:xfrm>
                      <a:off x="0" y="0"/>
                      <a:ext cx="4932000" cy="3027600"/>
                    </a:xfrm>
                    <a:prstGeom prst="rect">
                      <a:avLst/>
                    </a:prstGeom>
                  </pic:spPr>
                </pic:pic>
              </a:graphicData>
            </a:graphic>
          </wp:inline>
        </w:drawing>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b/>
          <w:bCs/>
          <w:sz w:val="28"/>
          <w:szCs w:val="28"/>
          <w:lang w:val="uk-UA"/>
        </w:rPr>
        <w:t>Рис. 7.14.</w:t>
      </w:r>
      <w:r w:rsidRPr="00BE086B">
        <w:rPr>
          <w:rFonts w:ascii="Times New Roman" w:hAnsi="Times New Roman" w:cs="Times New Roman"/>
          <w:sz w:val="28"/>
          <w:szCs w:val="28"/>
          <w:lang w:val="uk-UA"/>
        </w:rPr>
        <w:t xml:space="preserve"> Процес гідролізу естерів.</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60112C" w:rsidRPr="00BE086B" w:rsidRDefault="0060112C"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60112C"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lastRenderedPageBreak/>
        <w:t xml:space="preserve">За допомогою програми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sz w:val="28"/>
          <w:szCs w:val="28"/>
          <w:lang w:val="uk-UA"/>
        </w:rPr>
        <w:t xml:space="preserve"> в</w:t>
      </w:r>
      <w:r w:rsidR="00215BF6" w:rsidRPr="00BE086B">
        <w:rPr>
          <w:rFonts w:ascii="Times New Roman" w:hAnsi="Times New Roman" w:cs="Times New Roman"/>
          <w:sz w:val="28"/>
          <w:szCs w:val="28"/>
          <w:lang w:val="uk-UA"/>
        </w:rPr>
        <w:t>становлено, що функціональні групи (4) та (5) хондроїтину сульфату представлені гідроксилами залишків цукрів та, як гідроксильні групи, вони не тільки можуть депротонуватись при високому значенні рН, але й вступати у відповідні реакції спиртів, до яких перш за все слід віднести реакцію етерифікації (утворення естеру при взаємодії з органічною кислотою) (рис. 7.15).</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AE0E72" w:rsidP="0060112C">
      <w:pPr>
        <w:pStyle w:val="af5"/>
        <w:spacing w:after="0" w:line="360" w:lineRule="auto"/>
        <w:ind w:left="0" w:firstLine="709"/>
        <w:jc w:val="center"/>
        <w:rPr>
          <w:rFonts w:ascii="Times New Roman" w:hAnsi="Times New Roman" w:cs="Times New Roman"/>
          <w:b/>
          <w:bCs/>
          <w:sz w:val="28"/>
          <w:szCs w:val="28"/>
          <w:lang w:val="uk-UA"/>
        </w:rPr>
      </w:pPr>
      <w:r>
        <w:rPr>
          <w:rFonts w:ascii="Times New Roman" w:hAnsi="Times New Roman" w:cs="Times New Roman"/>
          <w:b/>
          <w:bCs/>
          <w:noProof/>
          <w:sz w:val="28"/>
          <w:szCs w:val="28"/>
          <w:lang w:eastAsia="ru-RU"/>
        </w:rPr>
        <w:drawing>
          <wp:inline distT="0" distB="0" distL="0" distR="0">
            <wp:extent cx="4248000" cy="2541600"/>
            <wp:effectExtent l="0" t="0" r="63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7.15.jpg"/>
                    <pic:cNvPicPr/>
                  </pic:nvPicPr>
                  <pic:blipFill>
                    <a:blip r:embed="rId60">
                      <a:extLst>
                        <a:ext uri="{28A0092B-C50C-407E-A947-70E740481C1C}">
                          <a14:useLocalDpi xmlns:a14="http://schemas.microsoft.com/office/drawing/2010/main" val="0"/>
                        </a:ext>
                      </a:extLst>
                    </a:blip>
                    <a:stretch>
                      <a:fillRect/>
                    </a:stretch>
                  </pic:blipFill>
                  <pic:spPr>
                    <a:xfrm>
                      <a:off x="0" y="0"/>
                      <a:ext cx="4248000" cy="2541600"/>
                    </a:xfrm>
                    <a:prstGeom prst="rect">
                      <a:avLst/>
                    </a:prstGeom>
                  </pic:spPr>
                </pic:pic>
              </a:graphicData>
            </a:graphic>
          </wp:inline>
        </w:drawing>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b/>
          <w:bCs/>
          <w:sz w:val="28"/>
          <w:szCs w:val="28"/>
          <w:lang w:val="uk-UA"/>
        </w:rPr>
        <w:t>Рис. 7.15.</w:t>
      </w:r>
      <w:r w:rsidRPr="00BE086B">
        <w:rPr>
          <w:rFonts w:ascii="Times New Roman" w:hAnsi="Times New Roman" w:cs="Times New Roman"/>
          <w:sz w:val="28"/>
          <w:szCs w:val="28"/>
          <w:lang w:val="uk-UA"/>
        </w:rPr>
        <w:t xml:space="preserve"> Процес етерифікації.</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Як було визначено вище, реакція етерифікації, є зворотною та у присутності води, а особливо у лужному середовищі має зсув вліво, до утворення вихідних сполук. Втім, за умов незначної кількості води (наприклад, при змішувані твердих порошків із низьким вмістом вологи) ймовірність даної реакції підвищується (рис. 7.15).</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Подальше дослідження </w:t>
      </w:r>
      <w:r w:rsidR="0060112C" w:rsidRPr="00BE086B">
        <w:rPr>
          <w:rFonts w:ascii="Times New Roman" w:hAnsi="Times New Roman" w:cs="Times New Roman"/>
          <w:sz w:val="28"/>
          <w:szCs w:val="28"/>
          <w:lang w:val="uk-UA"/>
        </w:rPr>
        <w:t xml:space="preserve">у програмі </w:t>
      </w:r>
      <w:r w:rsidR="0060112C" w:rsidRPr="00BE086B">
        <w:rPr>
          <w:rFonts w:ascii="Times New Roman" w:hAnsi="Times New Roman" w:cs="Times New Roman"/>
          <w:bCs/>
          <w:sz w:val="28"/>
          <w:szCs w:val="28"/>
        </w:rPr>
        <w:t>ACD</w:t>
      </w:r>
      <w:r w:rsidR="0060112C" w:rsidRPr="00BE086B">
        <w:rPr>
          <w:rFonts w:ascii="Times New Roman" w:hAnsi="Times New Roman" w:cs="Times New Roman"/>
          <w:bCs/>
          <w:sz w:val="28"/>
          <w:szCs w:val="28"/>
          <w:lang w:val="uk-UA"/>
        </w:rPr>
        <w:t>/</w:t>
      </w:r>
      <w:r w:rsidR="0060112C" w:rsidRPr="00BE086B">
        <w:rPr>
          <w:rFonts w:ascii="Times New Roman" w:hAnsi="Times New Roman" w:cs="Times New Roman"/>
          <w:bCs/>
          <w:sz w:val="28"/>
          <w:szCs w:val="28"/>
        </w:rPr>
        <w:t>pKa</w:t>
      </w:r>
      <w:r w:rsidR="0060112C" w:rsidRPr="00BE086B">
        <w:rPr>
          <w:rFonts w:ascii="Times New Roman" w:hAnsi="Times New Roman" w:cs="Times New Roman"/>
          <w:bCs/>
          <w:sz w:val="28"/>
          <w:szCs w:val="28"/>
          <w:lang w:val="uk-UA"/>
        </w:rPr>
        <w:t xml:space="preserve"> </w:t>
      </w:r>
      <w:r w:rsidR="0060112C" w:rsidRPr="00BE086B">
        <w:rPr>
          <w:rFonts w:ascii="Times New Roman" w:hAnsi="Times New Roman" w:cs="Times New Roman"/>
          <w:bCs/>
          <w:sz w:val="28"/>
          <w:szCs w:val="28"/>
        </w:rPr>
        <w:t>DB</w:t>
      </w:r>
      <w:r w:rsidR="0060112C"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 xml:space="preserve">показало, що шостою функціональною групою хондроїтину сульфату є етерний зв’язок, який утворений за допомогою </w:t>
      </w:r>
      <w:r w:rsidRPr="00BE086B">
        <w:rPr>
          <w:rFonts w:ascii="Times New Roman" w:hAnsi="Times New Roman" w:cs="Times New Roman"/>
          <w:bCs/>
          <w:sz w:val="28"/>
          <w:szCs w:val="28"/>
          <w:lang w:val="uk-UA"/>
        </w:rPr>
        <w:t>напівацетального гідроксилу (6)</w:t>
      </w:r>
      <w:r w:rsidRPr="00BE086B">
        <w:rPr>
          <w:rFonts w:ascii="Times New Roman" w:hAnsi="Times New Roman" w:cs="Times New Roman"/>
          <w:sz w:val="28"/>
          <w:szCs w:val="28"/>
          <w:lang w:val="uk-UA"/>
        </w:rPr>
        <w:t>. На відміну від звичайного етерного зв’язку цей зв’язок здатний піддаватись гідролізу у кислому середовищі (рис. 7.16).</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AE0E72" w:rsidP="0060112C">
      <w:pPr>
        <w:spacing w:line="360" w:lineRule="auto"/>
        <w:ind w:firstLine="709"/>
        <w:jc w:val="center"/>
        <w:rPr>
          <w:b/>
          <w:bCs/>
          <w:sz w:val="28"/>
          <w:szCs w:val="28"/>
          <w:lang w:val="uk-UA"/>
        </w:rPr>
      </w:pPr>
      <w:r>
        <w:rPr>
          <w:b/>
          <w:bCs/>
          <w:noProof/>
          <w:sz w:val="28"/>
          <w:szCs w:val="28"/>
          <w:lang w:eastAsia="ru-RU"/>
        </w:rPr>
        <w:lastRenderedPageBreak/>
        <w:drawing>
          <wp:inline distT="0" distB="0" distL="0" distR="0">
            <wp:extent cx="4136400" cy="1972800"/>
            <wp:effectExtent l="0" t="0" r="0" b="889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7.16.jpg"/>
                    <pic:cNvPicPr/>
                  </pic:nvPicPr>
                  <pic:blipFill>
                    <a:blip r:embed="rId61">
                      <a:extLst>
                        <a:ext uri="{28A0092B-C50C-407E-A947-70E740481C1C}">
                          <a14:useLocalDpi xmlns:a14="http://schemas.microsoft.com/office/drawing/2010/main" val="0"/>
                        </a:ext>
                      </a:extLst>
                    </a:blip>
                    <a:stretch>
                      <a:fillRect/>
                    </a:stretch>
                  </pic:blipFill>
                  <pic:spPr>
                    <a:xfrm>
                      <a:off x="0" y="0"/>
                      <a:ext cx="4136400" cy="1972800"/>
                    </a:xfrm>
                    <a:prstGeom prst="rect">
                      <a:avLst/>
                    </a:prstGeom>
                  </pic:spPr>
                </pic:pic>
              </a:graphicData>
            </a:graphic>
          </wp:inline>
        </w:drawing>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b/>
          <w:bCs/>
          <w:sz w:val="28"/>
          <w:szCs w:val="28"/>
          <w:lang w:val="uk-UA"/>
        </w:rPr>
        <w:t>Рис. 7.16.</w:t>
      </w:r>
      <w:r w:rsidRPr="00BE086B">
        <w:rPr>
          <w:rFonts w:ascii="Times New Roman" w:hAnsi="Times New Roman" w:cs="Times New Roman"/>
          <w:sz w:val="28"/>
          <w:szCs w:val="28"/>
          <w:lang w:val="uk-UA"/>
        </w:rPr>
        <w:t xml:space="preserve"> Процес етерифікації.</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60112C"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За допомогою програми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sz w:val="28"/>
          <w:szCs w:val="28"/>
          <w:lang w:val="uk-UA"/>
        </w:rPr>
        <w:t xml:space="preserve"> в</w:t>
      </w:r>
      <w:r w:rsidR="00215BF6" w:rsidRPr="00BE086B">
        <w:rPr>
          <w:rFonts w:ascii="Times New Roman" w:hAnsi="Times New Roman" w:cs="Times New Roman"/>
          <w:sz w:val="28"/>
          <w:szCs w:val="28"/>
          <w:lang w:val="uk-UA"/>
        </w:rPr>
        <w:t>становлено, що кислотний гідроліз хондроїтин-4 сульфату перебігає переважно при підвищеній температурі та при високій концентрації кислоти, тому в умовах, наближених до фізіологічних ймовірність гідролізу є низькою.</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 огляду на вищеозначене </w:t>
      </w:r>
      <w:r w:rsidR="0060112C" w:rsidRPr="00BE086B">
        <w:rPr>
          <w:rFonts w:ascii="Times New Roman" w:hAnsi="Times New Roman" w:cs="Times New Roman"/>
          <w:sz w:val="28"/>
          <w:szCs w:val="28"/>
          <w:lang w:val="uk-UA"/>
        </w:rPr>
        <w:t xml:space="preserve">у програмі </w:t>
      </w:r>
      <w:r w:rsidR="0060112C" w:rsidRPr="00BE086B">
        <w:rPr>
          <w:rFonts w:ascii="Times New Roman" w:hAnsi="Times New Roman" w:cs="Times New Roman"/>
          <w:bCs/>
          <w:sz w:val="28"/>
          <w:szCs w:val="28"/>
        </w:rPr>
        <w:t>ACD</w:t>
      </w:r>
      <w:r w:rsidR="0060112C" w:rsidRPr="00BE086B">
        <w:rPr>
          <w:rFonts w:ascii="Times New Roman" w:hAnsi="Times New Roman" w:cs="Times New Roman"/>
          <w:bCs/>
          <w:sz w:val="28"/>
          <w:szCs w:val="28"/>
          <w:lang w:val="uk-UA"/>
        </w:rPr>
        <w:t>/</w:t>
      </w:r>
      <w:r w:rsidR="0060112C" w:rsidRPr="00BE086B">
        <w:rPr>
          <w:rFonts w:ascii="Times New Roman" w:hAnsi="Times New Roman" w:cs="Times New Roman"/>
          <w:bCs/>
          <w:sz w:val="28"/>
          <w:szCs w:val="28"/>
        </w:rPr>
        <w:t>pKa</w:t>
      </w:r>
      <w:r w:rsidR="0060112C" w:rsidRPr="00BE086B">
        <w:rPr>
          <w:rFonts w:ascii="Times New Roman" w:hAnsi="Times New Roman" w:cs="Times New Roman"/>
          <w:bCs/>
          <w:sz w:val="28"/>
          <w:szCs w:val="28"/>
          <w:lang w:val="uk-UA"/>
        </w:rPr>
        <w:t xml:space="preserve"> </w:t>
      </w:r>
      <w:r w:rsidR="0060112C" w:rsidRPr="00BE086B">
        <w:rPr>
          <w:rFonts w:ascii="Times New Roman" w:hAnsi="Times New Roman" w:cs="Times New Roman"/>
          <w:bCs/>
          <w:sz w:val="28"/>
          <w:szCs w:val="28"/>
        </w:rPr>
        <w:t>DB</w:t>
      </w:r>
      <w:r w:rsidR="0060112C"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встановлено, що кислотність середовища у значному ступені впливатиме на можливість перебігання тих чи інших хімічних процесів. Також залежно від рН вихідна сполука може існувати у певних протонованих формах, що й обумовлюватиме такі властивості, як розчинність у водному середовищі, ліпофільність, здатність утворювати комплексний зв’язок тощо.</w:t>
      </w:r>
    </w:p>
    <w:p w:rsidR="00215BF6"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Виходячи з цього </w:t>
      </w:r>
      <w:r w:rsidR="0060112C" w:rsidRPr="00BE086B">
        <w:rPr>
          <w:rFonts w:ascii="Times New Roman" w:hAnsi="Times New Roman" w:cs="Times New Roman"/>
          <w:sz w:val="28"/>
          <w:szCs w:val="28"/>
          <w:lang w:val="uk-UA"/>
        </w:rPr>
        <w:t xml:space="preserve">у програмі </w:t>
      </w:r>
      <w:r w:rsidR="0060112C" w:rsidRPr="00BE086B">
        <w:rPr>
          <w:rFonts w:ascii="Times New Roman" w:hAnsi="Times New Roman" w:cs="Times New Roman"/>
          <w:bCs/>
          <w:sz w:val="28"/>
          <w:szCs w:val="28"/>
        </w:rPr>
        <w:t>ACD</w:t>
      </w:r>
      <w:r w:rsidR="0060112C" w:rsidRPr="00BE086B">
        <w:rPr>
          <w:rFonts w:ascii="Times New Roman" w:hAnsi="Times New Roman" w:cs="Times New Roman"/>
          <w:bCs/>
          <w:sz w:val="28"/>
          <w:szCs w:val="28"/>
          <w:lang w:val="uk-UA"/>
        </w:rPr>
        <w:t>/</w:t>
      </w:r>
      <w:r w:rsidR="0060112C" w:rsidRPr="00BE086B">
        <w:rPr>
          <w:rFonts w:ascii="Times New Roman" w:hAnsi="Times New Roman" w:cs="Times New Roman"/>
          <w:bCs/>
          <w:sz w:val="28"/>
          <w:szCs w:val="28"/>
        </w:rPr>
        <w:t>pKa</w:t>
      </w:r>
      <w:r w:rsidR="0060112C" w:rsidRPr="00BE086B">
        <w:rPr>
          <w:rFonts w:ascii="Times New Roman" w:hAnsi="Times New Roman" w:cs="Times New Roman"/>
          <w:bCs/>
          <w:sz w:val="28"/>
          <w:szCs w:val="28"/>
          <w:lang w:val="uk-UA"/>
        </w:rPr>
        <w:t xml:space="preserve"> </w:t>
      </w:r>
      <w:r w:rsidR="0060112C" w:rsidRPr="00BE086B">
        <w:rPr>
          <w:rFonts w:ascii="Times New Roman" w:hAnsi="Times New Roman" w:cs="Times New Roman"/>
          <w:bCs/>
          <w:sz w:val="28"/>
          <w:szCs w:val="28"/>
        </w:rPr>
        <w:t>DB</w:t>
      </w:r>
      <w:r w:rsidR="0060112C"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була досліджена можливість та умови існування певних протонованих форм хондроїтину сульфату, що характеризуються величинами констант іонізації (рис. 7.17 та табл. 7.9).</w:t>
      </w:r>
    </w:p>
    <w:p w:rsidR="00C778FD" w:rsidRPr="00BE086B" w:rsidRDefault="00C778FD" w:rsidP="009D0803">
      <w:pPr>
        <w:pStyle w:val="af5"/>
        <w:spacing w:after="0" w:line="360" w:lineRule="auto"/>
        <w:ind w:left="0" w:firstLine="709"/>
        <w:jc w:val="both"/>
        <w:rPr>
          <w:rFonts w:ascii="Times New Roman" w:hAnsi="Times New Roman" w:cs="Times New Roman"/>
          <w:sz w:val="28"/>
          <w:szCs w:val="28"/>
          <w:lang w:val="uk-UA"/>
        </w:rPr>
      </w:pPr>
    </w:p>
    <w:p w:rsidR="00215BF6" w:rsidRPr="00BE086B" w:rsidRDefault="00215BF6" w:rsidP="009D0803">
      <w:pPr>
        <w:spacing w:line="360" w:lineRule="auto"/>
        <w:ind w:firstLine="709"/>
        <w:jc w:val="both"/>
        <w:rPr>
          <w:sz w:val="28"/>
          <w:szCs w:val="28"/>
          <w:lang w:val="uk-UA"/>
        </w:rPr>
      </w:pPr>
    </w:p>
    <w:p w:rsidR="00215BF6" w:rsidRPr="00BE086B" w:rsidRDefault="005C4685" w:rsidP="005C4685">
      <w:pPr>
        <w:spacing w:line="360" w:lineRule="auto"/>
        <w:ind w:firstLine="709"/>
        <w:jc w:val="center"/>
        <w:rPr>
          <w:sz w:val="28"/>
          <w:szCs w:val="28"/>
          <w:lang w:val="uk-UA"/>
        </w:rPr>
      </w:pPr>
      <w:r>
        <w:rPr>
          <w:noProof/>
          <w:sz w:val="28"/>
          <w:szCs w:val="28"/>
          <w:lang w:eastAsia="ru-RU"/>
        </w:rPr>
        <w:drawing>
          <wp:inline distT="0" distB="0" distL="0" distR="0">
            <wp:extent cx="5612400" cy="694800"/>
            <wp:effectExtent l="0" t="0" r="762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7.17.jpg"/>
                    <pic:cNvPicPr/>
                  </pic:nvPicPr>
                  <pic:blipFill>
                    <a:blip r:embed="rId62">
                      <a:extLst>
                        <a:ext uri="{28A0092B-C50C-407E-A947-70E740481C1C}">
                          <a14:useLocalDpi xmlns:a14="http://schemas.microsoft.com/office/drawing/2010/main" val="0"/>
                        </a:ext>
                      </a:extLst>
                    </a:blip>
                    <a:stretch>
                      <a:fillRect/>
                    </a:stretch>
                  </pic:blipFill>
                  <pic:spPr>
                    <a:xfrm>
                      <a:off x="0" y="0"/>
                      <a:ext cx="5612400" cy="6948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7.17. </w:t>
      </w:r>
      <w:r w:rsidRPr="00BE086B">
        <w:rPr>
          <w:sz w:val="28"/>
          <w:szCs w:val="28"/>
          <w:lang w:val="uk-UA"/>
        </w:rPr>
        <w:t>Протоновані форми хондроїтину сульфату у стані рівноваги.</w:t>
      </w:r>
    </w:p>
    <w:p w:rsidR="00215BF6" w:rsidRPr="00BE086B" w:rsidRDefault="00215BF6" w:rsidP="009D0803">
      <w:pPr>
        <w:spacing w:line="360" w:lineRule="auto"/>
        <w:ind w:firstLine="709"/>
        <w:jc w:val="both"/>
        <w:rPr>
          <w:i/>
          <w:iCs/>
          <w:sz w:val="28"/>
          <w:szCs w:val="28"/>
          <w:lang w:val="uk-UA"/>
        </w:rPr>
      </w:pPr>
    </w:p>
    <w:p w:rsidR="00215BF6" w:rsidRPr="00BE086B" w:rsidRDefault="00215BF6" w:rsidP="009D0803">
      <w:pPr>
        <w:spacing w:line="360" w:lineRule="auto"/>
        <w:ind w:firstLine="709"/>
        <w:jc w:val="right"/>
        <w:rPr>
          <w:sz w:val="28"/>
          <w:szCs w:val="28"/>
          <w:lang w:val="uk-UA"/>
        </w:rPr>
      </w:pPr>
      <w:r w:rsidRPr="00BE086B">
        <w:rPr>
          <w:i/>
          <w:iCs/>
          <w:sz w:val="28"/>
          <w:szCs w:val="28"/>
          <w:lang w:val="uk-UA"/>
        </w:rPr>
        <w:lastRenderedPageBreak/>
        <w:t>Таблиця 7.9</w:t>
      </w:r>
    </w:p>
    <w:p w:rsidR="00215BF6" w:rsidRPr="00BE086B" w:rsidRDefault="00215BF6" w:rsidP="0060112C">
      <w:pPr>
        <w:spacing w:line="360" w:lineRule="auto"/>
        <w:ind w:firstLine="709"/>
        <w:jc w:val="center"/>
        <w:rPr>
          <w:sz w:val="28"/>
          <w:szCs w:val="28"/>
          <w:lang w:val="uk-UA"/>
        </w:rPr>
      </w:pPr>
      <w:r w:rsidRPr="00BE086B">
        <w:rPr>
          <w:b/>
          <w:bCs/>
          <w:sz w:val="28"/>
          <w:szCs w:val="28"/>
          <w:lang w:val="uk-UA"/>
        </w:rPr>
        <w:t>Фізико-хімічні параметри протолітичних форм</w:t>
      </w:r>
      <w:r w:rsidR="00261DBF" w:rsidRPr="00BE086B">
        <w:rPr>
          <w:b/>
          <w:bCs/>
          <w:sz w:val="28"/>
          <w:szCs w:val="28"/>
          <w:lang w:val="uk-UA"/>
        </w:rPr>
        <w:t xml:space="preserve"> </w:t>
      </w:r>
      <w:r w:rsidRPr="00BE086B">
        <w:rPr>
          <w:b/>
          <w:bCs/>
          <w:sz w:val="28"/>
          <w:szCs w:val="28"/>
          <w:lang w:val="uk-UA"/>
        </w:rPr>
        <w:t>хондроїтину-4 сульфату</w:t>
      </w:r>
    </w:p>
    <w:tbl>
      <w:tblPr>
        <w:tblW w:w="10065" w:type="dxa"/>
        <w:tblInd w:w="-318" w:type="dxa"/>
        <w:tblLayout w:type="fixed"/>
        <w:tblLook w:val="0000" w:firstRow="0" w:lastRow="0" w:firstColumn="0" w:lastColumn="0" w:noHBand="0" w:noVBand="0"/>
      </w:tblPr>
      <w:tblGrid>
        <w:gridCol w:w="1560"/>
        <w:gridCol w:w="1418"/>
        <w:gridCol w:w="1686"/>
        <w:gridCol w:w="1432"/>
        <w:gridCol w:w="1418"/>
        <w:gridCol w:w="1276"/>
        <w:gridCol w:w="1275"/>
      </w:tblGrid>
      <w:tr w:rsidR="00215BF6" w:rsidRPr="00BE086B" w:rsidTr="00261DBF">
        <w:tc>
          <w:tcPr>
            <w:tcW w:w="1560" w:type="dxa"/>
            <w:vMerge w:val="restart"/>
            <w:tcBorders>
              <w:top w:val="single" w:sz="4" w:space="0" w:color="000000"/>
              <w:left w:val="single" w:sz="4" w:space="0" w:color="000000"/>
              <w:bottom w:val="single" w:sz="4" w:space="0" w:color="000000"/>
            </w:tcBorders>
            <w:shd w:val="clear" w:color="auto" w:fill="auto"/>
          </w:tcPr>
          <w:p w:rsidR="00215BF6" w:rsidRPr="00BE086B" w:rsidRDefault="00215BF6" w:rsidP="009D0803">
            <w:pPr>
              <w:snapToGrid w:val="0"/>
              <w:jc w:val="both"/>
              <w:rPr>
                <w:sz w:val="28"/>
                <w:szCs w:val="28"/>
                <w:lang w:val="uk-UA"/>
              </w:rPr>
            </w:pPr>
          </w:p>
          <w:p w:rsidR="00215BF6" w:rsidRPr="00BE086B" w:rsidRDefault="00215BF6" w:rsidP="00261DBF">
            <w:pPr>
              <w:jc w:val="center"/>
              <w:rPr>
                <w:b/>
                <w:sz w:val="28"/>
                <w:szCs w:val="28"/>
                <w:lang w:val="uk-UA"/>
              </w:rPr>
            </w:pPr>
            <w:r w:rsidRPr="00BE086B">
              <w:rPr>
                <w:b/>
                <w:sz w:val="28"/>
                <w:szCs w:val="28"/>
                <w:lang w:val="uk-UA"/>
              </w:rPr>
              <w:t>Показник</w:t>
            </w:r>
          </w:p>
        </w:tc>
        <w:tc>
          <w:tcPr>
            <w:tcW w:w="8505" w:type="dxa"/>
            <w:gridSpan w:val="6"/>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60112C">
            <w:pPr>
              <w:jc w:val="center"/>
              <w:rPr>
                <w:sz w:val="28"/>
                <w:szCs w:val="28"/>
                <w:lang w:val="uk-UA"/>
              </w:rPr>
            </w:pPr>
            <w:r w:rsidRPr="00BE086B">
              <w:rPr>
                <w:b/>
                <w:sz w:val="28"/>
                <w:szCs w:val="28"/>
                <w:lang w:val="uk-UA"/>
              </w:rPr>
              <w:t>Протолітичні форми</w:t>
            </w:r>
            <w:r w:rsidR="0060112C" w:rsidRPr="00BE086B">
              <w:rPr>
                <w:b/>
                <w:sz w:val="28"/>
                <w:szCs w:val="28"/>
                <w:lang w:val="uk-UA"/>
              </w:rPr>
              <w:t>, №</w:t>
            </w:r>
          </w:p>
        </w:tc>
      </w:tr>
      <w:tr w:rsidR="00261DBF" w:rsidRPr="00BE086B" w:rsidTr="00261DBF">
        <w:tc>
          <w:tcPr>
            <w:tcW w:w="1560" w:type="dxa"/>
            <w:vMerge/>
            <w:tcBorders>
              <w:top w:val="single" w:sz="4" w:space="0" w:color="000000"/>
              <w:left w:val="single" w:sz="4" w:space="0" w:color="000000"/>
              <w:bottom w:val="single" w:sz="4" w:space="0" w:color="000000"/>
            </w:tcBorders>
            <w:shd w:val="clear" w:color="auto" w:fill="auto"/>
          </w:tcPr>
          <w:p w:rsidR="00215BF6" w:rsidRPr="00BE086B" w:rsidRDefault="00215BF6" w:rsidP="009D0803">
            <w:pPr>
              <w:snapToGrid w:val="0"/>
              <w:jc w:val="both"/>
              <w:rPr>
                <w:b/>
                <w:sz w:val="28"/>
                <w:szCs w:val="28"/>
                <w:lang w:val="uk-UA"/>
              </w:rPr>
            </w:pP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{1}</w:t>
            </w:r>
          </w:p>
        </w:tc>
        <w:tc>
          <w:tcPr>
            <w:tcW w:w="168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{2}</w:t>
            </w:r>
          </w:p>
        </w:tc>
        <w:tc>
          <w:tcPr>
            <w:tcW w:w="1432"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{3}</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{4}</w:t>
            </w:r>
          </w:p>
        </w:tc>
        <w:tc>
          <w:tcPr>
            <w:tcW w:w="127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{6}</w:t>
            </w:r>
          </w:p>
        </w:tc>
      </w:tr>
      <w:tr w:rsidR="00261DBF" w:rsidRPr="00BE086B" w:rsidTr="00261DBF">
        <w:tc>
          <w:tcPr>
            <w:tcW w:w="1560" w:type="dxa"/>
            <w:vMerge/>
            <w:tcBorders>
              <w:top w:val="single" w:sz="4" w:space="0" w:color="000000"/>
              <w:left w:val="single" w:sz="4" w:space="0" w:color="000000"/>
              <w:bottom w:val="single" w:sz="4" w:space="0" w:color="000000"/>
            </w:tcBorders>
            <w:shd w:val="clear" w:color="auto" w:fill="auto"/>
          </w:tcPr>
          <w:p w:rsidR="00215BF6" w:rsidRPr="00BE086B" w:rsidRDefault="00215BF6" w:rsidP="009D0803">
            <w:pPr>
              <w:snapToGrid w:val="0"/>
              <w:jc w:val="both"/>
              <w:rPr>
                <w:sz w:val="28"/>
                <w:szCs w:val="28"/>
                <w:lang w:val="uk-UA"/>
              </w:rPr>
            </w:pP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9B135A" w:rsidP="009D0803">
            <w:pPr>
              <w:jc w:val="both"/>
              <w:rPr>
                <w:sz w:val="28"/>
                <w:szCs w:val="28"/>
                <w:lang w:val="uk-UA"/>
              </w:rPr>
            </w:pPr>
            <w:r>
              <w:rPr>
                <w:position w:val="-10"/>
                <w:sz w:val="28"/>
                <w:szCs w:val="28"/>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1.5pt;height:22.9pt" filled="t">
                  <v:fill color2="black"/>
                  <v:imagedata r:id="rId63" o:title="" croptop="-172f" cropbottom="-172f" cropleft="-126f" cropright="-126f"/>
                </v:shape>
              </w:pict>
            </w:r>
          </w:p>
        </w:tc>
        <w:tc>
          <w:tcPr>
            <w:tcW w:w="1686" w:type="dxa"/>
            <w:tcBorders>
              <w:top w:val="single" w:sz="4" w:space="0" w:color="000000"/>
              <w:left w:val="single" w:sz="4" w:space="0" w:color="000000"/>
              <w:bottom w:val="single" w:sz="4" w:space="0" w:color="000000"/>
            </w:tcBorders>
            <w:shd w:val="clear" w:color="auto" w:fill="auto"/>
          </w:tcPr>
          <w:p w:rsidR="00215BF6" w:rsidRPr="00BE086B" w:rsidRDefault="009B135A" w:rsidP="009D0803">
            <w:pPr>
              <w:jc w:val="both"/>
              <w:rPr>
                <w:sz w:val="28"/>
                <w:szCs w:val="28"/>
                <w:lang w:val="uk-UA"/>
              </w:rPr>
            </w:pPr>
            <w:r>
              <w:rPr>
                <w:position w:val="-9"/>
                <w:sz w:val="28"/>
                <w:szCs w:val="28"/>
                <w:lang w:val="uk-UA"/>
              </w:rPr>
              <w:pict>
                <v:shape id="_x0000_i1035" type="#_x0000_t75" style="width:30pt;height:21.4pt" filled="t">
                  <v:fill color2="black"/>
                  <v:imagedata r:id="rId64" o:title="" croptop="-182f" cropbottom="-182f" cropleft="-131f" cropright="-131f"/>
                </v:shape>
              </w:pict>
            </w:r>
          </w:p>
        </w:tc>
        <w:tc>
          <w:tcPr>
            <w:tcW w:w="1432" w:type="dxa"/>
            <w:tcBorders>
              <w:top w:val="single" w:sz="4" w:space="0" w:color="000000"/>
              <w:left w:val="single" w:sz="4" w:space="0" w:color="000000"/>
              <w:bottom w:val="single" w:sz="4" w:space="0" w:color="000000"/>
            </w:tcBorders>
            <w:shd w:val="clear" w:color="auto" w:fill="auto"/>
          </w:tcPr>
          <w:p w:rsidR="00215BF6" w:rsidRPr="00BE086B" w:rsidRDefault="009B135A" w:rsidP="009D0803">
            <w:pPr>
              <w:jc w:val="both"/>
              <w:rPr>
                <w:sz w:val="28"/>
                <w:szCs w:val="28"/>
                <w:lang w:val="uk-UA"/>
              </w:rPr>
            </w:pPr>
            <w:r>
              <w:rPr>
                <w:position w:val="-10"/>
                <w:sz w:val="28"/>
                <w:szCs w:val="28"/>
                <w:lang w:val="uk-UA"/>
              </w:rPr>
              <w:pict>
                <v:shape id="_x0000_i1036" type="#_x0000_t75" style="width:31.5pt;height:22.9pt" filled="t">
                  <v:fill color2="black"/>
                  <v:imagedata r:id="rId65" o:title="" croptop="-172f" cropbottom="-172f" cropleft="-126f" cropright="-126f"/>
                </v:shape>
              </w:pic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9B135A" w:rsidP="009D0803">
            <w:pPr>
              <w:jc w:val="both"/>
              <w:rPr>
                <w:sz w:val="28"/>
                <w:szCs w:val="28"/>
                <w:lang w:val="uk-UA"/>
              </w:rPr>
            </w:pPr>
            <w:r>
              <w:rPr>
                <w:position w:val="-10"/>
                <w:sz w:val="28"/>
                <w:szCs w:val="28"/>
                <w:lang w:val="uk-UA"/>
              </w:rPr>
              <w:pict>
                <v:shape id="_x0000_i1037" type="#_x0000_t75" style="width:36.4pt;height:22.9pt" filled="t">
                  <v:fill color2="black"/>
                  <v:imagedata r:id="rId66" o:title="" croptop="-172f" cropbottom="-172f" cropleft="-109f" cropright="-109f"/>
                </v:shape>
              </w:pict>
            </w:r>
          </w:p>
        </w:tc>
        <w:tc>
          <w:tcPr>
            <w:tcW w:w="1276" w:type="dxa"/>
            <w:tcBorders>
              <w:top w:val="single" w:sz="4" w:space="0" w:color="000000"/>
              <w:left w:val="single" w:sz="4" w:space="0" w:color="000000"/>
              <w:bottom w:val="single" w:sz="4" w:space="0" w:color="000000"/>
            </w:tcBorders>
            <w:shd w:val="clear" w:color="auto" w:fill="auto"/>
          </w:tcPr>
          <w:p w:rsidR="00215BF6" w:rsidRPr="00BE086B" w:rsidRDefault="009B135A" w:rsidP="009D0803">
            <w:pPr>
              <w:jc w:val="both"/>
              <w:rPr>
                <w:sz w:val="28"/>
                <w:szCs w:val="28"/>
                <w:lang w:val="uk-UA"/>
              </w:rPr>
            </w:pPr>
            <w:r>
              <w:rPr>
                <w:position w:val="-5"/>
                <w:sz w:val="28"/>
                <w:szCs w:val="28"/>
                <w:lang w:val="uk-UA"/>
              </w:rPr>
              <w:pict>
                <v:shape id="_x0000_i1038" type="#_x0000_t75" style="width:35.25pt;height:18pt" filled="t">
                  <v:fill color2="black"/>
                  <v:imagedata r:id="rId67" o:title="" croptop="-219f" cropbottom="-219f" cropleft="-113f" cropright="-113f"/>
                </v:shape>
              </w:pic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9B135A" w:rsidP="009D0803">
            <w:pPr>
              <w:jc w:val="both"/>
              <w:rPr>
                <w:sz w:val="28"/>
                <w:szCs w:val="28"/>
                <w:lang w:val="uk-UA"/>
              </w:rPr>
            </w:pPr>
            <w:r>
              <w:rPr>
                <w:position w:val="-5"/>
                <w:sz w:val="28"/>
                <w:szCs w:val="28"/>
                <w:lang w:val="uk-UA"/>
              </w:rPr>
              <w:pict>
                <v:shape id="_x0000_i1039" type="#_x0000_t75" style="width:24.4pt;height:18pt" filled="t">
                  <v:fill color2="black"/>
                  <v:imagedata r:id="rId68" o:title="" croptop="-219f" cropbottom="-219f" cropleft="-164f" cropright="-164f"/>
                </v:shape>
              </w:pict>
            </w:r>
          </w:p>
        </w:tc>
      </w:tr>
      <w:tr w:rsidR="00261DBF" w:rsidRPr="00BE086B" w:rsidTr="00261DBF">
        <w:tc>
          <w:tcPr>
            <w:tcW w:w="1560"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jc w:val="both"/>
              <w:rPr>
                <w:sz w:val="28"/>
                <w:szCs w:val="28"/>
                <w:lang w:val="uk-UA"/>
              </w:rPr>
            </w:pPr>
            <w:r w:rsidRPr="00BE086B">
              <w:rPr>
                <w:sz w:val="28"/>
                <w:szCs w:val="28"/>
                <w:lang w:val="uk-UA"/>
              </w:rPr>
              <w:t>logP</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-4,47±0,8</w:t>
            </w:r>
          </w:p>
        </w:tc>
        <w:tc>
          <w:tcPr>
            <w:tcW w:w="168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w:t>
            </w:r>
          </w:p>
        </w:tc>
        <w:tc>
          <w:tcPr>
            <w:tcW w:w="1432"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w:t>
            </w:r>
          </w:p>
        </w:tc>
        <w:tc>
          <w:tcPr>
            <w:tcW w:w="127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w:t>
            </w:r>
          </w:p>
        </w:tc>
      </w:tr>
      <w:tr w:rsidR="00261DBF" w:rsidRPr="00BE086B" w:rsidTr="00261DBF">
        <w:tc>
          <w:tcPr>
            <w:tcW w:w="1560"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jc w:val="both"/>
              <w:rPr>
                <w:sz w:val="28"/>
                <w:szCs w:val="28"/>
                <w:lang w:val="uk-UA"/>
              </w:rPr>
            </w:pPr>
            <w:r w:rsidRPr="00BE086B">
              <w:rPr>
                <w:sz w:val="28"/>
                <w:szCs w:val="28"/>
                <w:lang w:val="uk-UA"/>
              </w:rPr>
              <w:t>logD</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snapToGrid w:val="0"/>
              <w:jc w:val="center"/>
              <w:rPr>
                <w:sz w:val="28"/>
                <w:szCs w:val="28"/>
                <w:lang w:val="uk-UA"/>
              </w:rPr>
            </w:pPr>
          </w:p>
        </w:tc>
        <w:tc>
          <w:tcPr>
            <w:tcW w:w="168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-8,22±1,0</w:t>
            </w:r>
          </w:p>
        </w:tc>
        <w:tc>
          <w:tcPr>
            <w:tcW w:w="1432"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-7,97±1,0</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-6,47±1,0</w:t>
            </w:r>
          </w:p>
        </w:tc>
        <w:tc>
          <w:tcPr>
            <w:tcW w:w="127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w:t>
            </w:r>
          </w:p>
        </w:tc>
      </w:tr>
      <w:tr w:rsidR="00261DBF" w:rsidRPr="00BE086B" w:rsidTr="00261DBF">
        <w:tc>
          <w:tcPr>
            <w:tcW w:w="1560"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jc w:val="both"/>
              <w:rPr>
                <w:sz w:val="28"/>
                <w:szCs w:val="28"/>
                <w:lang w:val="uk-UA"/>
              </w:rPr>
            </w:pPr>
            <w:r w:rsidRPr="00BE086B">
              <w:rPr>
                <w:sz w:val="28"/>
                <w:szCs w:val="28"/>
                <w:lang w:val="uk-UA"/>
              </w:rPr>
              <w:t>pKa</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6"/>
                <w:szCs w:val="26"/>
                <w:lang w:val="uk-UA"/>
              </w:rPr>
            </w:pPr>
            <w:r w:rsidRPr="00BE086B">
              <w:rPr>
                <w:sz w:val="26"/>
                <w:szCs w:val="26"/>
                <w:lang w:val="uk-UA"/>
              </w:rPr>
              <w:t>-3,64±0,18</w:t>
            </w:r>
          </w:p>
        </w:tc>
        <w:tc>
          <w:tcPr>
            <w:tcW w:w="168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6"/>
                <w:szCs w:val="26"/>
                <w:lang w:val="uk-UA"/>
              </w:rPr>
            </w:pPr>
            <w:r w:rsidRPr="00BE086B">
              <w:rPr>
                <w:sz w:val="26"/>
                <w:szCs w:val="26"/>
                <w:lang w:val="uk-UA"/>
              </w:rPr>
              <w:t>-2,7±0,7</w:t>
            </w:r>
          </w:p>
          <w:p w:rsidR="00215BF6" w:rsidRPr="00BE086B" w:rsidRDefault="00215BF6" w:rsidP="0060112C">
            <w:pPr>
              <w:jc w:val="center"/>
              <w:rPr>
                <w:sz w:val="26"/>
                <w:szCs w:val="26"/>
                <w:lang w:val="uk-UA"/>
              </w:rPr>
            </w:pPr>
            <w:r w:rsidRPr="00BE086B">
              <w:rPr>
                <w:sz w:val="26"/>
                <w:szCs w:val="26"/>
                <w:lang w:val="uk-UA"/>
              </w:rPr>
              <w:t>(K</w:t>
            </w:r>
            <w:r w:rsidRPr="00BE086B">
              <w:rPr>
                <w:sz w:val="26"/>
                <w:szCs w:val="26"/>
                <w:vertAlign w:val="subscript"/>
                <w:lang w:val="uk-UA"/>
              </w:rPr>
              <w:t>1</w:t>
            </w:r>
            <w:r w:rsidRPr="00BE086B">
              <w:rPr>
                <w:sz w:val="26"/>
                <w:szCs w:val="26"/>
                <w:lang w:val="uk-UA"/>
              </w:rPr>
              <w:t>)</w:t>
            </w:r>
          </w:p>
        </w:tc>
        <w:tc>
          <w:tcPr>
            <w:tcW w:w="1432"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6"/>
                <w:szCs w:val="26"/>
                <w:lang w:val="uk-UA"/>
              </w:rPr>
            </w:pPr>
            <w:r w:rsidRPr="00BE086B">
              <w:rPr>
                <w:sz w:val="26"/>
                <w:szCs w:val="26"/>
                <w:lang w:val="uk-UA"/>
              </w:rPr>
              <w:t>2,8±0,7</w:t>
            </w:r>
          </w:p>
          <w:p w:rsidR="00215BF6" w:rsidRPr="00BE086B" w:rsidRDefault="00215BF6" w:rsidP="0060112C">
            <w:pPr>
              <w:jc w:val="center"/>
              <w:rPr>
                <w:sz w:val="26"/>
                <w:szCs w:val="26"/>
                <w:lang w:val="uk-UA"/>
              </w:rPr>
            </w:pPr>
            <w:r w:rsidRPr="00BE086B">
              <w:rPr>
                <w:sz w:val="26"/>
                <w:szCs w:val="26"/>
                <w:lang w:val="uk-UA"/>
              </w:rPr>
              <w:t>(K</w:t>
            </w:r>
            <w:r w:rsidRPr="00BE086B">
              <w:rPr>
                <w:sz w:val="26"/>
                <w:szCs w:val="26"/>
                <w:vertAlign w:val="subscript"/>
                <w:lang w:val="uk-UA"/>
              </w:rPr>
              <w:t>2</w:t>
            </w:r>
            <w:r w:rsidRPr="00BE086B">
              <w:rPr>
                <w:sz w:val="26"/>
                <w:szCs w:val="26"/>
                <w:lang w:val="uk-UA"/>
              </w:rPr>
              <w:t>)</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6"/>
                <w:szCs w:val="26"/>
                <w:lang w:val="uk-UA"/>
              </w:rPr>
            </w:pPr>
            <w:r w:rsidRPr="00BE086B">
              <w:rPr>
                <w:sz w:val="26"/>
                <w:szCs w:val="26"/>
                <w:lang w:val="uk-UA"/>
              </w:rPr>
              <w:t>11,67±0,7</w:t>
            </w:r>
          </w:p>
          <w:p w:rsidR="00215BF6" w:rsidRPr="00BE086B" w:rsidRDefault="00215BF6" w:rsidP="0060112C">
            <w:pPr>
              <w:jc w:val="center"/>
              <w:rPr>
                <w:sz w:val="26"/>
                <w:szCs w:val="26"/>
                <w:lang w:val="uk-UA"/>
              </w:rPr>
            </w:pPr>
            <w:r w:rsidRPr="00BE086B">
              <w:rPr>
                <w:sz w:val="26"/>
                <w:szCs w:val="26"/>
                <w:lang w:val="uk-UA"/>
              </w:rPr>
              <w:t>(K</w:t>
            </w:r>
            <w:r w:rsidRPr="00BE086B">
              <w:rPr>
                <w:sz w:val="26"/>
                <w:szCs w:val="26"/>
                <w:vertAlign w:val="subscript"/>
                <w:lang w:val="uk-UA"/>
              </w:rPr>
              <w:t>3</w:t>
            </w:r>
            <w:r w:rsidRPr="00BE086B">
              <w:rPr>
                <w:sz w:val="26"/>
                <w:szCs w:val="26"/>
                <w:lang w:val="uk-UA"/>
              </w:rPr>
              <w:t>)</w:t>
            </w:r>
          </w:p>
        </w:tc>
        <w:tc>
          <w:tcPr>
            <w:tcW w:w="127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6"/>
                <w:szCs w:val="26"/>
                <w:lang w:val="uk-UA"/>
              </w:rPr>
            </w:pPr>
            <w:r w:rsidRPr="00BE086B">
              <w:rPr>
                <w:sz w:val="26"/>
                <w:szCs w:val="26"/>
                <w:lang w:val="uk-UA"/>
              </w:rPr>
              <w:t>12,92±0,7</w:t>
            </w:r>
          </w:p>
          <w:p w:rsidR="00215BF6" w:rsidRPr="00BE086B" w:rsidRDefault="00215BF6" w:rsidP="0060112C">
            <w:pPr>
              <w:jc w:val="center"/>
              <w:rPr>
                <w:sz w:val="26"/>
                <w:szCs w:val="26"/>
                <w:lang w:val="uk-UA"/>
              </w:rPr>
            </w:pPr>
            <w:r w:rsidRPr="00BE086B">
              <w:rPr>
                <w:sz w:val="26"/>
                <w:szCs w:val="26"/>
                <w:lang w:val="uk-UA"/>
              </w:rPr>
              <w:t>(K</w:t>
            </w:r>
            <w:r w:rsidRPr="00BE086B">
              <w:rPr>
                <w:sz w:val="26"/>
                <w:szCs w:val="26"/>
                <w:vertAlign w:val="subscript"/>
                <w:lang w:val="uk-UA"/>
              </w:rPr>
              <w:t>4</w:t>
            </w:r>
            <w:r w:rsidRPr="00BE086B">
              <w:rPr>
                <w:sz w:val="26"/>
                <w:szCs w:val="26"/>
                <w:lang w:val="uk-UA"/>
              </w:rP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60112C">
            <w:pPr>
              <w:jc w:val="center"/>
              <w:rPr>
                <w:sz w:val="26"/>
                <w:szCs w:val="26"/>
                <w:lang w:val="uk-UA"/>
              </w:rPr>
            </w:pPr>
            <w:r w:rsidRPr="00BE086B">
              <w:rPr>
                <w:sz w:val="26"/>
                <w:szCs w:val="26"/>
                <w:lang w:val="uk-UA"/>
              </w:rPr>
              <w:t>14,14±0,7</w:t>
            </w:r>
          </w:p>
          <w:p w:rsidR="00215BF6" w:rsidRPr="00BE086B" w:rsidRDefault="00215BF6" w:rsidP="0060112C">
            <w:pPr>
              <w:jc w:val="center"/>
              <w:rPr>
                <w:sz w:val="26"/>
                <w:szCs w:val="26"/>
                <w:lang w:val="uk-UA"/>
              </w:rPr>
            </w:pPr>
            <w:r w:rsidRPr="00BE086B">
              <w:rPr>
                <w:sz w:val="26"/>
                <w:szCs w:val="26"/>
                <w:lang w:val="uk-UA"/>
              </w:rPr>
              <w:t>(K</w:t>
            </w:r>
            <w:r w:rsidRPr="00BE086B">
              <w:rPr>
                <w:sz w:val="26"/>
                <w:szCs w:val="26"/>
                <w:vertAlign w:val="subscript"/>
                <w:lang w:val="uk-UA"/>
              </w:rPr>
              <w:t>5</w:t>
            </w:r>
            <w:r w:rsidRPr="00BE086B">
              <w:rPr>
                <w:sz w:val="26"/>
                <w:szCs w:val="26"/>
                <w:lang w:val="uk-UA"/>
              </w:rPr>
              <w:t>)</w:t>
            </w:r>
          </w:p>
        </w:tc>
      </w:tr>
      <w:tr w:rsidR="00261DBF" w:rsidRPr="00BE086B" w:rsidTr="00261DBF">
        <w:tc>
          <w:tcPr>
            <w:tcW w:w="1560"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jc w:val="both"/>
              <w:rPr>
                <w:sz w:val="28"/>
                <w:szCs w:val="28"/>
                <w:lang w:val="uk-UA"/>
              </w:rPr>
            </w:pPr>
            <w:r w:rsidRPr="00BE086B">
              <w:rPr>
                <w:sz w:val="28"/>
                <w:szCs w:val="28"/>
                <w:lang w:val="uk-UA"/>
              </w:rPr>
              <w:t>Кількість донорів протонів</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5</w:t>
            </w:r>
          </w:p>
        </w:tc>
        <w:tc>
          <w:tcPr>
            <w:tcW w:w="168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4</w:t>
            </w:r>
          </w:p>
        </w:tc>
        <w:tc>
          <w:tcPr>
            <w:tcW w:w="1432"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3</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2</w:t>
            </w:r>
          </w:p>
        </w:tc>
        <w:tc>
          <w:tcPr>
            <w:tcW w:w="127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0</w:t>
            </w:r>
          </w:p>
        </w:tc>
      </w:tr>
      <w:tr w:rsidR="00261DBF" w:rsidRPr="00BE086B" w:rsidTr="00261DBF">
        <w:tc>
          <w:tcPr>
            <w:tcW w:w="1560"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jc w:val="both"/>
              <w:rPr>
                <w:sz w:val="28"/>
                <w:szCs w:val="28"/>
                <w:lang w:val="uk-UA"/>
              </w:rPr>
            </w:pPr>
            <w:r w:rsidRPr="00BE086B">
              <w:rPr>
                <w:sz w:val="28"/>
                <w:szCs w:val="28"/>
                <w:lang w:val="uk-UA"/>
              </w:rPr>
              <w:t>Кількість акцепторів протонів</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0</w:t>
            </w:r>
          </w:p>
        </w:tc>
        <w:tc>
          <w:tcPr>
            <w:tcW w:w="168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1</w:t>
            </w:r>
          </w:p>
        </w:tc>
        <w:tc>
          <w:tcPr>
            <w:tcW w:w="1432"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2</w:t>
            </w:r>
          </w:p>
        </w:tc>
        <w:tc>
          <w:tcPr>
            <w:tcW w:w="1418"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3</w:t>
            </w:r>
          </w:p>
        </w:tc>
        <w:tc>
          <w:tcPr>
            <w:tcW w:w="1276" w:type="dxa"/>
            <w:tcBorders>
              <w:top w:val="single" w:sz="4" w:space="0" w:color="000000"/>
              <w:left w:val="single" w:sz="4" w:space="0" w:color="000000"/>
              <w:bottom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60112C">
            <w:pPr>
              <w:jc w:val="center"/>
              <w:rPr>
                <w:sz w:val="28"/>
                <w:szCs w:val="28"/>
                <w:lang w:val="uk-UA"/>
              </w:rPr>
            </w:pPr>
            <w:r w:rsidRPr="00BE086B">
              <w:rPr>
                <w:sz w:val="28"/>
                <w:szCs w:val="28"/>
                <w:lang w:val="uk-UA"/>
              </w:rPr>
              <w:t>5</w:t>
            </w:r>
          </w:p>
        </w:tc>
      </w:tr>
    </w:tbl>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bookmarkStart w:id="8" w:name="_1615921034"/>
      <w:bookmarkEnd w:id="8"/>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Як видно з рис. 7.17 та табл. 7.9, виходячи з протонованих форм хондроїтину сульфату у стані рівноваги та їх </w:t>
      </w:r>
      <w:r w:rsidRPr="00BE086B">
        <w:rPr>
          <w:rFonts w:ascii="Times New Roman" w:hAnsi="Times New Roman" w:cs="Times New Roman"/>
          <w:bCs/>
          <w:sz w:val="28"/>
          <w:szCs w:val="28"/>
          <w:lang w:val="uk-UA"/>
        </w:rPr>
        <w:t>фізико-хімічних параметрів</w:t>
      </w:r>
      <w:r w:rsidRPr="00BE086B">
        <w:rPr>
          <w:rFonts w:ascii="Times New Roman" w:hAnsi="Times New Roman" w:cs="Times New Roman"/>
          <w:b/>
          <w:bCs/>
          <w:sz w:val="28"/>
          <w:szCs w:val="28"/>
          <w:lang w:val="uk-UA"/>
        </w:rPr>
        <w:t xml:space="preserve"> </w:t>
      </w:r>
      <w:r w:rsidRPr="00BE086B">
        <w:rPr>
          <w:rFonts w:ascii="Times New Roman" w:hAnsi="Times New Roman" w:cs="Times New Roman"/>
          <w:sz w:val="28"/>
          <w:szCs w:val="28"/>
          <w:lang w:val="uk-UA"/>
        </w:rPr>
        <w:t>можна виділити декілька протонованих форм, що існують між собою у стані рівноваги та у відносній кількості, яка обумовлена</w:t>
      </w:r>
      <w:r w:rsidR="00261DBF" w:rsidRPr="00BE086B">
        <w:rPr>
          <w:rFonts w:ascii="Times New Roman" w:hAnsi="Times New Roman" w:cs="Times New Roman"/>
          <w:sz w:val="28"/>
          <w:szCs w:val="28"/>
          <w:lang w:val="uk-UA"/>
        </w:rPr>
        <w:t xml:space="preserve"> величинами констант іонізації.</w:t>
      </w:r>
    </w:p>
    <w:p w:rsidR="005C4685" w:rsidRDefault="005C4685" w:rsidP="005C4685">
      <w:pPr>
        <w:spacing w:line="360" w:lineRule="auto"/>
        <w:jc w:val="both"/>
        <w:rPr>
          <w:b/>
          <w:bCs/>
          <w:sz w:val="28"/>
          <w:szCs w:val="28"/>
          <w:lang w:val="uk-UA"/>
        </w:rPr>
      </w:pPr>
      <w:r>
        <w:rPr>
          <w:b/>
          <w:bCs/>
          <w:noProof/>
          <w:sz w:val="28"/>
          <w:szCs w:val="28"/>
          <w:lang w:eastAsia="ru-RU"/>
        </w:rPr>
        <w:drawing>
          <wp:inline distT="0" distB="0" distL="0" distR="0">
            <wp:extent cx="5939790" cy="3100705"/>
            <wp:effectExtent l="0" t="0" r="3810" b="444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7.18.jpg"/>
                    <pic:cNvPicPr/>
                  </pic:nvPicPr>
                  <pic:blipFill>
                    <a:blip r:embed="rId69">
                      <a:extLst>
                        <a:ext uri="{28A0092B-C50C-407E-A947-70E740481C1C}">
                          <a14:useLocalDpi xmlns:a14="http://schemas.microsoft.com/office/drawing/2010/main" val="0"/>
                        </a:ext>
                      </a:extLst>
                    </a:blip>
                    <a:stretch>
                      <a:fillRect/>
                    </a:stretch>
                  </pic:blipFill>
                  <pic:spPr>
                    <a:xfrm>
                      <a:off x="0" y="0"/>
                      <a:ext cx="5939790" cy="3100705"/>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Рис. 7.18.</w:t>
      </w:r>
      <w:r w:rsidRPr="00BE086B">
        <w:rPr>
          <w:sz w:val="28"/>
          <w:szCs w:val="28"/>
          <w:lang w:val="uk-UA"/>
        </w:rPr>
        <w:t xml:space="preserve"> Структури протолітичних форм хондроїтин-4 сульфату.</w:t>
      </w:r>
    </w:p>
    <w:p w:rsidR="00261DBF" w:rsidRPr="00BE086B" w:rsidRDefault="00261DBF" w:rsidP="00261DBF">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lastRenderedPageBreak/>
        <w:t>Як видно з рис. 7.18, незважаючи на потенційну можливість існування п’яти іонізованих форм, у межах фізіологічного рН слід очікувати лише утворення лише деяких з них (рис. 7.18).</w:t>
      </w:r>
    </w:p>
    <w:p w:rsidR="00215BF6" w:rsidRPr="00BE086B" w:rsidRDefault="00D3307C"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За допомогою програми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sz w:val="28"/>
          <w:szCs w:val="28"/>
          <w:lang w:val="uk-UA"/>
        </w:rPr>
        <w:t xml:space="preserve"> в</w:t>
      </w:r>
      <w:r w:rsidR="00215BF6" w:rsidRPr="00BE086B">
        <w:rPr>
          <w:rFonts w:ascii="Times New Roman" w:hAnsi="Times New Roman" w:cs="Times New Roman"/>
          <w:sz w:val="28"/>
          <w:szCs w:val="28"/>
          <w:lang w:val="uk-UA"/>
        </w:rPr>
        <w:t>становлено, що залишок сірчаної кислоти, що являє собою сильну мінеральну кислоту, іонізується при дуже низькому рН (рКа=-3,64±0,18), тому сполука існує переважно у вигляді аніону (що й обумовлює наявність негативного заряду молекули хондроїтину сульфату).</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Аналіз </w:t>
      </w:r>
      <w:r w:rsidR="00D3307C" w:rsidRPr="00BE086B">
        <w:rPr>
          <w:rFonts w:ascii="Times New Roman" w:hAnsi="Times New Roman" w:cs="Times New Roman"/>
          <w:sz w:val="28"/>
          <w:szCs w:val="28"/>
          <w:lang w:val="uk-UA"/>
        </w:rPr>
        <w:t xml:space="preserve">у програмі </w:t>
      </w:r>
      <w:r w:rsidR="00D3307C" w:rsidRPr="00BE086B">
        <w:rPr>
          <w:rFonts w:ascii="Times New Roman" w:hAnsi="Times New Roman" w:cs="Times New Roman"/>
          <w:bCs/>
          <w:sz w:val="28"/>
          <w:szCs w:val="28"/>
        </w:rPr>
        <w:t>ACD</w:t>
      </w:r>
      <w:r w:rsidR="00D3307C" w:rsidRPr="00BE086B">
        <w:rPr>
          <w:rFonts w:ascii="Times New Roman" w:hAnsi="Times New Roman" w:cs="Times New Roman"/>
          <w:bCs/>
          <w:sz w:val="28"/>
          <w:szCs w:val="28"/>
          <w:lang w:val="uk-UA"/>
        </w:rPr>
        <w:t>/</w:t>
      </w:r>
      <w:r w:rsidR="00D3307C" w:rsidRPr="00BE086B">
        <w:rPr>
          <w:rFonts w:ascii="Times New Roman" w:hAnsi="Times New Roman" w:cs="Times New Roman"/>
          <w:bCs/>
          <w:sz w:val="28"/>
          <w:szCs w:val="28"/>
        </w:rPr>
        <w:t>pKa</w:t>
      </w:r>
      <w:r w:rsidR="00D3307C" w:rsidRPr="00BE086B">
        <w:rPr>
          <w:rFonts w:ascii="Times New Roman" w:hAnsi="Times New Roman" w:cs="Times New Roman"/>
          <w:bCs/>
          <w:sz w:val="28"/>
          <w:szCs w:val="28"/>
          <w:lang w:val="uk-UA"/>
        </w:rPr>
        <w:t xml:space="preserve"> </w:t>
      </w:r>
      <w:r w:rsidR="00D3307C" w:rsidRPr="00BE086B">
        <w:rPr>
          <w:rFonts w:ascii="Times New Roman" w:hAnsi="Times New Roman" w:cs="Times New Roman"/>
          <w:bCs/>
          <w:sz w:val="28"/>
          <w:szCs w:val="28"/>
        </w:rPr>
        <w:t>DB</w:t>
      </w:r>
      <w:r w:rsidR="00D3307C"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показав, що азот амідної групи здатний до акцепції протону та проявляє лужні властивості лише при досить низьких значеннях рН (рКа=-2,7±0,7) внаслідок того, що кисень карбоксильної групи внаслідок високої електронегативності знижує електронну густину неподіленої електронної пари азоту та значно знижує його основні властивості.</w:t>
      </w:r>
      <w:r w:rsidR="003B5D88"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Проте, карбоксильна група хондроїтину-4-сульфату здатна депротонуватись (іонізуватись) при більш високому рН, ніж протонування азоту амідної групи (рКа=2,8±0,7), тому з підвищенням рН відсотковий вміст цієї іонізованої форми значно підвищується та у межах рН від 4 до 10 хондроїтину сульфат представлений у вигляді двохосновного аніону (рис. 7.18).</w:t>
      </w:r>
    </w:p>
    <w:p w:rsidR="00215BF6" w:rsidRPr="00BE086B" w:rsidRDefault="0051366F" w:rsidP="003B5D88">
      <w:pPr>
        <w:tabs>
          <w:tab w:val="left" w:pos="1652"/>
        </w:tabs>
        <w:spacing w:line="360" w:lineRule="auto"/>
        <w:jc w:val="center"/>
        <w:rPr>
          <w:sz w:val="28"/>
          <w:szCs w:val="28"/>
          <w:lang w:val="uk-UA"/>
        </w:rPr>
      </w:pPr>
      <w:r>
        <w:rPr>
          <w:noProof/>
          <w:sz w:val="28"/>
          <w:szCs w:val="28"/>
          <w:lang w:eastAsia="ru-RU"/>
        </w:rPr>
        <w:drawing>
          <wp:inline distT="0" distB="0" distL="0" distR="0">
            <wp:extent cx="5929200" cy="2570400"/>
            <wp:effectExtent l="0" t="0" r="0" b="190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7.19.jpg"/>
                    <pic:cNvPicPr/>
                  </pic:nvPicPr>
                  <pic:blipFill>
                    <a:blip r:embed="rId70">
                      <a:extLst>
                        <a:ext uri="{28A0092B-C50C-407E-A947-70E740481C1C}">
                          <a14:useLocalDpi xmlns:a14="http://schemas.microsoft.com/office/drawing/2010/main" val="0"/>
                        </a:ext>
                      </a:extLst>
                    </a:blip>
                    <a:stretch>
                      <a:fillRect/>
                    </a:stretch>
                  </pic:blipFill>
                  <pic:spPr>
                    <a:xfrm>
                      <a:off x="0" y="0"/>
                      <a:ext cx="5929200" cy="2570400"/>
                    </a:xfrm>
                    <a:prstGeom prst="rect">
                      <a:avLst/>
                    </a:prstGeom>
                  </pic:spPr>
                </pic:pic>
              </a:graphicData>
            </a:graphic>
          </wp:inline>
        </w:drawing>
      </w:r>
    </w:p>
    <w:p w:rsidR="00215BF6" w:rsidRDefault="00215BF6" w:rsidP="009D0803">
      <w:pPr>
        <w:tabs>
          <w:tab w:val="left" w:pos="1652"/>
        </w:tabs>
        <w:spacing w:line="360" w:lineRule="auto"/>
        <w:ind w:firstLine="709"/>
        <w:jc w:val="both"/>
        <w:rPr>
          <w:sz w:val="28"/>
          <w:szCs w:val="28"/>
          <w:lang w:val="uk-UA"/>
        </w:rPr>
      </w:pPr>
      <w:r w:rsidRPr="00BE086B">
        <w:rPr>
          <w:b/>
          <w:bCs/>
          <w:sz w:val="28"/>
          <w:szCs w:val="28"/>
          <w:lang w:val="uk-UA"/>
        </w:rPr>
        <w:t>Рис. 7.19.</w:t>
      </w:r>
      <w:r w:rsidRPr="00BE086B">
        <w:rPr>
          <w:sz w:val="28"/>
          <w:szCs w:val="28"/>
          <w:lang w:val="uk-UA"/>
        </w:rPr>
        <w:t xml:space="preserve"> Співвідношення питомого вмісту протонованих форм хондроїтину-4 сульфату залежно від величини рН.</w:t>
      </w:r>
    </w:p>
    <w:p w:rsidR="00C778FD" w:rsidRPr="00BE086B" w:rsidRDefault="00C778FD" w:rsidP="009D0803">
      <w:pPr>
        <w:tabs>
          <w:tab w:val="left" w:pos="1652"/>
        </w:tabs>
        <w:spacing w:line="360" w:lineRule="auto"/>
        <w:ind w:firstLine="709"/>
        <w:jc w:val="both"/>
        <w:rPr>
          <w:sz w:val="28"/>
          <w:szCs w:val="28"/>
          <w:lang w:val="uk-UA"/>
        </w:rPr>
      </w:pP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lastRenderedPageBreak/>
        <w:t xml:space="preserve">Як видно з рис. 7.19, </w:t>
      </w:r>
      <w:r w:rsidR="00436ACE" w:rsidRPr="00BE086B">
        <w:rPr>
          <w:rFonts w:ascii="Times New Roman" w:hAnsi="Times New Roman" w:cs="Times New Roman"/>
          <w:sz w:val="28"/>
          <w:szCs w:val="28"/>
          <w:lang w:val="uk-UA"/>
        </w:rPr>
        <w:t xml:space="preserve">за допомогою програми </w:t>
      </w:r>
      <w:r w:rsidR="00436ACE" w:rsidRPr="00BE086B">
        <w:rPr>
          <w:rFonts w:ascii="Times New Roman" w:hAnsi="Times New Roman" w:cs="Times New Roman"/>
          <w:bCs/>
          <w:sz w:val="28"/>
          <w:szCs w:val="28"/>
        </w:rPr>
        <w:t>ACD</w:t>
      </w:r>
      <w:r w:rsidR="00436ACE" w:rsidRPr="00BE086B">
        <w:rPr>
          <w:rFonts w:ascii="Times New Roman" w:hAnsi="Times New Roman" w:cs="Times New Roman"/>
          <w:bCs/>
          <w:sz w:val="28"/>
          <w:szCs w:val="28"/>
          <w:lang w:val="uk-UA"/>
        </w:rPr>
        <w:t>/</w:t>
      </w:r>
      <w:r w:rsidR="00436ACE" w:rsidRPr="00BE086B">
        <w:rPr>
          <w:rFonts w:ascii="Times New Roman" w:hAnsi="Times New Roman" w:cs="Times New Roman"/>
          <w:bCs/>
          <w:sz w:val="28"/>
          <w:szCs w:val="28"/>
        </w:rPr>
        <w:t>pKa</w:t>
      </w:r>
      <w:r w:rsidR="00436ACE" w:rsidRPr="00BE086B">
        <w:rPr>
          <w:rFonts w:ascii="Times New Roman" w:hAnsi="Times New Roman" w:cs="Times New Roman"/>
          <w:bCs/>
          <w:sz w:val="28"/>
          <w:szCs w:val="28"/>
          <w:lang w:val="uk-UA"/>
        </w:rPr>
        <w:t xml:space="preserve"> </w:t>
      </w:r>
      <w:r w:rsidR="00436ACE" w:rsidRPr="00BE086B">
        <w:rPr>
          <w:rFonts w:ascii="Times New Roman" w:hAnsi="Times New Roman" w:cs="Times New Roman"/>
          <w:bCs/>
          <w:sz w:val="28"/>
          <w:szCs w:val="28"/>
        </w:rPr>
        <w:t>DB</w:t>
      </w:r>
      <w:r w:rsidR="00436ACE" w:rsidRPr="00BE086B">
        <w:rPr>
          <w:rFonts w:ascii="Times New Roman" w:hAnsi="Times New Roman" w:cs="Times New Roman"/>
          <w:sz w:val="28"/>
          <w:szCs w:val="28"/>
          <w:lang w:val="uk-UA"/>
        </w:rPr>
        <w:t xml:space="preserve"> визначено, що </w:t>
      </w:r>
      <w:r w:rsidRPr="00BE086B">
        <w:rPr>
          <w:rFonts w:ascii="Times New Roman" w:hAnsi="Times New Roman" w:cs="Times New Roman"/>
          <w:sz w:val="28"/>
          <w:szCs w:val="28"/>
          <w:lang w:val="uk-UA"/>
        </w:rPr>
        <w:t>при подальшому пі</w:t>
      </w:r>
      <w:r w:rsidR="00436ACE" w:rsidRPr="00BE086B">
        <w:rPr>
          <w:rFonts w:ascii="Times New Roman" w:hAnsi="Times New Roman" w:cs="Times New Roman"/>
          <w:sz w:val="28"/>
          <w:szCs w:val="28"/>
          <w:lang w:val="uk-UA"/>
        </w:rPr>
        <w:t xml:space="preserve">двищенні рН можливо утворення </w:t>
      </w:r>
      <w:r w:rsidRPr="00BE086B">
        <w:rPr>
          <w:rFonts w:ascii="Times New Roman" w:hAnsi="Times New Roman" w:cs="Times New Roman"/>
          <w:sz w:val="28"/>
          <w:szCs w:val="28"/>
          <w:lang w:val="uk-UA"/>
        </w:rPr>
        <w:t>протонованих форм {4}, {5} та {6}, що виникають завдяки прояву у сильно лужному середовищі кислих властивостей гідроксигруп</w:t>
      </w:r>
      <w:r w:rsidR="00436ACE" w:rsidRPr="00BE086B">
        <w:rPr>
          <w:rFonts w:ascii="Times New Roman" w:hAnsi="Times New Roman" w:cs="Times New Roman"/>
          <w:sz w:val="28"/>
          <w:szCs w:val="28"/>
          <w:lang w:val="uk-UA"/>
        </w:rPr>
        <w:t>. О</w:t>
      </w:r>
      <w:r w:rsidRPr="00BE086B">
        <w:rPr>
          <w:rFonts w:ascii="Times New Roman" w:hAnsi="Times New Roman" w:cs="Times New Roman"/>
          <w:sz w:val="28"/>
          <w:szCs w:val="28"/>
          <w:lang w:val="uk-UA"/>
        </w:rPr>
        <w:t xml:space="preserve">днак </w:t>
      </w:r>
      <w:r w:rsidR="00436ACE" w:rsidRPr="00BE086B">
        <w:rPr>
          <w:rFonts w:ascii="Times New Roman" w:hAnsi="Times New Roman" w:cs="Times New Roman"/>
          <w:sz w:val="28"/>
          <w:szCs w:val="28"/>
          <w:lang w:val="uk-UA"/>
        </w:rPr>
        <w:t xml:space="preserve">згідно програми </w:t>
      </w:r>
      <w:r w:rsidR="00436ACE" w:rsidRPr="00BE086B">
        <w:rPr>
          <w:rFonts w:ascii="Times New Roman" w:hAnsi="Times New Roman" w:cs="Times New Roman"/>
          <w:bCs/>
          <w:sz w:val="28"/>
          <w:szCs w:val="28"/>
        </w:rPr>
        <w:t>ACD</w:t>
      </w:r>
      <w:r w:rsidR="00436ACE" w:rsidRPr="00BE086B">
        <w:rPr>
          <w:rFonts w:ascii="Times New Roman" w:hAnsi="Times New Roman" w:cs="Times New Roman"/>
          <w:bCs/>
          <w:sz w:val="28"/>
          <w:szCs w:val="28"/>
          <w:lang w:val="uk-UA"/>
        </w:rPr>
        <w:t>/</w:t>
      </w:r>
      <w:r w:rsidR="00436ACE" w:rsidRPr="00BE086B">
        <w:rPr>
          <w:rFonts w:ascii="Times New Roman" w:hAnsi="Times New Roman" w:cs="Times New Roman"/>
          <w:bCs/>
          <w:sz w:val="28"/>
          <w:szCs w:val="28"/>
        </w:rPr>
        <w:t>pKa</w:t>
      </w:r>
      <w:r w:rsidR="00436ACE" w:rsidRPr="00BE086B">
        <w:rPr>
          <w:rFonts w:ascii="Times New Roman" w:hAnsi="Times New Roman" w:cs="Times New Roman"/>
          <w:bCs/>
          <w:sz w:val="28"/>
          <w:szCs w:val="28"/>
          <w:lang w:val="uk-UA"/>
        </w:rPr>
        <w:t xml:space="preserve"> </w:t>
      </w:r>
      <w:r w:rsidR="00436ACE" w:rsidRPr="00BE086B">
        <w:rPr>
          <w:rFonts w:ascii="Times New Roman" w:hAnsi="Times New Roman" w:cs="Times New Roman"/>
          <w:bCs/>
          <w:sz w:val="28"/>
          <w:szCs w:val="28"/>
        </w:rPr>
        <w:t>DB</w:t>
      </w:r>
      <w:r w:rsidR="00436ACE"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слід зазначити, що у фізіологічних умовах такі високі значення рН не досягаються.</w:t>
      </w:r>
    </w:p>
    <w:p w:rsidR="00215BF6" w:rsidRPr="00BE086B" w:rsidRDefault="00215BF6"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 огляду на проведене дослідження </w:t>
      </w:r>
      <w:r w:rsidR="00436ACE" w:rsidRPr="00BE086B">
        <w:rPr>
          <w:rFonts w:ascii="Times New Roman" w:hAnsi="Times New Roman" w:cs="Times New Roman"/>
          <w:sz w:val="28"/>
          <w:szCs w:val="28"/>
          <w:lang w:val="uk-UA"/>
        </w:rPr>
        <w:t xml:space="preserve">за допомогою програми </w:t>
      </w:r>
      <w:r w:rsidR="00436ACE" w:rsidRPr="00BE086B">
        <w:rPr>
          <w:rFonts w:ascii="Times New Roman" w:hAnsi="Times New Roman" w:cs="Times New Roman"/>
          <w:bCs/>
          <w:sz w:val="28"/>
          <w:szCs w:val="28"/>
        </w:rPr>
        <w:t>ACD</w:t>
      </w:r>
      <w:r w:rsidR="00436ACE" w:rsidRPr="00BE086B">
        <w:rPr>
          <w:rFonts w:ascii="Times New Roman" w:hAnsi="Times New Roman" w:cs="Times New Roman"/>
          <w:bCs/>
          <w:sz w:val="28"/>
          <w:szCs w:val="28"/>
          <w:lang w:val="uk-UA"/>
        </w:rPr>
        <w:t>/</w:t>
      </w:r>
      <w:r w:rsidR="00436ACE" w:rsidRPr="00BE086B">
        <w:rPr>
          <w:rFonts w:ascii="Times New Roman" w:hAnsi="Times New Roman" w:cs="Times New Roman"/>
          <w:bCs/>
          <w:sz w:val="28"/>
          <w:szCs w:val="28"/>
        </w:rPr>
        <w:t>pKa</w:t>
      </w:r>
      <w:r w:rsidR="00436ACE" w:rsidRPr="00BE086B">
        <w:rPr>
          <w:rFonts w:ascii="Times New Roman" w:hAnsi="Times New Roman" w:cs="Times New Roman"/>
          <w:bCs/>
          <w:sz w:val="28"/>
          <w:szCs w:val="28"/>
          <w:lang w:val="uk-UA"/>
        </w:rPr>
        <w:t xml:space="preserve"> </w:t>
      </w:r>
      <w:r w:rsidR="00436ACE" w:rsidRPr="00BE086B">
        <w:rPr>
          <w:rFonts w:ascii="Times New Roman" w:hAnsi="Times New Roman" w:cs="Times New Roman"/>
          <w:bCs/>
          <w:sz w:val="28"/>
          <w:szCs w:val="28"/>
        </w:rPr>
        <w:t>DB</w:t>
      </w:r>
      <w:r w:rsidR="00436ACE" w:rsidRPr="00BE086B">
        <w:rPr>
          <w:rFonts w:ascii="Times New Roman" w:hAnsi="Times New Roman" w:cs="Times New Roman"/>
          <w:sz w:val="28"/>
          <w:szCs w:val="28"/>
          <w:lang w:val="uk-UA"/>
        </w:rPr>
        <w:t xml:space="preserve"> </w:t>
      </w:r>
      <w:r w:rsidRPr="00BE086B">
        <w:rPr>
          <w:rFonts w:ascii="Times New Roman" w:hAnsi="Times New Roman" w:cs="Times New Roman"/>
          <w:sz w:val="28"/>
          <w:szCs w:val="28"/>
          <w:lang w:val="uk-UA"/>
        </w:rPr>
        <w:t xml:space="preserve">встановлено, що кислотно-лужна рівновага, утворення солей та, за певних умов </w:t>
      </w:r>
      <w:r w:rsidR="00436ACE" w:rsidRPr="00BE086B">
        <w:rPr>
          <w:rFonts w:ascii="Times New Roman" w:hAnsi="Times New Roman" w:cs="Times New Roman"/>
          <w:sz w:val="28"/>
          <w:szCs w:val="28"/>
          <w:lang w:val="uk-UA"/>
        </w:rPr>
        <w:t>якими є</w:t>
      </w:r>
      <w:r w:rsidRPr="00BE086B">
        <w:rPr>
          <w:rFonts w:ascii="Times New Roman" w:hAnsi="Times New Roman" w:cs="Times New Roman"/>
          <w:sz w:val="28"/>
          <w:szCs w:val="28"/>
          <w:lang w:val="uk-UA"/>
        </w:rPr>
        <w:t xml:space="preserve"> реакції гідролізу та естерифікації, є можливими та очікуваними формами взаємодії хондроїтину-4 сульфату з іншими сполуками на фізико-хімічному та хімічному рівнях.</w:t>
      </w:r>
    </w:p>
    <w:p w:rsidR="00215BF6" w:rsidRPr="00BE086B" w:rsidRDefault="00436ACE" w:rsidP="009D0803">
      <w:pPr>
        <w:pStyle w:val="af5"/>
        <w:spacing w:after="0" w:line="360" w:lineRule="auto"/>
        <w:ind w:left="0" w:firstLine="709"/>
        <w:jc w:val="both"/>
        <w:rPr>
          <w:rFonts w:ascii="Times New Roman" w:hAnsi="Times New Roman" w:cs="Times New Roman"/>
          <w:sz w:val="28"/>
          <w:szCs w:val="28"/>
          <w:lang w:val="uk-UA"/>
        </w:rPr>
      </w:pPr>
      <w:r w:rsidRPr="00BE086B">
        <w:rPr>
          <w:rFonts w:ascii="Times New Roman" w:hAnsi="Times New Roman" w:cs="Times New Roman"/>
          <w:sz w:val="28"/>
          <w:szCs w:val="28"/>
          <w:lang w:val="uk-UA"/>
        </w:rPr>
        <w:t xml:space="preserve">За допомогою програми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sz w:val="28"/>
          <w:szCs w:val="28"/>
          <w:lang w:val="uk-UA"/>
        </w:rPr>
        <w:t xml:space="preserve"> в</w:t>
      </w:r>
      <w:r w:rsidR="00215BF6" w:rsidRPr="00BE086B">
        <w:rPr>
          <w:rFonts w:ascii="Times New Roman" w:hAnsi="Times New Roman" w:cs="Times New Roman"/>
          <w:sz w:val="28"/>
          <w:szCs w:val="28"/>
          <w:lang w:val="uk-UA"/>
        </w:rPr>
        <w:t xml:space="preserve">изначено, що протонування забезпечує присутність заряду у часток сполуки та обумовлює здатність сполуки перетинати біологічні мембрани, що характеризується величиною її розподілу між органічною та водною фазами (коефіцієнт ліпофільності). </w:t>
      </w:r>
      <w:r w:rsidRPr="00BE086B">
        <w:rPr>
          <w:rFonts w:ascii="Times New Roman" w:hAnsi="Times New Roman" w:cs="Times New Roman"/>
          <w:sz w:val="28"/>
          <w:szCs w:val="28"/>
          <w:lang w:val="uk-UA"/>
        </w:rPr>
        <w:t xml:space="preserve">Згідно програми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sz w:val="28"/>
          <w:szCs w:val="28"/>
          <w:lang w:val="uk-UA"/>
        </w:rPr>
        <w:t xml:space="preserve"> к</w:t>
      </w:r>
      <w:r w:rsidR="00215BF6" w:rsidRPr="00BE086B">
        <w:rPr>
          <w:rFonts w:ascii="Times New Roman" w:hAnsi="Times New Roman" w:cs="Times New Roman"/>
          <w:sz w:val="28"/>
          <w:szCs w:val="28"/>
          <w:lang w:val="uk-UA"/>
        </w:rPr>
        <w:t xml:space="preserve">оефіцієнт ліпофільності є зазвичай найбільшим для сполуки, що є неіонізованими та із підвищенням заряду й здатності молекули до іонізації знижується внаслідок підвищення розчинності у водному середовищі. </w:t>
      </w:r>
      <w:r w:rsidRPr="00BE086B">
        <w:rPr>
          <w:rFonts w:ascii="Times New Roman" w:hAnsi="Times New Roman" w:cs="Times New Roman"/>
          <w:sz w:val="28"/>
          <w:szCs w:val="28"/>
          <w:lang w:val="uk-UA"/>
        </w:rPr>
        <w:t xml:space="preserve">Як показало дослідження у програмі </w:t>
      </w:r>
      <w:r w:rsidRPr="00BE086B">
        <w:rPr>
          <w:rFonts w:ascii="Times New Roman" w:hAnsi="Times New Roman" w:cs="Times New Roman"/>
          <w:bCs/>
          <w:sz w:val="28"/>
          <w:szCs w:val="28"/>
        </w:rPr>
        <w:t>ACD</w:t>
      </w:r>
      <w:r w:rsidRPr="00BE086B">
        <w:rPr>
          <w:rFonts w:ascii="Times New Roman" w:hAnsi="Times New Roman" w:cs="Times New Roman"/>
          <w:bCs/>
          <w:sz w:val="28"/>
          <w:szCs w:val="28"/>
          <w:lang w:val="uk-UA"/>
        </w:rPr>
        <w:t>/</w:t>
      </w:r>
      <w:r w:rsidRPr="00BE086B">
        <w:rPr>
          <w:rFonts w:ascii="Times New Roman" w:hAnsi="Times New Roman" w:cs="Times New Roman"/>
          <w:bCs/>
          <w:sz w:val="28"/>
          <w:szCs w:val="28"/>
        </w:rPr>
        <w:t>pKa</w:t>
      </w:r>
      <w:r w:rsidRPr="00BE086B">
        <w:rPr>
          <w:rFonts w:ascii="Times New Roman" w:hAnsi="Times New Roman" w:cs="Times New Roman"/>
          <w:bCs/>
          <w:sz w:val="28"/>
          <w:szCs w:val="28"/>
          <w:lang w:val="uk-UA"/>
        </w:rPr>
        <w:t xml:space="preserve"> </w:t>
      </w:r>
      <w:r w:rsidRPr="00BE086B">
        <w:rPr>
          <w:rFonts w:ascii="Times New Roman" w:hAnsi="Times New Roman" w:cs="Times New Roman"/>
          <w:bCs/>
          <w:sz w:val="28"/>
          <w:szCs w:val="28"/>
        </w:rPr>
        <w:t>DB</w:t>
      </w:r>
      <w:r w:rsidRPr="00BE086B">
        <w:rPr>
          <w:rFonts w:ascii="Times New Roman" w:hAnsi="Times New Roman" w:cs="Times New Roman"/>
          <w:sz w:val="28"/>
          <w:szCs w:val="28"/>
          <w:lang w:val="uk-UA"/>
        </w:rPr>
        <w:t xml:space="preserve"> в</w:t>
      </w:r>
      <w:r w:rsidR="00215BF6" w:rsidRPr="00BE086B">
        <w:rPr>
          <w:rFonts w:ascii="Times New Roman" w:hAnsi="Times New Roman" w:cs="Times New Roman"/>
          <w:sz w:val="28"/>
          <w:szCs w:val="28"/>
          <w:lang w:val="uk-UA"/>
        </w:rPr>
        <w:t>ід’ємне значення величин ліпофільності для усіх протолітичних форм хондроїтину-4 сульфату підтверджує, що ХС у значно більшому ступені концентрується у воді, ніж у гідрофобному середовищі, завдяки чому слід очікувати низький ступінь проникнення крізь біологічні мембрани.</w:t>
      </w:r>
    </w:p>
    <w:p w:rsidR="00215BF6" w:rsidRPr="00BE086B" w:rsidRDefault="00215BF6" w:rsidP="009D0803">
      <w:pPr>
        <w:tabs>
          <w:tab w:val="left" w:pos="1652"/>
        </w:tabs>
        <w:spacing w:line="360" w:lineRule="auto"/>
        <w:ind w:firstLine="709"/>
        <w:jc w:val="both"/>
        <w:rPr>
          <w:sz w:val="28"/>
          <w:szCs w:val="28"/>
          <w:lang w:val="uk-UA"/>
        </w:rPr>
      </w:pPr>
    </w:p>
    <w:p w:rsidR="00D41503" w:rsidRPr="00BE086B" w:rsidRDefault="00D41503" w:rsidP="009D0803">
      <w:pPr>
        <w:tabs>
          <w:tab w:val="left" w:pos="1652"/>
        </w:tabs>
        <w:spacing w:line="360" w:lineRule="auto"/>
        <w:ind w:firstLine="709"/>
        <w:jc w:val="both"/>
        <w:rPr>
          <w:sz w:val="28"/>
          <w:szCs w:val="28"/>
          <w:lang w:val="uk-UA"/>
        </w:rPr>
      </w:pPr>
    </w:p>
    <w:p w:rsidR="00D41503" w:rsidRDefault="00D41503" w:rsidP="009D0803">
      <w:pPr>
        <w:tabs>
          <w:tab w:val="left" w:pos="1652"/>
        </w:tabs>
        <w:spacing w:line="360" w:lineRule="auto"/>
        <w:ind w:firstLine="709"/>
        <w:jc w:val="both"/>
        <w:rPr>
          <w:sz w:val="28"/>
          <w:szCs w:val="28"/>
          <w:lang w:val="uk-UA"/>
        </w:rPr>
      </w:pPr>
    </w:p>
    <w:p w:rsidR="00125A5A" w:rsidRDefault="00125A5A" w:rsidP="009D0803">
      <w:pPr>
        <w:tabs>
          <w:tab w:val="left" w:pos="1652"/>
        </w:tabs>
        <w:spacing w:line="360" w:lineRule="auto"/>
        <w:ind w:firstLine="709"/>
        <w:jc w:val="both"/>
        <w:rPr>
          <w:sz w:val="28"/>
          <w:szCs w:val="28"/>
          <w:lang w:val="uk-UA"/>
        </w:rPr>
      </w:pPr>
    </w:p>
    <w:p w:rsidR="00125A5A" w:rsidRDefault="00125A5A" w:rsidP="009D0803">
      <w:pPr>
        <w:tabs>
          <w:tab w:val="left" w:pos="1652"/>
        </w:tabs>
        <w:spacing w:line="360" w:lineRule="auto"/>
        <w:ind w:firstLine="709"/>
        <w:jc w:val="both"/>
        <w:rPr>
          <w:sz w:val="28"/>
          <w:szCs w:val="28"/>
          <w:lang w:val="uk-UA"/>
        </w:rPr>
      </w:pPr>
    </w:p>
    <w:p w:rsidR="00125A5A" w:rsidRPr="00BE086B" w:rsidRDefault="00125A5A" w:rsidP="009D0803">
      <w:pPr>
        <w:tabs>
          <w:tab w:val="left" w:pos="1652"/>
        </w:tabs>
        <w:spacing w:line="360" w:lineRule="auto"/>
        <w:ind w:firstLine="709"/>
        <w:jc w:val="both"/>
        <w:rPr>
          <w:sz w:val="28"/>
          <w:szCs w:val="28"/>
          <w:lang w:val="uk-UA"/>
        </w:rPr>
      </w:pPr>
    </w:p>
    <w:p w:rsidR="00D41503" w:rsidRPr="00BE086B" w:rsidRDefault="00D41503" w:rsidP="009D0803">
      <w:pPr>
        <w:tabs>
          <w:tab w:val="left" w:pos="1652"/>
        </w:tabs>
        <w:spacing w:line="360" w:lineRule="auto"/>
        <w:ind w:firstLine="709"/>
        <w:jc w:val="both"/>
        <w:rPr>
          <w:sz w:val="28"/>
          <w:szCs w:val="28"/>
          <w:lang w:val="uk-UA"/>
        </w:rPr>
      </w:pPr>
    </w:p>
    <w:p w:rsidR="00D41503" w:rsidRPr="00BE086B" w:rsidRDefault="00D41503" w:rsidP="009D0803">
      <w:pPr>
        <w:tabs>
          <w:tab w:val="left" w:pos="1652"/>
        </w:tabs>
        <w:spacing w:line="360" w:lineRule="auto"/>
        <w:ind w:firstLine="709"/>
        <w:jc w:val="both"/>
        <w:rPr>
          <w:sz w:val="28"/>
          <w:szCs w:val="28"/>
          <w:lang w:val="uk-UA"/>
        </w:rPr>
      </w:pPr>
    </w:p>
    <w:p w:rsidR="00215BF6" w:rsidRPr="00BE086B" w:rsidRDefault="00215BF6" w:rsidP="009D0803">
      <w:pPr>
        <w:tabs>
          <w:tab w:val="left" w:pos="1652"/>
        </w:tabs>
        <w:spacing w:line="360" w:lineRule="auto"/>
        <w:ind w:firstLine="709"/>
        <w:jc w:val="both"/>
        <w:rPr>
          <w:sz w:val="28"/>
          <w:szCs w:val="28"/>
          <w:lang w:val="uk-UA"/>
        </w:rPr>
      </w:pPr>
      <w:r w:rsidRPr="00BE086B">
        <w:rPr>
          <w:b/>
          <w:sz w:val="28"/>
          <w:szCs w:val="28"/>
          <w:lang w:val="uk-UA"/>
        </w:rPr>
        <w:lastRenderedPageBreak/>
        <w:t>7.3.2. Дослідження фізико-хімічних властивостей L-тироксину</w:t>
      </w:r>
    </w:p>
    <w:p w:rsidR="00215BF6" w:rsidRPr="00BE086B" w:rsidRDefault="00215BF6" w:rsidP="009D0803">
      <w:pPr>
        <w:tabs>
          <w:tab w:val="left" w:pos="1652"/>
        </w:tabs>
        <w:spacing w:line="360" w:lineRule="auto"/>
        <w:ind w:firstLine="709"/>
        <w:jc w:val="both"/>
        <w:rPr>
          <w:sz w:val="28"/>
          <w:szCs w:val="28"/>
          <w:lang w:val="uk-UA"/>
        </w:rPr>
      </w:pPr>
    </w:p>
    <w:p w:rsidR="00215BF6" w:rsidRPr="00BE086B" w:rsidRDefault="00D41503" w:rsidP="009D0803">
      <w:pPr>
        <w:spacing w:line="360" w:lineRule="auto"/>
        <w:ind w:firstLine="709"/>
        <w:jc w:val="both"/>
        <w:rPr>
          <w:sz w:val="28"/>
          <w:szCs w:val="28"/>
          <w:lang w:val="uk-UA"/>
        </w:rPr>
      </w:pPr>
      <w:r w:rsidRPr="00BE086B">
        <w:rPr>
          <w:iCs/>
          <w:sz w:val="28"/>
          <w:szCs w:val="28"/>
          <w:lang w:val="uk-UA"/>
        </w:rPr>
        <w:t>В</w:t>
      </w:r>
      <w:r w:rsidR="00215BF6" w:rsidRPr="00BE086B">
        <w:rPr>
          <w:iCs/>
          <w:sz w:val="28"/>
          <w:szCs w:val="28"/>
          <w:lang w:val="uk-UA"/>
        </w:rPr>
        <w:t xml:space="preserve">становлено, що </w:t>
      </w:r>
      <w:r w:rsidR="00215BF6" w:rsidRPr="00BE086B">
        <w:rPr>
          <w:iCs/>
          <w:sz w:val="28"/>
          <w:szCs w:val="28"/>
          <w:lang w:val="en-US"/>
        </w:rPr>
        <w:t>L</w:t>
      </w:r>
      <w:r w:rsidR="00215BF6" w:rsidRPr="00BE086B">
        <w:rPr>
          <w:iCs/>
          <w:sz w:val="28"/>
          <w:szCs w:val="28"/>
          <w:lang w:val="uk-UA"/>
        </w:rPr>
        <w:t>-тироксин (левотироксин)</w:t>
      </w:r>
      <w:r w:rsidR="00215BF6" w:rsidRPr="00BE086B">
        <w:rPr>
          <w:sz w:val="28"/>
          <w:szCs w:val="28"/>
          <w:lang w:val="uk-UA"/>
        </w:rPr>
        <w:t xml:space="preserve"> є похідним амінокислоти тирозину та являє собою синтетичний аналог гормону щитоподібної залози тироксину (лівообертаючий оптичний ізомер)</w:t>
      </w:r>
      <w:r w:rsidR="00903E97" w:rsidRPr="00BE086B">
        <w:rPr>
          <w:sz w:val="28"/>
          <w:szCs w:val="28"/>
          <w:lang w:val="uk-UA"/>
        </w:rPr>
        <w:t xml:space="preserve"> і</w:t>
      </w:r>
      <w:r w:rsidR="00215BF6" w:rsidRPr="00BE086B">
        <w:rPr>
          <w:sz w:val="28"/>
          <w:szCs w:val="28"/>
          <w:lang w:val="uk-UA"/>
        </w:rPr>
        <w:t xml:space="preserve"> є поліфункціональною сполукою</w:t>
      </w:r>
      <w:r w:rsidR="00F63285" w:rsidRPr="00BE086B">
        <w:rPr>
          <w:sz w:val="28"/>
          <w:szCs w:val="28"/>
          <w:lang w:val="uk-UA"/>
        </w:rPr>
        <w:t xml:space="preserve"> </w:t>
      </w:r>
      <w:r w:rsidR="00F63285" w:rsidRPr="00BE086B">
        <w:rPr>
          <w:bCs/>
          <w:sz w:val="28"/>
          <w:szCs w:val="28"/>
          <w:lang w:val="uk-UA"/>
        </w:rPr>
        <w:t>[</w:t>
      </w:r>
      <w:r w:rsidR="00F63285" w:rsidRPr="00AF27FE">
        <w:rPr>
          <w:bCs/>
          <w:sz w:val="28"/>
          <w:szCs w:val="28"/>
        </w:rPr>
        <w:t>275</w:t>
      </w:r>
      <w:r w:rsidR="00F63285" w:rsidRPr="00BE086B">
        <w:rPr>
          <w:bCs/>
          <w:sz w:val="28"/>
          <w:szCs w:val="28"/>
          <w:lang w:val="uk-UA"/>
        </w:rPr>
        <w:t>]</w:t>
      </w:r>
      <w:r w:rsidR="00215BF6" w:rsidRPr="00BE086B">
        <w:rPr>
          <w:sz w:val="28"/>
          <w:szCs w:val="28"/>
          <w:lang w:val="uk-UA"/>
        </w:rPr>
        <w:t>.</w:t>
      </w: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Аналіз властивостей </w:t>
      </w:r>
      <w:r w:rsidR="00D41503" w:rsidRPr="00BE086B">
        <w:rPr>
          <w:sz w:val="28"/>
          <w:szCs w:val="28"/>
          <w:lang w:val="uk-UA"/>
        </w:rPr>
        <w:t xml:space="preserve">за допомогою програми </w:t>
      </w:r>
      <w:r w:rsidR="00D41503" w:rsidRPr="00BE086B">
        <w:rPr>
          <w:bCs/>
          <w:sz w:val="28"/>
          <w:szCs w:val="28"/>
        </w:rPr>
        <w:t>ACD</w:t>
      </w:r>
      <w:r w:rsidR="00D41503" w:rsidRPr="00BE086B">
        <w:rPr>
          <w:bCs/>
          <w:sz w:val="28"/>
          <w:szCs w:val="28"/>
          <w:lang w:val="uk-UA"/>
        </w:rPr>
        <w:t>/</w:t>
      </w:r>
      <w:r w:rsidR="00D41503" w:rsidRPr="00BE086B">
        <w:rPr>
          <w:bCs/>
          <w:sz w:val="28"/>
          <w:szCs w:val="28"/>
        </w:rPr>
        <w:t>pKa</w:t>
      </w:r>
      <w:r w:rsidR="00D41503" w:rsidRPr="00BE086B">
        <w:rPr>
          <w:bCs/>
          <w:sz w:val="28"/>
          <w:szCs w:val="28"/>
          <w:lang w:val="uk-UA"/>
        </w:rPr>
        <w:t xml:space="preserve"> </w:t>
      </w:r>
      <w:r w:rsidR="00D41503" w:rsidRPr="00BE086B">
        <w:rPr>
          <w:bCs/>
          <w:sz w:val="28"/>
          <w:szCs w:val="28"/>
        </w:rPr>
        <w:t>DB</w:t>
      </w:r>
      <w:r w:rsidR="00D41503" w:rsidRPr="00BE086B">
        <w:rPr>
          <w:sz w:val="28"/>
          <w:szCs w:val="28"/>
          <w:lang w:val="uk-UA"/>
        </w:rPr>
        <w:t xml:space="preserve"> </w:t>
      </w:r>
      <w:r w:rsidRPr="00BE086B">
        <w:rPr>
          <w:sz w:val="28"/>
          <w:szCs w:val="28"/>
          <w:lang w:val="uk-UA"/>
        </w:rPr>
        <w:t>показав, що як амінокислота, левотироксин проявляє амфотерні властивості, оскільки в його структурі присутня як кислотна карбоксильна (1), так й основна аміногрупа (2). До того ж, фенольний гідроксил (3) також є слабкою кислотою і також виявляє кислотні властивості.</w:t>
      </w:r>
    </w:p>
    <w:p w:rsidR="00215BF6" w:rsidRPr="00BE086B" w:rsidRDefault="00903E97"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становлено, що як кислота левотироксин здатний утворювати солі. Оскільки фенольний гідроксил у складі сполуки є значно слабшим ніж карбоксильна група, насамперед утворюється сіль карбонової кислоти (рис. 7.20).</w:t>
      </w:r>
    </w:p>
    <w:p w:rsidR="00215BF6" w:rsidRPr="00BE086B" w:rsidRDefault="00032FD9" w:rsidP="00D3307C">
      <w:pPr>
        <w:spacing w:line="360" w:lineRule="auto"/>
        <w:ind w:firstLine="709"/>
        <w:jc w:val="center"/>
        <w:rPr>
          <w:b/>
          <w:bCs/>
          <w:sz w:val="28"/>
          <w:szCs w:val="28"/>
          <w:lang w:val="uk-UA"/>
        </w:rPr>
      </w:pPr>
      <w:r>
        <w:rPr>
          <w:b/>
          <w:bCs/>
          <w:noProof/>
          <w:sz w:val="28"/>
          <w:szCs w:val="28"/>
          <w:lang w:eastAsia="ru-RU"/>
        </w:rPr>
        <w:drawing>
          <wp:inline distT="0" distB="0" distL="0" distR="0">
            <wp:extent cx="4158000" cy="24840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7.20.jpg"/>
                    <pic:cNvPicPr/>
                  </pic:nvPicPr>
                  <pic:blipFill>
                    <a:blip r:embed="rId71">
                      <a:extLst>
                        <a:ext uri="{28A0092B-C50C-407E-A947-70E740481C1C}">
                          <a14:useLocalDpi xmlns:a14="http://schemas.microsoft.com/office/drawing/2010/main" val="0"/>
                        </a:ext>
                      </a:extLst>
                    </a:blip>
                    <a:stretch>
                      <a:fillRect/>
                    </a:stretch>
                  </pic:blipFill>
                  <pic:spPr>
                    <a:xfrm>
                      <a:off x="0" y="0"/>
                      <a:ext cx="4158000" cy="2484000"/>
                    </a:xfrm>
                    <a:prstGeom prst="rect">
                      <a:avLst/>
                    </a:prstGeom>
                  </pic:spPr>
                </pic:pic>
              </a:graphicData>
            </a:graphic>
          </wp:inline>
        </w:drawing>
      </w:r>
    </w:p>
    <w:p w:rsidR="00215BF6" w:rsidRPr="00BE086B" w:rsidRDefault="00215BF6" w:rsidP="009D0803">
      <w:pPr>
        <w:tabs>
          <w:tab w:val="left" w:pos="1652"/>
        </w:tabs>
        <w:spacing w:line="360" w:lineRule="auto"/>
        <w:ind w:firstLine="709"/>
        <w:jc w:val="both"/>
        <w:rPr>
          <w:sz w:val="28"/>
          <w:szCs w:val="28"/>
          <w:lang w:val="uk-UA"/>
        </w:rPr>
      </w:pPr>
      <w:r w:rsidRPr="00BE086B">
        <w:rPr>
          <w:b/>
          <w:bCs/>
          <w:sz w:val="28"/>
          <w:szCs w:val="28"/>
          <w:lang w:val="uk-UA"/>
        </w:rPr>
        <w:t>Рис. 7.20.</w:t>
      </w:r>
      <w:r w:rsidRPr="00BE086B">
        <w:rPr>
          <w:sz w:val="28"/>
          <w:szCs w:val="28"/>
          <w:lang w:val="uk-UA"/>
        </w:rPr>
        <w:t xml:space="preserve"> Утворення солі карбонової кислоти тироксином.</w:t>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Аналіз </w:t>
      </w:r>
      <w:r w:rsidR="00903E97" w:rsidRPr="00BE086B">
        <w:rPr>
          <w:sz w:val="28"/>
          <w:szCs w:val="28"/>
          <w:lang w:val="uk-UA"/>
        </w:rPr>
        <w:t xml:space="preserve">у програмі </w:t>
      </w:r>
      <w:r w:rsidR="00903E97" w:rsidRPr="00BE086B">
        <w:rPr>
          <w:bCs/>
          <w:sz w:val="28"/>
          <w:szCs w:val="28"/>
        </w:rPr>
        <w:t>ACD</w:t>
      </w:r>
      <w:r w:rsidR="00903E97" w:rsidRPr="00BE086B">
        <w:rPr>
          <w:bCs/>
          <w:sz w:val="28"/>
          <w:szCs w:val="28"/>
          <w:lang w:val="uk-UA"/>
        </w:rPr>
        <w:t>/</w:t>
      </w:r>
      <w:r w:rsidR="00903E97" w:rsidRPr="00BE086B">
        <w:rPr>
          <w:bCs/>
          <w:sz w:val="28"/>
          <w:szCs w:val="28"/>
        </w:rPr>
        <w:t>pKa</w:t>
      </w:r>
      <w:r w:rsidR="00903E97" w:rsidRPr="00BE086B">
        <w:rPr>
          <w:bCs/>
          <w:sz w:val="28"/>
          <w:szCs w:val="28"/>
          <w:lang w:val="uk-UA"/>
        </w:rPr>
        <w:t xml:space="preserve"> </w:t>
      </w:r>
      <w:r w:rsidR="00903E97" w:rsidRPr="00BE086B">
        <w:rPr>
          <w:bCs/>
          <w:sz w:val="28"/>
          <w:szCs w:val="28"/>
        </w:rPr>
        <w:t>DB</w:t>
      </w:r>
      <w:r w:rsidR="00903E97" w:rsidRPr="00BE086B">
        <w:rPr>
          <w:sz w:val="28"/>
          <w:szCs w:val="28"/>
          <w:lang w:val="uk-UA"/>
        </w:rPr>
        <w:t xml:space="preserve"> </w:t>
      </w:r>
      <w:r w:rsidRPr="00BE086B">
        <w:rPr>
          <w:sz w:val="28"/>
          <w:szCs w:val="28"/>
          <w:lang w:val="uk-UA"/>
        </w:rPr>
        <w:t>встановив, що поєднання у одній молекулі кислотно-лужних властивостей обумовлює загальну для всіх амінокислот здатність існувати у вигляді цвіттеріону (біполярного іону) (табл. 7.10).</w:t>
      </w:r>
    </w:p>
    <w:p w:rsidR="00215BF6" w:rsidRPr="00BE086B" w:rsidRDefault="00215BF6" w:rsidP="009D0803">
      <w:pPr>
        <w:spacing w:line="360" w:lineRule="auto"/>
        <w:ind w:firstLine="709"/>
        <w:jc w:val="right"/>
        <w:rPr>
          <w:sz w:val="28"/>
          <w:szCs w:val="28"/>
          <w:lang w:val="uk-UA"/>
        </w:rPr>
      </w:pPr>
      <w:r w:rsidRPr="00BE086B">
        <w:rPr>
          <w:i/>
          <w:iCs/>
          <w:sz w:val="28"/>
          <w:szCs w:val="28"/>
          <w:lang w:val="uk-UA"/>
        </w:rPr>
        <w:lastRenderedPageBreak/>
        <w:t>Таблиця 7.10</w:t>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Фізико-хімічні параметри протолітичних форм левотироксину</w:t>
      </w:r>
    </w:p>
    <w:tbl>
      <w:tblPr>
        <w:tblW w:w="9601" w:type="dxa"/>
        <w:tblInd w:w="-15" w:type="dxa"/>
        <w:tblLayout w:type="fixed"/>
        <w:tblLook w:val="0000" w:firstRow="0" w:lastRow="0" w:firstColumn="0" w:lastColumn="0" w:noHBand="0" w:noVBand="0"/>
      </w:tblPr>
      <w:tblGrid>
        <w:gridCol w:w="1817"/>
        <w:gridCol w:w="1981"/>
        <w:gridCol w:w="1854"/>
        <w:gridCol w:w="1984"/>
        <w:gridCol w:w="1965"/>
      </w:tblGrid>
      <w:tr w:rsidR="00D3307C" w:rsidRPr="00BE086B" w:rsidTr="00F66F9B">
        <w:tc>
          <w:tcPr>
            <w:tcW w:w="1817" w:type="dxa"/>
            <w:vMerge w:val="restart"/>
            <w:tcBorders>
              <w:top w:val="single" w:sz="4" w:space="0" w:color="000000"/>
              <w:left w:val="single" w:sz="4" w:space="0" w:color="000000"/>
            </w:tcBorders>
            <w:shd w:val="clear" w:color="auto" w:fill="auto"/>
            <w:vAlign w:val="center"/>
          </w:tcPr>
          <w:p w:rsidR="00D3307C" w:rsidRPr="00BE086B" w:rsidRDefault="00D3307C" w:rsidP="00D3307C">
            <w:pPr>
              <w:snapToGrid w:val="0"/>
              <w:jc w:val="center"/>
              <w:rPr>
                <w:b/>
                <w:sz w:val="28"/>
                <w:szCs w:val="28"/>
                <w:lang w:val="uk-UA"/>
              </w:rPr>
            </w:pPr>
            <w:r w:rsidRPr="00BE086B">
              <w:rPr>
                <w:b/>
                <w:sz w:val="28"/>
                <w:szCs w:val="28"/>
                <w:lang w:val="uk-UA"/>
              </w:rPr>
              <w:t>Показник</w:t>
            </w:r>
          </w:p>
        </w:tc>
        <w:tc>
          <w:tcPr>
            <w:tcW w:w="77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3307C" w:rsidRPr="00BE086B" w:rsidRDefault="00D3307C" w:rsidP="00D3307C">
            <w:pPr>
              <w:jc w:val="center"/>
              <w:rPr>
                <w:sz w:val="28"/>
                <w:szCs w:val="28"/>
                <w:lang w:val="uk-UA"/>
              </w:rPr>
            </w:pPr>
            <w:r w:rsidRPr="00BE086B">
              <w:rPr>
                <w:b/>
                <w:sz w:val="28"/>
                <w:szCs w:val="28"/>
                <w:lang w:val="uk-UA"/>
              </w:rPr>
              <w:t>Протолітичні форми</w:t>
            </w:r>
          </w:p>
        </w:tc>
      </w:tr>
      <w:tr w:rsidR="00D3307C" w:rsidRPr="00BE086B" w:rsidTr="00F66F9B">
        <w:tc>
          <w:tcPr>
            <w:tcW w:w="1817" w:type="dxa"/>
            <w:vMerge/>
            <w:tcBorders>
              <w:left w:val="single" w:sz="4" w:space="0" w:color="000000"/>
              <w:bottom w:val="single" w:sz="4" w:space="0" w:color="000000"/>
            </w:tcBorders>
            <w:shd w:val="clear" w:color="auto" w:fill="auto"/>
            <w:vAlign w:val="center"/>
          </w:tcPr>
          <w:p w:rsidR="00D3307C" w:rsidRPr="00BE086B" w:rsidRDefault="00D3307C" w:rsidP="009D0803">
            <w:pPr>
              <w:snapToGrid w:val="0"/>
              <w:jc w:val="both"/>
              <w:rPr>
                <w:sz w:val="28"/>
                <w:szCs w:val="28"/>
                <w:lang w:val="uk-UA"/>
              </w:rPr>
            </w:pPr>
          </w:p>
        </w:tc>
        <w:tc>
          <w:tcPr>
            <w:tcW w:w="1981" w:type="dxa"/>
            <w:tcBorders>
              <w:top w:val="single" w:sz="4" w:space="0" w:color="000000"/>
              <w:left w:val="single" w:sz="4" w:space="0" w:color="000000"/>
              <w:bottom w:val="single" w:sz="4" w:space="0" w:color="000000"/>
            </w:tcBorders>
            <w:shd w:val="clear" w:color="auto" w:fill="auto"/>
            <w:vAlign w:val="center"/>
          </w:tcPr>
          <w:p w:rsidR="00D3307C" w:rsidRPr="00BE086B" w:rsidRDefault="009B135A" w:rsidP="009D0803">
            <w:pPr>
              <w:jc w:val="both"/>
              <w:rPr>
                <w:sz w:val="28"/>
                <w:szCs w:val="28"/>
                <w:lang w:val="uk-UA"/>
              </w:rPr>
            </w:pPr>
            <w:r>
              <w:rPr>
                <w:position w:val="-10"/>
                <w:sz w:val="28"/>
                <w:szCs w:val="28"/>
                <w:lang w:val="uk-UA"/>
              </w:rPr>
              <w:pict>
                <v:shape id="_x0000_i1053" type="#_x0000_t75" style="width:31.5pt;height:22.9pt" filled="t">
                  <v:fill color2="black"/>
                  <v:imagedata r:id="rId72" o:title="" croptop="-172f" cropbottom="-172f" cropleft="-126f" cropright="-126f"/>
                </v:shape>
              </w:pict>
            </w:r>
          </w:p>
        </w:tc>
        <w:tc>
          <w:tcPr>
            <w:tcW w:w="1854" w:type="dxa"/>
            <w:tcBorders>
              <w:top w:val="single" w:sz="4" w:space="0" w:color="000000"/>
              <w:left w:val="single" w:sz="4" w:space="0" w:color="000000"/>
              <w:bottom w:val="single" w:sz="4" w:space="0" w:color="000000"/>
            </w:tcBorders>
            <w:shd w:val="clear" w:color="auto" w:fill="auto"/>
            <w:vAlign w:val="center"/>
          </w:tcPr>
          <w:p w:rsidR="00D3307C" w:rsidRPr="00BE086B" w:rsidRDefault="009B135A" w:rsidP="009D0803">
            <w:pPr>
              <w:jc w:val="both"/>
              <w:rPr>
                <w:sz w:val="28"/>
                <w:szCs w:val="28"/>
                <w:lang w:val="uk-UA"/>
              </w:rPr>
            </w:pPr>
            <w:r>
              <w:rPr>
                <w:position w:val="-10"/>
                <w:sz w:val="28"/>
                <w:szCs w:val="28"/>
                <w:lang w:val="uk-UA"/>
              </w:rPr>
              <w:pict>
                <v:shape id="_x0000_i1054" type="#_x0000_t75" style="width:31.5pt;height:22.9pt" filled="t">
                  <v:fill color2="black"/>
                  <v:imagedata r:id="rId72" o:title="" croptop="-172f" cropbottom="-172f" cropleft="-126f" cropright="-126f"/>
                </v:shape>
              </w:pict>
            </w:r>
          </w:p>
        </w:tc>
        <w:tc>
          <w:tcPr>
            <w:tcW w:w="1984" w:type="dxa"/>
            <w:tcBorders>
              <w:top w:val="single" w:sz="4" w:space="0" w:color="000000"/>
              <w:left w:val="single" w:sz="4" w:space="0" w:color="000000"/>
              <w:bottom w:val="single" w:sz="4" w:space="0" w:color="000000"/>
            </w:tcBorders>
            <w:shd w:val="clear" w:color="auto" w:fill="auto"/>
            <w:vAlign w:val="center"/>
          </w:tcPr>
          <w:p w:rsidR="00D3307C" w:rsidRPr="00BE086B" w:rsidRDefault="009B135A" w:rsidP="009D0803">
            <w:pPr>
              <w:jc w:val="both"/>
              <w:rPr>
                <w:sz w:val="28"/>
                <w:szCs w:val="28"/>
                <w:lang w:val="uk-UA"/>
              </w:rPr>
            </w:pPr>
            <w:r>
              <w:rPr>
                <w:position w:val="-5"/>
                <w:sz w:val="28"/>
                <w:szCs w:val="28"/>
                <w:lang w:val="uk-UA"/>
              </w:rPr>
              <w:pict>
                <v:shape id="_x0000_i1055" type="#_x0000_t75" style="width:31.5pt;height:18pt" filled="t">
                  <v:fill color2="black"/>
                  <v:imagedata r:id="rId73" o:title="" croptop="-219f" cropbottom="-219f" cropleft="-126f" cropright="-126f"/>
                </v:shape>
              </w:pict>
            </w:r>
          </w:p>
        </w:tc>
        <w:tc>
          <w:tcPr>
            <w:tcW w:w="19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3307C" w:rsidRPr="00BE086B" w:rsidRDefault="009B135A" w:rsidP="009D0803">
            <w:pPr>
              <w:jc w:val="both"/>
              <w:rPr>
                <w:sz w:val="28"/>
                <w:szCs w:val="28"/>
                <w:lang w:val="uk-UA"/>
              </w:rPr>
            </w:pPr>
            <w:r>
              <w:rPr>
                <w:position w:val="-5"/>
                <w:sz w:val="28"/>
                <w:szCs w:val="28"/>
                <w:lang w:val="uk-UA"/>
              </w:rPr>
              <w:pict>
                <v:shape id="_x0000_i1056" type="#_x0000_t75" style="width:24.4pt;height:18pt" filled="t">
                  <v:fill color2="black"/>
                  <v:imagedata r:id="rId74" o:title="" croptop="-219f" cropbottom="-219f" cropleft="-164f" cropright="-164f"/>
                </v:shape>
              </w:pict>
            </w:r>
          </w:p>
        </w:tc>
      </w:tr>
      <w:tr w:rsidR="00215BF6" w:rsidRPr="00BE086B" w:rsidTr="00D3307C">
        <w:tc>
          <w:tcPr>
            <w:tcW w:w="1817"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both"/>
              <w:rPr>
                <w:sz w:val="28"/>
                <w:szCs w:val="28"/>
                <w:lang w:val="uk-UA"/>
              </w:rPr>
            </w:pPr>
            <w:r w:rsidRPr="00BE086B">
              <w:rPr>
                <w:sz w:val="28"/>
                <w:szCs w:val="28"/>
                <w:lang w:val="uk-UA"/>
              </w:rPr>
              <w:t>logP</w:t>
            </w:r>
          </w:p>
        </w:tc>
        <w:tc>
          <w:tcPr>
            <w:tcW w:w="1981"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w:t>
            </w:r>
          </w:p>
        </w:tc>
        <w:tc>
          <w:tcPr>
            <w:tcW w:w="185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5</w:t>
            </w:r>
            <w:r w:rsidR="00D3307C" w:rsidRPr="00BE086B">
              <w:rPr>
                <w:sz w:val="28"/>
                <w:szCs w:val="28"/>
                <w:lang w:val="uk-UA"/>
              </w:rPr>
              <w:t>,93±0,</w:t>
            </w:r>
            <w:r w:rsidRPr="00BE086B">
              <w:rPr>
                <w:sz w:val="28"/>
                <w:szCs w:val="28"/>
                <w:lang w:val="uk-UA"/>
              </w:rPr>
              <w:t>42</w:t>
            </w:r>
          </w:p>
          <w:p w:rsidR="00215BF6" w:rsidRPr="00BE086B" w:rsidRDefault="00215BF6" w:rsidP="00D3307C">
            <w:pPr>
              <w:jc w:val="center"/>
              <w:rPr>
                <w:sz w:val="28"/>
                <w:szCs w:val="28"/>
                <w:lang w:val="uk-UA"/>
              </w:rPr>
            </w:pPr>
            <w:r w:rsidRPr="00BE086B">
              <w:rPr>
                <w:sz w:val="28"/>
                <w:szCs w:val="28"/>
                <w:lang w:val="uk-UA"/>
              </w:rPr>
              <w:t>2,4</w:t>
            </w:r>
          </w:p>
        </w:tc>
        <w:tc>
          <w:tcPr>
            <w:tcW w:w="198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w:t>
            </w:r>
          </w:p>
        </w:tc>
        <w:tc>
          <w:tcPr>
            <w:tcW w:w="19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w:t>
            </w:r>
          </w:p>
        </w:tc>
      </w:tr>
      <w:tr w:rsidR="00215BF6" w:rsidRPr="00BE086B" w:rsidTr="00D3307C">
        <w:tc>
          <w:tcPr>
            <w:tcW w:w="1817"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both"/>
              <w:rPr>
                <w:sz w:val="28"/>
                <w:szCs w:val="28"/>
                <w:lang w:val="uk-UA"/>
              </w:rPr>
            </w:pPr>
            <w:r w:rsidRPr="00BE086B">
              <w:rPr>
                <w:sz w:val="28"/>
                <w:szCs w:val="28"/>
                <w:lang w:val="uk-UA"/>
              </w:rPr>
              <w:t>logD</w:t>
            </w:r>
          </w:p>
        </w:tc>
        <w:tc>
          <w:tcPr>
            <w:tcW w:w="1981"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3,43±0,1</w:t>
            </w:r>
          </w:p>
        </w:tc>
        <w:tc>
          <w:tcPr>
            <w:tcW w:w="185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w:t>
            </w:r>
          </w:p>
        </w:tc>
        <w:tc>
          <w:tcPr>
            <w:tcW w:w="198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2,18±1,0</w:t>
            </w:r>
          </w:p>
        </w:tc>
        <w:tc>
          <w:tcPr>
            <w:tcW w:w="19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2,78±1,0</w:t>
            </w:r>
          </w:p>
        </w:tc>
      </w:tr>
      <w:tr w:rsidR="00215BF6" w:rsidRPr="00BE086B" w:rsidTr="00D3307C">
        <w:tc>
          <w:tcPr>
            <w:tcW w:w="1817"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both"/>
              <w:rPr>
                <w:sz w:val="28"/>
                <w:szCs w:val="28"/>
                <w:lang w:val="uk-UA"/>
              </w:rPr>
            </w:pPr>
            <w:r w:rsidRPr="00BE086B">
              <w:rPr>
                <w:sz w:val="28"/>
                <w:szCs w:val="28"/>
                <w:lang w:val="uk-UA"/>
              </w:rPr>
              <w:t>pKa</w:t>
            </w:r>
          </w:p>
        </w:tc>
        <w:tc>
          <w:tcPr>
            <w:tcW w:w="1981"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2,12±0,3 (K</w:t>
            </w:r>
            <w:r w:rsidRPr="00BE086B">
              <w:rPr>
                <w:sz w:val="28"/>
                <w:szCs w:val="28"/>
                <w:vertAlign w:val="subscript"/>
                <w:lang w:val="uk-UA"/>
              </w:rPr>
              <w:t>1</w:t>
            </w:r>
            <w:r w:rsidRPr="00BE086B">
              <w:rPr>
                <w:sz w:val="28"/>
                <w:szCs w:val="28"/>
                <w:lang w:val="uk-UA"/>
              </w:rPr>
              <w:t>)</w:t>
            </w:r>
          </w:p>
        </w:tc>
        <w:tc>
          <w:tcPr>
            <w:tcW w:w="185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w:t>
            </w:r>
          </w:p>
        </w:tc>
        <w:tc>
          <w:tcPr>
            <w:tcW w:w="198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6,91±0,25 (K</w:t>
            </w:r>
            <w:r w:rsidRPr="00BE086B">
              <w:rPr>
                <w:sz w:val="28"/>
                <w:szCs w:val="28"/>
                <w:vertAlign w:val="subscript"/>
                <w:lang w:val="uk-UA"/>
              </w:rPr>
              <w:t>2</w:t>
            </w:r>
            <w:r w:rsidRPr="00BE086B">
              <w:rPr>
                <w:sz w:val="28"/>
                <w:szCs w:val="28"/>
                <w:lang w:val="uk-UA"/>
              </w:rPr>
              <w:t>)</w:t>
            </w:r>
          </w:p>
        </w:tc>
        <w:tc>
          <w:tcPr>
            <w:tcW w:w="19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8,94±0,45 (K</w:t>
            </w:r>
            <w:r w:rsidRPr="00BE086B">
              <w:rPr>
                <w:sz w:val="28"/>
                <w:szCs w:val="28"/>
                <w:vertAlign w:val="subscript"/>
                <w:lang w:val="uk-UA"/>
              </w:rPr>
              <w:t>2</w:t>
            </w:r>
            <w:r w:rsidRPr="00BE086B">
              <w:rPr>
                <w:sz w:val="28"/>
                <w:szCs w:val="28"/>
                <w:lang w:val="uk-UA"/>
              </w:rPr>
              <w:t>)</w:t>
            </w:r>
          </w:p>
        </w:tc>
      </w:tr>
      <w:tr w:rsidR="00215BF6" w:rsidRPr="00BE086B" w:rsidTr="00D3307C">
        <w:tc>
          <w:tcPr>
            <w:tcW w:w="1817"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both"/>
              <w:rPr>
                <w:sz w:val="28"/>
                <w:szCs w:val="28"/>
                <w:lang w:val="uk-UA"/>
              </w:rPr>
            </w:pPr>
            <w:r w:rsidRPr="00BE086B">
              <w:rPr>
                <w:sz w:val="28"/>
                <w:szCs w:val="28"/>
                <w:lang w:val="uk-UA"/>
              </w:rPr>
              <w:t>Кількість донорів водневого зв’язку</w:t>
            </w:r>
          </w:p>
        </w:tc>
        <w:tc>
          <w:tcPr>
            <w:tcW w:w="1981"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3</w:t>
            </w:r>
          </w:p>
        </w:tc>
        <w:tc>
          <w:tcPr>
            <w:tcW w:w="185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2</w:t>
            </w:r>
          </w:p>
        </w:tc>
        <w:tc>
          <w:tcPr>
            <w:tcW w:w="198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1</w:t>
            </w:r>
          </w:p>
        </w:tc>
        <w:tc>
          <w:tcPr>
            <w:tcW w:w="19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0</w:t>
            </w:r>
          </w:p>
        </w:tc>
      </w:tr>
      <w:tr w:rsidR="00215BF6" w:rsidRPr="00BE086B" w:rsidTr="00D3307C">
        <w:tc>
          <w:tcPr>
            <w:tcW w:w="1817"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both"/>
              <w:rPr>
                <w:sz w:val="28"/>
                <w:szCs w:val="28"/>
                <w:lang w:val="uk-UA"/>
              </w:rPr>
            </w:pPr>
            <w:r w:rsidRPr="00BE086B">
              <w:rPr>
                <w:sz w:val="28"/>
                <w:szCs w:val="28"/>
                <w:lang w:val="uk-UA"/>
              </w:rPr>
              <w:t>Кількість акцепторів водневого зв’язку</w:t>
            </w:r>
          </w:p>
        </w:tc>
        <w:tc>
          <w:tcPr>
            <w:tcW w:w="1981"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4</w:t>
            </w:r>
          </w:p>
        </w:tc>
        <w:tc>
          <w:tcPr>
            <w:tcW w:w="185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5</w:t>
            </w:r>
          </w:p>
        </w:tc>
        <w:tc>
          <w:tcPr>
            <w:tcW w:w="1984"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6</w:t>
            </w:r>
          </w:p>
        </w:tc>
        <w:tc>
          <w:tcPr>
            <w:tcW w:w="19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215BF6" w:rsidP="00D3307C">
            <w:pPr>
              <w:jc w:val="center"/>
              <w:rPr>
                <w:sz w:val="28"/>
                <w:szCs w:val="28"/>
                <w:lang w:val="uk-UA"/>
              </w:rPr>
            </w:pPr>
            <w:r w:rsidRPr="00BE086B">
              <w:rPr>
                <w:sz w:val="28"/>
                <w:szCs w:val="28"/>
                <w:lang w:val="uk-UA"/>
              </w:rPr>
              <w:t>7</w:t>
            </w:r>
          </w:p>
        </w:tc>
      </w:tr>
    </w:tbl>
    <w:p w:rsidR="00215BF6" w:rsidRPr="00BE086B" w:rsidRDefault="00215BF6" w:rsidP="009D0803">
      <w:pPr>
        <w:spacing w:line="360" w:lineRule="auto"/>
        <w:ind w:firstLine="709"/>
        <w:jc w:val="both"/>
        <w:rPr>
          <w:sz w:val="28"/>
          <w:szCs w:val="28"/>
          <w:lang w:val="uk-UA"/>
        </w:rPr>
      </w:pPr>
    </w:p>
    <w:p w:rsidR="00215BF6" w:rsidRPr="00BE086B" w:rsidRDefault="00903E97"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становлено, що як похідне α-амінокислоти левотироксин може вступати у реакцію міжмолекулярної конденсації (самоацилювання) з утворенням відповідного дікетопіперазіну (рис. 7.21).</w:t>
      </w:r>
    </w:p>
    <w:p w:rsidR="00215BF6" w:rsidRPr="00BE086B" w:rsidRDefault="00215BF6" w:rsidP="009D0803">
      <w:pPr>
        <w:spacing w:line="360" w:lineRule="auto"/>
        <w:ind w:firstLine="709"/>
        <w:jc w:val="both"/>
        <w:rPr>
          <w:sz w:val="28"/>
          <w:szCs w:val="28"/>
          <w:lang w:val="uk-UA"/>
        </w:rPr>
      </w:pPr>
    </w:p>
    <w:p w:rsidR="00215BF6" w:rsidRPr="00BE086B" w:rsidRDefault="00032FD9" w:rsidP="00D3307C">
      <w:pPr>
        <w:spacing w:line="360" w:lineRule="auto"/>
        <w:ind w:firstLine="709"/>
        <w:jc w:val="center"/>
        <w:rPr>
          <w:b/>
          <w:bCs/>
          <w:sz w:val="28"/>
          <w:szCs w:val="28"/>
          <w:lang w:val="uk-UA"/>
        </w:rPr>
      </w:pPr>
      <w:r>
        <w:rPr>
          <w:b/>
          <w:bCs/>
          <w:noProof/>
          <w:sz w:val="28"/>
          <w:szCs w:val="28"/>
          <w:lang w:eastAsia="ru-RU"/>
        </w:rPr>
        <w:drawing>
          <wp:inline distT="0" distB="0" distL="0" distR="0">
            <wp:extent cx="4122000" cy="30744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7.21.jpg"/>
                    <pic:cNvPicPr/>
                  </pic:nvPicPr>
                  <pic:blipFill>
                    <a:blip r:embed="rId75">
                      <a:extLst>
                        <a:ext uri="{28A0092B-C50C-407E-A947-70E740481C1C}">
                          <a14:useLocalDpi xmlns:a14="http://schemas.microsoft.com/office/drawing/2010/main" val="0"/>
                        </a:ext>
                      </a:extLst>
                    </a:blip>
                    <a:stretch>
                      <a:fillRect/>
                    </a:stretch>
                  </pic:blipFill>
                  <pic:spPr>
                    <a:xfrm>
                      <a:off x="0" y="0"/>
                      <a:ext cx="4122000" cy="3074400"/>
                    </a:xfrm>
                    <a:prstGeom prst="rect">
                      <a:avLst/>
                    </a:prstGeom>
                  </pic:spPr>
                </pic:pic>
              </a:graphicData>
            </a:graphic>
          </wp:inline>
        </w:drawing>
      </w:r>
    </w:p>
    <w:p w:rsidR="00215BF6" w:rsidRPr="00BE086B" w:rsidRDefault="00215BF6" w:rsidP="009D0803">
      <w:pPr>
        <w:tabs>
          <w:tab w:val="left" w:pos="1652"/>
        </w:tabs>
        <w:spacing w:line="360" w:lineRule="auto"/>
        <w:ind w:firstLine="709"/>
        <w:jc w:val="both"/>
        <w:rPr>
          <w:sz w:val="28"/>
          <w:szCs w:val="28"/>
          <w:lang w:val="uk-UA"/>
        </w:rPr>
      </w:pPr>
      <w:r w:rsidRPr="00BE086B">
        <w:rPr>
          <w:b/>
          <w:bCs/>
          <w:sz w:val="28"/>
          <w:szCs w:val="28"/>
          <w:lang w:val="uk-UA"/>
        </w:rPr>
        <w:t>Рис. 7.21.</w:t>
      </w:r>
      <w:r w:rsidRPr="00BE086B">
        <w:rPr>
          <w:sz w:val="28"/>
          <w:szCs w:val="28"/>
          <w:lang w:val="uk-UA"/>
        </w:rPr>
        <w:t xml:space="preserve"> Реакція міжмолекулярної конденсації (самоацилювання) тироксину з утворенням відповідного дікетопіперазіну.</w:t>
      </w:r>
    </w:p>
    <w:p w:rsidR="00215BF6" w:rsidRPr="00BE086B" w:rsidRDefault="00903E97" w:rsidP="009D0803">
      <w:pPr>
        <w:spacing w:line="360" w:lineRule="auto"/>
        <w:ind w:firstLine="709"/>
        <w:jc w:val="both"/>
        <w:rPr>
          <w:sz w:val="28"/>
          <w:szCs w:val="28"/>
          <w:lang w:val="uk-UA"/>
        </w:rPr>
      </w:pPr>
      <w:r w:rsidRPr="00BE086B">
        <w:rPr>
          <w:sz w:val="28"/>
          <w:szCs w:val="28"/>
          <w:lang w:val="uk-UA"/>
        </w:rPr>
        <w:lastRenderedPageBreak/>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изначено, що реакції карбоксильної групи тироксину також включають утворення естерів при взаємодії зі сполуками, що мають спиртову групу (рис. 7. 7.22).</w:t>
      </w:r>
    </w:p>
    <w:p w:rsidR="00215BF6" w:rsidRPr="00BE086B" w:rsidRDefault="00215BF6" w:rsidP="009D0803">
      <w:pPr>
        <w:spacing w:line="360" w:lineRule="auto"/>
        <w:ind w:firstLine="709"/>
        <w:jc w:val="both"/>
        <w:rPr>
          <w:sz w:val="28"/>
          <w:szCs w:val="28"/>
          <w:lang w:val="uk-UA"/>
        </w:rPr>
      </w:pPr>
    </w:p>
    <w:p w:rsidR="00215BF6" w:rsidRPr="00BE086B" w:rsidRDefault="00EA7C1D" w:rsidP="00EA7C1D">
      <w:pPr>
        <w:spacing w:line="360" w:lineRule="auto"/>
        <w:ind w:firstLine="709"/>
        <w:jc w:val="center"/>
        <w:rPr>
          <w:sz w:val="28"/>
          <w:szCs w:val="28"/>
          <w:lang w:val="uk-UA"/>
        </w:rPr>
      </w:pPr>
      <w:r>
        <w:rPr>
          <w:noProof/>
          <w:sz w:val="28"/>
          <w:szCs w:val="28"/>
          <w:lang w:eastAsia="ru-RU"/>
        </w:rPr>
        <w:drawing>
          <wp:inline distT="0" distB="0" distL="0" distR="0">
            <wp:extent cx="5227200" cy="9612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7.22.jpg"/>
                    <pic:cNvPicPr/>
                  </pic:nvPicPr>
                  <pic:blipFill>
                    <a:blip r:embed="rId76">
                      <a:extLst>
                        <a:ext uri="{28A0092B-C50C-407E-A947-70E740481C1C}">
                          <a14:useLocalDpi xmlns:a14="http://schemas.microsoft.com/office/drawing/2010/main" val="0"/>
                        </a:ext>
                      </a:extLst>
                    </a:blip>
                    <a:stretch>
                      <a:fillRect/>
                    </a:stretch>
                  </pic:blipFill>
                  <pic:spPr>
                    <a:xfrm>
                      <a:off x="0" y="0"/>
                      <a:ext cx="5227200" cy="9612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tabs>
          <w:tab w:val="left" w:pos="1652"/>
        </w:tabs>
        <w:spacing w:line="360" w:lineRule="auto"/>
        <w:ind w:firstLine="709"/>
        <w:jc w:val="both"/>
        <w:rPr>
          <w:sz w:val="28"/>
          <w:szCs w:val="28"/>
          <w:lang w:val="uk-UA"/>
        </w:rPr>
      </w:pPr>
      <w:r w:rsidRPr="00BE086B">
        <w:rPr>
          <w:b/>
          <w:bCs/>
          <w:sz w:val="28"/>
          <w:szCs w:val="28"/>
          <w:lang w:val="uk-UA"/>
        </w:rPr>
        <w:t xml:space="preserve">Рис. </w:t>
      </w:r>
      <w:r w:rsidRPr="00BE086B">
        <w:rPr>
          <w:b/>
          <w:sz w:val="28"/>
          <w:szCs w:val="28"/>
          <w:lang w:val="uk-UA"/>
        </w:rPr>
        <w:t>7.22</w:t>
      </w:r>
      <w:r w:rsidRPr="00BE086B">
        <w:rPr>
          <w:b/>
          <w:bCs/>
          <w:sz w:val="28"/>
          <w:szCs w:val="28"/>
          <w:lang w:val="uk-UA"/>
        </w:rPr>
        <w:t>.</w:t>
      </w:r>
      <w:r w:rsidRPr="00BE086B">
        <w:rPr>
          <w:sz w:val="28"/>
          <w:szCs w:val="28"/>
          <w:lang w:val="uk-UA"/>
        </w:rPr>
        <w:t xml:space="preserve"> Реакції карбоксильної групи тироксину.</w:t>
      </w:r>
    </w:p>
    <w:p w:rsidR="00215BF6" w:rsidRPr="00BE086B" w:rsidRDefault="00215BF6" w:rsidP="009D0803">
      <w:pPr>
        <w:spacing w:line="360" w:lineRule="auto"/>
        <w:ind w:firstLine="709"/>
        <w:jc w:val="both"/>
        <w:rPr>
          <w:sz w:val="28"/>
          <w:szCs w:val="28"/>
          <w:lang w:val="uk-UA"/>
        </w:rPr>
      </w:pPr>
    </w:p>
    <w:p w:rsidR="00215BF6" w:rsidRPr="00BE086B" w:rsidRDefault="00903E97" w:rsidP="009D0803">
      <w:pPr>
        <w:spacing w:line="360" w:lineRule="auto"/>
        <w:ind w:firstLine="709"/>
        <w:jc w:val="both"/>
        <w:rPr>
          <w:sz w:val="28"/>
          <w:szCs w:val="28"/>
          <w:lang w:val="uk-UA"/>
        </w:rPr>
      </w:pPr>
      <w:r w:rsidRPr="00BE086B">
        <w:rPr>
          <w:sz w:val="28"/>
          <w:szCs w:val="28"/>
          <w:lang w:val="uk-UA"/>
        </w:rPr>
        <w:t xml:space="preserve">У програмі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д</w:t>
      </w:r>
      <w:r w:rsidR="00215BF6" w:rsidRPr="00BE086B">
        <w:rPr>
          <w:sz w:val="28"/>
          <w:szCs w:val="28"/>
          <w:lang w:val="uk-UA"/>
        </w:rPr>
        <w:t>оведено, що реакція естерифікації тироксину каталізується кислотами (протони), тому може мати місце лише при їх наявності та за умов зменшення кількості води. Проте, як було визначено, естери, що утворюються, легко піддаються гідролізу з виділенням вихідних сполук.</w:t>
      </w: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Аналіз </w:t>
      </w:r>
      <w:r w:rsidR="00903E97" w:rsidRPr="00BE086B">
        <w:rPr>
          <w:sz w:val="28"/>
          <w:szCs w:val="28"/>
          <w:lang w:val="uk-UA"/>
        </w:rPr>
        <w:t xml:space="preserve">за допомогою програми </w:t>
      </w:r>
      <w:r w:rsidR="00903E97" w:rsidRPr="00BE086B">
        <w:rPr>
          <w:bCs/>
          <w:sz w:val="28"/>
          <w:szCs w:val="28"/>
        </w:rPr>
        <w:t>ACD</w:t>
      </w:r>
      <w:r w:rsidR="00903E97" w:rsidRPr="00BE086B">
        <w:rPr>
          <w:bCs/>
          <w:sz w:val="28"/>
          <w:szCs w:val="28"/>
          <w:lang w:val="uk-UA"/>
        </w:rPr>
        <w:t>/</w:t>
      </w:r>
      <w:r w:rsidR="00903E97" w:rsidRPr="00BE086B">
        <w:rPr>
          <w:bCs/>
          <w:sz w:val="28"/>
          <w:szCs w:val="28"/>
        </w:rPr>
        <w:t>pKa</w:t>
      </w:r>
      <w:r w:rsidR="00903E97" w:rsidRPr="00BE086B">
        <w:rPr>
          <w:bCs/>
          <w:sz w:val="28"/>
          <w:szCs w:val="28"/>
          <w:lang w:val="uk-UA"/>
        </w:rPr>
        <w:t xml:space="preserve"> </w:t>
      </w:r>
      <w:r w:rsidR="00903E97" w:rsidRPr="00BE086B">
        <w:rPr>
          <w:bCs/>
          <w:sz w:val="28"/>
          <w:szCs w:val="28"/>
        </w:rPr>
        <w:t>DB</w:t>
      </w:r>
      <w:r w:rsidR="00903E97" w:rsidRPr="00BE086B">
        <w:rPr>
          <w:sz w:val="28"/>
          <w:szCs w:val="28"/>
          <w:lang w:val="uk-UA"/>
        </w:rPr>
        <w:t xml:space="preserve"> </w:t>
      </w:r>
      <w:r w:rsidRPr="00BE086B">
        <w:rPr>
          <w:sz w:val="28"/>
          <w:szCs w:val="28"/>
          <w:lang w:val="uk-UA"/>
        </w:rPr>
        <w:t>показав, що фенольні сполуки, особливо у формі аніонів, можуть окислюватись з утворенням відповідних хінонів, однак присутність етерного кисню у пара-положенні визначає лише утворення наступної окисленої оксонієвої форми, формування якої можливе лише при реакції із сильними окиснювачами (рис. 7.23).</w:t>
      </w:r>
    </w:p>
    <w:p w:rsidR="00215BF6" w:rsidRPr="00BE086B" w:rsidRDefault="00215BF6" w:rsidP="009D0803">
      <w:pPr>
        <w:spacing w:line="360" w:lineRule="auto"/>
        <w:ind w:firstLine="709"/>
        <w:jc w:val="both"/>
        <w:rPr>
          <w:sz w:val="28"/>
          <w:szCs w:val="28"/>
          <w:lang w:val="uk-UA"/>
        </w:rPr>
      </w:pPr>
    </w:p>
    <w:p w:rsidR="00215BF6" w:rsidRPr="00BE086B" w:rsidRDefault="00EA7C1D" w:rsidP="009D0803">
      <w:pPr>
        <w:spacing w:line="360" w:lineRule="auto"/>
        <w:ind w:firstLine="709"/>
        <w:jc w:val="center"/>
        <w:rPr>
          <w:sz w:val="28"/>
          <w:szCs w:val="28"/>
          <w:lang w:val="uk-UA"/>
        </w:rPr>
      </w:pPr>
      <w:r>
        <w:rPr>
          <w:noProof/>
          <w:sz w:val="28"/>
          <w:szCs w:val="28"/>
          <w:lang w:eastAsia="ru-RU"/>
        </w:rPr>
        <w:drawing>
          <wp:inline distT="0" distB="0" distL="0" distR="0">
            <wp:extent cx="2134800" cy="15516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7.23.jpg"/>
                    <pic:cNvPicPr/>
                  </pic:nvPicPr>
                  <pic:blipFill>
                    <a:blip r:embed="rId77">
                      <a:extLst>
                        <a:ext uri="{28A0092B-C50C-407E-A947-70E740481C1C}">
                          <a14:useLocalDpi xmlns:a14="http://schemas.microsoft.com/office/drawing/2010/main" val="0"/>
                        </a:ext>
                      </a:extLst>
                    </a:blip>
                    <a:stretch>
                      <a:fillRect/>
                    </a:stretch>
                  </pic:blipFill>
                  <pic:spPr>
                    <a:xfrm>
                      <a:off x="0" y="0"/>
                      <a:ext cx="2134800" cy="15516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tabs>
          <w:tab w:val="left" w:pos="1652"/>
        </w:tabs>
        <w:spacing w:line="360" w:lineRule="auto"/>
        <w:ind w:firstLine="709"/>
        <w:jc w:val="both"/>
        <w:rPr>
          <w:sz w:val="28"/>
          <w:szCs w:val="28"/>
          <w:lang w:val="uk-UA"/>
        </w:rPr>
      </w:pPr>
      <w:r w:rsidRPr="00BE086B">
        <w:rPr>
          <w:b/>
          <w:bCs/>
          <w:sz w:val="28"/>
          <w:szCs w:val="28"/>
          <w:lang w:val="uk-UA"/>
        </w:rPr>
        <w:t xml:space="preserve">Рис. </w:t>
      </w:r>
      <w:r w:rsidRPr="00BE086B">
        <w:rPr>
          <w:b/>
          <w:sz w:val="28"/>
          <w:szCs w:val="28"/>
          <w:lang w:val="uk-UA"/>
        </w:rPr>
        <w:t>7.23</w:t>
      </w:r>
      <w:r w:rsidRPr="00BE086B">
        <w:rPr>
          <w:b/>
          <w:bCs/>
          <w:sz w:val="28"/>
          <w:szCs w:val="28"/>
          <w:lang w:val="uk-UA"/>
        </w:rPr>
        <w:t>.</w:t>
      </w:r>
      <w:r w:rsidRPr="00BE086B">
        <w:rPr>
          <w:sz w:val="28"/>
          <w:szCs w:val="28"/>
          <w:lang w:val="uk-UA"/>
        </w:rPr>
        <w:t xml:space="preserve"> Утворення окисленої оксонієвої форми тироксином.</w:t>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lastRenderedPageBreak/>
        <w:t xml:space="preserve">Проте, </w:t>
      </w:r>
      <w:r w:rsidR="00903E97" w:rsidRPr="00BE086B">
        <w:rPr>
          <w:sz w:val="28"/>
          <w:szCs w:val="28"/>
          <w:lang w:val="uk-UA"/>
        </w:rPr>
        <w:t xml:space="preserve">як показали дослідження у програмі </w:t>
      </w:r>
      <w:r w:rsidR="00903E97" w:rsidRPr="00BE086B">
        <w:rPr>
          <w:bCs/>
          <w:sz w:val="28"/>
          <w:szCs w:val="28"/>
        </w:rPr>
        <w:t>ACD</w:t>
      </w:r>
      <w:r w:rsidR="00903E97" w:rsidRPr="00BE086B">
        <w:rPr>
          <w:bCs/>
          <w:sz w:val="28"/>
          <w:szCs w:val="28"/>
          <w:lang w:val="uk-UA"/>
        </w:rPr>
        <w:t>/</w:t>
      </w:r>
      <w:r w:rsidR="00903E97" w:rsidRPr="00BE086B">
        <w:rPr>
          <w:bCs/>
          <w:sz w:val="28"/>
          <w:szCs w:val="28"/>
        </w:rPr>
        <w:t>pKa</w:t>
      </w:r>
      <w:r w:rsidR="00903E97" w:rsidRPr="00BE086B">
        <w:rPr>
          <w:bCs/>
          <w:sz w:val="28"/>
          <w:szCs w:val="28"/>
          <w:lang w:val="uk-UA"/>
        </w:rPr>
        <w:t xml:space="preserve"> </w:t>
      </w:r>
      <w:r w:rsidR="00903E97" w:rsidRPr="00BE086B">
        <w:rPr>
          <w:bCs/>
          <w:sz w:val="28"/>
          <w:szCs w:val="28"/>
        </w:rPr>
        <w:t>DB</w:t>
      </w:r>
      <w:r w:rsidR="00903E97" w:rsidRPr="00BE086B">
        <w:rPr>
          <w:sz w:val="28"/>
          <w:szCs w:val="28"/>
          <w:lang w:val="uk-UA"/>
        </w:rPr>
        <w:t xml:space="preserve"> </w:t>
      </w:r>
      <w:r w:rsidRPr="00BE086B">
        <w:rPr>
          <w:sz w:val="28"/>
          <w:szCs w:val="28"/>
          <w:lang w:val="uk-UA"/>
        </w:rPr>
        <w:t>відповідно до вищенаведеного слід зазначити, що в умовах сумісного використання левотироксину у лікарській формі дана реакція не здійснюватиметься.</w:t>
      </w:r>
    </w:p>
    <w:p w:rsidR="00215BF6" w:rsidRPr="00BE086B" w:rsidRDefault="00903E97"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 xml:space="preserve">становлено, що молекула левотироксину здатна існувати як у неіонізованому вигляді, так й у протонованих формах, рівновага та співвідношення між якими визначається величиною констант іонізації та фізико-хімічними властивостями сполуки (рис. 7.24, рис. 7.25 та табл. </w:t>
      </w:r>
      <w:r w:rsidR="00215BF6" w:rsidRPr="00BE086B">
        <w:rPr>
          <w:iCs/>
          <w:sz w:val="28"/>
          <w:szCs w:val="28"/>
          <w:lang w:val="uk-UA"/>
        </w:rPr>
        <w:t>7.10</w:t>
      </w:r>
      <w:r w:rsidR="00215BF6" w:rsidRPr="00BE086B">
        <w:rPr>
          <w:sz w:val="28"/>
          <w:szCs w:val="28"/>
          <w:lang w:val="uk-UA"/>
        </w:rPr>
        <w:t>).</w:t>
      </w:r>
    </w:p>
    <w:p w:rsidR="00EA7C1D" w:rsidRDefault="00EA7C1D" w:rsidP="009D0803">
      <w:pPr>
        <w:spacing w:line="360" w:lineRule="auto"/>
        <w:ind w:firstLine="709"/>
        <w:jc w:val="both"/>
        <w:rPr>
          <w:b/>
          <w:bCs/>
          <w:sz w:val="28"/>
          <w:szCs w:val="28"/>
          <w:lang w:val="uk-UA"/>
        </w:rPr>
      </w:pPr>
      <w:r>
        <w:rPr>
          <w:b/>
          <w:bCs/>
          <w:noProof/>
          <w:sz w:val="28"/>
          <w:szCs w:val="28"/>
          <w:lang w:eastAsia="ru-RU"/>
        </w:rPr>
        <w:drawing>
          <wp:inline distT="0" distB="0" distL="0" distR="0">
            <wp:extent cx="5376863" cy="5395913"/>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7.24.jpg"/>
                    <pic:cNvPicPr/>
                  </pic:nvPicPr>
                  <pic:blipFill>
                    <a:blip r:embed="rId78">
                      <a:extLst>
                        <a:ext uri="{28A0092B-C50C-407E-A947-70E740481C1C}">
                          <a14:useLocalDpi xmlns:a14="http://schemas.microsoft.com/office/drawing/2010/main" val="0"/>
                        </a:ext>
                      </a:extLst>
                    </a:blip>
                    <a:stretch>
                      <a:fillRect/>
                    </a:stretch>
                  </pic:blipFill>
                  <pic:spPr>
                    <a:xfrm>
                      <a:off x="0" y="0"/>
                      <a:ext cx="5376863" cy="5395913"/>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w:t>
      </w:r>
      <w:r w:rsidRPr="00BE086B">
        <w:rPr>
          <w:b/>
          <w:sz w:val="28"/>
          <w:szCs w:val="28"/>
          <w:lang w:val="uk-UA"/>
        </w:rPr>
        <w:t>7.24</w:t>
      </w:r>
      <w:r w:rsidRPr="00BE086B">
        <w:rPr>
          <w:b/>
          <w:bCs/>
          <w:sz w:val="28"/>
          <w:szCs w:val="28"/>
          <w:lang w:val="uk-UA"/>
        </w:rPr>
        <w:t>.</w:t>
      </w:r>
      <w:r w:rsidRPr="00BE086B">
        <w:rPr>
          <w:sz w:val="28"/>
          <w:szCs w:val="28"/>
          <w:lang w:val="uk-UA"/>
        </w:rPr>
        <w:t xml:space="preserve"> Функціональні групи у молекулі левотироксину та його протолітичні форми.</w:t>
      </w:r>
    </w:p>
    <w:p w:rsidR="00215BF6" w:rsidRPr="00BE086B" w:rsidRDefault="00EA7C1D" w:rsidP="00D3307C">
      <w:pPr>
        <w:spacing w:line="360" w:lineRule="auto"/>
        <w:ind w:firstLine="709"/>
        <w:jc w:val="center"/>
        <w:rPr>
          <w:sz w:val="28"/>
          <w:szCs w:val="28"/>
          <w:lang w:val="uk-UA"/>
        </w:rPr>
      </w:pPr>
      <w:r>
        <w:rPr>
          <w:noProof/>
          <w:sz w:val="28"/>
          <w:szCs w:val="28"/>
          <w:lang w:eastAsia="ru-RU"/>
        </w:rPr>
        <w:lastRenderedPageBreak/>
        <w:drawing>
          <wp:inline distT="0" distB="0" distL="0" distR="0">
            <wp:extent cx="3326400" cy="705600"/>
            <wp:effectExtent l="0" t="0" r="762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7.25.jpg"/>
                    <pic:cNvPicPr/>
                  </pic:nvPicPr>
                  <pic:blipFill>
                    <a:blip r:embed="rId79">
                      <a:extLst>
                        <a:ext uri="{28A0092B-C50C-407E-A947-70E740481C1C}">
                          <a14:useLocalDpi xmlns:a14="http://schemas.microsoft.com/office/drawing/2010/main" val="0"/>
                        </a:ext>
                      </a:extLst>
                    </a:blip>
                    <a:stretch>
                      <a:fillRect/>
                    </a:stretch>
                  </pic:blipFill>
                  <pic:spPr>
                    <a:xfrm>
                      <a:off x="0" y="0"/>
                      <a:ext cx="3326400" cy="7056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sz w:val="28"/>
          <w:szCs w:val="28"/>
          <w:lang w:val="uk-UA"/>
        </w:rPr>
        <w:t>Рис. 7.25</w:t>
      </w:r>
      <w:r w:rsidRPr="00BE086B">
        <w:rPr>
          <w:b/>
          <w:bCs/>
          <w:sz w:val="28"/>
          <w:szCs w:val="28"/>
          <w:lang w:val="uk-UA"/>
        </w:rPr>
        <w:t>.</w:t>
      </w:r>
      <w:r w:rsidRPr="00BE086B">
        <w:rPr>
          <w:sz w:val="28"/>
          <w:szCs w:val="28"/>
          <w:lang w:val="uk-UA"/>
        </w:rPr>
        <w:t xml:space="preserve"> Протоновані форми левотироксину у стані рівноваги.</w:t>
      </w:r>
    </w:p>
    <w:p w:rsidR="00215BF6" w:rsidRPr="00BE086B" w:rsidRDefault="00215BF6" w:rsidP="009D0803">
      <w:pPr>
        <w:spacing w:line="360" w:lineRule="auto"/>
        <w:ind w:firstLine="709"/>
        <w:jc w:val="both"/>
        <w:rPr>
          <w:sz w:val="28"/>
          <w:szCs w:val="28"/>
          <w:lang w:val="uk-UA"/>
        </w:rPr>
      </w:pPr>
    </w:p>
    <w:p w:rsidR="00215BF6" w:rsidRPr="00BE086B" w:rsidRDefault="00903E97"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изначено, що дисоціація карбоксильної групи відбувається вже при рН ˃ 2,2 (рКа = 2,12±0,3), тоді як депротонування аміногрупи лише при рН вищіх за 7,0 (рКа=6,91±0,25). Завдяки цьому існування левотироксину можливе у вигляді цвіттеріону при фізіологічному рН (у крові 7,4). Проте, повна дисоціація фенольного гідроксилу відбувається при значно вищому рН (рКа = 8,94±0,45), але при фізіологічних умовах левотироксин переважно існує у вигляді двозарядного аніону із протонованою аміногрупою (рис. 7.26, {4}).</w:t>
      </w:r>
    </w:p>
    <w:p w:rsidR="00215BF6" w:rsidRPr="00BE086B" w:rsidRDefault="00215BF6" w:rsidP="009D0803">
      <w:pPr>
        <w:spacing w:line="360" w:lineRule="auto"/>
        <w:ind w:firstLine="709"/>
        <w:jc w:val="both"/>
        <w:rPr>
          <w:sz w:val="28"/>
          <w:szCs w:val="28"/>
          <w:lang w:val="uk-UA"/>
        </w:rPr>
      </w:pPr>
    </w:p>
    <w:p w:rsidR="00215BF6" w:rsidRPr="00BE086B" w:rsidRDefault="00EA7C1D" w:rsidP="00EA7C1D">
      <w:pPr>
        <w:spacing w:line="360" w:lineRule="auto"/>
        <w:jc w:val="center"/>
        <w:rPr>
          <w:sz w:val="28"/>
          <w:szCs w:val="28"/>
          <w:lang w:val="uk-UA"/>
        </w:rPr>
      </w:pPr>
      <w:r>
        <w:rPr>
          <w:noProof/>
          <w:sz w:val="28"/>
          <w:szCs w:val="28"/>
          <w:lang w:eastAsia="ru-RU"/>
        </w:rPr>
        <w:drawing>
          <wp:inline distT="0" distB="0" distL="0" distR="0">
            <wp:extent cx="6116400" cy="2829600"/>
            <wp:effectExtent l="0" t="0" r="0" b="889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7.26.jpg"/>
                    <pic:cNvPicPr/>
                  </pic:nvPicPr>
                  <pic:blipFill>
                    <a:blip r:embed="rId80">
                      <a:extLst>
                        <a:ext uri="{28A0092B-C50C-407E-A947-70E740481C1C}">
                          <a14:useLocalDpi xmlns:a14="http://schemas.microsoft.com/office/drawing/2010/main" val="0"/>
                        </a:ext>
                      </a:extLst>
                    </a:blip>
                    <a:stretch>
                      <a:fillRect/>
                    </a:stretch>
                  </pic:blipFill>
                  <pic:spPr>
                    <a:xfrm>
                      <a:off x="0" y="0"/>
                      <a:ext cx="6116400" cy="28296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7.26. </w:t>
      </w:r>
      <w:r w:rsidRPr="00BE086B">
        <w:rPr>
          <w:sz w:val="28"/>
          <w:szCs w:val="28"/>
          <w:lang w:val="uk-UA"/>
        </w:rPr>
        <w:t>Питоме співвідношення між протонованими формами левотироксину залежно від величини рН.</w:t>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З огляду на вищеозначене </w:t>
      </w:r>
      <w:r w:rsidR="005A03BD" w:rsidRPr="00BE086B">
        <w:rPr>
          <w:sz w:val="28"/>
          <w:szCs w:val="28"/>
          <w:lang w:val="uk-UA"/>
        </w:rPr>
        <w:t xml:space="preserve">у програмі </w:t>
      </w:r>
      <w:r w:rsidR="005A03BD" w:rsidRPr="00BE086B">
        <w:rPr>
          <w:bCs/>
          <w:sz w:val="28"/>
          <w:szCs w:val="28"/>
        </w:rPr>
        <w:t>ACD</w:t>
      </w:r>
      <w:r w:rsidR="005A03BD" w:rsidRPr="00BE086B">
        <w:rPr>
          <w:bCs/>
          <w:sz w:val="28"/>
          <w:szCs w:val="28"/>
          <w:lang w:val="uk-UA"/>
        </w:rPr>
        <w:t>/</w:t>
      </w:r>
      <w:r w:rsidR="005A03BD" w:rsidRPr="00BE086B">
        <w:rPr>
          <w:bCs/>
          <w:sz w:val="28"/>
          <w:szCs w:val="28"/>
        </w:rPr>
        <w:t>pKa</w:t>
      </w:r>
      <w:r w:rsidR="005A03BD" w:rsidRPr="00BE086B">
        <w:rPr>
          <w:bCs/>
          <w:sz w:val="28"/>
          <w:szCs w:val="28"/>
          <w:lang w:val="uk-UA"/>
        </w:rPr>
        <w:t xml:space="preserve"> </w:t>
      </w:r>
      <w:r w:rsidR="005A03BD" w:rsidRPr="00BE086B">
        <w:rPr>
          <w:bCs/>
          <w:sz w:val="28"/>
          <w:szCs w:val="28"/>
        </w:rPr>
        <w:t>DB</w:t>
      </w:r>
      <w:r w:rsidR="005A03BD" w:rsidRPr="00BE086B">
        <w:rPr>
          <w:sz w:val="28"/>
          <w:szCs w:val="28"/>
          <w:lang w:val="uk-UA"/>
        </w:rPr>
        <w:t xml:space="preserve"> </w:t>
      </w:r>
      <w:r w:rsidRPr="00BE086B">
        <w:rPr>
          <w:sz w:val="28"/>
          <w:szCs w:val="28"/>
          <w:lang w:val="uk-UA"/>
        </w:rPr>
        <w:t xml:space="preserve">встановлено, що незважаючи на наявність заряду молекули величина ліпофільності, як неіонізованої (logP = 2,4), так й протонованих форм левотироксину є досить </w:t>
      </w:r>
      <w:r w:rsidRPr="00BE086B">
        <w:rPr>
          <w:sz w:val="28"/>
          <w:szCs w:val="28"/>
          <w:lang w:val="uk-UA"/>
        </w:rPr>
        <w:lastRenderedPageBreak/>
        <w:t xml:space="preserve">високою (logD~2,5), що передбачає можливість сполуки легко перетинати біологічні бар’єри. </w:t>
      </w:r>
      <w:r w:rsidR="005A03BD" w:rsidRPr="00BE086B">
        <w:rPr>
          <w:sz w:val="28"/>
          <w:szCs w:val="28"/>
          <w:lang w:val="uk-UA"/>
        </w:rPr>
        <w:t xml:space="preserve">За допомогою програми </w:t>
      </w:r>
      <w:r w:rsidR="005A03BD" w:rsidRPr="00BE086B">
        <w:rPr>
          <w:bCs/>
          <w:sz w:val="28"/>
          <w:szCs w:val="28"/>
        </w:rPr>
        <w:t>ACD</w:t>
      </w:r>
      <w:r w:rsidR="005A03BD" w:rsidRPr="00BE086B">
        <w:rPr>
          <w:bCs/>
          <w:sz w:val="28"/>
          <w:szCs w:val="28"/>
          <w:lang w:val="uk-UA"/>
        </w:rPr>
        <w:t>/</w:t>
      </w:r>
      <w:r w:rsidR="005A03BD" w:rsidRPr="00BE086B">
        <w:rPr>
          <w:bCs/>
          <w:sz w:val="28"/>
          <w:szCs w:val="28"/>
        </w:rPr>
        <w:t>pKa</w:t>
      </w:r>
      <w:r w:rsidR="005A03BD" w:rsidRPr="00BE086B">
        <w:rPr>
          <w:bCs/>
          <w:sz w:val="28"/>
          <w:szCs w:val="28"/>
          <w:lang w:val="uk-UA"/>
        </w:rPr>
        <w:t xml:space="preserve"> </w:t>
      </w:r>
      <w:r w:rsidR="005A03BD" w:rsidRPr="00BE086B">
        <w:rPr>
          <w:bCs/>
          <w:sz w:val="28"/>
          <w:szCs w:val="28"/>
        </w:rPr>
        <w:t>DB</w:t>
      </w:r>
      <w:r w:rsidR="005A03BD" w:rsidRPr="00BE086B">
        <w:rPr>
          <w:sz w:val="28"/>
          <w:szCs w:val="28"/>
          <w:lang w:val="uk-UA"/>
        </w:rPr>
        <w:t xml:space="preserve"> в</w:t>
      </w:r>
      <w:r w:rsidRPr="00BE086B">
        <w:rPr>
          <w:sz w:val="28"/>
          <w:szCs w:val="28"/>
          <w:lang w:val="uk-UA"/>
        </w:rPr>
        <w:t>изначено, що причиною відносно високої ліпофільності сполуки є наявність ароматичної системи та великих за розміром атомів йоду у молекулі левотироксину.</w:t>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b/>
          <w:kern w:val="2"/>
          <w:sz w:val="28"/>
          <w:szCs w:val="28"/>
          <w:lang w:val="uk-UA"/>
        </w:rPr>
      </w:pPr>
      <w:r w:rsidRPr="00BE086B">
        <w:rPr>
          <w:b/>
          <w:bCs/>
          <w:sz w:val="28"/>
          <w:szCs w:val="28"/>
          <w:lang w:val="uk-UA"/>
        </w:rPr>
        <w:t xml:space="preserve">7.3.3. </w:t>
      </w:r>
      <w:r w:rsidRPr="00BE086B">
        <w:rPr>
          <w:b/>
          <w:sz w:val="28"/>
          <w:szCs w:val="28"/>
          <w:lang w:val="uk-UA"/>
        </w:rPr>
        <w:t>Дослідження фізико-хімічних властивостей диклофенаку натрія</w:t>
      </w:r>
    </w:p>
    <w:p w:rsidR="00215BF6" w:rsidRPr="00BE086B" w:rsidRDefault="00215BF6" w:rsidP="009D0803">
      <w:pPr>
        <w:spacing w:line="360" w:lineRule="auto"/>
        <w:ind w:firstLine="709"/>
        <w:jc w:val="both"/>
        <w:rPr>
          <w:b/>
          <w:bCs/>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Аналіз </w:t>
      </w:r>
      <w:r w:rsidR="005A03BD" w:rsidRPr="00BE086B">
        <w:rPr>
          <w:sz w:val="28"/>
          <w:szCs w:val="28"/>
          <w:lang w:val="uk-UA"/>
        </w:rPr>
        <w:t xml:space="preserve">у програмі </w:t>
      </w:r>
      <w:r w:rsidR="005A03BD" w:rsidRPr="00BE086B">
        <w:rPr>
          <w:bCs/>
          <w:sz w:val="28"/>
          <w:szCs w:val="28"/>
        </w:rPr>
        <w:t>ACD</w:t>
      </w:r>
      <w:r w:rsidR="005A03BD" w:rsidRPr="00BE086B">
        <w:rPr>
          <w:bCs/>
          <w:sz w:val="28"/>
          <w:szCs w:val="28"/>
          <w:lang w:val="uk-UA"/>
        </w:rPr>
        <w:t>/</w:t>
      </w:r>
      <w:r w:rsidR="005A03BD" w:rsidRPr="00BE086B">
        <w:rPr>
          <w:bCs/>
          <w:sz w:val="28"/>
          <w:szCs w:val="28"/>
        </w:rPr>
        <w:t>pKa</w:t>
      </w:r>
      <w:r w:rsidR="005A03BD" w:rsidRPr="00BE086B">
        <w:rPr>
          <w:bCs/>
          <w:sz w:val="28"/>
          <w:szCs w:val="28"/>
          <w:lang w:val="uk-UA"/>
        </w:rPr>
        <w:t xml:space="preserve"> </w:t>
      </w:r>
      <w:r w:rsidR="005A03BD" w:rsidRPr="00BE086B">
        <w:rPr>
          <w:bCs/>
          <w:sz w:val="28"/>
          <w:szCs w:val="28"/>
        </w:rPr>
        <w:t>DB</w:t>
      </w:r>
      <w:r w:rsidR="005A03BD" w:rsidRPr="00BE086B">
        <w:rPr>
          <w:sz w:val="28"/>
          <w:szCs w:val="28"/>
          <w:lang w:val="uk-UA"/>
        </w:rPr>
        <w:t xml:space="preserve"> </w:t>
      </w:r>
      <w:r w:rsidRPr="00BE086B">
        <w:rPr>
          <w:sz w:val="28"/>
          <w:szCs w:val="28"/>
          <w:lang w:val="uk-UA"/>
        </w:rPr>
        <w:t>показав, що диклофенак натрію за своєю будовою є біфункціональною сполукою, що містить у своїй структурі вторинну аміногрупу та карбоксильну групу у вигляді її солі з іоном натрію (рис. 7.27).</w:t>
      </w:r>
    </w:p>
    <w:p w:rsidR="00215BF6" w:rsidRPr="00BE086B" w:rsidRDefault="00215BF6" w:rsidP="009D0803">
      <w:pPr>
        <w:spacing w:line="360" w:lineRule="auto"/>
        <w:ind w:firstLine="709"/>
        <w:jc w:val="both"/>
        <w:rPr>
          <w:sz w:val="28"/>
          <w:szCs w:val="28"/>
          <w:lang w:val="uk-UA"/>
        </w:rPr>
      </w:pPr>
    </w:p>
    <w:p w:rsidR="00215BF6" w:rsidRPr="00BE086B" w:rsidRDefault="00EA7C1D" w:rsidP="005A03BD">
      <w:pPr>
        <w:spacing w:line="360" w:lineRule="auto"/>
        <w:ind w:firstLine="709"/>
        <w:jc w:val="center"/>
        <w:rPr>
          <w:b/>
          <w:bCs/>
          <w:sz w:val="28"/>
          <w:szCs w:val="28"/>
          <w:lang w:val="uk-UA"/>
        </w:rPr>
      </w:pPr>
      <w:r>
        <w:rPr>
          <w:b/>
          <w:bCs/>
          <w:noProof/>
          <w:sz w:val="28"/>
          <w:szCs w:val="28"/>
          <w:lang w:eastAsia="ru-RU"/>
        </w:rPr>
        <w:drawing>
          <wp:inline distT="0" distB="0" distL="0" distR="0">
            <wp:extent cx="2131200" cy="1245600"/>
            <wp:effectExtent l="0" t="0" r="254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7.27.jpg"/>
                    <pic:cNvPicPr/>
                  </pic:nvPicPr>
                  <pic:blipFill>
                    <a:blip r:embed="rId81">
                      <a:extLst>
                        <a:ext uri="{28A0092B-C50C-407E-A947-70E740481C1C}">
                          <a14:useLocalDpi xmlns:a14="http://schemas.microsoft.com/office/drawing/2010/main" val="0"/>
                        </a:ext>
                      </a:extLst>
                    </a:blip>
                    <a:stretch>
                      <a:fillRect/>
                    </a:stretch>
                  </pic:blipFill>
                  <pic:spPr>
                    <a:xfrm>
                      <a:off x="0" y="0"/>
                      <a:ext cx="2131200" cy="12456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7.27. </w:t>
      </w:r>
      <w:r w:rsidRPr="00BE086B">
        <w:rPr>
          <w:sz w:val="28"/>
          <w:szCs w:val="28"/>
          <w:lang w:val="uk-UA"/>
        </w:rPr>
        <w:t>Хімічна будова диклофенаку натрію.</w:t>
      </w:r>
    </w:p>
    <w:p w:rsidR="00215BF6" w:rsidRPr="00BE086B" w:rsidRDefault="00215BF6" w:rsidP="009D0803">
      <w:pPr>
        <w:spacing w:line="360" w:lineRule="auto"/>
        <w:ind w:firstLine="709"/>
        <w:jc w:val="both"/>
        <w:rPr>
          <w:sz w:val="28"/>
          <w:szCs w:val="28"/>
          <w:lang w:val="uk-UA"/>
        </w:rPr>
      </w:pPr>
    </w:p>
    <w:p w:rsidR="00215BF6" w:rsidRPr="00BE086B" w:rsidRDefault="005A03BD"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становлено, що хімічні властивості диклофенаку натрію можуть бути обумовлені, перш за все, властивостями цих реакційних центрів.</w:t>
      </w: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Подальшим дослідженням </w:t>
      </w:r>
      <w:r w:rsidR="005A03BD" w:rsidRPr="00BE086B">
        <w:rPr>
          <w:sz w:val="28"/>
          <w:szCs w:val="28"/>
          <w:lang w:val="uk-UA"/>
        </w:rPr>
        <w:t xml:space="preserve">у програмі </w:t>
      </w:r>
      <w:r w:rsidR="005A03BD" w:rsidRPr="00BE086B">
        <w:rPr>
          <w:bCs/>
          <w:sz w:val="28"/>
          <w:szCs w:val="28"/>
        </w:rPr>
        <w:t>ACD</w:t>
      </w:r>
      <w:r w:rsidR="005A03BD" w:rsidRPr="00BE086B">
        <w:rPr>
          <w:bCs/>
          <w:sz w:val="28"/>
          <w:szCs w:val="28"/>
          <w:lang w:val="uk-UA"/>
        </w:rPr>
        <w:t>/</w:t>
      </w:r>
      <w:r w:rsidR="005A03BD" w:rsidRPr="00BE086B">
        <w:rPr>
          <w:bCs/>
          <w:sz w:val="28"/>
          <w:szCs w:val="28"/>
        </w:rPr>
        <w:t>pKa</w:t>
      </w:r>
      <w:r w:rsidR="005A03BD" w:rsidRPr="00BE086B">
        <w:rPr>
          <w:bCs/>
          <w:sz w:val="28"/>
          <w:szCs w:val="28"/>
          <w:lang w:val="uk-UA"/>
        </w:rPr>
        <w:t xml:space="preserve"> </w:t>
      </w:r>
      <w:r w:rsidR="005A03BD" w:rsidRPr="00BE086B">
        <w:rPr>
          <w:bCs/>
          <w:sz w:val="28"/>
          <w:szCs w:val="28"/>
        </w:rPr>
        <w:t>DB</w:t>
      </w:r>
      <w:r w:rsidR="005A03BD" w:rsidRPr="00BE086B">
        <w:rPr>
          <w:sz w:val="28"/>
          <w:szCs w:val="28"/>
          <w:lang w:val="uk-UA"/>
        </w:rPr>
        <w:t xml:space="preserve"> </w:t>
      </w:r>
      <w:r w:rsidRPr="00BE086B">
        <w:rPr>
          <w:sz w:val="28"/>
          <w:szCs w:val="28"/>
          <w:lang w:val="uk-UA"/>
        </w:rPr>
        <w:t>визначені активні групи диклофенаку натрія та вивчені можливі хімічні реакції. Так, аналіз показав, що до реакцій карбоксильної групи відноситься реакція декарбоксилювання, яка є основним шляхом перетворення молекули диклофенаку натрію (рис. 7.28).</w:t>
      </w:r>
    </w:p>
    <w:p w:rsidR="00215BF6" w:rsidRPr="00BE086B" w:rsidRDefault="00215BF6" w:rsidP="009D0803">
      <w:pPr>
        <w:spacing w:line="360" w:lineRule="auto"/>
        <w:ind w:firstLine="709"/>
        <w:jc w:val="both"/>
        <w:rPr>
          <w:sz w:val="28"/>
          <w:szCs w:val="28"/>
          <w:lang w:val="uk-UA"/>
        </w:rPr>
      </w:pPr>
    </w:p>
    <w:p w:rsidR="00215BF6" w:rsidRPr="00BE086B" w:rsidRDefault="00EA7C1D" w:rsidP="00885EA5">
      <w:pPr>
        <w:spacing w:line="360" w:lineRule="auto"/>
        <w:ind w:firstLine="709"/>
        <w:jc w:val="center"/>
        <w:rPr>
          <w:b/>
          <w:bCs/>
          <w:sz w:val="28"/>
          <w:szCs w:val="28"/>
          <w:lang w:val="uk-UA"/>
        </w:rPr>
      </w:pPr>
      <w:r>
        <w:rPr>
          <w:b/>
          <w:bCs/>
          <w:noProof/>
          <w:sz w:val="28"/>
          <w:szCs w:val="28"/>
          <w:lang w:eastAsia="ru-RU"/>
        </w:rPr>
        <w:lastRenderedPageBreak/>
        <w:drawing>
          <wp:inline distT="0" distB="0" distL="0" distR="0">
            <wp:extent cx="5252400" cy="1303200"/>
            <wp:effectExtent l="0" t="0" r="571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7.28.jpg"/>
                    <pic:cNvPicPr/>
                  </pic:nvPicPr>
                  <pic:blipFill>
                    <a:blip r:embed="rId82">
                      <a:extLst>
                        <a:ext uri="{28A0092B-C50C-407E-A947-70E740481C1C}">
                          <a14:useLocalDpi xmlns:a14="http://schemas.microsoft.com/office/drawing/2010/main" val="0"/>
                        </a:ext>
                      </a:extLst>
                    </a:blip>
                    <a:stretch>
                      <a:fillRect/>
                    </a:stretch>
                  </pic:blipFill>
                  <pic:spPr>
                    <a:xfrm>
                      <a:off x="0" y="0"/>
                      <a:ext cx="5252400" cy="13032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7.28. </w:t>
      </w:r>
      <w:r w:rsidRPr="00BE086B">
        <w:rPr>
          <w:sz w:val="28"/>
          <w:szCs w:val="28"/>
          <w:lang w:val="uk-UA"/>
        </w:rPr>
        <w:t>Шляхи перетворення молекули диклофенаку натрію.</w:t>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Проте, </w:t>
      </w:r>
      <w:r w:rsidR="005A03BD" w:rsidRPr="00BE086B">
        <w:rPr>
          <w:sz w:val="28"/>
          <w:szCs w:val="28"/>
          <w:lang w:val="uk-UA"/>
        </w:rPr>
        <w:t xml:space="preserve">як показали дослідження у програмі </w:t>
      </w:r>
      <w:r w:rsidR="005A03BD" w:rsidRPr="00BE086B">
        <w:rPr>
          <w:bCs/>
          <w:sz w:val="28"/>
          <w:szCs w:val="28"/>
        </w:rPr>
        <w:t>ACD</w:t>
      </w:r>
      <w:r w:rsidR="005A03BD" w:rsidRPr="00BE086B">
        <w:rPr>
          <w:bCs/>
          <w:sz w:val="28"/>
          <w:szCs w:val="28"/>
          <w:lang w:val="uk-UA"/>
        </w:rPr>
        <w:t>/</w:t>
      </w:r>
      <w:r w:rsidR="005A03BD" w:rsidRPr="00BE086B">
        <w:rPr>
          <w:bCs/>
          <w:sz w:val="28"/>
          <w:szCs w:val="28"/>
        </w:rPr>
        <w:t>pKa</w:t>
      </w:r>
      <w:r w:rsidR="005A03BD" w:rsidRPr="00BE086B">
        <w:rPr>
          <w:bCs/>
          <w:sz w:val="28"/>
          <w:szCs w:val="28"/>
          <w:lang w:val="uk-UA"/>
        </w:rPr>
        <w:t xml:space="preserve"> </w:t>
      </w:r>
      <w:r w:rsidR="005A03BD" w:rsidRPr="00BE086B">
        <w:rPr>
          <w:bCs/>
          <w:sz w:val="28"/>
          <w:szCs w:val="28"/>
        </w:rPr>
        <w:t>DB</w:t>
      </w:r>
      <w:r w:rsidR="005A03BD" w:rsidRPr="00BE086B">
        <w:rPr>
          <w:sz w:val="28"/>
          <w:szCs w:val="28"/>
          <w:lang w:val="uk-UA"/>
        </w:rPr>
        <w:t xml:space="preserve"> </w:t>
      </w:r>
      <w:r w:rsidRPr="00BE086B">
        <w:rPr>
          <w:sz w:val="28"/>
          <w:szCs w:val="28"/>
          <w:lang w:val="uk-UA"/>
        </w:rPr>
        <w:t>слід зазначити що зазвичай дана реакція має місце при високих температурах у присутності луг, або відбувається в організмі під впливом специфічних каталізаторів - ензимів (декарбоксилази). Однак механізм декарбоксилювання під впливом ензимів передбачає утворення проміжного комплексу, що можливе лише при наявності аміно- або кетонної групи у α положенні до карбоксильної групи, тому така реакція в умовах організму не очікується.</w:t>
      </w:r>
    </w:p>
    <w:p w:rsidR="00215BF6" w:rsidRPr="00BE086B" w:rsidRDefault="005A03BD"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изначено, що як сіль карбонової кислоти диклофенак натрію може вступати у взаємодію з сильними кислотами з утворенням 2-[(2,6-діхлорфеніл)-аміно]феніл оцтової кислоти (рис. 7.29).</w:t>
      </w:r>
    </w:p>
    <w:p w:rsidR="00215BF6" w:rsidRPr="00BE086B" w:rsidRDefault="00215BF6" w:rsidP="009D0803">
      <w:pPr>
        <w:spacing w:line="360" w:lineRule="auto"/>
        <w:ind w:firstLine="709"/>
        <w:jc w:val="both"/>
        <w:rPr>
          <w:sz w:val="28"/>
          <w:szCs w:val="28"/>
          <w:lang w:val="uk-UA"/>
        </w:rPr>
      </w:pPr>
    </w:p>
    <w:p w:rsidR="00215BF6" w:rsidRPr="00BE086B" w:rsidRDefault="00EA7C1D" w:rsidP="00885EA5">
      <w:pPr>
        <w:spacing w:line="360" w:lineRule="auto"/>
        <w:ind w:firstLine="709"/>
        <w:jc w:val="center"/>
        <w:rPr>
          <w:b/>
          <w:bCs/>
          <w:sz w:val="28"/>
          <w:szCs w:val="28"/>
          <w:lang w:val="uk-UA"/>
        </w:rPr>
      </w:pPr>
      <w:r>
        <w:rPr>
          <w:b/>
          <w:bCs/>
          <w:noProof/>
          <w:sz w:val="28"/>
          <w:szCs w:val="28"/>
          <w:lang w:eastAsia="ru-RU"/>
        </w:rPr>
        <w:drawing>
          <wp:inline distT="0" distB="0" distL="0" distR="0">
            <wp:extent cx="5104800" cy="1314000"/>
            <wp:effectExtent l="0" t="0" r="635" b="63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7.29.jpg"/>
                    <pic:cNvPicPr/>
                  </pic:nvPicPr>
                  <pic:blipFill>
                    <a:blip r:embed="rId83">
                      <a:extLst>
                        <a:ext uri="{28A0092B-C50C-407E-A947-70E740481C1C}">
                          <a14:useLocalDpi xmlns:a14="http://schemas.microsoft.com/office/drawing/2010/main" val="0"/>
                        </a:ext>
                      </a:extLst>
                    </a:blip>
                    <a:stretch>
                      <a:fillRect/>
                    </a:stretch>
                  </pic:blipFill>
                  <pic:spPr>
                    <a:xfrm>
                      <a:off x="0" y="0"/>
                      <a:ext cx="5104800" cy="13140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7.29. </w:t>
      </w:r>
      <w:r w:rsidRPr="00BE086B">
        <w:rPr>
          <w:sz w:val="28"/>
          <w:szCs w:val="28"/>
          <w:lang w:val="uk-UA"/>
        </w:rPr>
        <w:t>Взаємодія диклофенаку натрію з сильними кислотами.</w:t>
      </w:r>
    </w:p>
    <w:p w:rsidR="00215BF6" w:rsidRPr="00BE086B" w:rsidRDefault="00215BF6" w:rsidP="009D0803">
      <w:pPr>
        <w:spacing w:line="360" w:lineRule="auto"/>
        <w:ind w:firstLine="709"/>
        <w:jc w:val="both"/>
        <w:rPr>
          <w:sz w:val="28"/>
          <w:szCs w:val="28"/>
          <w:lang w:val="uk-UA"/>
        </w:rPr>
      </w:pPr>
    </w:p>
    <w:p w:rsidR="00215BF6" w:rsidRPr="00BE086B" w:rsidRDefault="005A03BD"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д</w:t>
      </w:r>
      <w:r w:rsidR="00215BF6" w:rsidRPr="00BE086B">
        <w:rPr>
          <w:sz w:val="28"/>
          <w:szCs w:val="28"/>
          <w:lang w:val="uk-UA"/>
        </w:rPr>
        <w:t>оведено, що дана реакція є варіантом кислотно-лужної рівноваги, має місце при зміні рівня рН та залежить від величини константи іонізації сполуки. Відповідно до цього кислотно-лужні властивості диклофенаку натрію будуть розглянуті нижче.</w:t>
      </w:r>
    </w:p>
    <w:p w:rsidR="00215BF6" w:rsidRPr="00BE086B" w:rsidRDefault="005A03BD" w:rsidP="009D0803">
      <w:pPr>
        <w:spacing w:line="360" w:lineRule="auto"/>
        <w:ind w:firstLine="709"/>
        <w:jc w:val="both"/>
        <w:rPr>
          <w:sz w:val="28"/>
          <w:szCs w:val="28"/>
          <w:lang w:val="uk-UA"/>
        </w:rPr>
      </w:pPr>
      <w:r w:rsidRPr="00BE086B">
        <w:rPr>
          <w:sz w:val="28"/>
          <w:szCs w:val="28"/>
          <w:lang w:val="uk-UA"/>
        </w:rPr>
        <w:lastRenderedPageBreak/>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bCs/>
          <w:sz w:val="28"/>
          <w:szCs w:val="28"/>
          <w:lang w:val="uk-UA"/>
        </w:rPr>
        <w:t xml:space="preserve">изначено, що до реакцій аміногрупи </w:t>
      </w:r>
      <w:r w:rsidR="00215BF6" w:rsidRPr="00BE086B">
        <w:rPr>
          <w:sz w:val="28"/>
          <w:szCs w:val="28"/>
          <w:lang w:val="uk-UA"/>
        </w:rPr>
        <w:t>диклофенаку натрію</w:t>
      </w:r>
      <w:r w:rsidR="00215BF6" w:rsidRPr="00BE086B">
        <w:rPr>
          <w:bCs/>
          <w:sz w:val="28"/>
          <w:szCs w:val="28"/>
          <w:lang w:val="uk-UA"/>
        </w:rPr>
        <w:t xml:space="preserve"> відноситься реакція а</w:t>
      </w:r>
      <w:r w:rsidR="00215BF6" w:rsidRPr="00BE086B">
        <w:rPr>
          <w:sz w:val="28"/>
          <w:szCs w:val="28"/>
          <w:lang w:val="uk-UA"/>
        </w:rPr>
        <w:t>цилювання, а наявність карбоксильної групи, що розташовується поряд із вторинною аміногрупою, може призводити до утворення циклічного аміду (рис. 7.30).</w:t>
      </w:r>
    </w:p>
    <w:p w:rsidR="00215BF6" w:rsidRPr="00BE086B" w:rsidRDefault="00215BF6" w:rsidP="009D0803">
      <w:pPr>
        <w:spacing w:line="360" w:lineRule="auto"/>
        <w:ind w:firstLine="709"/>
        <w:jc w:val="both"/>
        <w:rPr>
          <w:sz w:val="28"/>
          <w:szCs w:val="28"/>
          <w:lang w:val="uk-UA"/>
        </w:rPr>
      </w:pPr>
    </w:p>
    <w:p w:rsidR="00215BF6" w:rsidRPr="00BE086B" w:rsidRDefault="00EA7C1D" w:rsidP="00885EA5">
      <w:pPr>
        <w:spacing w:line="360" w:lineRule="auto"/>
        <w:ind w:firstLine="709"/>
        <w:jc w:val="center"/>
        <w:rPr>
          <w:b/>
          <w:bCs/>
          <w:sz w:val="28"/>
          <w:szCs w:val="28"/>
          <w:lang w:val="uk-UA"/>
        </w:rPr>
      </w:pPr>
      <w:r>
        <w:rPr>
          <w:b/>
          <w:bCs/>
          <w:noProof/>
          <w:sz w:val="28"/>
          <w:szCs w:val="28"/>
          <w:lang w:eastAsia="ru-RU"/>
        </w:rPr>
        <w:drawing>
          <wp:inline distT="0" distB="0" distL="0" distR="0">
            <wp:extent cx="4888800" cy="1267200"/>
            <wp:effectExtent l="0" t="0" r="762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7.30.jpg"/>
                    <pic:cNvPicPr/>
                  </pic:nvPicPr>
                  <pic:blipFill>
                    <a:blip r:embed="rId84">
                      <a:extLst>
                        <a:ext uri="{28A0092B-C50C-407E-A947-70E740481C1C}">
                          <a14:useLocalDpi xmlns:a14="http://schemas.microsoft.com/office/drawing/2010/main" val="0"/>
                        </a:ext>
                      </a:extLst>
                    </a:blip>
                    <a:stretch>
                      <a:fillRect/>
                    </a:stretch>
                  </pic:blipFill>
                  <pic:spPr>
                    <a:xfrm>
                      <a:off x="0" y="0"/>
                      <a:ext cx="4888800" cy="12672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7.30. </w:t>
      </w:r>
      <w:r w:rsidRPr="00BE086B">
        <w:rPr>
          <w:sz w:val="28"/>
          <w:szCs w:val="28"/>
          <w:lang w:val="uk-UA"/>
        </w:rPr>
        <w:t>Утворення циклічного аміду диклофенаком натрію.</w:t>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sz w:val="28"/>
          <w:szCs w:val="28"/>
          <w:lang w:val="uk-UA"/>
        </w:rPr>
      </w:pPr>
      <w:r w:rsidRPr="00BE086B">
        <w:rPr>
          <w:bCs/>
          <w:sz w:val="28"/>
          <w:szCs w:val="28"/>
          <w:lang w:val="uk-UA"/>
        </w:rPr>
        <w:t xml:space="preserve">Подальший аналіз </w:t>
      </w:r>
      <w:r w:rsidR="005A03BD" w:rsidRPr="00BE086B">
        <w:rPr>
          <w:sz w:val="28"/>
          <w:szCs w:val="28"/>
          <w:lang w:val="uk-UA"/>
        </w:rPr>
        <w:t xml:space="preserve">у програмі </w:t>
      </w:r>
      <w:r w:rsidR="005A03BD" w:rsidRPr="00BE086B">
        <w:rPr>
          <w:bCs/>
          <w:sz w:val="28"/>
          <w:szCs w:val="28"/>
        </w:rPr>
        <w:t>ACD</w:t>
      </w:r>
      <w:r w:rsidR="005A03BD" w:rsidRPr="00BE086B">
        <w:rPr>
          <w:bCs/>
          <w:sz w:val="28"/>
          <w:szCs w:val="28"/>
          <w:lang w:val="uk-UA"/>
        </w:rPr>
        <w:t>/</w:t>
      </w:r>
      <w:r w:rsidR="005A03BD" w:rsidRPr="00BE086B">
        <w:rPr>
          <w:bCs/>
          <w:sz w:val="28"/>
          <w:szCs w:val="28"/>
        </w:rPr>
        <w:t>pKa</w:t>
      </w:r>
      <w:r w:rsidR="005A03BD" w:rsidRPr="00BE086B">
        <w:rPr>
          <w:bCs/>
          <w:sz w:val="28"/>
          <w:szCs w:val="28"/>
          <w:lang w:val="uk-UA"/>
        </w:rPr>
        <w:t xml:space="preserve"> </w:t>
      </w:r>
      <w:r w:rsidR="005A03BD" w:rsidRPr="00BE086B">
        <w:rPr>
          <w:bCs/>
          <w:sz w:val="28"/>
          <w:szCs w:val="28"/>
        </w:rPr>
        <w:t>DB</w:t>
      </w:r>
      <w:r w:rsidR="005A03BD" w:rsidRPr="00BE086B">
        <w:rPr>
          <w:sz w:val="28"/>
          <w:szCs w:val="28"/>
          <w:lang w:val="uk-UA"/>
        </w:rPr>
        <w:t xml:space="preserve"> </w:t>
      </w:r>
      <w:r w:rsidRPr="00BE086B">
        <w:rPr>
          <w:bCs/>
          <w:sz w:val="28"/>
          <w:szCs w:val="28"/>
          <w:lang w:val="uk-UA"/>
        </w:rPr>
        <w:t xml:space="preserve">встановив, що до реакцій аміногрупи </w:t>
      </w:r>
      <w:r w:rsidRPr="00BE086B">
        <w:rPr>
          <w:sz w:val="28"/>
          <w:szCs w:val="28"/>
          <w:lang w:val="uk-UA"/>
        </w:rPr>
        <w:t>диклофенаку натрію</w:t>
      </w:r>
      <w:r w:rsidRPr="00BE086B">
        <w:rPr>
          <w:bCs/>
          <w:sz w:val="28"/>
          <w:szCs w:val="28"/>
          <w:lang w:val="uk-UA"/>
        </w:rPr>
        <w:t xml:space="preserve"> відноситься також реакція о</w:t>
      </w:r>
      <w:r w:rsidRPr="00BE086B">
        <w:rPr>
          <w:sz w:val="28"/>
          <w:szCs w:val="28"/>
          <w:lang w:val="uk-UA"/>
        </w:rPr>
        <w:t>кислення. Визначено, що вторинна аміногрупа диклофенаку натрію може піддаватись окисленню (кисень повітря, перекисни сполуки, наприклад перекис водню) з утворенням відповідного гідроксиламіну (рис. 7.31).</w:t>
      </w:r>
    </w:p>
    <w:p w:rsidR="00215BF6" w:rsidRPr="00BE086B" w:rsidRDefault="00215BF6" w:rsidP="009D0803">
      <w:pPr>
        <w:spacing w:line="360" w:lineRule="auto"/>
        <w:ind w:firstLine="709"/>
        <w:jc w:val="both"/>
        <w:rPr>
          <w:sz w:val="28"/>
          <w:szCs w:val="28"/>
          <w:lang w:val="uk-UA"/>
        </w:rPr>
      </w:pPr>
    </w:p>
    <w:p w:rsidR="00215BF6" w:rsidRPr="00BE086B" w:rsidRDefault="00EA7C1D" w:rsidP="00885EA5">
      <w:pPr>
        <w:spacing w:line="360" w:lineRule="auto"/>
        <w:ind w:firstLine="709"/>
        <w:jc w:val="center"/>
        <w:rPr>
          <w:b/>
          <w:bCs/>
          <w:sz w:val="28"/>
          <w:szCs w:val="28"/>
          <w:lang w:val="uk-UA"/>
        </w:rPr>
      </w:pPr>
      <w:r>
        <w:rPr>
          <w:b/>
          <w:bCs/>
          <w:noProof/>
          <w:sz w:val="28"/>
          <w:szCs w:val="28"/>
          <w:lang w:eastAsia="ru-RU"/>
        </w:rPr>
        <w:drawing>
          <wp:inline distT="0" distB="0" distL="0" distR="0">
            <wp:extent cx="5018400" cy="1278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7.31.jpg"/>
                    <pic:cNvPicPr/>
                  </pic:nvPicPr>
                  <pic:blipFill>
                    <a:blip r:embed="rId85">
                      <a:extLst>
                        <a:ext uri="{28A0092B-C50C-407E-A947-70E740481C1C}">
                          <a14:useLocalDpi xmlns:a14="http://schemas.microsoft.com/office/drawing/2010/main" val="0"/>
                        </a:ext>
                      </a:extLst>
                    </a:blip>
                    <a:stretch>
                      <a:fillRect/>
                    </a:stretch>
                  </pic:blipFill>
                  <pic:spPr>
                    <a:xfrm>
                      <a:off x="0" y="0"/>
                      <a:ext cx="5018400" cy="1278000"/>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7.31. </w:t>
      </w:r>
      <w:r w:rsidRPr="00BE086B">
        <w:rPr>
          <w:sz w:val="28"/>
          <w:szCs w:val="28"/>
          <w:lang w:val="uk-UA"/>
        </w:rPr>
        <w:t>Взаємодія диклофенаку натрію при окислені.</w:t>
      </w:r>
    </w:p>
    <w:p w:rsidR="00215BF6" w:rsidRPr="00BE086B" w:rsidRDefault="00215BF6" w:rsidP="009D0803">
      <w:pPr>
        <w:spacing w:line="360" w:lineRule="auto"/>
        <w:ind w:firstLine="709"/>
        <w:jc w:val="both"/>
        <w:rPr>
          <w:b/>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Аналіз </w:t>
      </w:r>
      <w:r w:rsidR="005A03BD" w:rsidRPr="00BE086B">
        <w:rPr>
          <w:sz w:val="28"/>
          <w:szCs w:val="28"/>
          <w:lang w:val="uk-UA"/>
        </w:rPr>
        <w:t xml:space="preserve">у програмі </w:t>
      </w:r>
      <w:r w:rsidR="005A03BD" w:rsidRPr="00BE086B">
        <w:rPr>
          <w:bCs/>
          <w:sz w:val="28"/>
          <w:szCs w:val="28"/>
        </w:rPr>
        <w:t>ACD</w:t>
      </w:r>
      <w:r w:rsidR="005A03BD" w:rsidRPr="00BE086B">
        <w:rPr>
          <w:bCs/>
          <w:sz w:val="28"/>
          <w:szCs w:val="28"/>
          <w:lang w:val="uk-UA"/>
        </w:rPr>
        <w:t>/</w:t>
      </w:r>
      <w:r w:rsidR="005A03BD" w:rsidRPr="00BE086B">
        <w:rPr>
          <w:bCs/>
          <w:sz w:val="28"/>
          <w:szCs w:val="28"/>
        </w:rPr>
        <w:t>pKa</w:t>
      </w:r>
      <w:r w:rsidR="005A03BD" w:rsidRPr="00BE086B">
        <w:rPr>
          <w:bCs/>
          <w:sz w:val="28"/>
          <w:szCs w:val="28"/>
          <w:lang w:val="uk-UA"/>
        </w:rPr>
        <w:t xml:space="preserve"> </w:t>
      </w:r>
      <w:r w:rsidR="005A03BD" w:rsidRPr="00BE086B">
        <w:rPr>
          <w:bCs/>
          <w:sz w:val="28"/>
          <w:szCs w:val="28"/>
        </w:rPr>
        <w:t>DB</w:t>
      </w:r>
      <w:r w:rsidR="005A03BD" w:rsidRPr="00BE086B">
        <w:rPr>
          <w:sz w:val="28"/>
          <w:szCs w:val="28"/>
          <w:lang w:val="uk-UA"/>
        </w:rPr>
        <w:t xml:space="preserve"> </w:t>
      </w:r>
      <w:r w:rsidRPr="00BE086B">
        <w:rPr>
          <w:sz w:val="28"/>
          <w:szCs w:val="28"/>
          <w:lang w:val="uk-UA"/>
        </w:rPr>
        <w:t>показав, що молекула диклофенаку натрію містить іонізовану карбоксильну групу та у водному середовищі може існувати у двох протолітичних формах (рис. 7.32).</w:t>
      </w:r>
    </w:p>
    <w:p w:rsidR="00215BF6" w:rsidRPr="00BE086B" w:rsidRDefault="007824F2" w:rsidP="009D0803">
      <w:pPr>
        <w:spacing w:line="360" w:lineRule="auto"/>
        <w:ind w:firstLine="709"/>
        <w:jc w:val="both"/>
        <w:rPr>
          <w:sz w:val="28"/>
          <w:szCs w:val="28"/>
          <w:lang w:val="uk-UA"/>
        </w:rPr>
      </w:pPr>
      <w:r>
        <w:rPr>
          <w:noProof/>
          <w:sz w:val="28"/>
          <w:szCs w:val="28"/>
          <w:lang w:eastAsia="ru-RU"/>
        </w:rPr>
        <w:lastRenderedPageBreak/>
        <w:drawing>
          <wp:inline distT="0" distB="0" distL="0" distR="0">
            <wp:extent cx="4933950" cy="1700213"/>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32.jpg"/>
                    <pic:cNvPicPr/>
                  </pic:nvPicPr>
                  <pic:blipFill>
                    <a:blip r:embed="rId86">
                      <a:extLst>
                        <a:ext uri="{28A0092B-C50C-407E-A947-70E740481C1C}">
                          <a14:useLocalDpi xmlns:a14="http://schemas.microsoft.com/office/drawing/2010/main" val="0"/>
                        </a:ext>
                      </a:extLst>
                    </a:blip>
                    <a:stretch>
                      <a:fillRect/>
                    </a:stretch>
                  </pic:blipFill>
                  <pic:spPr>
                    <a:xfrm>
                      <a:off x="0" y="0"/>
                      <a:ext cx="4933950" cy="1700213"/>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 xml:space="preserve">Рис. 7.32. </w:t>
      </w:r>
      <w:r w:rsidRPr="00BE086B">
        <w:rPr>
          <w:sz w:val="28"/>
          <w:szCs w:val="28"/>
          <w:lang w:val="uk-UA"/>
        </w:rPr>
        <w:t>Протолітичні форми диклофенаку н</w:t>
      </w:r>
      <w:r w:rsidR="007824F2">
        <w:rPr>
          <w:sz w:val="28"/>
          <w:szCs w:val="28"/>
          <w:lang w:val="uk-UA"/>
        </w:rPr>
        <w:t>атрія у водному середовищі.</w:t>
      </w:r>
    </w:p>
    <w:p w:rsidR="00215BF6" w:rsidRPr="00BE086B" w:rsidRDefault="00215BF6" w:rsidP="009D0803">
      <w:pPr>
        <w:spacing w:line="360" w:lineRule="auto"/>
        <w:ind w:firstLine="709"/>
        <w:jc w:val="both"/>
        <w:rPr>
          <w:sz w:val="28"/>
          <w:szCs w:val="28"/>
          <w:lang w:val="uk-UA"/>
        </w:rPr>
      </w:pPr>
    </w:p>
    <w:p w:rsidR="00215BF6" w:rsidRPr="00BE086B" w:rsidRDefault="005A03BD"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 xml:space="preserve">становлено, що обидві формі у розчині знаходяться між собою у протолітичній рівновазі, а значення протолітичної константи для диклофенаку натрію складає </w:t>
      </w:r>
      <w:r w:rsidR="00215BF6" w:rsidRPr="00BE086B">
        <w:rPr>
          <w:i/>
          <w:sz w:val="28"/>
          <w:szCs w:val="28"/>
          <w:lang w:val="uk-UA"/>
        </w:rPr>
        <w:t>рК</w:t>
      </w:r>
      <w:r w:rsidR="00215BF6" w:rsidRPr="00BE086B">
        <w:rPr>
          <w:i/>
          <w:sz w:val="28"/>
          <w:szCs w:val="28"/>
          <w:vertAlign w:val="subscript"/>
          <w:lang w:val="uk-UA"/>
        </w:rPr>
        <w:t>a</w:t>
      </w:r>
      <w:r w:rsidR="00215BF6" w:rsidRPr="00BE086B">
        <w:rPr>
          <w:sz w:val="28"/>
          <w:szCs w:val="28"/>
          <w:lang w:val="uk-UA"/>
        </w:rPr>
        <w:t> = 3,8 (табл. 7.11).</w:t>
      </w:r>
    </w:p>
    <w:p w:rsidR="00215BF6" w:rsidRPr="00BE086B" w:rsidRDefault="00215BF6" w:rsidP="009D0803">
      <w:pPr>
        <w:spacing w:line="360" w:lineRule="auto"/>
        <w:ind w:firstLine="709"/>
        <w:jc w:val="right"/>
        <w:rPr>
          <w:sz w:val="28"/>
          <w:szCs w:val="28"/>
          <w:lang w:val="uk-UA"/>
        </w:rPr>
      </w:pPr>
      <w:r w:rsidRPr="00BE086B">
        <w:rPr>
          <w:i/>
          <w:iCs/>
          <w:sz w:val="28"/>
          <w:szCs w:val="28"/>
          <w:lang w:val="uk-UA"/>
        </w:rPr>
        <w:t>Таблица 7.11</w:t>
      </w:r>
    </w:p>
    <w:p w:rsidR="00215BF6" w:rsidRPr="00BE086B" w:rsidRDefault="00215BF6" w:rsidP="009D0803">
      <w:pPr>
        <w:spacing w:line="360" w:lineRule="auto"/>
        <w:ind w:firstLine="709"/>
        <w:jc w:val="center"/>
        <w:rPr>
          <w:sz w:val="28"/>
          <w:szCs w:val="28"/>
          <w:lang w:val="uk-UA"/>
        </w:rPr>
      </w:pPr>
      <w:r w:rsidRPr="00BE086B">
        <w:rPr>
          <w:b/>
          <w:bCs/>
          <w:sz w:val="28"/>
          <w:szCs w:val="28"/>
          <w:lang w:val="uk-UA"/>
        </w:rPr>
        <w:t>Фізико-хімічні параметри протолітичних форм диклофенаку натрію</w:t>
      </w:r>
    </w:p>
    <w:tbl>
      <w:tblPr>
        <w:tblW w:w="9356" w:type="dxa"/>
        <w:tblInd w:w="108" w:type="dxa"/>
        <w:tblLayout w:type="fixed"/>
        <w:tblLook w:val="0000" w:firstRow="0" w:lastRow="0" w:firstColumn="0" w:lastColumn="0" w:noHBand="0" w:noVBand="0"/>
      </w:tblPr>
      <w:tblGrid>
        <w:gridCol w:w="3402"/>
        <w:gridCol w:w="2072"/>
        <w:gridCol w:w="1782"/>
        <w:gridCol w:w="2100"/>
      </w:tblGrid>
      <w:tr w:rsidR="00215BF6" w:rsidRPr="00BE086B" w:rsidTr="00215BF6">
        <w:trPr>
          <w:cantSplit/>
        </w:trPr>
        <w:tc>
          <w:tcPr>
            <w:tcW w:w="3402" w:type="dxa"/>
            <w:tcBorders>
              <w:top w:val="single" w:sz="4" w:space="0" w:color="000000"/>
              <w:left w:val="single" w:sz="4" w:space="0" w:color="000000"/>
              <w:bottom w:val="single" w:sz="4" w:space="0" w:color="000000"/>
            </w:tcBorders>
            <w:shd w:val="clear" w:color="auto" w:fill="auto"/>
            <w:vAlign w:val="center"/>
          </w:tcPr>
          <w:p w:rsidR="00215BF6" w:rsidRPr="00BE086B" w:rsidRDefault="005A03BD" w:rsidP="005A03BD">
            <w:pPr>
              <w:snapToGrid w:val="0"/>
              <w:jc w:val="center"/>
              <w:rPr>
                <w:b/>
                <w:sz w:val="28"/>
                <w:szCs w:val="28"/>
                <w:lang w:val="uk-UA"/>
              </w:rPr>
            </w:pPr>
            <w:r w:rsidRPr="00BE086B">
              <w:rPr>
                <w:b/>
                <w:sz w:val="28"/>
                <w:szCs w:val="28"/>
                <w:lang w:val="uk-UA"/>
              </w:rPr>
              <w:t>Параметр</w:t>
            </w:r>
          </w:p>
        </w:tc>
        <w:tc>
          <w:tcPr>
            <w:tcW w:w="2072" w:type="dxa"/>
            <w:tcBorders>
              <w:top w:val="single" w:sz="4" w:space="0" w:color="000000"/>
              <w:left w:val="single" w:sz="4" w:space="0" w:color="000000"/>
              <w:bottom w:val="single" w:sz="4" w:space="0" w:color="000000"/>
            </w:tcBorders>
            <w:shd w:val="clear" w:color="auto" w:fill="auto"/>
            <w:vAlign w:val="center"/>
          </w:tcPr>
          <w:p w:rsidR="00215BF6" w:rsidRPr="00BE086B" w:rsidRDefault="005A03BD" w:rsidP="005A03BD">
            <w:pPr>
              <w:jc w:val="center"/>
              <w:rPr>
                <w:sz w:val="28"/>
                <w:szCs w:val="28"/>
                <w:lang w:val="uk-UA"/>
              </w:rPr>
            </w:pPr>
            <w:r w:rsidRPr="00BE086B">
              <w:rPr>
                <w:b/>
                <w:sz w:val="28"/>
                <w:szCs w:val="28"/>
                <w:lang w:val="uk-UA"/>
              </w:rPr>
              <w:t>Форма [</w:t>
            </w:r>
            <w:r w:rsidRPr="00BE086B">
              <w:rPr>
                <w:b/>
                <w:i/>
                <w:sz w:val="28"/>
                <w:szCs w:val="28"/>
                <w:lang w:val="uk-UA"/>
              </w:rPr>
              <w:t>BH</w:t>
            </w:r>
            <w:r w:rsidRPr="00BE086B">
              <w:rPr>
                <w:b/>
                <w:sz w:val="28"/>
                <w:szCs w:val="28"/>
                <w:lang w:val="uk-UA"/>
              </w:rPr>
              <w:t>] {1}</w:t>
            </w:r>
          </w:p>
        </w:tc>
        <w:tc>
          <w:tcPr>
            <w:tcW w:w="1782" w:type="dxa"/>
            <w:tcBorders>
              <w:top w:val="single" w:sz="4" w:space="0" w:color="000000"/>
              <w:left w:val="single" w:sz="4" w:space="0" w:color="000000"/>
              <w:bottom w:val="single" w:sz="4" w:space="0" w:color="000000"/>
            </w:tcBorders>
            <w:shd w:val="clear" w:color="auto" w:fill="auto"/>
            <w:vAlign w:val="center"/>
          </w:tcPr>
          <w:p w:rsidR="00215BF6" w:rsidRPr="00BE086B" w:rsidRDefault="005A03BD" w:rsidP="005A03BD">
            <w:pPr>
              <w:jc w:val="center"/>
              <w:rPr>
                <w:sz w:val="28"/>
                <w:szCs w:val="28"/>
                <w:lang w:val="uk-UA"/>
              </w:rPr>
            </w:pPr>
            <w:r w:rsidRPr="00BE086B">
              <w:rPr>
                <w:b/>
                <w:sz w:val="28"/>
                <w:szCs w:val="28"/>
                <w:lang w:val="uk-UA"/>
              </w:rPr>
              <w:t>Форма [</w:t>
            </w:r>
            <w:r w:rsidRPr="00BE086B">
              <w:rPr>
                <w:b/>
                <w:i/>
                <w:sz w:val="28"/>
                <w:szCs w:val="28"/>
                <w:lang w:val="uk-UA"/>
              </w:rPr>
              <w:t>B</w:t>
            </w:r>
            <w:r w:rsidRPr="00BE086B">
              <w:rPr>
                <w:b/>
                <w:sz w:val="28"/>
                <w:szCs w:val="28"/>
                <w:vertAlign w:val="superscript"/>
                <w:lang w:val="uk-UA"/>
              </w:rPr>
              <w:t>–</w:t>
            </w:r>
            <w:r w:rsidRPr="00BE086B">
              <w:rPr>
                <w:b/>
                <w:sz w:val="28"/>
                <w:szCs w:val="28"/>
                <w:lang w:val="uk-UA"/>
              </w:rPr>
              <w:t>] {2}</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5A03BD" w:rsidP="005A03BD">
            <w:pPr>
              <w:snapToGrid w:val="0"/>
              <w:jc w:val="center"/>
              <w:rPr>
                <w:b/>
                <w:sz w:val="28"/>
                <w:szCs w:val="28"/>
                <w:lang w:val="uk-UA"/>
              </w:rPr>
            </w:pPr>
            <w:r w:rsidRPr="00BE086B">
              <w:rPr>
                <w:b/>
                <w:sz w:val="28"/>
                <w:szCs w:val="28"/>
                <w:lang w:val="uk-UA"/>
              </w:rPr>
              <w:t>Примітка</w:t>
            </w:r>
          </w:p>
        </w:tc>
      </w:tr>
      <w:tr w:rsidR="00215BF6" w:rsidRPr="00BE086B" w:rsidTr="00215BF6">
        <w:trPr>
          <w:trHeight w:val="385"/>
        </w:trPr>
        <w:tc>
          <w:tcPr>
            <w:tcW w:w="340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5A03BD">
            <w:pPr>
              <w:rPr>
                <w:sz w:val="28"/>
                <w:szCs w:val="28"/>
                <w:lang w:val="uk-UA"/>
              </w:rPr>
            </w:pPr>
            <w:r w:rsidRPr="00BE086B">
              <w:rPr>
                <w:i/>
                <w:sz w:val="28"/>
                <w:szCs w:val="28"/>
                <w:lang w:val="uk-UA"/>
              </w:rPr>
              <w:t>рК</w:t>
            </w:r>
            <w:r w:rsidRPr="00BE086B">
              <w:rPr>
                <w:i/>
                <w:sz w:val="28"/>
                <w:szCs w:val="28"/>
                <w:vertAlign w:val="subscript"/>
                <w:lang w:val="uk-UA"/>
              </w:rPr>
              <w:t>a</w:t>
            </w:r>
          </w:p>
        </w:tc>
        <w:tc>
          <w:tcPr>
            <w:tcW w:w="3854" w:type="dxa"/>
            <w:gridSpan w:val="2"/>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center"/>
              <w:rPr>
                <w:sz w:val="28"/>
                <w:szCs w:val="28"/>
                <w:lang w:val="uk-UA"/>
              </w:rPr>
            </w:pPr>
            <w:r w:rsidRPr="00BE086B">
              <w:rPr>
                <w:sz w:val="28"/>
                <w:szCs w:val="28"/>
                <w:lang w:val="uk-UA"/>
              </w:rPr>
              <w:t>3,8</w:t>
            </w:r>
          </w:p>
        </w:tc>
        <w:tc>
          <w:tcPr>
            <w:tcW w:w="2100" w:type="dxa"/>
            <w:vMerge w:val="restart"/>
            <w:tcBorders>
              <w:top w:val="single" w:sz="4" w:space="0" w:color="000000"/>
              <w:left w:val="single" w:sz="4" w:space="0" w:color="000000"/>
              <w:right w:val="single" w:sz="4" w:space="0" w:color="000000"/>
            </w:tcBorders>
            <w:shd w:val="clear" w:color="auto" w:fill="auto"/>
            <w:vAlign w:val="center"/>
          </w:tcPr>
          <w:p w:rsidR="00215BF6" w:rsidRPr="00BE086B" w:rsidRDefault="00215BF6" w:rsidP="009D0803">
            <w:pPr>
              <w:jc w:val="both"/>
              <w:rPr>
                <w:sz w:val="28"/>
                <w:szCs w:val="28"/>
                <w:lang w:val="uk-UA"/>
              </w:rPr>
            </w:pPr>
            <w:r w:rsidRPr="00BE086B">
              <w:rPr>
                <w:sz w:val="28"/>
                <w:szCs w:val="28"/>
                <w:lang w:val="uk-UA"/>
              </w:rPr>
              <w:t>Розрахунок (ACD/logP)</w:t>
            </w:r>
          </w:p>
        </w:tc>
      </w:tr>
      <w:tr w:rsidR="00215BF6" w:rsidRPr="00BE086B" w:rsidTr="00215BF6">
        <w:trPr>
          <w:trHeight w:val="385"/>
        </w:trPr>
        <w:tc>
          <w:tcPr>
            <w:tcW w:w="340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5A03BD">
            <w:pPr>
              <w:rPr>
                <w:sz w:val="28"/>
                <w:szCs w:val="28"/>
                <w:lang w:val="uk-UA"/>
              </w:rPr>
            </w:pPr>
            <w:r w:rsidRPr="00BE086B">
              <w:rPr>
                <w:i/>
                <w:sz w:val="28"/>
                <w:szCs w:val="28"/>
                <w:lang w:val="uk-UA"/>
              </w:rPr>
              <w:t>LogP</w:t>
            </w:r>
          </w:p>
        </w:tc>
        <w:tc>
          <w:tcPr>
            <w:tcW w:w="207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center"/>
              <w:rPr>
                <w:sz w:val="28"/>
                <w:szCs w:val="28"/>
                <w:lang w:val="uk-UA"/>
              </w:rPr>
            </w:pPr>
            <w:r w:rsidRPr="00BE086B">
              <w:rPr>
                <w:sz w:val="28"/>
                <w:szCs w:val="28"/>
                <w:lang w:val="uk-UA"/>
              </w:rPr>
              <w:t>4,06</w:t>
            </w:r>
          </w:p>
        </w:tc>
        <w:tc>
          <w:tcPr>
            <w:tcW w:w="178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center"/>
              <w:rPr>
                <w:sz w:val="28"/>
                <w:szCs w:val="28"/>
                <w:lang w:val="uk-UA"/>
              </w:rPr>
            </w:pPr>
            <w:r w:rsidRPr="00BE086B">
              <w:rPr>
                <w:sz w:val="28"/>
                <w:szCs w:val="28"/>
                <w:lang w:val="uk-UA"/>
              </w:rPr>
              <w:t>0,31</w:t>
            </w:r>
          </w:p>
        </w:tc>
        <w:tc>
          <w:tcPr>
            <w:tcW w:w="2100" w:type="dxa"/>
            <w:vMerge/>
            <w:tcBorders>
              <w:left w:val="single" w:sz="4" w:space="0" w:color="000000"/>
              <w:bottom w:val="single" w:sz="4" w:space="0" w:color="000000"/>
              <w:right w:val="single" w:sz="4" w:space="0" w:color="000000"/>
            </w:tcBorders>
            <w:shd w:val="clear" w:color="auto" w:fill="auto"/>
            <w:vAlign w:val="center"/>
          </w:tcPr>
          <w:p w:rsidR="00215BF6" w:rsidRPr="00BE086B" w:rsidRDefault="00215BF6" w:rsidP="009D0803">
            <w:pPr>
              <w:jc w:val="both"/>
              <w:rPr>
                <w:sz w:val="28"/>
                <w:szCs w:val="28"/>
                <w:lang w:val="uk-UA"/>
              </w:rPr>
            </w:pPr>
          </w:p>
        </w:tc>
      </w:tr>
      <w:tr w:rsidR="00215BF6" w:rsidRPr="00BE086B" w:rsidTr="00215BF6">
        <w:tc>
          <w:tcPr>
            <w:tcW w:w="340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5A03BD">
            <w:pPr>
              <w:rPr>
                <w:sz w:val="28"/>
                <w:szCs w:val="28"/>
                <w:lang w:val="uk-UA"/>
              </w:rPr>
            </w:pPr>
            <w:r w:rsidRPr="00BE086B">
              <w:rPr>
                <w:sz w:val="28"/>
                <w:szCs w:val="28"/>
                <w:lang w:val="uk-UA"/>
              </w:rPr>
              <w:t>Кількість груп донорів протону</w:t>
            </w:r>
          </w:p>
        </w:tc>
        <w:tc>
          <w:tcPr>
            <w:tcW w:w="207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center"/>
              <w:rPr>
                <w:sz w:val="28"/>
                <w:szCs w:val="28"/>
                <w:lang w:val="uk-UA"/>
              </w:rPr>
            </w:pPr>
            <w:r w:rsidRPr="00BE086B">
              <w:rPr>
                <w:sz w:val="28"/>
                <w:szCs w:val="28"/>
                <w:lang w:val="uk-UA"/>
              </w:rPr>
              <w:t>2</w:t>
            </w:r>
          </w:p>
        </w:tc>
        <w:tc>
          <w:tcPr>
            <w:tcW w:w="178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center"/>
              <w:rPr>
                <w:sz w:val="28"/>
                <w:szCs w:val="28"/>
                <w:lang w:val="uk-UA"/>
              </w:rPr>
            </w:pPr>
            <w:r w:rsidRPr="00BE086B">
              <w:rPr>
                <w:sz w:val="28"/>
                <w:szCs w:val="28"/>
                <w:lang w:val="uk-UA"/>
              </w:rPr>
              <w:t>1</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F66F9B" w:rsidP="009D0803">
            <w:pPr>
              <w:jc w:val="both"/>
              <w:rPr>
                <w:sz w:val="28"/>
                <w:szCs w:val="28"/>
                <w:lang w:val="uk-UA"/>
              </w:rPr>
            </w:pPr>
            <w:r w:rsidRPr="00BE086B">
              <w:rPr>
                <w:sz w:val="28"/>
                <w:szCs w:val="28"/>
                <w:lang w:val="uk-UA"/>
              </w:rPr>
              <w:t>Розрахунок (ACD/logP)</w:t>
            </w:r>
          </w:p>
        </w:tc>
      </w:tr>
      <w:tr w:rsidR="00215BF6" w:rsidRPr="00BE086B" w:rsidTr="00215BF6">
        <w:tc>
          <w:tcPr>
            <w:tcW w:w="340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5A03BD">
            <w:pPr>
              <w:rPr>
                <w:sz w:val="28"/>
                <w:szCs w:val="28"/>
                <w:lang w:val="uk-UA"/>
              </w:rPr>
            </w:pPr>
            <w:r w:rsidRPr="00BE086B">
              <w:rPr>
                <w:sz w:val="28"/>
                <w:szCs w:val="28"/>
                <w:lang w:val="uk-UA"/>
              </w:rPr>
              <w:t>Кількість груп акцепторів протону</w:t>
            </w:r>
          </w:p>
        </w:tc>
        <w:tc>
          <w:tcPr>
            <w:tcW w:w="207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center"/>
              <w:rPr>
                <w:sz w:val="28"/>
                <w:szCs w:val="28"/>
                <w:lang w:val="uk-UA"/>
              </w:rPr>
            </w:pPr>
            <w:r w:rsidRPr="00BE086B">
              <w:rPr>
                <w:sz w:val="28"/>
                <w:szCs w:val="28"/>
                <w:lang w:val="uk-UA"/>
              </w:rPr>
              <w:t>3</w:t>
            </w:r>
          </w:p>
        </w:tc>
        <w:tc>
          <w:tcPr>
            <w:tcW w:w="178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center"/>
              <w:rPr>
                <w:sz w:val="28"/>
                <w:szCs w:val="28"/>
                <w:lang w:val="uk-UA"/>
              </w:rPr>
            </w:pPr>
            <w:r w:rsidRPr="00BE086B">
              <w:rPr>
                <w:sz w:val="28"/>
                <w:szCs w:val="28"/>
                <w:lang w:val="uk-UA"/>
              </w:rPr>
              <w:t>4</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F66F9B" w:rsidP="009D0803">
            <w:pPr>
              <w:jc w:val="both"/>
              <w:rPr>
                <w:sz w:val="28"/>
                <w:szCs w:val="28"/>
                <w:lang w:val="uk-UA"/>
              </w:rPr>
            </w:pPr>
            <w:r w:rsidRPr="00BE086B">
              <w:rPr>
                <w:sz w:val="28"/>
                <w:szCs w:val="28"/>
                <w:lang w:val="uk-UA"/>
              </w:rPr>
              <w:t>Розрахунок (ACD/logP)</w:t>
            </w:r>
          </w:p>
        </w:tc>
      </w:tr>
      <w:tr w:rsidR="00215BF6" w:rsidRPr="00BE086B" w:rsidTr="00215BF6">
        <w:trPr>
          <w:trHeight w:val="420"/>
        </w:trPr>
        <w:tc>
          <w:tcPr>
            <w:tcW w:w="340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5A03BD">
            <w:pPr>
              <w:rPr>
                <w:sz w:val="28"/>
                <w:szCs w:val="28"/>
                <w:lang w:val="uk-UA"/>
              </w:rPr>
            </w:pPr>
            <w:r w:rsidRPr="00BE086B">
              <w:rPr>
                <w:sz w:val="28"/>
                <w:szCs w:val="28"/>
                <w:lang w:val="uk-UA"/>
              </w:rPr>
              <w:t>Розчинність, г/л (25°С)</w:t>
            </w:r>
          </w:p>
        </w:tc>
        <w:tc>
          <w:tcPr>
            <w:tcW w:w="207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snapToGrid w:val="0"/>
              <w:jc w:val="center"/>
              <w:rPr>
                <w:sz w:val="28"/>
                <w:szCs w:val="28"/>
                <w:lang w:val="uk-UA"/>
              </w:rPr>
            </w:pPr>
          </w:p>
        </w:tc>
        <w:tc>
          <w:tcPr>
            <w:tcW w:w="1782" w:type="dxa"/>
            <w:tcBorders>
              <w:top w:val="single" w:sz="4" w:space="0" w:color="000000"/>
              <w:left w:val="single" w:sz="4" w:space="0" w:color="000000"/>
              <w:bottom w:val="single" w:sz="4" w:space="0" w:color="000000"/>
            </w:tcBorders>
            <w:shd w:val="clear" w:color="auto" w:fill="auto"/>
            <w:vAlign w:val="center"/>
          </w:tcPr>
          <w:p w:rsidR="00215BF6" w:rsidRPr="00BE086B" w:rsidRDefault="00215BF6" w:rsidP="009D0803">
            <w:pPr>
              <w:jc w:val="center"/>
              <w:rPr>
                <w:sz w:val="28"/>
                <w:szCs w:val="28"/>
                <w:lang w:val="uk-UA"/>
              </w:rPr>
            </w:pPr>
            <w:r w:rsidRPr="00BE086B">
              <w:rPr>
                <w:sz w:val="28"/>
                <w:szCs w:val="28"/>
                <w:lang w:val="uk-UA"/>
              </w:rPr>
              <w:t>44,6</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5BF6" w:rsidRPr="00BE086B" w:rsidRDefault="00F66F9B" w:rsidP="009D0803">
            <w:pPr>
              <w:snapToGrid w:val="0"/>
              <w:jc w:val="both"/>
              <w:rPr>
                <w:sz w:val="28"/>
                <w:szCs w:val="28"/>
                <w:lang w:val="uk-UA"/>
              </w:rPr>
            </w:pPr>
            <w:r w:rsidRPr="00BE086B">
              <w:rPr>
                <w:sz w:val="28"/>
                <w:szCs w:val="28"/>
                <w:lang w:val="uk-UA"/>
              </w:rPr>
              <w:t>Розрахунок (ACD/logP)</w:t>
            </w:r>
          </w:p>
        </w:tc>
      </w:tr>
    </w:tbl>
    <w:p w:rsidR="00215BF6" w:rsidRPr="00BE086B" w:rsidRDefault="00215BF6" w:rsidP="009D0803">
      <w:pPr>
        <w:spacing w:line="360" w:lineRule="auto"/>
        <w:ind w:firstLine="709"/>
        <w:jc w:val="both"/>
        <w:rPr>
          <w:sz w:val="28"/>
          <w:szCs w:val="28"/>
          <w:lang w:val="uk-UA"/>
        </w:rPr>
      </w:pPr>
    </w:p>
    <w:p w:rsidR="00215BF6" w:rsidRPr="00BE086B" w:rsidRDefault="00F66F9B"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 xml:space="preserve">изначено, що внаслідок низького значення константи іонізації при фізіологічних умовах диклофенак натрію знаходиться у іонізованій формі, що у значному ступені розчинна у воді. Втім, зворотність реакції протонування обумовлює також присутність певної його фракції й у неіонізованому стані (рис. 7.33) із більш високим значенням </w:t>
      </w:r>
      <w:r w:rsidR="00215BF6" w:rsidRPr="00BE086B">
        <w:rPr>
          <w:sz w:val="28"/>
          <w:szCs w:val="28"/>
          <w:lang w:val="uk-UA"/>
        </w:rPr>
        <w:lastRenderedPageBreak/>
        <w:t>ліпофільності (logP = 4,06), яка легко перетинає біологічні бар’єри та гідрофобні ділянки біомембран.</w:t>
      </w:r>
    </w:p>
    <w:p w:rsidR="00215BF6" w:rsidRPr="00BE086B" w:rsidRDefault="00215BF6" w:rsidP="009D0803">
      <w:pPr>
        <w:spacing w:line="360" w:lineRule="auto"/>
        <w:ind w:firstLine="709"/>
        <w:jc w:val="both"/>
        <w:rPr>
          <w:sz w:val="28"/>
          <w:szCs w:val="28"/>
          <w:lang w:val="uk-UA"/>
        </w:rPr>
      </w:pPr>
    </w:p>
    <w:p w:rsidR="00215BF6" w:rsidRPr="00BE086B" w:rsidRDefault="007824F2" w:rsidP="007824F2">
      <w:pPr>
        <w:spacing w:line="360" w:lineRule="auto"/>
        <w:jc w:val="both"/>
        <w:rPr>
          <w:sz w:val="28"/>
          <w:szCs w:val="28"/>
          <w:lang w:val="uk-UA"/>
        </w:rPr>
      </w:pPr>
      <w:r>
        <w:rPr>
          <w:noProof/>
          <w:sz w:val="28"/>
          <w:szCs w:val="28"/>
          <w:lang w:eastAsia="ru-RU"/>
        </w:rPr>
        <w:drawing>
          <wp:inline distT="0" distB="0" distL="0" distR="0">
            <wp:extent cx="5886450" cy="2767013"/>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7.33.jpg"/>
                    <pic:cNvPicPr/>
                  </pic:nvPicPr>
                  <pic:blipFill>
                    <a:blip r:embed="rId87">
                      <a:extLst>
                        <a:ext uri="{28A0092B-C50C-407E-A947-70E740481C1C}">
                          <a14:useLocalDpi xmlns:a14="http://schemas.microsoft.com/office/drawing/2010/main" val="0"/>
                        </a:ext>
                      </a:extLst>
                    </a:blip>
                    <a:stretch>
                      <a:fillRect/>
                    </a:stretch>
                  </pic:blipFill>
                  <pic:spPr>
                    <a:xfrm>
                      <a:off x="0" y="0"/>
                      <a:ext cx="5886450" cy="2767013"/>
                    </a:xfrm>
                    <a:prstGeom prst="rect">
                      <a:avLst/>
                    </a:prstGeom>
                  </pic:spPr>
                </pic:pic>
              </a:graphicData>
            </a:graphic>
          </wp:inline>
        </w:drawing>
      </w:r>
    </w:p>
    <w:p w:rsidR="00215BF6" w:rsidRPr="00BE086B" w:rsidRDefault="00215BF6" w:rsidP="009D0803">
      <w:pPr>
        <w:spacing w:line="360" w:lineRule="auto"/>
        <w:ind w:firstLine="709"/>
        <w:jc w:val="both"/>
        <w:rPr>
          <w:sz w:val="28"/>
          <w:szCs w:val="28"/>
          <w:lang w:val="uk-UA"/>
        </w:rPr>
      </w:pPr>
      <w:r w:rsidRPr="00BE086B">
        <w:rPr>
          <w:b/>
          <w:bCs/>
          <w:sz w:val="28"/>
          <w:szCs w:val="28"/>
          <w:lang w:val="uk-UA"/>
        </w:rPr>
        <w:t>Рис. 7.33.</w:t>
      </w:r>
      <w:r w:rsidRPr="00BE086B">
        <w:rPr>
          <w:sz w:val="28"/>
          <w:szCs w:val="28"/>
          <w:lang w:val="uk-UA"/>
        </w:rPr>
        <w:t xml:space="preserve"> Питомий вміст протонованих форм диклофенаку натрію залежно від величини рН.</w:t>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Таким чином, виходячи з проведеного дослідження фізико-хімічних та хімічних властивостей хондроїтин-4 сульфату, левотироксину та диклофенаку натрію </w:t>
      </w:r>
      <w:r w:rsidR="00F66F9B" w:rsidRPr="00BE086B">
        <w:rPr>
          <w:sz w:val="28"/>
          <w:szCs w:val="28"/>
          <w:lang w:val="uk-UA"/>
        </w:rPr>
        <w:t xml:space="preserve">за допомогою програми </w:t>
      </w:r>
      <w:r w:rsidR="00F66F9B" w:rsidRPr="00BE086B">
        <w:rPr>
          <w:bCs/>
          <w:sz w:val="28"/>
          <w:szCs w:val="28"/>
        </w:rPr>
        <w:t>ACD</w:t>
      </w:r>
      <w:r w:rsidR="00F66F9B" w:rsidRPr="00BE086B">
        <w:rPr>
          <w:bCs/>
          <w:sz w:val="28"/>
          <w:szCs w:val="28"/>
          <w:lang w:val="uk-UA"/>
        </w:rPr>
        <w:t>/</w:t>
      </w:r>
      <w:r w:rsidR="00F66F9B" w:rsidRPr="00BE086B">
        <w:rPr>
          <w:bCs/>
          <w:sz w:val="28"/>
          <w:szCs w:val="28"/>
        </w:rPr>
        <w:t>pKa</w:t>
      </w:r>
      <w:r w:rsidR="00F66F9B" w:rsidRPr="00BE086B">
        <w:rPr>
          <w:bCs/>
          <w:sz w:val="28"/>
          <w:szCs w:val="28"/>
          <w:lang w:val="uk-UA"/>
        </w:rPr>
        <w:t xml:space="preserve"> </w:t>
      </w:r>
      <w:r w:rsidR="00F66F9B" w:rsidRPr="00BE086B">
        <w:rPr>
          <w:bCs/>
          <w:sz w:val="28"/>
          <w:szCs w:val="28"/>
        </w:rPr>
        <w:t>DB</w:t>
      </w:r>
      <w:r w:rsidR="00F66F9B" w:rsidRPr="00BE086B">
        <w:rPr>
          <w:sz w:val="28"/>
          <w:szCs w:val="28"/>
          <w:lang w:val="uk-UA"/>
        </w:rPr>
        <w:t xml:space="preserve"> </w:t>
      </w:r>
      <w:r w:rsidRPr="00BE086B">
        <w:rPr>
          <w:sz w:val="28"/>
          <w:szCs w:val="28"/>
          <w:lang w:val="uk-UA"/>
        </w:rPr>
        <w:t xml:space="preserve">визначена можливість переважно зворотних кислотно-лужних взаємодій. </w:t>
      </w:r>
      <w:r w:rsidR="00F66F9B" w:rsidRPr="00BE086B">
        <w:rPr>
          <w:sz w:val="28"/>
          <w:szCs w:val="28"/>
          <w:lang w:val="uk-UA"/>
        </w:rPr>
        <w:t xml:space="preserve">У програмі </w:t>
      </w:r>
      <w:r w:rsidR="00F66F9B" w:rsidRPr="00BE086B">
        <w:rPr>
          <w:bCs/>
          <w:sz w:val="28"/>
          <w:szCs w:val="28"/>
        </w:rPr>
        <w:t>ACD</w:t>
      </w:r>
      <w:r w:rsidR="00F66F9B" w:rsidRPr="00BE086B">
        <w:rPr>
          <w:bCs/>
          <w:sz w:val="28"/>
          <w:szCs w:val="28"/>
          <w:lang w:val="uk-UA"/>
        </w:rPr>
        <w:t>/</w:t>
      </w:r>
      <w:r w:rsidR="00F66F9B" w:rsidRPr="00BE086B">
        <w:rPr>
          <w:bCs/>
          <w:sz w:val="28"/>
          <w:szCs w:val="28"/>
        </w:rPr>
        <w:t>pKa</w:t>
      </w:r>
      <w:r w:rsidR="00F66F9B" w:rsidRPr="00BE086B">
        <w:rPr>
          <w:bCs/>
          <w:sz w:val="28"/>
          <w:szCs w:val="28"/>
          <w:lang w:val="uk-UA"/>
        </w:rPr>
        <w:t xml:space="preserve"> </w:t>
      </w:r>
      <w:r w:rsidR="00F66F9B" w:rsidRPr="00BE086B">
        <w:rPr>
          <w:bCs/>
          <w:sz w:val="28"/>
          <w:szCs w:val="28"/>
        </w:rPr>
        <w:t>DB</w:t>
      </w:r>
      <w:r w:rsidR="00F66F9B" w:rsidRPr="00BE086B">
        <w:rPr>
          <w:sz w:val="28"/>
          <w:szCs w:val="28"/>
          <w:lang w:val="uk-UA"/>
        </w:rPr>
        <w:t xml:space="preserve"> в</w:t>
      </w:r>
      <w:r w:rsidRPr="00BE086B">
        <w:rPr>
          <w:sz w:val="28"/>
          <w:szCs w:val="28"/>
          <w:lang w:val="uk-UA"/>
        </w:rPr>
        <w:t xml:space="preserve">становлено, що ймовірність інших, сильних та незворотних реакцій є дуже низькою та за звичайних умов (температура, вологість, відсутність жорстких умов, що сприяють перебіганню реакцій, та сильних луг чи кислот та ін.) фізичні суміші цих сполук очікувано не піддаватимуться взаємодіям, які призводитимуть до глибоких деструктивних змін. </w:t>
      </w:r>
      <w:r w:rsidR="00F66F9B" w:rsidRPr="00BE086B">
        <w:rPr>
          <w:sz w:val="28"/>
          <w:szCs w:val="28"/>
          <w:lang w:val="uk-UA"/>
        </w:rPr>
        <w:t xml:space="preserve">За допомогою програми </w:t>
      </w:r>
      <w:r w:rsidR="00F66F9B" w:rsidRPr="00BE086B">
        <w:rPr>
          <w:bCs/>
          <w:sz w:val="28"/>
          <w:szCs w:val="28"/>
        </w:rPr>
        <w:t>ACD</w:t>
      </w:r>
      <w:r w:rsidR="00F66F9B" w:rsidRPr="00BE086B">
        <w:rPr>
          <w:bCs/>
          <w:sz w:val="28"/>
          <w:szCs w:val="28"/>
          <w:lang w:val="uk-UA"/>
        </w:rPr>
        <w:t>/</w:t>
      </w:r>
      <w:r w:rsidR="00F66F9B" w:rsidRPr="00BE086B">
        <w:rPr>
          <w:bCs/>
          <w:sz w:val="28"/>
          <w:szCs w:val="28"/>
        </w:rPr>
        <w:t>pKa</w:t>
      </w:r>
      <w:r w:rsidR="00F66F9B" w:rsidRPr="00BE086B">
        <w:rPr>
          <w:bCs/>
          <w:sz w:val="28"/>
          <w:szCs w:val="28"/>
          <w:lang w:val="uk-UA"/>
        </w:rPr>
        <w:t xml:space="preserve"> </w:t>
      </w:r>
      <w:r w:rsidR="00F66F9B" w:rsidRPr="00BE086B">
        <w:rPr>
          <w:bCs/>
          <w:sz w:val="28"/>
          <w:szCs w:val="28"/>
        </w:rPr>
        <w:t>DB</w:t>
      </w:r>
      <w:r w:rsidR="00F66F9B" w:rsidRPr="00BE086B">
        <w:rPr>
          <w:sz w:val="28"/>
          <w:szCs w:val="28"/>
          <w:lang w:val="uk-UA"/>
        </w:rPr>
        <w:t xml:space="preserve"> в</w:t>
      </w:r>
      <w:r w:rsidRPr="00BE086B">
        <w:rPr>
          <w:sz w:val="28"/>
          <w:szCs w:val="28"/>
          <w:lang w:val="uk-UA"/>
        </w:rPr>
        <w:t>изначено, що хондроїтину сульфат та диклофенак натрію існують та використовуються у фармацевтичній практиці у вигляді більш стабільних натрієвих солей, а оскільки відповідні їм кислоти є більш сильними у порівнянні з левотироксином, то між ними не очікується також обмінних процесів.</w:t>
      </w:r>
    </w:p>
    <w:p w:rsidR="00215BF6" w:rsidRPr="00BE086B" w:rsidRDefault="00215BF6" w:rsidP="009D0803">
      <w:pPr>
        <w:spacing w:line="360" w:lineRule="auto"/>
        <w:ind w:firstLine="709"/>
        <w:jc w:val="both"/>
        <w:rPr>
          <w:sz w:val="28"/>
          <w:szCs w:val="28"/>
          <w:lang w:val="uk-UA"/>
        </w:rPr>
      </w:pPr>
      <w:r w:rsidRPr="00BE086B">
        <w:rPr>
          <w:sz w:val="28"/>
          <w:szCs w:val="28"/>
          <w:lang w:val="uk-UA"/>
        </w:rPr>
        <w:lastRenderedPageBreak/>
        <w:t>На підставі проведеного дослідження фізико-хімічних властивостей сполук, можна стверджувати, що можливість взаємодії диклофенаку натрію, хондроїтин-4 сульфату та левотироксину на фармацевтичному рівні цілком виключена.</w:t>
      </w:r>
    </w:p>
    <w:p w:rsidR="00215BF6" w:rsidRPr="00BE086B" w:rsidRDefault="00215BF6" w:rsidP="009D0803">
      <w:pPr>
        <w:spacing w:line="360" w:lineRule="auto"/>
        <w:ind w:firstLine="709"/>
        <w:jc w:val="both"/>
        <w:rPr>
          <w:b/>
          <w:sz w:val="28"/>
          <w:szCs w:val="28"/>
          <w:lang w:val="uk-UA"/>
        </w:rPr>
      </w:pPr>
    </w:p>
    <w:p w:rsidR="00215BF6" w:rsidRPr="00BE086B" w:rsidRDefault="00215BF6" w:rsidP="009D0803">
      <w:pPr>
        <w:spacing w:line="360" w:lineRule="auto"/>
        <w:ind w:firstLine="709"/>
        <w:jc w:val="both"/>
        <w:rPr>
          <w:b/>
          <w:sz w:val="28"/>
          <w:szCs w:val="28"/>
          <w:lang w:val="uk-UA"/>
        </w:rPr>
      </w:pPr>
      <w:r w:rsidRPr="00BE086B">
        <w:rPr>
          <w:b/>
          <w:sz w:val="28"/>
          <w:szCs w:val="28"/>
          <w:lang w:val="uk-UA"/>
        </w:rPr>
        <w:t xml:space="preserve">7.3.4. Дослідження </w:t>
      </w:r>
      <w:r w:rsidRPr="00BE086B">
        <w:rPr>
          <w:rStyle w:val="translation-chunk"/>
          <w:b/>
          <w:bCs/>
          <w:sz w:val="28"/>
          <w:szCs w:val="28"/>
          <w:lang w:val="uk-UA"/>
        </w:rPr>
        <w:t>біофармацевтичної</w:t>
      </w:r>
      <w:r w:rsidRPr="00BE086B">
        <w:rPr>
          <w:b/>
          <w:sz w:val="28"/>
          <w:szCs w:val="28"/>
          <w:lang w:val="uk-UA"/>
        </w:rPr>
        <w:t xml:space="preserve"> взаємодії </w:t>
      </w:r>
      <w:r w:rsidRPr="00BE086B">
        <w:rPr>
          <w:b/>
          <w:bCs/>
          <w:sz w:val="28"/>
          <w:szCs w:val="28"/>
          <w:lang w:val="uk-UA"/>
        </w:rPr>
        <w:t>диклофенаку натрію, хондроїтину сульфату та L-тироксину</w:t>
      </w:r>
      <w:r w:rsidRPr="00BE086B">
        <w:rPr>
          <w:b/>
          <w:sz w:val="28"/>
          <w:szCs w:val="28"/>
          <w:lang w:val="uk-UA"/>
        </w:rPr>
        <w:t xml:space="preserve"> на біологічному рівні</w:t>
      </w:r>
    </w:p>
    <w:p w:rsidR="00215BF6" w:rsidRPr="00BE086B" w:rsidRDefault="00215BF6" w:rsidP="009D0803">
      <w:pPr>
        <w:spacing w:line="360" w:lineRule="auto"/>
        <w:ind w:firstLine="709"/>
        <w:jc w:val="both"/>
        <w:rPr>
          <w:sz w:val="28"/>
          <w:szCs w:val="28"/>
          <w:lang w:val="uk-UA"/>
        </w:rPr>
      </w:pPr>
    </w:p>
    <w:p w:rsidR="00215BF6" w:rsidRPr="00BE086B" w:rsidRDefault="00215BF6" w:rsidP="009D0803">
      <w:pPr>
        <w:spacing w:line="360" w:lineRule="auto"/>
        <w:ind w:firstLine="709"/>
        <w:jc w:val="both"/>
        <w:rPr>
          <w:sz w:val="28"/>
          <w:szCs w:val="28"/>
          <w:lang w:val="uk-UA"/>
        </w:rPr>
      </w:pPr>
      <w:r w:rsidRPr="00BE086B">
        <w:rPr>
          <w:sz w:val="28"/>
          <w:szCs w:val="28"/>
          <w:lang w:val="uk-UA"/>
        </w:rPr>
        <w:t>Відомо, що на біологічному рівні взаємодія між декількома сполуками може реалізуватись як впливами на фармакокінетичні процеси (етапи всмоктування, розподілу, біотрансформації чи екскреції), так й через фізіологічні механізми розвитку фармакодинамічних ефектів</w:t>
      </w:r>
      <w:r w:rsidR="00F63285" w:rsidRPr="00BE086B">
        <w:rPr>
          <w:sz w:val="28"/>
          <w:szCs w:val="28"/>
          <w:lang w:val="uk-UA"/>
        </w:rPr>
        <w:t xml:space="preserve"> </w:t>
      </w:r>
      <w:r w:rsidR="00F63285" w:rsidRPr="00BE086B">
        <w:rPr>
          <w:bCs/>
          <w:sz w:val="28"/>
          <w:szCs w:val="28"/>
          <w:lang w:val="uk-UA"/>
        </w:rPr>
        <w:t>[275]</w:t>
      </w:r>
      <w:r w:rsidRPr="00BE086B">
        <w:rPr>
          <w:sz w:val="28"/>
          <w:szCs w:val="28"/>
          <w:lang w:val="uk-UA"/>
        </w:rPr>
        <w:t>.</w:t>
      </w:r>
    </w:p>
    <w:p w:rsidR="00215BF6" w:rsidRPr="00BE086B" w:rsidRDefault="00215BF6" w:rsidP="009D0803">
      <w:pPr>
        <w:spacing w:line="360" w:lineRule="auto"/>
        <w:ind w:firstLine="709"/>
        <w:jc w:val="both"/>
        <w:rPr>
          <w:sz w:val="28"/>
          <w:szCs w:val="28"/>
          <w:lang w:val="uk-UA"/>
        </w:rPr>
      </w:pPr>
      <w:r w:rsidRPr="00BE086B">
        <w:rPr>
          <w:sz w:val="28"/>
          <w:szCs w:val="28"/>
          <w:lang w:val="uk-UA"/>
        </w:rPr>
        <w:t>Взагалі абсорбція сполук з шлунково-кишкового тракту здійснюється або шляхом простої дифузії (міжклітинним та трансклітинним шляхами), або за допомогою поліпшеної дифузії чи активного транспорту. Перші два механізми транспорту діють за градієнтом концентрації, тоді як останній здатний переносити молекули сполук від низької концентрації до більш високої, але витрачає при цьому енергію. Активний транспорт та переважно поліпшена дифузія здебільшого використовуються для переносу крізь біологічні бар’єри ендогенних сполук, або тих, що мають споріднені фрагменти, завдяки яким ці молекули можуть використовувати однакові транспортні системи. Навпаки, сполуки, що долають біологічні бар’єри шляхом простої дифузії на етапі абсорбції, не чинять взаємодій з іншими сполуками, тому для них можна не очікувати взаємодії на етапі абсорбції</w:t>
      </w:r>
      <w:r w:rsidR="00F63285" w:rsidRPr="00BE086B">
        <w:rPr>
          <w:sz w:val="28"/>
          <w:szCs w:val="28"/>
          <w:lang w:val="uk-UA"/>
        </w:rPr>
        <w:t xml:space="preserve"> </w:t>
      </w:r>
      <w:r w:rsidR="00F63285" w:rsidRPr="00BE086B">
        <w:rPr>
          <w:bCs/>
          <w:sz w:val="28"/>
          <w:szCs w:val="28"/>
          <w:lang w:val="uk-UA"/>
        </w:rPr>
        <w:t>[275]</w:t>
      </w:r>
      <w:r w:rsidRPr="00BE086B">
        <w:rPr>
          <w:sz w:val="28"/>
          <w:szCs w:val="28"/>
          <w:lang w:val="uk-UA"/>
        </w:rPr>
        <w:t>.</w:t>
      </w: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Аналіз </w:t>
      </w:r>
      <w:r w:rsidR="00F66F9B" w:rsidRPr="00BE086B">
        <w:rPr>
          <w:sz w:val="28"/>
          <w:szCs w:val="28"/>
          <w:lang w:val="uk-UA"/>
        </w:rPr>
        <w:t xml:space="preserve">за допомогою програми </w:t>
      </w:r>
      <w:r w:rsidR="00F66F9B" w:rsidRPr="00BE086B">
        <w:rPr>
          <w:bCs/>
          <w:sz w:val="28"/>
          <w:szCs w:val="28"/>
        </w:rPr>
        <w:t>ACD</w:t>
      </w:r>
      <w:r w:rsidR="00F66F9B" w:rsidRPr="00BE086B">
        <w:rPr>
          <w:bCs/>
          <w:sz w:val="28"/>
          <w:szCs w:val="28"/>
          <w:lang w:val="uk-UA"/>
        </w:rPr>
        <w:t>/</w:t>
      </w:r>
      <w:r w:rsidR="00F66F9B" w:rsidRPr="00BE086B">
        <w:rPr>
          <w:bCs/>
          <w:sz w:val="28"/>
          <w:szCs w:val="28"/>
        </w:rPr>
        <w:t>pKa</w:t>
      </w:r>
      <w:r w:rsidR="00F66F9B" w:rsidRPr="00BE086B">
        <w:rPr>
          <w:bCs/>
          <w:sz w:val="28"/>
          <w:szCs w:val="28"/>
          <w:lang w:val="uk-UA"/>
        </w:rPr>
        <w:t xml:space="preserve"> </w:t>
      </w:r>
      <w:r w:rsidR="00F66F9B" w:rsidRPr="00BE086B">
        <w:rPr>
          <w:bCs/>
          <w:sz w:val="28"/>
          <w:szCs w:val="28"/>
        </w:rPr>
        <w:t>DB</w:t>
      </w:r>
      <w:r w:rsidR="00F66F9B" w:rsidRPr="00BE086B">
        <w:rPr>
          <w:sz w:val="28"/>
          <w:szCs w:val="28"/>
          <w:lang w:val="uk-UA"/>
        </w:rPr>
        <w:t xml:space="preserve"> </w:t>
      </w:r>
      <w:r w:rsidRPr="00BE086B">
        <w:rPr>
          <w:sz w:val="28"/>
          <w:szCs w:val="28"/>
          <w:lang w:val="uk-UA"/>
        </w:rPr>
        <w:t xml:space="preserve">показав, що на етапі всмоктування з шлунково-кишкового тракту </w:t>
      </w:r>
      <w:r w:rsidRPr="00BE086B">
        <w:rPr>
          <w:bCs/>
          <w:sz w:val="28"/>
          <w:szCs w:val="28"/>
          <w:lang w:val="uk-UA"/>
        </w:rPr>
        <w:t>диклофенак натрію, хондроїтину сульфат та L-тироксин</w:t>
      </w:r>
      <w:r w:rsidRPr="00BE086B">
        <w:rPr>
          <w:sz w:val="28"/>
          <w:szCs w:val="28"/>
          <w:lang w:val="uk-UA"/>
        </w:rPr>
        <w:t xml:space="preserve"> використовують просту дифузію. Так, хондроїтин-4 сульфат, як компонент хрящів та сполученої тканини, існує у вигляді полімеру та піддається частковому гідролізу з вивільненням хондроїтин-4 сульфату. Диклофенак натрію, як екзогенна сполука, також потрапляє через кишкову </w:t>
      </w:r>
      <w:r w:rsidRPr="00BE086B">
        <w:rPr>
          <w:sz w:val="28"/>
          <w:szCs w:val="28"/>
          <w:lang w:val="uk-UA"/>
        </w:rPr>
        <w:lastRenderedPageBreak/>
        <w:t>стінку шляхом простої дифузії. Левотироксин, незважаючи на подібність до ендогенної сполуки, також абсорбується шляхом активного транспорту (тироксин синтезується de novo в організмі, а не всмоктується з їжі).</w:t>
      </w:r>
    </w:p>
    <w:p w:rsidR="00215BF6" w:rsidRPr="00BE086B" w:rsidRDefault="00F66F9B"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 xml:space="preserve">становлено, що </w:t>
      </w:r>
      <w:r w:rsidR="00215BF6" w:rsidRPr="00BE086B">
        <w:rPr>
          <w:bCs/>
          <w:sz w:val="28"/>
          <w:szCs w:val="28"/>
          <w:lang w:val="uk-UA"/>
        </w:rPr>
        <w:t>диклофенак натрію, хондроїтину сульфат та L-тироксин</w:t>
      </w:r>
      <w:r w:rsidR="00215BF6" w:rsidRPr="00BE086B">
        <w:rPr>
          <w:sz w:val="28"/>
          <w:szCs w:val="28"/>
          <w:lang w:val="uk-UA"/>
        </w:rPr>
        <w:t xml:space="preserve"> мають у своїй структурі карбоксильну групу, тому можуть використовувати систему транспорту органічних аніонів, як неспецифічний шлях потрапляння до внутрішнього середовища. Проте ця система експресується у досить великій кількості у апікальній частині ентероцитів, тому по-перше, не слід очікувати досягнення її насичення при сумісному введенні сполук, а по-друге карбоксильна група хондроїтину-4 сульфату поєднана з досить великою молекулою, транспорт якої є ускладненим. Тому на етапі всмоктування з ШКТ взаємодія між цими сполуками є виключною.</w:t>
      </w:r>
    </w:p>
    <w:p w:rsidR="00215BF6" w:rsidRDefault="00215BF6" w:rsidP="009D0803">
      <w:pPr>
        <w:spacing w:line="360" w:lineRule="auto"/>
        <w:ind w:firstLine="709"/>
        <w:jc w:val="both"/>
        <w:rPr>
          <w:sz w:val="28"/>
          <w:szCs w:val="28"/>
          <w:lang w:val="uk-UA"/>
        </w:rPr>
      </w:pPr>
      <w:r w:rsidRPr="00BE086B">
        <w:rPr>
          <w:sz w:val="28"/>
          <w:szCs w:val="28"/>
          <w:lang w:val="uk-UA"/>
        </w:rPr>
        <w:t xml:space="preserve">Аналіз </w:t>
      </w:r>
      <w:r w:rsidR="00F66F9B" w:rsidRPr="00BE086B">
        <w:rPr>
          <w:sz w:val="28"/>
          <w:szCs w:val="28"/>
          <w:lang w:val="uk-UA"/>
        </w:rPr>
        <w:t xml:space="preserve">у програмі </w:t>
      </w:r>
      <w:r w:rsidR="00F66F9B" w:rsidRPr="00BE086B">
        <w:rPr>
          <w:bCs/>
          <w:sz w:val="28"/>
          <w:szCs w:val="28"/>
        </w:rPr>
        <w:t>ACD</w:t>
      </w:r>
      <w:r w:rsidR="00F66F9B" w:rsidRPr="00BE086B">
        <w:rPr>
          <w:bCs/>
          <w:sz w:val="28"/>
          <w:szCs w:val="28"/>
          <w:lang w:val="uk-UA"/>
        </w:rPr>
        <w:t>/</w:t>
      </w:r>
      <w:r w:rsidR="00F66F9B" w:rsidRPr="00BE086B">
        <w:rPr>
          <w:bCs/>
          <w:sz w:val="28"/>
          <w:szCs w:val="28"/>
        </w:rPr>
        <w:t>pKa</w:t>
      </w:r>
      <w:r w:rsidR="00F66F9B" w:rsidRPr="00BE086B">
        <w:rPr>
          <w:bCs/>
          <w:sz w:val="28"/>
          <w:szCs w:val="28"/>
          <w:lang w:val="uk-UA"/>
        </w:rPr>
        <w:t xml:space="preserve"> </w:t>
      </w:r>
      <w:r w:rsidR="00F66F9B" w:rsidRPr="00BE086B">
        <w:rPr>
          <w:bCs/>
          <w:sz w:val="28"/>
          <w:szCs w:val="28"/>
        </w:rPr>
        <w:t>DB</w:t>
      </w:r>
      <w:r w:rsidR="00F66F9B" w:rsidRPr="00BE086B">
        <w:rPr>
          <w:sz w:val="28"/>
          <w:szCs w:val="28"/>
          <w:lang w:val="uk-UA"/>
        </w:rPr>
        <w:t xml:space="preserve"> </w:t>
      </w:r>
      <w:r w:rsidRPr="00BE086B">
        <w:rPr>
          <w:sz w:val="28"/>
          <w:szCs w:val="28"/>
          <w:lang w:val="uk-UA"/>
        </w:rPr>
        <w:t xml:space="preserve">показників біодоступності </w:t>
      </w:r>
      <w:r w:rsidRPr="00BE086B">
        <w:rPr>
          <w:bCs/>
          <w:sz w:val="28"/>
          <w:szCs w:val="28"/>
          <w:lang w:val="uk-UA"/>
        </w:rPr>
        <w:t>диклофенаку натрію, хондроїтину сульфату та L-тироксину</w:t>
      </w:r>
      <w:r w:rsidRPr="00BE086B">
        <w:rPr>
          <w:sz w:val="28"/>
          <w:szCs w:val="28"/>
          <w:lang w:val="uk-UA"/>
        </w:rPr>
        <w:t xml:space="preserve"> визначив, що ці сполуки у різному ступені піддаються біотрансформації, тому необхідним є аналіз можливості їх взаємодії на даному етапі (табл. 7.12).</w:t>
      </w:r>
    </w:p>
    <w:p w:rsidR="007824F2" w:rsidRPr="00BE086B" w:rsidRDefault="007824F2" w:rsidP="009D0803">
      <w:pPr>
        <w:spacing w:line="360" w:lineRule="auto"/>
        <w:ind w:firstLine="709"/>
        <w:jc w:val="both"/>
        <w:rPr>
          <w:sz w:val="28"/>
          <w:szCs w:val="28"/>
          <w:lang w:val="uk-UA"/>
        </w:rPr>
      </w:pPr>
    </w:p>
    <w:p w:rsidR="00215BF6" w:rsidRPr="00BE086B" w:rsidRDefault="00215BF6" w:rsidP="009D0803">
      <w:pPr>
        <w:spacing w:line="360" w:lineRule="auto"/>
        <w:ind w:firstLine="709"/>
        <w:jc w:val="right"/>
        <w:rPr>
          <w:sz w:val="28"/>
          <w:szCs w:val="28"/>
          <w:lang w:val="uk-UA"/>
        </w:rPr>
      </w:pPr>
      <w:r w:rsidRPr="00BE086B">
        <w:rPr>
          <w:i/>
          <w:iCs/>
          <w:sz w:val="28"/>
          <w:szCs w:val="28"/>
          <w:lang w:val="uk-UA"/>
        </w:rPr>
        <w:t>Таблиця 7.12</w:t>
      </w:r>
    </w:p>
    <w:p w:rsidR="00215BF6" w:rsidRPr="00BE086B" w:rsidRDefault="00215BF6" w:rsidP="009D0803">
      <w:pPr>
        <w:spacing w:line="360" w:lineRule="auto"/>
        <w:ind w:firstLine="709"/>
        <w:jc w:val="center"/>
        <w:rPr>
          <w:sz w:val="28"/>
          <w:szCs w:val="28"/>
          <w:lang w:val="uk-UA"/>
        </w:rPr>
      </w:pPr>
      <w:r w:rsidRPr="00BE086B">
        <w:rPr>
          <w:b/>
          <w:bCs/>
          <w:sz w:val="28"/>
          <w:szCs w:val="28"/>
          <w:lang w:val="uk-UA"/>
        </w:rPr>
        <w:t>Фармакокінетичні характеристики хондроїтину-4 сульфату, диклофенаку натрію та L-тироксину</w:t>
      </w:r>
    </w:p>
    <w:tbl>
      <w:tblPr>
        <w:tblW w:w="9601" w:type="dxa"/>
        <w:tblInd w:w="-15" w:type="dxa"/>
        <w:tblLayout w:type="fixed"/>
        <w:tblLook w:val="0000" w:firstRow="0" w:lastRow="0" w:firstColumn="0" w:lastColumn="0" w:noHBand="0" w:noVBand="0"/>
      </w:tblPr>
      <w:tblGrid>
        <w:gridCol w:w="2250"/>
        <w:gridCol w:w="2115"/>
        <w:gridCol w:w="2442"/>
        <w:gridCol w:w="2794"/>
      </w:tblGrid>
      <w:tr w:rsidR="00215BF6" w:rsidRPr="00BE086B" w:rsidTr="00F66F9B">
        <w:tc>
          <w:tcPr>
            <w:tcW w:w="2250"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snapToGrid w:val="0"/>
              <w:jc w:val="center"/>
              <w:rPr>
                <w:b/>
                <w:kern w:val="24"/>
                <w:sz w:val="28"/>
                <w:szCs w:val="28"/>
                <w:lang w:val="uk-UA"/>
              </w:rPr>
            </w:pPr>
            <w:r w:rsidRPr="00BE086B">
              <w:rPr>
                <w:b/>
                <w:kern w:val="24"/>
                <w:sz w:val="28"/>
                <w:szCs w:val="28"/>
                <w:lang w:val="uk-UA"/>
              </w:rPr>
              <w:t>Параметр</w:t>
            </w:r>
          </w:p>
        </w:tc>
        <w:tc>
          <w:tcPr>
            <w:tcW w:w="2115"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jc w:val="center"/>
              <w:rPr>
                <w:b/>
                <w:kern w:val="24"/>
                <w:sz w:val="28"/>
                <w:szCs w:val="28"/>
                <w:lang w:val="uk-UA"/>
              </w:rPr>
            </w:pPr>
            <w:r w:rsidRPr="00BE086B">
              <w:rPr>
                <w:b/>
                <w:kern w:val="24"/>
                <w:sz w:val="28"/>
                <w:szCs w:val="28"/>
                <w:lang w:val="uk-UA"/>
              </w:rPr>
              <w:t>Хондроїтину сульфат</w:t>
            </w:r>
          </w:p>
        </w:tc>
        <w:tc>
          <w:tcPr>
            <w:tcW w:w="2442"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jc w:val="center"/>
              <w:rPr>
                <w:b/>
                <w:kern w:val="24"/>
                <w:sz w:val="28"/>
                <w:szCs w:val="28"/>
                <w:lang w:val="uk-UA"/>
              </w:rPr>
            </w:pPr>
            <w:r w:rsidRPr="00BE086B">
              <w:rPr>
                <w:b/>
                <w:kern w:val="24"/>
                <w:sz w:val="28"/>
                <w:szCs w:val="28"/>
                <w:lang w:val="uk-UA"/>
              </w:rPr>
              <w:t>Диклофенак натрію</w:t>
            </w:r>
          </w:p>
        </w:tc>
        <w:tc>
          <w:tcPr>
            <w:tcW w:w="2794"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9D0803">
            <w:pPr>
              <w:jc w:val="center"/>
              <w:rPr>
                <w:b/>
                <w:kern w:val="24"/>
                <w:sz w:val="28"/>
                <w:szCs w:val="28"/>
                <w:lang w:val="uk-UA"/>
              </w:rPr>
            </w:pPr>
            <w:r w:rsidRPr="00BE086B">
              <w:rPr>
                <w:b/>
                <w:kern w:val="24"/>
                <w:sz w:val="28"/>
                <w:szCs w:val="28"/>
                <w:lang w:val="uk-UA"/>
              </w:rPr>
              <w:t>L-тироксин</w:t>
            </w:r>
          </w:p>
        </w:tc>
      </w:tr>
      <w:tr w:rsidR="00215BF6" w:rsidRPr="00BE086B" w:rsidTr="00F66F9B">
        <w:tc>
          <w:tcPr>
            <w:tcW w:w="2250" w:type="dxa"/>
            <w:tcBorders>
              <w:top w:val="single" w:sz="4" w:space="0" w:color="000000"/>
              <w:left w:val="single" w:sz="4" w:space="0" w:color="000000"/>
              <w:bottom w:val="single" w:sz="4" w:space="0" w:color="000000"/>
            </w:tcBorders>
            <w:shd w:val="clear" w:color="auto" w:fill="auto"/>
          </w:tcPr>
          <w:p w:rsidR="00215BF6" w:rsidRPr="00BE086B" w:rsidRDefault="00F66F9B" w:rsidP="00F66F9B">
            <w:pPr>
              <w:jc w:val="center"/>
              <w:rPr>
                <w:kern w:val="24"/>
                <w:sz w:val="28"/>
                <w:szCs w:val="28"/>
                <w:lang w:val="uk-UA"/>
              </w:rPr>
            </w:pPr>
            <w:r w:rsidRPr="00BE086B">
              <w:rPr>
                <w:kern w:val="24"/>
                <w:sz w:val="28"/>
                <w:szCs w:val="28"/>
                <w:lang w:val="uk-UA"/>
              </w:rPr>
              <w:t>1</w:t>
            </w:r>
          </w:p>
        </w:tc>
        <w:tc>
          <w:tcPr>
            <w:tcW w:w="2115" w:type="dxa"/>
            <w:tcBorders>
              <w:top w:val="single" w:sz="4" w:space="0" w:color="000000"/>
              <w:left w:val="single" w:sz="4" w:space="0" w:color="000000"/>
              <w:bottom w:val="single" w:sz="4" w:space="0" w:color="000000"/>
            </w:tcBorders>
            <w:shd w:val="clear" w:color="auto" w:fill="auto"/>
          </w:tcPr>
          <w:p w:rsidR="00215BF6" w:rsidRPr="00BE086B" w:rsidRDefault="00F66F9B" w:rsidP="00F66F9B">
            <w:pPr>
              <w:jc w:val="center"/>
              <w:rPr>
                <w:kern w:val="24"/>
                <w:sz w:val="28"/>
                <w:szCs w:val="28"/>
                <w:lang w:val="uk-UA"/>
              </w:rPr>
            </w:pPr>
            <w:r w:rsidRPr="00BE086B">
              <w:rPr>
                <w:kern w:val="24"/>
                <w:sz w:val="28"/>
                <w:szCs w:val="28"/>
                <w:lang w:val="uk-UA"/>
              </w:rPr>
              <w:t>2</w:t>
            </w:r>
          </w:p>
        </w:tc>
        <w:tc>
          <w:tcPr>
            <w:tcW w:w="2442" w:type="dxa"/>
            <w:tcBorders>
              <w:top w:val="single" w:sz="4" w:space="0" w:color="000000"/>
              <w:left w:val="single" w:sz="4" w:space="0" w:color="000000"/>
              <w:bottom w:val="single" w:sz="4" w:space="0" w:color="000000"/>
            </w:tcBorders>
            <w:shd w:val="clear" w:color="auto" w:fill="auto"/>
          </w:tcPr>
          <w:p w:rsidR="00215BF6" w:rsidRPr="00BE086B" w:rsidRDefault="00F66F9B" w:rsidP="00F66F9B">
            <w:pPr>
              <w:jc w:val="center"/>
              <w:rPr>
                <w:kern w:val="24"/>
                <w:sz w:val="28"/>
                <w:szCs w:val="28"/>
                <w:lang w:val="uk-UA"/>
              </w:rPr>
            </w:pPr>
            <w:r w:rsidRPr="00BE086B">
              <w:rPr>
                <w:kern w:val="24"/>
                <w:sz w:val="28"/>
                <w:szCs w:val="28"/>
                <w:lang w:val="uk-UA"/>
              </w:rPr>
              <w:t>3</w:t>
            </w:r>
          </w:p>
        </w:tc>
        <w:tc>
          <w:tcPr>
            <w:tcW w:w="2794"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F66F9B" w:rsidP="00F66F9B">
            <w:pPr>
              <w:jc w:val="center"/>
              <w:rPr>
                <w:kern w:val="24"/>
                <w:sz w:val="28"/>
                <w:szCs w:val="28"/>
                <w:lang w:val="uk-UA"/>
              </w:rPr>
            </w:pPr>
            <w:r w:rsidRPr="00BE086B">
              <w:rPr>
                <w:kern w:val="24"/>
                <w:sz w:val="28"/>
                <w:szCs w:val="28"/>
                <w:lang w:val="uk-UA"/>
              </w:rPr>
              <w:t>4</w:t>
            </w:r>
          </w:p>
        </w:tc>
      </w:tr>
      <w:tr w:rsidR="00215BF6" w:rsidRPr="00BE086B" w:rsidTr="00F66F9B">
        <w:tc>
          <w:tcPr>
            <w:tcW w:w="2250" w:type="dxa"/>
            <w:tcBorders>
              <w:top w:val="single" w:sz="4" w:space="0" w:color="000000"/>
              <w:left w:val="single" w:sz="4" w:space="0" w:color="000000"/>
              <w:bottom w:val="single" w:sz="4" w:space="0" w:color="000000"/>
            </w:tcBorders>
            <w:shd w:val="clear" w:color="auto" w:fill="auto"/>
          </w:tcPr>
          <w:p w:rsidR="00215BF6" w:rsidRPr="00BE086B" w:rsidRDefault="00215BF6" w:rsidP="009D0803">
            <w:pPr>
              <w:jc w:val="both"/>
              <w:rPr>
                <w:kern w:val="24"/>
                <w:sz w:val="28"/>
                <w:szCs w:val="28"/>
                <w:lang w:val="uk-UA"/>
              </w:rPr>
            </w:pPr>
            <w:r w:rsidRPr="00BE086B">
              <w:rPr>
                <w:kern w:val="24"/>
                <w:sz w:val="28"/>
                <w:szCs w:val="28"/>
                <w:lang w:val="uk-UA"/>
              </w:rPr>
              <w:t>Біодоступність при пероральному прийомі</w:t>
            </w:r>
          </w:p>
        </w:tc>
        <w:tc>
          <w:tcPr>
            <w:tcW w:w="2115" w:type="dxa"/>
            <w:tcBorders>
              <w:top w:val="single" w:sz="4" w:space="0" w:color="000000"/>
              <w:left w:val="single" w:sz="4" w:space="0" w:color="000000"/>
              <w:bottom w:val="single" w:sz="4" w:space="0" w:color="000000"/>
            </w:tcBorders>
            <w:shd w:val="clear" w:color="auto" w:fill="auto"/>
          </w:tcPr>
          <w:p w:rsidR="00215BF6" w:rsidRPr="00BE086B" w:rsidRDefault="00215BF6" w:rsidP="00610093">
            <w:pPr>
              <w:jc w:val="center"/>
              <w:rPr>
                <w:kern w:val="24"/>
                <w:sz w:val="28"/>
                <w:szCs w:val="28"/>
                <w:lang w:val="uk-UA"/>
              </w:rPr>
            </w:pPr>
            <w:r w:rsidRPr="00BE086B">
              <w:rPr>
                <w:kern w:val="24"/>
                <w:sz w:val="28"/>
                <w:szCs w:val="28"/>
                <w:lang w:val="uk-UA"/>
              </w:rPr>
              <w:t>15-24%</w:t>
            </w:r>
          </w:p>
        </w:tc>
        <w:tc>
          <w:tcPr>
            <w:tcW w:w="2442" w:type="dxa"/>
            <w:tcBorders>
              <w:top w:val="single" w:sz="4" w:space="0" w:color="000000"/>
              <w:left w:val="single" w:sz="4" w:space="0" w:color="000000"/>
              <w:bottom w:val="single" w:sz="4" w:space="0" w:color="000000"/>
            </w:tcBorders>
            <w:shd w:val="clear" w:color="auto" w:fill="auto"/>
          </w:tcPr>
          <w:p w:rsidR="00215BF6" w:rsidRPr="00BE086B" w:rsidRDefault="00215BF6" w:rsidP="00610093">
            <w:pPr>
              <w:jc w:val="center"/>
              <w:rPr>
                <w:kern w:val="24"/>
                <w:sz w:val="28"/>
                <w:szCs w:val="28"/>
                <w:lang w:val="uk-UA"/>
              </w:rPr>
            </w:pPr>
            <w:r w:rsidRPr="00BE086B">
              <w:rPr>
                <w:kern w:val="24"/>
                <w:sz w:val="28"/>
                <w:szCs w:val="28"/>
                <w:lang w:val="uk-UA"/>
              </w:rPr>
              <w:t>~65%</w:t>
            </w:r>
          </w:p>
        </w:tc>
        <w:tc>
          <w:tcPr>
            <w:tcW w:w="2794" w:type="dxa"/>
            <w:tcBorders>
              <w:top w:val="single" w:sz="4" w:space="0" w:color="000000"/>
              <w:left w:val="single" w:sz="4" w:space="0" w:color="000000"/>
              <w:bottom w:val="single" w:sz="4" w:space="0" w:color="000000"/>
              <w:right w:val="single" w:sz="4" w:space="0" w:color="000000"/>
            </w:tcBorders>
            <w:shd w:val="clear" w:color="auto" w:fill="auto"/>
          </w:tcPr>
          <w:p w:rsidR="00215BF6" w:rsidRPr="00BE086B" w:rsidRDefault="00215BF6" w:rsidP="00610093">
            <w:pPr>
              <w:jc w:val="center"/>
              <w:rPr>
                <w:kern w:val="24"/>
                <w:sz w:val="28"/>
                <w:szCs w:val="28"/>
                <w:lang w:val="uk-UA"/>
              </w:rPr>
            </w:pPr>
            <w:r w:rsidRPr="00BE086B">
              <w:rPr>
                <w:kern w:val="24"/>
                <w:sz w:val="28"/>
                <w:szCs w:val="28"/>
                <w:lang w:val="uk-UA"/>
              </w:rPr>
              <w:t>50-80%</w:t>
            </w:r>
          </w:p>
        </w:tc>
      </w:tr>
    </w:tbl>
    <w:p w:rsidR="00215BF6" w:rsidRDefault="00215BF6" w:rsidP="009D0803">
      <w:pPr>
        <w:spacing w:line="360" w:lineRule="auto"/>
        <w:ind w:firstLine="709"/>
        <w:jc w:val="both"/>
        <w:rPr>
          <w:sz w:val="28"/>
          <w:szCs w:val="28"/>
          <w:lang w:val="uk-UA"/>
        </w:rPr>
      </w:pPr>
    </w:p>
    <w:p w:rsidR="00125A5A" w:rsidRDefault="00125A5A" w:rsidP="009D0803">
      <w:pPr>
        <w:spacing w:line="360" w:lineRule="auto"/>
        <w:ind w:firstLine="709"/>
        <w:jc w:val="both"/>
        <w:rPr>
          <w:sz w:val="28"/>
          <w:szCs w:val="28"/>
          <w:lang w:val="uk-UA"/>
        </w:rPr>
      </w:pPr>
    </w:p>
    <w:p w:rsidR="007824F2" w:rsidRDefault="007824F2" w:rsidP="009D0803">
      <w:pPr>
        <w:spacing w:line="360" w:lineRule="auto"/>
        <w:ind w:firstLine="709"/>
        <w:jc w:val="both"/>
        <w:rPr>
          <w:sz w:val="28"/>
          <w:szCs w:val="28"/>
          <w:lang w:val="uk-UA"/>
        </w:rPr>
      </w:pPr>
    </w:p>
    <w:p w:rsidR="00125A5A" w:rsidRPr="00BE086B" w:rsidRDefault="00125A5A" w:rsidP="009D0803">
      <w:pPr>
        <w:spacing w:line="360" w:lineRule="auto"/>
        <w:ind w:firstLine="709"/>
        <w:jc w:val="both"/>
        <w:rPr>
          <w:sz w:val="28"/>
          <w:szCs w:val="28"/>
          <w:lang w:val="uk-UA"/>
        </w:rPr>
      </w:pPr>
    </w:p>
    <w:p w:rsidR="007D2151" w:rsidRPr="00BE086B" w:rsidRDefault="007D2151" w:rsidP="007D2151">
      <w:pPr>
        <w:pStyle w:val="af0"/>
        <w:spacing w:line="240" w:lineRule="auto"/>
        <w:jc w:val="right"/>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7.12</w:t>
      </w:r>
    </w:p>
    <w:tbl>
      <w:tblPr>
        <w:tblW w:w="9601" w:type="dxa"/>
        <w:tblInd w:w="-15" w:type="dxa"/>
        <w:tblLayout w:type="fixed"/>
        <w:tblLook w:val="0000" w:firstRow="0" w:lastRow="0" w:firstColumn="0" w:lastColumn="0" w:noHBand="0" w:noVBand="0"/>
      </w:tblPr>
      <w:tblGrid>
        <w:gridCol w:w="1966"/>
        <w:gridCol w:w="2399"/>
        <w:gridCol w:w="2442"/>
        <w:gridCol w:w="2794"/>
      </w:tblGrid>
      <w:tr w:rsidR="00754F90" w:rsidRPr="00BE086B" w:rsidTr="00610093">
        <w:tc>
          <w:tcPr>
            <w:tcW w:w="1966"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1</w:t>
            </w:r>
          </w:p>
        </w:tc>
        <w:tc>
          <w:tcPr>
            <w:tcW w:w="2399"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2</w:t>
            </w:r>
          </w:p>
        </w:tc>
        <w:tc>
          <w:tcPr>
            <w:tcW w:w="2442"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3</w:t>
            </w:r>
          </w:p>
        </w:tc>
        <w:tc>
          <w:tcPr>
            <w:tcW w:w="2794" w:type="dxa"/>
            <w:tcBorders>
              <w:top w:val="single" w:sz="4" w:space="0" w:color="000000"/>
              <w:left w:val="single" w:sz="4" w:space="0" w:color="000000"/>
              <w:bottom w:val="single" w:sz="4" w:space="0" w:color="000000"/>
              <w:right w:val="single" w:sz="4" w:space="0" w:color="000000"/>
            </w:tcBorders>
            <w:shd w:val="clear" w:color="auto" w:fill="auto"/>
          </w:tcPr>
          <w:p w:rsidR="00754F90" w:rsidRPr="00BE086B" w:rsidRDefault="00754F90" w:rsidP="00754F90">
            <w:pPr>
              <w:jc w:val="center"/>
              <w:rPr>
                <w:kern w:val="24"/>
                <w:sz w:val="28"/>
                <w:szCs w:val="28"/>
                <w:shd w:val="clear" w:color="auto" w:fill="FFFFFF"/>
                <w:lang w:val="uk-UA"/>
              </w:rPr>
            </w:pPr>
            <w:r w:rsidRPr="00BE086B">
              <w:rPr>
                <w:kern w:val="24"/>
                <w:sz w:val="28"/>
                <w:szCs w:val="28"/>
                <w:shd w:val="clear" w:color="auto" w:fill="FFFFFF"/>
                <w:lang w:val="uk-UA"/>
              </w:rPr>
              <w:t>4</w:t>
            </w:r>
          </w:p>
        </w:tc>
      </w:tr>
      <w:tr w:rsidR="007D2151" w:rsidRPr="00BE086B" w:rsidTr="00610093">
        <w:tc>
          <w:tcPr>
            <w:tcW w:w="1966" w:type="dxa"/>
            <w:tcBorders>
              <w:top w:val="single" w:sz="4" w:space="0" w:color="000000"/>
              <w:left w:val="single" w:sz="4" w:space="0" w:color="000000"/>
              <w:bottom w:val="single" w:sz="4" w:space="0" w:color="000000"/>
            </w:tcBorders>
            <w:shd w:val="clear" w:color="auto" w:fill="auto"/>
          </w:tcPr>
          <w:p w:rsidR="007D2151" w:rsidRPr="00BE086B" w:rsidRDefault="007D2151" w:rsidP="00E10792">
            <w:pPr>
              <w:jc w:val="both"/>
              <w:rPr>
                <w:kern w:val="24"/>
                <w:sz w:val="28"/>
                <w:szCs w:val="28"/>
                <w:lang w:val="uk-UA"/>
              </w:rPr>
            </w:pPr>
            <w:r w:rsidRPr="00BE086B">
              <w:rPr>
                <w:kern w:val="24"/>
                <w:sz w:val="28"/>
                <w:szCs w:val="28"/>
                <w:lang w:val="uk-UA"/>
              </w:rPr>
              <w:t>Механізм транспорту через біологічні бар’єри</w:t>
            </w:r>
          </w:p>
        </w:tc>
        <w:tc>
          <w:tcPr>
            <w:tcW w:w="2399" w:type="dxa"/>
            <w:tcBorders>
              <w:top w:val="single" w:sz="4" w:space="0" w:color="000000"/>
              <w:left w:val="single" w:sz="4" w:space="0" w:color="000000"/>
              <w:bottom w:val="single" w:sz="4" w:space="0" w:color="000000"/>
            </w:tcBorders>
            <w:shd w:val="clear" w:color="auto" w:fill="auto"/>
          </w:tcPr>
          <w:p w:rsidR="007D2151" w:rsidRPr="00BE086B" w:rsidRDefault="007D2151" w:rsidP="00E10792">
            <w:pPr>
              <w:rPr>
                <w:kern w:val="24"/>
                <w:sz w:val="28"/>
                <w:szCs w:val="28"/>
                <w:lang w:val="uk-UA"/>
              </w:rPr>
            </w:pPr>
            <w:r w:rsidRPr="00BE086B">
              <w:rPr>
                <w:kern w:val="24"/>
                <w:sz w:val="28"/>
                <w:szCs w:val="28"/>
                <w:lang w:val="uk-UA"/>
              </w:rPr>
              <w:t>Проста дифузія</w:t>
            </w:r>
          </w:p>
          <w:p w:rsidR="00610093" w:rsidRPr="00BE086B" w:rsidRDefault="00610093" w:rsidP="00E10792">
            <w:pPr>
              <w:rPr>
                <w:kern w:val="24"/>
                <w:sz w:val="28"/>
                <w:szCs w:val="28"/>
                <w:lang w:val="uk-UA"/>
              </w:rPr>
            </w:pPr>
          </w:p>
          <w:p w:rsidR="007D2151" w:rsidRPr="00BE086B" w:rsidRDefault="007D2151" w:rsidP="00E10792">
            <w:pPr>
              <w:rPr>
                <w:kern w:val="24"/>
                <w:sz w:val="28"/>
                <w:szCs w:val="28"/>
                <w:lang w:val="uk-UA"/>
              </w:rPr>
            </w:pPr>
            <w:r w:rsidRPr="00BE086B">
              <w:rPr>
                <w:kern w:val="24"/>
                <w:sz w:val="28"/>
                <w:szCs w:val="28"/>
                <w:lang w:val="uk-UA"/>
              </w:rPr>
              <w:t>Парацелюлярний транспорт</w:t>
            </w:r>
          </w:p>
        </w:tc>
        <w:tc>
          <w:tcPr>
            <w:tcW w:w="2442" w:type="dxa"/>
            <w:tcBorders>
              <w:top w:val="single" w:sz="4" w:space="0" w:color="000000"/>
              <w:left w:val="single" w:sz="4" w:space="0" w:color="000000"/>
              <w:bottom w:val="single" w:sz="4" w:space="0" w:color="000000"/>
            </w:tcBorders>
            <w:shd w:val="clear" w:color="auto" w:fill="auto"/>
          </w:tcPr>
          <w:p w:rsidR="007D2151" w:rsidRPr="00BE086B" w:rsidRDefault="007D2151" w:rsidP="00E10792">
            <w:pPr>
              <w:rPr>
                <w:kern w:val="24"/>
                <w:sz w:val="28"/>
                <w:szCs w:val="28"/>
                <w:lang w:val="uk-UA"/>
              </w:rPr>
            </w:pPr>
            <w:r w:rsidRPr="00BE086B">
              <w:rPr>
                <w:kern w:val="24"/>
                <w:sz w:val="28"/>
                <w:szCs w:val="28"/>
                <w:lang w:val="uk-UA"/>
              </w:rPr>
              <w:t>Проста дифузія</w:t>
            </w:r>
          </w:p>
          <w:p w:rsidR="00610093" w:rsidRPr="00BE086B" w:rsidRDefault="00610093" w:rsidP="00E10792">
            <w:pPr>
              <w:rPr>
                <w:kern w:val="24"/>
                <w:sz w:val="28"/>
                <w:szCs w:val="28"/>
                <w:lang w:val="uk-UA"/>
              </w:rPr>
            </w:pPr>
          </w:p>
          <w:p w:rsidR="007D2151" w:rsidRPr="00BE086B" w:rsidRDefault="007D2151" w:rsidP="00E10792">
            <w:pPr>
              <w:rPr>
                <w:kern w:val="24"/>
                <w:sz w:val="28"/>
                <w:szCs w:val="28"/>
                <w:lang w:val="uk-UA"/>
              </w:rPr>
            </w:pPr>
            <w:r w:rsidRPr="00BE086B">
              <w:rPr>
                <w:kern w:val="24"/>
                <w:sz w:val="28"/>
                <w:szCs w:val="28"/>
                <w:lang w:val="uk-UA"/>
              </w:rPr>
              <w:t>Активний транспорт (транспортер органічних аніонів – ОАТ)</w:t>
            </w:r>
          </w:p>
        </w:tc>
        <w:tc>
          <w:tcPr>
            <w:tcW w:w="2794" w:type="dxa"/>
            <w:tcBorders>
              <w:top w:val="single" w:sz="4" w:space="0" w:color="000000"/>
              <w:left w:val="single" w:sz="4" w:space="0" w:color="000000"/>
              <w:bottom w:val="single" w:sz="4" w:space="0" w:color="000000"/>
              <w:right w:val="single" w:sz="4" w:space="0" w:color="000000"/>
            </w:tcBorders>
            <w:shd w:val="clear" w:color="auto" w:fill="auto"/>
          </w:tcPr>
          <w:p w:rsidR="00610093" w:rsidRPr="00BE086B" w:rsidRDefault="007D2151" w:rsidP="00E10792">
            <w:pPr>
              <w:rPr>
                <w:kern w:val="24"/>
                <w:sz w:val="28"/>
                <w:szCs w:val="28"/>
                <w:shd w:val="clear" w:color="auto" w:fill="FFFFFF"/>
                <w:lang w:val="uk-UA"/>
              </w:rPr>
            </w:pPr>
            <w:r w:rsidRPr="00BE086B">
              <w:rPr>
                <w:kern w:val="24"/>
                <w:sz w:val="28"/>
                <w:szCs w:val="28"/>
                <w:shd w:val="clear" w:color="auto" w:fill="FFFFFF"/>
                <w:lang w:val="uk-UA"/>
              </w:rPr>
              <w:t>1) Тиреоїдний-гормон-зв’язуючий протеїн (транстиретин)</w:t>
            </w:r>
          </w:p>
          <w:p w:rsidR="007D2151" w:rsidRPr="00BE086B" w:rsidRDefault="007D2151" w:rsidP="00E10792">
            <w:pPr>
              <w:rPr>
                <w:kern w:val="24"/>
                <w:sz w:val="28"/>
                <w:szCs w:val="28"/>
                <w:lang w:val="uk-UA"/>
              </w:rPr>
            </w:pPr>
            <w:r w:rsidRPr="00BE086B">
              <w:rPr>
                <w:kern w:val="24"/>
                <w:sz w:val="28"/>
                <w:szCs w:val="28"/>
                <w:shd w:val="clear" w:color="auto" w:fill="FFFFFF"/>
                <w:lang w:val="uk-UA"/>
              </w:rPr>
              <w:t>Ймовірно транспортує тироксин з системного кровообігу до мозку.</w:t>
            </w:r>
          </w:p>
          <w:p w:rsidR="00610093" w:rsidRPr="00BE086B" w:rsidRDefault="00610093" w:rsidP="00E10792">
            <w:pPr>
              <w:rPr>
                <w:kern w:val="24"/>
                <w:sz w:val="28"/>
                <w:szCs w:val="28"/>
                <w:shd w:val="clear" w:color="auto" w:fill="FFFFFF"/>
                <w:lang w:val="uk-UA"/>
              </w:rPr>
            </w:pPr>
          </w:p>
          <w:p w:rsidR="007D2151" w:rsidRPr="00BE086B" w:rsidRDefault="007D2151" w:rsidP="00E10792">
            <w:pPr>
              <w:rPr>
                <w:kern w:val="24"/>
                <w:sz w:val="28"/>
                <w:szCs w:val="28"/>
                <w:lang w:val="uk-UA"/>
              </w:rPr>
            </w:pPr>
            <w:r w:rsidRPr="00BE086B">
              <w:rPr>
                <w:kern w:val="24"/>
                <w:sz w:val="28"/>
                <w:szCs w:val="28"/>
                <w:shd w:val="clear" w:color="auto" w:fill="FFFFFF"/>
                <w:lang w:val="uk-UA"/>
              </w:rPr>
              <w:t>2) Тироксин-зв’язуючий глобулін</w:t>
            </w:r>
          </w:p>
          <w:p w:rsidR="00610093" w:rsidRPr="00BE086B" w:rsidRDefault="00610093" w:rsidP="00E10792">
            <w:pPr>
              <w:rPr>
                <w:kern w:val="24"/>
                <w:sz w:val="28"/>
                <w:szCs w:val="28"/>
                <w:shd w:val="clear" w:color="auto" w:fill="FFFFFF"/>
                <w:lang w:val="uk-UA"/>
              </w:rPr>
            </w:pPr>
          </w:p>
          <w:p w:rsidR="007D2151" w:rsidRPr="00BE086B" w:rsidRDefault="007D2151" w:rsidP="00E10792">
            <w:pPr>
              <w:rPr>
                <w:kern w:val="24"/>
                <w:sz w:val="28"/>
                <w:szCs w:val="28"/>
                <w:lang w:val="uk-UA"/>
              </w:rPr>
            </w:pPr>
            <w:r w:rsidRPr="00BE086B">
              <w:rPr>
                <w:kern w:val="24"/>
                <w:sz w:val="28"/>
                <w:szCs w:val="28"/>
                <w:shd w:val="clear" w:color="auto" w:fill="FFFFFF"/>
                <w:lang w:val="uk-UA"/>
              </w:rPr>
              <w:t>3) Сироватковий альбумін</w:t>
            </w:r>
          </w:p>
          <w:p w:rsidR="00610093" w:rsidRPr="00BE086B" w:rsidRDefault="00610093" w:rsidP="00E10792">
            <w:pPr>
              <w:rPr>
                <w:kern w:val="24"/>
                <w:sz w:val="28"/>
                <w:szCs w:val="28"/>
                <w:shd w:val="clear" w:color="auto" w:fill="FFFFFF"/>
                <w:lang w:val="uk-UA"/>
              </w:rPr>
            </w:pPr>
          </w:p>
          <w:p w:rsidR="007D2151" w:rsidRPr="00BE086B" w:rsidRDefault="007D2151" w:rsidP="00E10792">
            <w:pPr>
              <w:rPr>
                <w:kern w:val="24"/>
                <w:sz w:val="28"/>
                <w:szCs w:val="28"/>
                <w:lang w:val="uk-UA"/>
              </w:rPr>
            </w:pPr>
            <w:r w:rsidRPr="00BE086B">
              <w:rPr>
                <w:kern w:val="24"/>
                <w:sz w:val="28"/>
                <w:szCs w:val="28"/>
                <w:shd w:val="clear" w:color="auto" w:fill="FFFFFF"/>
                <w:lang w:val="uk-UA"/>
              </w:rPr>
              <w:t>4) Трансмембраний транспортер тиреоїдного гормону (Переносник сімейства органічних аніонів 1C1)</w:t>
            </w:r>
          </w:p>
          <w:p w:rsidR="00610093" w:rsidRPr="00BE086B" w:rsidRDefault="00610093" w:rsidP="00E10792">
            <w:pPr>
              <w:rPr>
                <w:kern w:val="24"/>
                <w:sz w:val="28"/>
                <w:szCs w:val="28"/>
                <w:lang w:val="uk-UA"/>
              </w:rPr>
            </w:pPr>
          </w:p>
          <w:p w:rsidR="007D2151" w:rsidRPr="00BE086B" w:rsidRDefault="007D2151" w:rsidP="00E10792">
            <w:pPr>
              <w:rPr>
                <w:kern w:val="24"/>
                <w:sz w:val="28"/>
                <w:szCs w:val="28"/>
                <w:lang w:val="uk-UA"/>
              </w:rPr>
            </w:pPr>
            <w:r w:rsidRPr="00BE086B">
              <w:rPr>
                <w:kern w:val="24"/>
                <w:sz w:val="28"/>
                <w:szCs w:val="28"/>
                <w:lang w:val="uk-UA"/>
              </w:rPr>
              <w:t>5) Активний транспорт (транспортер органічних аніонів – ОАТ)</w:t>
            </w:r>
          </w:p>
        </w:tc>
      </w:tr>
      <w:tr w:rsidR="007D2151" w:rsidRPr="009B135A" w:rsidTr="00610093">
        <w:tc>
          <w:tcPr>
            <w:tcW w:w="1966" w:type="dxa"/>
            <w:tcBorders>
              <w:top w:val="single" w:sz="4" w:space="0" w:color="000000"/>
              <w:left w:val="single" w:sz="4" w:space="0" w:color="000000"/>
              <w:bottom w:val="single" w:sz="4" w:space="0" w:color="000000"/>
            </w:tcBorders>
            <w:shd w:val="clear" w:color="auto" w:fill="auto"/>
          </w:tcPr>
          <w:p w:rsidR="007D2151" w:rsidRPr="00BE086B" w:rsidRDefault="007D2151" w:rsidP="00E10792">
            <w:pPr>
              <w:jc w:val="both"/>
              <w:rPr>
                <w:kern w:val="24"/>
                <w:sz w:val="28"/>
                <w:szCs w:val="28"/>
                <w:lang w:val="uk-UA"/>
              </w:rPr>
            </w:pPr>
            <w:r w:rsidRPr="00BE086B">
              <w:rPr>
                <w:kern w:val="24"/>
                <w:sz w:val="28"/>
                <w:szCs w:val="28"/>
                <w:lang w:val="uk-UA"/>
              </w:rPr>
              <w:t>Ферменти, що здійснюють метаболізм</w:t>
            </w:r>
          </w:p>
        </w:tc>
        <w:tc>
          <w:tcPr>
            <w:tcW w:w="2399" w:type="dxa"/>
            <w:tcBorders>
              <w:top w:val="single" w:sz="4" w:space="0" w:color="000000"/>
              <w:left w:val="single" w:sz="4" w:space="0" w:color="000000"/>
              <w:bottom w:val="single" w:sz="4" w:space="0" w:color="000000"/>
            </w:tcBorders>
            <w:shd w:val="clear" w:color="auto" w:fill="auto"/>
          </w:tcPr>
          <w:p w:rsidR="007D2151" w:rsidRPr="00BE086B" w:rsidRDefault="007D2151" w:rsidP="00E10792">
            <w:pPr>
              <w:rPr>
                <w:kern w:val="24"/>
                <w:sz w:val="28"/>
                <w:szCs w:val="28"/>
                <w:lang w:val="uk-UA"/>
              </w:rPr>
            </w:pPr>
            <w:r w:rsidRPr="00BE086B">
              <w:rPr>
                <w:kern w:val="24"/>
                <w:sz w:val="28"/>
                <w:szCs w:val="28"/>
                <w:shd w:val="clear" w:color="auto" w:fill="FFFFFF"/>
                <w:lang w:val="uk-UA"/>
              </w:rPr>
              <w:t>Карбогідрат (N-ацетілгалактозамін 4-сульфат 6-О) сульфотрансфераза 15 (CHST15);</w:t>
            </w:r>
          </w:p>
          <w:p w:rsidR="007D2151" w:rsidRPr="00BE086B" w:rsidRDefault="007D2151" w:rsidP="00E10792">
            <w:pPr>
              <w:rPr>
                <w:kern w:val="24"/>
                <w:sz w:val="28"/>
                <w:szCs w:val="28"/>
                <w:lang w:val="uk-UA"/>
              </w:rPr>
            </w:pPr>
            <w:r w:rsidRPr="00BE086B">
              <w:rPr>
                <w:kern w:val="24"/>
                <w:sz w:val="28"/>
                <w:szCs w:val="28"/>
                <w:shd w:val="clear" w:color="auto" w:fill="FFFFFF"/>
                <w:lang w:val="uk-UA"/>
              </w:rPr>
              <w:t>N-ацетілгалактозам</w:t>
            </w:r>
            <w:r w:rsidR="00610093" w:rsidRPr="00BE086B">
              <w:rPr>
                <w:kern w:val="24"/>
                <w:sz w:val="28"/>
                <w:szCs w:val="28"/>
                <w:shd w:val="clear" w:color="auto" w:fill="FFFFFF"/>
                <w:lang w:val="uk-UA"/>
              </w:rPr>
              <w:t>ін-6-сульфат сульфатаза (GALNS)</w:t>
            </w:r>
          </w:p>
        </w:tc>
        <w:tc>
          <w:tcPr>
            <w:tcW w:w="2442" w:type="dxa"/>
            <w:tcBorders>
              <w:top w:val="single" w:sz="4" w:space="0" w:color="000000"/>
              <w:left w:val="single" w:sz="4" w:space="0" w:color="000000"/>
              <w:bottom w:val="single" w:sz="4" w:space="0" w:color="000000"/>
            </w:tcBorders>
            <w:shd w:val="clear" w:color="auto" w:fill="auto"/>
          </w:tcPr>
          <w:p w:rsidR="007D2151" w:rsidRPr="00BE086B" w:rsidRDefault="007D2151" w:rsidP="00E10792">
            <w:pPr>
              <w:rPr>
                <w:kern w:val="24"/>
                <w:sz w:val="28"/>
                <w:szCs w:val="28"/>
                <w:lang w:val="uk-UA"/>
              </w:rPr>
            </w:pPr>
            <w:r w:rsidRPr="00BE086B">
              <w:rPr>
                <w:kern w:val="24"/>
                <w:sz w:val="28"/>
                <w:szCs w:val="28"/>
                <w:lang w:val="uk-UA"/>
              </w:rPr>
              <w:t>УДФ-глюкуро-нозілтрансфераза, CYP2В7, CYP3А4, CYP2С9</w:t>
            </w:r>
          </w:p>
        </w:tc>
        <w:tc>
          <w:tcPr>
            <w:tcW w:w="2794" w:type="dxa"/>
            <w:tcBorders>
              <w:top w:val="single" w:sz="4" w:space="0" w:color="000000"/>
              <w:left w:val="single" w:sz="4" w:space="0" w:color="000000"/>
              <w:bottom w:val="single" w:sz="4" w:space="0" w:color="000000"/>
              <w:right w:val="single" w:sz="4" w:space="0" w:color="000000"/>
            </w:tcBorders>
            <w:shd w:val="clear" w:color="auto" w:fill="auto"/>
          </w:tcPr>
          <w:p w:rsidR="00610093" w:rsidRPr="00BE086B" w:rsidRDefault="007D2151" w:rsidP="00E10792">
            <w:pPr>
              <w:rPr>
                <w:kern w:val="24"/>
                <w:sz w:val="28"/>
                <w:szCs w:val="28"/>
                <w:shd w:val="clear" w:color="auto" w:fill="FFFFFF"/>
                <w:lang w:val="uk-UA"/>
              </w:rPr>
            </w:pPr>
            <w:r w:rsidRPr="00BE086B">
              <w:rPr>
                <w:kern w:val="24"/>
                <w:sz w:val="28"/>
                <w:szCs w:val="28"/>
                <w:shd w:val="clear" w:color="auto" w:fill="FFFFFF"/>
                <w:lang w:val="uk-UA"/>
              </w:rPr>
              <w:t>CYP2C8,</w:t>
            </w:r>
          </w:p>
          <w:p w:rsidR="007D2151" w:rsidRPr="00BE086B" w:rsidRDefault="007D2151" w:rsidP="00E10792">
            <w:pPr>
              <w:rPr>
                <w:kern w:val="24"/>
                <w:sz w:val="28"/>
                <w:szCs w:val="28"/>
                <w:lang w:val="uk-UA"/>
              </w:rPr>
            </w:pPr>
            <w:r w:rsidRPr="00BE086B">
              <w:rPr>
                <w:kern w:val="24"/>
                <w:sz w:val="28"/>
                <w:szCs w:val="28"/>
                <w:shd w:val="clear" w:color="auto" w:fill="FFFFFF"/>
                <w:lang w:val="uk-UA"/>
              </w:rPr>
              <w:t>УДФ-глюкуроносульфотрансфераза</w:t>
            </w:r>
          </w:p>
          <w:p w:rsidR="007D2151" w:rsidRPr="00BE086B" w:rsidRDefault="007D2151" w:rsidP="00E10792">
            <w:pPr>
              <w:rPr>
                <w:kern w:val="24"/>
                <w:sz w:val="28"/>
                <w:szCs w:val="28"/>
                <w:lang w:val="uk-UA"/>
              </w:rPr>
            </w:pPr>
            <w:r w:rsidRPr="00BE086B">
              <w:rPr>
                <w:kern w:val="24"/>
                <w:sz w:val="28"/>
                <w:szCs w:val="28"/>
                <w:shd w:val="clear" w:color="auto" w:fill="FFFFFF"/>
                <w:lang w:val="uk-UA"/>
              </w:rPr>
              <w:t>CYP2C9 (4-гідроксилювання)</w:t>
            </w:r>
          </w:p>
        </w:tc>
      </w:tr>
    </w:tbl>
    <w:p w:rsidR="007D2151" w:rsidRPr="00BE086B" w:rsidRDefault="007D2151" w:rsidP="009D0803">
      <w:pPr>
        <w:spacing w:line="360" w:lineRule="auto"/>
        <w:ind w:firstLine="709"/>
        <w:jc w:val="both"/>
        <w:rPr>
          <w:sz w:val="28"/>
          <w:szCs w:val="28"/>
          <w:lang w:val="uk-UA"/>
        </w:rPr>
      </w:pPr>
    </w:p>
    <w:p w:rsidR="00754F90" w:rsidRPr="00BE086B" w:rsidRDefault="00754F90" w:rsidP="009D0803">
      <w:pPr>
        <w:spacing w:line="360" w:lineRule="auto"/>
        <w:ind w:firstLine="709"/>
        <w:jc w:val="both"/>
        <w:rPr>
          <w:sz w:val="28"/>
          <w:szCs w:val="28"/>
          <w:lang w:val="uk-UA"/>
        </w:rPr>
      </w:pPr>
    </w:p>
    <w:p w:rsidR="00754F90" w:rsidRPr="00BE086B" w:rsidRDefault="00754F90" w:rsidP="009D0803">
      <w:pPr>
        <w:spacing w:line="360" w:lineRule="auto"/>
        <w:ind w:firstLine="709"/>
        <w:jc w:val="both"/>
        <w:rPr>
          <w:sz w:val="28"/>
          <w:szCs w:val="28"/>
          <w:lang w:val="uk-UA"/>
        </w:rPr>
      </w:pPr>
    </w:p>
    <w:p w:rsidR="00754F90" w:rsidRPr="00BE086B" w:rsidRDefault="00754F90" w:rsidP="00754F90">
      <w:pPr>
        <w:spacing w:line="360" w:lineRule="auto"/>
        <w:ind w:firstLine="709"/>
        <w:jc w:val="right"/>
        <w:rPr>
          <w:sz w:val="28"/>
          <w:szCs w:val="28"/>
          <w:lang w:val="uk-UA"/>
        </w:rPr>
      </w:pPr>
      <w:r w:rsidRPr="00BE086B">
        <w:rPr>
          <w:i/>
          <w:sz w:val="28"/>
          <w:szCs w:val="28"/>
          <w:lang w:val="uk-UA"/>
        </w:rPr>
        <w:lastRenderedPageBreak/>
        <w:t>Продовження табл</w:t>
      </w:r>
      <w:r w:rsidR="00831597">
        <w:rPr>
          <w:i/>
          <w:sz w:val="28"/>
          <w:szCs w:val="28"/>
          <w:lang w:val="uk-UA"/>
        </w:rPr>
        <w:t>иці</w:t>
      </w:r>
      <w:r w:rsidRPr="00BE086B">
        <w:rPr>
          <w:i/>
          <w:sz w:val="28"/>
          <w:szCs w:val="28"/>
          <w:lang w:val="uk-UA"/>
        </w:rPr>
        <w:t xml:space="preserve"> 7.12</w:t>
      </w:r>
    </w:p>
    <w:tbl>
      <w:tblPr>
        <w:tblW w:w="9762" w:type="dxa"/>
        <w:tblInd w:w="-15" w:type="dxa"/>
        <w:tblLayout w:type="fixed"/>
        <w:tblLook w:val="0000" w:firstRow="0" w:lastRow="0" w:firstColumn="0" w:lastColumn="0" w:noHBand="0" w:noVBand="0"/>
      </w:tblPr>
      <w:tblGrid>
        <w:gridCol w:w="2108"/>
        <w:gridCol w:w="3118"/>
        <w:gridCol w:w="2410"/>
        <w:gridCol w:w="2126"/>
      </w:tblGrid>
      <w:tr w:rsidR="00754F90" w:rsidRPr="00BE086B" w:rsidTr="00610093">
        <w:tc>
          <w:tcPr>
            <w:tcW w:w="2108"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1</w:t>
            </w:r>
          </w:p>
        </w:tc>
        <w:tc>
          <w:tcPr>
            <w:tcW w:w="3118"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2</w:t>
            </w:r>
          </w:p>
        </w:tc>
        <w:tc>
          <w:tcPr>
            <w:tcW w:w="2410"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4</w:t>
            </w:r>
          </w:p>
        </w:tc>
      </w:tr>
      <w:tr w:rsidR="00754F90" w:rsidRPr="00BE086B" w:rsidTr="00610093">
        <w:tc>
          <w:tcPr>
            <w:tcW w:w="2108"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rPr>
                <w:kern w:val="24"/>
                <w:sz w:val="28"/>
                <w:szCs w:val="28"/>
                <w:lang w:val="uk-UA"/>
              </w:rPr>
            </w:pPr>
            <w:r w:rsidRPr="00BE086B">
              <w:rPr>
                <w:kern w:val="24"/>
                <w:sz w:val="28"/>
                <w:szCs w:val="28"/>
                <w:lang w:val="uk-UA"/>
              </w:rPr>
              <w:t>Зв’язування з білками плазми крові</w:t>
            </w:r>
          </w:p>
        </w:tc>
        <w:tc>
          <w:tcPr>
            <w:tcW w:w="3118"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0,25%</w:t>
            </w:r>
          </w:p>
        </w:tc>
        <w:tc>
          <w:tcPr>
            <w:tcW w:w="2410"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99%</w:t>
            </w:r>
          </w:p>
        </w:tc>
      </w:tr>
      <w:tr w:rsidR="00754F90" w:rsidRPr="00BE086B" w:rsidTr="00610093">
        <w:tc>
          <w:tcPr>
            <w:tcW w:w="2108"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rPr>
                <w:kern w:val="24"/>
                <w:sz w:val="28"/>
                <w:szCs w:val="28"/>
                <w:lang w:val="uk-UA"/>
              </w:rPr>
            </w:pPr>
            <w:r w:rsidRPr="00BE086B">
              <w:rPr>
                <w:kern w:val="24"/>
                <w:sz w:val="28"/>
                <w:szCs w:val="28"/>
                <w:lang w:val="uk-UA"/>
              </w:rPr>
              <w:t>Час напівелімінації</w:t>
            </w:r>
          </w:p>
        </w:tc>
        <w:tc>
          <w:tcPr>
            <w:tcW w:w="3118"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15 годин</w:t>
            </w:r>
          </w:p>
        </w:tc>
        <w:tc>
          <w:tcPr>
            <w:tcW w:w="2410"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1-2 години</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754F90" w:rsidRPr="00BE086B" w:rsidRDefault="00754F90" w:rsidP="00754F90">
            <w:pPr>
              <w:jc w:val="center"/>
              <w:rPr>
                <w:kern w:val="24"/>
                <w:sz w:val="28"/>
                <w:szCs w:val="28"/>
                <w:lang w:val="uk-UA"/>
              </w:rPr>
            </w:pPr>
            <w:r w:rsidRPr="00BE086B">
              <w:rPr>
                <w:kern w:val="24"/>
                <w:sz w:val="28"/>
                <w:szCs w:val="28"/>
                <w:lang w:val="uk-UA"/>
              </w:rPr>
              <w:t>6-8 діб</w:t>
            </w:r>
          </w:p>
        </w:tc>
      </w:tr>
      <w:tr w:rsidR="00754F90" w:rsidRPr="00BE086B" w:rsidTr="00610093">
        <w:tc>
          <w:tcPr>
            <w:tcW w:w="2108" w:type="dxa"/>
            <w:tcBorders>
              <w:top w:val="single" w:sz="4" w:space="0" w:color="000000"/>
              <w:left w:val="single" w:sz="4" w:space="0" w:color="000000"/>
              <w:bottom w:val="single" w:sz="4" w:space="0" w:color="000000"/>
            </w:tcBorders>
            <w:shd w:val="clear" w:color="auto" w:fill="auto"/>
          </w:tcPr>
          <w:p w:rsidR="00754F90" w:rsidRPr="00BE086B" w:rsidRDefault="00754F90" w:rsidP="00754F90">
            <w:pPr>
              <w:rPr>
                <w:kern w:val="24"/>
                <w:sz w:val="28"/>
                <w:szCs w:val="28"/>
                <w:lang w:val="uk-UA"/>
              </w:rPr>
            </w:pPr>
            <w:r w:rsidRPr="00BE086B">
              <w:rPr>
                <w:kern w:val="24"/>
                <w:sz w:val="28"/>
                <w:szCs w:val="28"/>
                <w:lang w:val="uk-UA"/>
              </w:rPr>
              <w:t>Біомішень та механізм дії</w:t>
            </w:r>
          </w:p>
        </w:tc>
        <w:tc>
          <w:tcPr>
            <w:tcW w:w="3118" w:type="dxa"/>
            <w:tcBorders>
              <w:top w:val="single" w:sz="4" w:space="0" w:color="000000"/>
              <w:left w:val="single" w:sz="4" w:space="0" w:color="000000"/>
              <w:bottom w:val="single" w:sz="4" w:space="0" w:color="000000"/>
            </w:tcBorders>
            <w:shd w:val="clear" w:color="auto" w:fill="auto"/>
          </w:tcPr>
          <w:p w:rsidR="00754F90" w:rsidRPr="00BE086B" w:rsidRDefault="00754F90" w:rsidP="00E10792">
            <w:pPr>
              <w:rPr>
                <w:kern w:val="24"/>
                <w:sz w:val="28"/>
                <w:szCs w:val="28"/>
                <w:lang w:val="uk-UA"/>
              </w:rPr>
            </w:pPr>
            <w:r w:rsidRPr="00BE086B">
              <w:rPr>
                <w:rFonts w:eastAsia="Helvetica"/>
                <w:kern w:val="24"/>
                <w:sz w:val="28"/>
                <w:szCs w:val="28"/>
                <w:shd w:val="clear" w:color="auto" w:fill="FFFFFF"/>
                <w:lang w:val="uk-UA"/>
              </w:rPr>
              <w:t>Гальмування активності NO-синтази, ЦОГ-2, мікросомальної простагландинсинтази</w:t>
            </w:r>
          </w:p>
          <w:p w:rsidR="00754F90" w:rsidRPr="00BE086B" w:rsidRDefault="00754F90" w:rsidP="00610093">
            <w:pPr>
              <w:rPr>
                <w:kern w:val="24"/>
                <w:sz w:val="28"/>
                <w:szCs w:val="28"/>
                <w:lang w:val="uk-UA"/>
              </w:rPr>
            </w:pPr>
            <w:r w:rsidRPr="00BE086B">
              <w:rPr>
                <w:rFonts w:eastAsia="Helvetica"/>
                <w:kern w:val="24"/>
                <w:sz w:val="28"/>
                <w:szCs w:val="28"/>
                <w:shd w:val="clear" w:color="auto" w:fill="FFFFFF"/>
                <w:lang w:val="uk-UA"/>
              </w:rPr>
              <w:t>Анаболічний ефект хондроїтин-4 сульфату ймовірно реалізується через гальмування MMП-1, 3 та 13, а також ADAMTS-4 та 5 (дезінтегріни та тромбоспонгінові металопротеази)</w:t>
            </w:r>
          </w:p>
        </w:tc>
        <w:tc>
          <w:tcPr>
            <w:tcW w:w="2410" w:type="dxa"/>
            <w:tcBorders>
              <w:top w:val="single" w:sz="4" w:space="0" w:color="000000"/>
              <w:left w:val="single" w:sz="4" w:space="0" w:color="000000"/>
              <w:bottom w:val="single" w:sz="4" w:space="0" w:color="000000"/>
            </w:tcBorders>
            <w:shd w:val="clear" w:color="auto" w:fill="auto"/>
          </w:tcPr>
          <w:p w:rsidR="00610093" w:rsidRPr="00BE086B" w:rsidRDefault="00754F90" w:rsidP="00610093">
            <w:pPr>
              <w:rPr>
                <w:kern w:val="24"/>
                <w:sz w:val="28"/>
                <w:szCs w:val="28"/>
                <w:lang w:val="uk-UA"/>
              </w:rPr>
            </w:pPr>
            <w:r w:rsidRPr="00BE086B">
              <w:rPr>
                <w:kern w:val="24"/>
                <w:sz w:val="28"/>
                <w:szCs w:val="28"/>
                <w:lang w:val="uk-UA"/>
              </w:rPr>
              <w:t xml:space="preserve">Гальмування </w:t>
            </w:r>
            <w:r w:rsidR="00610093" w:rsidRPr="00BE086B">
              <w:rPr>
                <w:kern w:val="24"/>
                <w:sz w:val="28"/>
                <w:szCs w:val="28"/>
                <w:lang w:val="uk-UA"/>
              </w:rPr>
              <w:t>ферменту ЦОГ</w:t>
            </w:r>
          </w:p>
          <w:p w:rsidR="00610093" w:rsidRPr="00BE086B" w:rsidRDefault="00610093" w:rsidP="00610093">
            <w:pPr>
              <w:rPr>
                <w:kern w:val="24"/>
                <w:sz w:val="28"/>
                <w:szCs w:val="28"/>
                <w:lang w:val="uk-UA"/>
              </w:rPr>
            </w:pPr>
          </w:p>
          <w:p w:rsidR="00754F90" w:rsidRPr="00BE086B" w:rsidRDefault="00610093" w:rsidP="00610093">
            <w:pPr>
              <w:rPr>
                <w:kern w:val="24"/>
                <w:sz w:val="28"/>
                <w:szCs w:val="28"/>
                <w:lang w:val="uk-UA"/>
              </w:rPr>
            </w:pPr>
            <w:r w:rsidRPr="00BE086B">
              <w:rPr>
                <w:kern w:val="24"/>
                <w:sz w:val="28"/>
                <w:szCs w:val="28"/>
                <w:lang w:val="uk-UA"/>
              </w:rPr>
              <w:t>П</w:t>
            </w:r>
            <w:r w:rsidR="00754F90" w:rsidRPr="00BE086B">
              <w:rPr>
                <w:kern w:val="24"/>
                <w:sz w:val="28"/>
                <w:szCs w:val="28"/>
                <w:lang w:val="uk-UA"/>
              </w:rPr>
              <w:t>риг</w:t>
            </w:r>
            <w:r w:rsidRPr="00BE086B">
              <w:rPr>
                <w:kern w:val="24"/>
                <w:sz w:val="28"/>
                <w:szCs w:val="28"/>
                <w:lang w:val="uk-UA"/>
              </w:rPr>
              <w:t>нічення синтезу простагландинів</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754F90" w:rsidRPr="00BE086B" w:rsidRDefault="00754F90" w:rsidP="00A40910">
            <w:pPr>
              <w:rPr>
                <w:kern w:val="24"/>
                <w:sz w:val="28"/>
                <w:szCs w:val="28"/>
                <w:lang w:val="uk-UA"/>
              </w:rPr>
            </w:pPr>
            <w:r w:rsidRPr="00BE086B">
              <w:rPr>
                <w:kern w:val="24"/>
                <w:sz w:val="28"/>
                <w:szCs w:val="28"/>
                <w:shd w:val="clear" w:color="auto" w:fill="FFFFFF"/>
                <w:lang w:val="uk-UA"/>
              </w:rPr>
              <w:t>Ізоформа α-1 тиреоїдного ядерного рецептору, яка може діяти, як репрессор чи активатор транскриптину. Високоафінний рецептор для т</w:t>
            </w:r>
            <w:r w:rsidR="00610093" w:rsidRPr="00BE086B">
              <w:rPr>
                <w:kern w:val="24"/>
                <w:sz w:val="28"/>
                <w:szCs w:val="28"/>
                <w:shd w:val="clear" w:color="auto" w:fill="FFFFFF"/>
                <w:lang w:val="uk-UA"/>
              </w:rPr>
              <w:t>и</w:t>
            </w:r>
            <w:r w:rsidRPr="00BE086B">
              <w:rPr>
                <w:kern w:val="24"/>
                <w:sz w:val="28"/>
                <w:szCs w:val="28"/>
                <w:shd w:val="clear" w:color="auto" w:fill="FFFFFF"/>
                <w:lang w:val="uk-UA"/>
              </w:rPr>
              <w:t xml:space="preserve">реоїдних гормонів, що включають </w:t>
            </w:r>
            <w:r w:rsidR="00A40910" w:rsidRPr="00BE086B">
              <w:rPr>
                <w:kern w:val="24"/>
                <w:sz w:val="28"/>
                <w:szCs w:val="28"/>
                <w:shd w:val="clear" w:color="auto" w:fill="FFFFFF"/>
                <w:lang w:val="uk-UA"/>
              </w:rPr>
              <w:t>Т3 та Т4</w:t>
            </w:r>
          </w:p>
        </w:tc>
      </w:tr>
    </w:tbl>
    <w:p w:rsidR="00754F90" w:rsidRPr="00BE086B" w:rsidRDefault="00754F90" w:rsidP="009D0803">
      <w:pPr>
        <w:spacing w:line="360" w:lineRule="auto"/>
        <w:ind w:firstLine="709"/>
        <w:jc w:val="both"/>
        <w:rPr>
          <w:sz w:val="28"/>
          <w:szCs w:val="28"/>
          <w:lang w:val="uk-UA"/>
        </w:rPr>
      </w:pPr>
    </w:p>
    <w:p w:rsidR="00215BF6" w:rsidRPr="00BE086B" w:rsidRDefault="00A40910" w:rsidP="009D0803">
      <w:pPr>
        <w:spacing w:line="360" w:lineRule="auto"/>
        <w:ind w:firstLine="709"/>
        <w:jc w:val="both"/>
        <w:rPr>
          <w:sz w:val="28"/>
          <w:szCs w:val="28"/>
          <w:lang w:val="uk-UA"/>
        </w:rPr>
      </w:pPr>
      <w:r w:rsidRPr="00BE086B">
        <w:rPr>
          <w:sz w:val="28"/>
          <w:szCs w:val="28"/>
          <w:lang w:val="uk-UA"/>
        </w:rPr>
        <w:t xml:space="preserve">За допомогою програми </w:t>
      </w:r>
      <w:r w:rsidRPr="00BE086B">
        <w:rPr>
          <w:bCs/>
          <w:sz w:val="28"/>
          <w:szCs w:val="28"/>
        </w:rPr>
        <w:t>ACD</w:t>
      </w:r>
      <w:r w:rsidRPr="00BE086B">
        <w:rPr>
          <w:bCs/>
          <w:sz w:val="28"/>
          <w:szCs w:val="28"/>
          <w:lang w:val="uk-UA"/>
        </w:rPr>
        <w:t>/</w:t>
      </w:r>
      <w:r w:rsidRPr="00BE086B">
        <w:rPr>
          <w:bCs/>
          <w:sz w:val="28"/>
          <w:szCs w:val="28"/>
        </w:rPr>
        <w:t>pKa</w:t>
      </w:r>
      <w:r w:rsidRPr="00BE086B">
        <w:rPr>
          <w:bCs/>
          <w:sz w:val="28"/>
          <w:szCs w:val="28"/>
          <w:lang w:val="uk-UA"/>
        </w:rPr>
        <w:t xml:space="preserve"> </w:t>
      </w:r>
      <w:r w:rsidRPr="00BE086B">
        <w:rPr>
          <w:bCs/>
          <w:sz w:val="28"/>
          <w:szCs w:val="28"/>
        </w:rPr>
        <w:t>DB</w:t>
      </w:r>
      <w:r w:rsidRPr="00BE086B">
        <w:rPr>
          <w:sz w:val="28"/>
          <w:szCs w:val="28"/>
          <w:lang w:val="uk-UA"/>
        </w:rPr>
        <w:t xml:space="preserve"> в</w:t>
      </w:r>
      <w:r w:rsidR="00215BF6" w:rsidRPr="00BE086B">
        <w:rPr>
          <w:sz w:val="28"/>
          <w:szCs w:val="28"/>
          <w:lang w:val="uk-UA"/>
        </w:rPr>
        <w:t>становлено, що ензими та біотрансформаційні системи, що залучені до метаболізму кожної із сполук, є різними, не мають окремої специфічності та мають високу активність в організмі. Так, ізоформи цитохрому CYP2С9, що здійснюють ароматичне гідроксилювання, мають високу активність, оскільки приймають участь у першій фазі метаболізму (функціонуванні) різних за структурою сполук. Аналогічно УДФ-глюкуронілтрансфераза та глюкуроносульфотрансфераза, що виконують синтез кон’югатів (друга фаза метаболізму) не є субстрат-специфічними, внаслідок чого для вказаної комбінації сполук не очікується взаємодія на метаболічному рівні.</w:t>
      </w:r>
    </w:p>
    <w:p w:rsidR="00215BF6" w:rsidRPr="00BE086B" w:rsidRDefault="00215BF6" w:rsidP="009D0803">
      <w:pPr>
        <w:spacing w:line="360" w:lineRule="auto"/>
        <w:ind w:firstLine="709"/>
        <w:jc w:val="both"/>
        <w:rPr>
          <w:sz w:val="28"/>
          <w:szCs w:val="28"/>
          <w:lang w:val="uk-UA"/>
        </w:rPr>
      </w:pPr>
      <w:r w:rsidRPr="00BE086B">
        <w:rPr>
          <w:sz w:val="28"/>
          <w:szCs w:val="28"/>
          <w:lang w:val="uk-UA"/>
        </w:rPr>
        <w:t>Відомо, що розподіл сполук між органами та тканинами може бути як пасивним процесом, напрямок якого визначається фізико-хімічними властивостями речовин, так й активним, якщо у ньому задіяні активні переносники</w:t>
      </w:r>
      <w:r w:rsidR="00F63285" w:rsidRPr="00BE086B">
        <w:rPr>
          <w:sz w:val="28"/>
          <w:szCs w:val="28"/>
        </w:rPr>
        <w:t xml:space="preserve"> </w:t>
      </w:r>
      <w:r w:rsidR="00F63285" w:rsidRPr="00BE086B">
        <w:rPr>
          <w:bCs/>
          <w:sz w:val="28"/>
          <w:szCs w:val="28"/>
          <w:lang w:val="uk-UA"/>
        </w:rPr>
        <w:t>[275]</w:t>
      </w:r>
      <w:r w:rsidRPr="00BE086B">
        <w:rPr>
          <w:sz w:val="28"/>
          <w:szCs w:val="28"/>
          <w:lang w:val="uk-UA"/>
        </w:rPr>
        <w:t xml:space="preserve">. Аналіз показав, що з досліджуваних сполук лише </w:t>
      </w:r>
      <w:r w:rsidRPr="00BE086B">
        <w:rPr>
          <w:sz w:val="28"/>
          <w:szCs w:val="28"/>
          <w:lang w:val="uk-UA"/>
        </w:rPr>
        <w:lastRenderedPageBreak/>
        <w:t>левотироксин використовує специфічні транспортні системи, оскільки його дія реалізується через вплив на генетичний апарат клітини та процеси транскрипції. Відсутність можливої взаємодії між ними також підтверджується різним ступенем зв’язування з білками плазми крові, переважно – альбуміном, який виконує транспортну функцію для ліпофільних сполук. Встановлено, що лише левотироксин у досить великому ступені зв’язується та транспортується альбуміном, тоді як водорозчинні хондроїтин-4 сульфат та диклофенак натрію (як зазначалось, за фізіологічних умов вони існують у вигляді гідрофільних аніонів) майже не взаємодіють із альбуміном. Результатом цього також є різна величина часу напівелімінації – більш водорозчинні сполуки, що у подальшому можуть утворювати глюкуронові чи сульфатні кон’югати, мають менший час напівелімінації, ніж високоліпофільний левотироксин.</w:t>
      </w:r>
    </w:p>
    <w:p w:rsidR="00215BF6" w:rsidRPr="00BE086B" w:rsidRDefault="00A40910" w:rsidP="009D0803">
      <w:pPr>
        <w:spacing w:line="360" w:lineRule="auto"/>
        <w:ind w:firstLine="709"/>
        <w:jc w:val="both"/>
        <w:rPr>
          <w:sz w:val="28"/>
          <w:szCs w:val="28"/>
          <w:lang w:val="uk-UA"/>
        </w:rPr>
      </w:pPr>
      <w:r w:rsidRPr="00BE086B">
        <w:rPr>
          <w:sz w:val="28"/>
          <w:szCs w:val="28"/>
          <w:lang w:val="uk-UA"/>
        </w:rPr>
        <w:t>В</w:t>
      </w:r>
      <w:r w:rsidR="00215BF6" w:rsidRPr="00BE086B">
        <w:rPr>
          <w:sz w:val="28"/>
          <w:szCs w:val="28"/>
          <w:lang w:val="uk-UA"/>
        </w:rPr>
        <w:t xml:space="preserve">изначено, що екскреція </w:t>
      </w:r>
      <w:r w:rsidR="00215BF6" w:rsidRPr="00BE086B">
        <w:rPr>
          <w:bCs/>
          <w:sz w:val="28"/>
          <w:szCs w:val="28"/>
          <w:lang w:val="uk-UA"/>
        </w:rPr>
        <w:t>хондроїтину-4 сульфату, диклофенаку натрію і L-тироксину</w:t>
      </w:r>
      <w:r w:rsidR="00215BF6" w:rsidRPr="00BE086B">
        <w:rPr>
          <w:sz w:val="28"/>
          <w:szCs w:val="28"/>
          <w:lang w:val="uk-UA"/>
        </w:rPr>
        <w:t xml:space="preserve"> та їх метаболітів здійснюється переважно із сечею та, у вигляді кон’югатів, частково із калом. Оскільки для жодної із сполук не виявлено специфічних та унікальних транспортних систем, також слід визначити, що екскреція їх відбувається незалежними процесами, а їх вплив на інші не очікується.</w:t>
      </w: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Проведений аналіз </w:t>
      </w:r>
      <w:r w:rsidR="00A40910" w:rsidRPr="00BE086B">
        <w:rPr>
          <w:sz w:val="28"/>
          <w:szCs w:val="28"/>
          <w:lang w:val="uk-UA"/>
        </w:rPr>
        <w:t xml:space="preserve">за допомогою програми </w:t>
      </w:r>
      <w:r w:rsidR="00A40910" w:rsidRPr="00BE086B">
        <w:rPr>
          <w:bCs/>
          <w:sz w:val="28"/>
          <w:szCs w:val="28"/>
        </w:rPr>
        <w:t>ACD</w:t>
      </w:r>
      <w:r w:rsidR="00A40910" w:rsidRPr="00BE086B">
        <w:rPr>
          <w:bCs/>
          <w:sz w:val="28"/>
          <w:szCs w:val="28"/>
          <w:lang w:val="uk-UA"/>
        </w:rPr>
        <w:t>/</w:t>
      </w:r>
      <w:r w:rsidR="00A40910" w:rsidRPr="00BE086B">
        <w:rPr>
          <w:bCs/>
          <w:sz w:val="28"/>
          <w:szCs w:val="28"/>
        </w:rPr>
        <w:t>pKa</w:t>
      </w:r>
      <w:r w:rsidR="00A40910" w:rsidRPr="00BE086B">
        <w:rPr>
          <w:bCs/>
          <w:sz w:val="28"/>
          <w:szCs w:val="28"/>
          <w:lang w:val="uk-UA"/>
        </w:rPr>
        <w:t xml:space="preserve"> </w:t>
      </w:r>
      <w:r w:rsidR="00A40910" w:rsidRPr="00BE086B">
        <w:rPr>
          <w:bCs/>
          <w:sz w:val="28"/>
          <w:szCs w:val="28"/>
        </w:rPr>
        <w:t>DB</w:t>
      </w:r>
      <w:r w:rsidR="00A40910" w:rsidRPr="00BE086B">
        <w:rPr>
          <w:sz w:val="28"/>
          <w:szCs w:val="28"/>
          <w:lang w:val="uk-UA"/>
        </w:rPr>
        <w:t xml:space="preserve"> </w:t>
      </w:r>
      <w:r w:rsidRPr="00BE086B">
        <w:rPr>
          <w:sz w:val="28"/>
          <w:szCs w:val="28"/>
          <w:lang w:val="uk-UA"/>
        </w:rPr>
        <w:t>показав, що взаємодія на рівні реалізації біологічної відповіді є кінцевим та найважливішим етапом сумісного застосування ліків. Поєднане використання декількох активних сполук може дозволити знизити їх дозу, зменшуючи ризик розвитку побічних дій, токсичних ефектів при передозуванні. За умов антагоністичної дії можливий антидотний ефект, або, у рідких випадках, навіть зміна спрямованості кінцевої біологічної відповіді. Тому аналіз взаємодії на фармакодинамічному рівні є одним з необхідних при оцінці можливості застосування комбінації ліків</w:t>
      </w:r>
      <w:r w:rsidR="009038F6">
        <w:rPr>
          <w:sz w:val="28"/>
          <w:szCs w:val="28"/>
          <w:lang w:val="uk-UA"/>
        </w:rPr>
        <w:t xml:space="preserve"> </w:t>
      </w:r>
      <w:r w:rsidR="009038F6" w:rsidRPr="00BE086B">
        <w:rPr>
          <w:sz w:val="28"/>
          <w:szCs w:val="28"/>
          <w:lang w:val="uk-UA"/>
        </w:rPr>
        <w:t>[462]</w:t>
      </w:r>
      <w:r w:rsidRPr="00BE086B">
        <w:rPr>
          <w:sz w:val="28"/>
          <w:szCs w:val="28"/>
          <w:lang w:val="uk-UA"/>
        </w:rPr>
        <w:t>.</w:t>
      </w: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Дослідження </w:t>
      </w:r>
      <w:r w:rsidR="00A40910" w:rsidRPr="00BE086B">
        <w:rPr>
          <w:sz w:val="28"/>
          <w:szCs w:val="28"/>
          <w:lang w:val="uk-UA"/>
        </w:rPr>
        <w:t xml:space="preserve">у програмі </w:t>
      </w:r>
      <w:r w:rsidR="00A40910" w:rsidRPr="00BE086B">
        <w:rPr>
          <w:bCs/>
          <w:sz w:val="28"/>
          <w:szCs w:val="28"/>
        </w:rPr>
        <w:t>ACD</w:t>
      </w:r>
      <w:r w:rsidR="00A40910" w:rsidRPr="00BE086B">
        <w:rPr>
          <w:bCs/>
          <w:sz w:val="28"/>
          <w:szCs w:val="28"/>
          <w:lang w:val="uk-UA"/>
        </w:rPr>
        <w:t>/</w:t>
      </w:r>
      <w:r w:rsidR="00A40910" w:rsidRPr="00BE086B">
        <w:rPr>
          <w:bCs/>
          <w:sz w:val="28"/>
          <w:szCs w:val="28"/>
        </w:rPr>
        <w:t>pKa</w:t>
      </w:r>
      <w:r w:rsidR="00A40910" w:rsidRPr="00BE086B">
        <w:rPr>
          <w:bCs/>
          <w:sz w:val="28"/>
          <w:szCs w:val="28"/>
          <w:lang w:val="uk-UA"/>
        </w:rPr>
        <w:t xml:space="preserve"> </w:t>
      </w:r>
      <w:r w:rsidR="00A40910" w:rsidRPr="00BE086B">
        <w:rPr>
          <w:bCs/>
          <w:sz w:val="28"/>
          <w:szCs w:val="28"/>
        </w:rPr>
        <w:t>DB</w:t>
      </w:r>
      <w:r w:rsidR="00A40910" w:rsidRPr="00BE086B">
        <w:rPr>
          <w:sz w:val="28"/>
          <w:szCs w:val="28"/>
          <w:lang w:val="uk-UA"/>
        </w:rPr>
        <w:t xml:space="preserve"> </w:t>
      </w:r>
      <w:r w:rsidRPr="00BE086B">
        <w:rPr>
          <w:sz w:val="28"/>
          <w:szCs w:val="28"/>
          <w:lang w:val="uk-UA"/>
        </w:rPr>
        <w:t xml:space="preserve">показало, що біологічні мішені </w:t>
      </w:r>
      <w:r w:rsidRPr="00BE086B">
        <w:rPr>
          <w:bCs/>
          <w:sz w:val="28"/>
          <w:szCs w:val="28"/>
          <w:lang w:val="uk-UA"/>
        </w:rPr>
        <w:t>хондроїтину-4 сульфату, диклофенаку натрію і L-тироксину</w:t>
      </w:r>
      <w:r w:rsidRPr="00BE086B">
        <w:rPr>
          <w:sz w:val="28"/>
          <w:szCs w:val="28"/>
          <w:lang w:val="uk-UA"/>
        </w:rPr>
        <w:t xml:space="preserve"> мають різні </w:t>
      </w:r>
      <w:r w:rsidRPr="00BE086B">
        <w:rPr>
          <w:sz w:val="28"/>
          <w:szCs w:val="28"/>
          <w:lang w:val="uk-UA"/>
        </w:rPr>
        <w:lastRenderedPageBreak/>
        <w:t>напрямки біологічної дії та цільовий фармакологічний ефект. Так, диклофенак натрію є класичним інгібітором циклооксигенази 1 та 2 типу (ЦОГ-1 та ЦОГ-2) і його ефектами через пригнічення активності цього ензиму та зменшення синтезу простагландинів є переважно знеболююча та протизапальна дія, левотироксин у низьких дозах має анаболічний ефект, прискорюючи метаболізм ліпідів, вуглеводів та білків, а хондроїтину-4 сульфат виступає переважно, як хондропротектор</w:t>
      </w:r>
      <w:r w:rsidR="009038F6">
        <w:rPr>
          <w:sz w:val="28"/>
          <w:szCs w:val="28"/>
          <w:lang w:val="uk-UA"/>
        </w:rPr>
        <w:t xml:space="preserve"> </w:t>
      </w:r>
      <w:r w:rsidR="009038F6" w:rsidRPr="00BE086B">
        <w:rPr>
          <w:sz w:val="28"/>
          <w:szCs w:val="28"/>
          <w:lang w:val="uk-UA"/>
        </w:rPr>
        <w:t>[</w:t>
      </w:r>
      <w:r w:rsidR="009038F6">
        <w:rPr>
          <w:sz w:val="28"/>
          <w:szCs w:val="28"/>
          <w:lang w:val="uk-UA"/>
        </w:rPr>
        <w:t xml:space="preserve">360, </w:t>
      </w:r>
      <w:r w:rsidR="009038F6" w:rsidRPr="00BE086B">
        <w:rPr>
          <w:sz w:val="28"/>
          <w:szCs w:val="28"/>
          <w:lang w:val="uk-UA"/>
        </w:rPr>
        <w:t>462]</w:t>
      </w:r>
      <w:r w:rsidRPr="00BE086B">
        <w:rPr>
          <w:sz w:val="28"/>
          <w:szCs w:val="28"/>
          <w:lang w:val="uk-UA"/>
        </w:rPr>
        <w:t>.</w:t>
      </w:r>
    </w:p>
    <w:p w:rsidR="00215BF6" w:rsidRPr="00BE086B" w:rsidRDefault="00215BF6" w:rsidP="009D0803">
      <w:pPr>
        <w:spacing w:line="360" w:lineRule="auto"/>
        <w:ind w:firstLine="709"/>
        <w:jc w:val="both"/>
        <w:rPr>
          <w:sz w:val="28"/>
          <w:szCs w:val="28"/>
          <w:lang w:val="uk-UA"/>
        </w:rPr>
      </w:pPr>
      <w:r w:rsidRPr="00BE086B">
        <w:rPr>
          <w:sz w:val="28"/>
          <w:szCs w:val="28"/>
          <w:lang w:val="uk-UA"/>
        </w:rPr>
        <w:t>З огляду на вищезазначене можна стверджувати, що на рівні фармакологічної взаємодії можна очікувати поєднаного та односпрямованого впливу комбінованого застосування активних речовин (</w:t>
      </w:r>
      <w:r w:rsidRPr="00BE086B">
        <w:rPr>
          <w:bCs/>
          <w:sz w:val="28"/>
          <w:szCs w:val="28"/>
          <w:lang w:val="uk-UA"/>
        </w:rPr>
        <w:t>хондроїтину-4 сульфату, диклофенаку натрію і L-тироксину)</w:t>
      </w:r>
      <w:r w:rsidRPr="00BE086B">
        <w:rPr>
          <w:sz w:val="28"/>
          <w:szCs w:val="28"/>
          <w:lang w:val="uk-UA"/>
        </w:rPr>
        <w:t>, зокрема, при порушеннях синтезу хрящової тканини, для відновлення структур сполучної тканини та для комплексного етіотропного та симптоматичного лікування остеоартрозу, гіпотиреозу та пов’язаних з ними станів</w:t>
      </w:r>
      <w:r w:rsidR="009038F6">
        <w:rPr>
          <w:sz w:val="28"/>
          <w:szCs w:val="28"/>
          <w:lang w:val="uk-UA"/>
        </w:rPr>
        <w:t xml:space="preserve"> </w:t>
      </w:r>
      <w:r w:rsidR="009038F6" w:rsidRPr="00BE086B">
        <w:rPr>
          <w:sz w:val="28"/>
          <w:szCs w:val="28"/>
          <w:lang w:val="uk-UA"/>
        </w:rPr>
        <w:t>[</w:t>
      </w:r>
      <w:r w:rsidR="009038F6">
        <w:rPr>
          <w:sz w:val="28"/>
          <w:szCs w:val="28"/>
          <w:lang w:val="uk-UA"/>
        </w:rPr>
        <w:t>360</w:t>
      </w:r>
      <w:r w:rsidR="009038F6" w:rsidRPr="00BE086B">
        <w:rPr>
          <w:sz w:val="28"/>
          <w:szCs w:val="28"/>
          <w:lang w:val="uk-UA"/>
        </w:rPr>
        <w:t>]</w:t>
      </w:r>
      <w:r w:rsidRPr="00BE086B">
        <w:rPr>
          <w:sz w:val="28"/>
          <w:szCs w:val="28"/>
          <w:lang w:val="uk-UA"/>
        </w:rPr>
        <w:t>.</w:t>
      </w:r>
    </w:p>
    <w:p w:rsidR="00215BF6" w:rsidRPr="00BE086B" w:rsidRDefault="00215BF6" w:rsidP="009D0803">
      <w:pPr>
        <w:spacing w:line="360" w:lineRule="auto"/>
        <w:ind w:firstLine="709"/>
        <w:jc w:val="both"/>
        <w:rPr>
          <w:sz w:val="28"/>
          <w:szCs w:val="28"/>
          <w:lang w:val="uk-UA"/>
        </w:rPr>
      </w:pPr>
      <w:r w:rsidRPr="00BE086B">
        <w:rPr>
          <w:sz w:val="28"/>
          <w:szCs w:val="28"/>
          <w:lang w:val="uk-UA"/>
        </w:rPr>
        <w:t xml:space="preserve">На підставі проведеного дослідження </w:t>
      </w:r>
      <w:r w:rsidRPr="00BE086B">
        <w:rPr>
          <w:bCs/>
          <w:sz w:val="28"/>
          <w:szCs w:val="28"/>
          <w:lang w:val="uk-UA"/>
        </w:rPr>
        <w:t xml:space="preserve">фармакологічної ефективності та </w:t>
      </w:r>
      <w:r w:rsidRPr="00BE086B">
        <w:rPr>
          <w:rStyle w:val="translation-chunk"/>
          <w:bCs/>
          <w:sz w:val="28"/>
          <w:szCs w:val="28"/>
          <w:lang w:val="uk-UA"/>
        </w:rPr>
        <w:t>біофармацевтичного аналізу взаємодії</w:t>
      </w:r>
      <w:r w:rsidRPr="00BE086B">
        <w:rPr>
          <w:bCs/>
          <w:sz w:val="28"/>
          <w:szCs w:val="28"/>
          <w:lang w:val="uk-UA"/>
        </w:rPr>
        <w:t xml:space="preserve"> компонентів комбінованого засобу: диклофенак натрію, хондроїтин сульфат та L-тироксин при експериментальному остеоартрозі на тлі гіпотиреозу встановлено, що </w:t>
      </w:r>
      <w:r w:rsidRPr="00BE086B">
        <w:rPr>
          <w:sz w:val="28"/>
          <w:szCs w:val="28"/>
          <w:lang w:val="uk-UA"/>
        </w:rPr>
        <w:t xml:space="preserve">введення ХС упродовж 28 діб надає позитивний терапевтичний ефект за критерієм зменшення розміру колінних суглобів щурів на 19,8% </w:t>
      </w:r>
      <w:r w:rsidRPr="00BE086B">
        <w:rPr>
          <w:rFonts w:eastAsia="Microsoft YaHei"/>
          <w:iCs/>
          <w:sz w:val="28"/>
          <w:szCs w:val="28"/>
          <w:lang w:val="uk-UA" w:eastAsia="ru-RU"/>
        </w:rPr>
        <w:t xml:space="preserve">(р&lt;0,001) </w:t>
      </w:r>
      <w:r w:rsidRPr="00BE086B">
        <w:rPr>
          <w:sz w:val="28"/>
          <w:szCs w:val="28"/>
          <w:lang w:val="uk-UA"/>
        </w:rPr>
        <w:t>порівняно з відповідним показником у групі на початку введення препарату (ВС)</w:t>
      </w:r>
      <w:r w:rsidR="009038F6">
        <w:rPr>
          <w:sz w:val="28"/>
          <w:szCs w:val="28"/>
          <w:lang w:val="uk-UA"/>
        </w:rPr>
        <w:t xml:space="preserve"> </w:t>
      </w:r>
      <w:r w:rsidR="009038F6" w:rsidRPr="00BE086B">
        <w:rPr>
          <w:sz w:val="28"/>
          <w:szCs w:val="28"/>
          <w:lang w:val="uk-UA"/>
        </w:rPr>
        <w:t>[</w:t>
      </w:r>
      <w:r w:rsidR="009038F6">
        <w:rPr>
          <w:sz w:val="28"/>
          <w:szCs w:val="28"/>
          <w:lang w:val="uk-UA"/>
        </w:rPr>
        <w:t>360</w:t>
      </w:r>
      <w:r w:rsidR="009038F6" w:rsidRPr="00BE086B">
        <w:rPr>
          <w:sz w:val="28"/>
          <w:szCs w:val="28"/>
          <w:lang w:val="uk-UA"/>
        </w:rPr>
        <w:t>]</w:t>
      </w:r>
      <w:r w:rsidRPr="00BE086B">
        <w:rPr>
          <w:sz w:val="28"/>
          <w:szCs w:val="28"/>
          <w:lang w:val="uk-UA"/>
        </w:rPr>
        <w:t>.</w:t>
      </w:r>
    </w:p>
    <w:p w:rsidR="00215BF6" w:rsidRPr="00BE086B" w:rsidRDefault="00A40910" w:rsidP="009D0803">
      <w:pPr>
        <w:spacing w:line="360" w:lineRule="auto"/>
        <w:ind w:firstLine="709"/>
        <w:jc w:val="both"/>
        <w:rPr>
          <w:sz w:val="28"/>
          <w:szCs w:val="28"/>
        </w:rPr>
      </w:pPr>
      <w:r w:rsidRPr="00BE086B">
        <w:rPr>
          <w:sz w:val="28"/>
          <w:szCs w:val="28"/>
          <w:lang w:val="uk-UA"/>
        </w:rPr>
        <w:t>П</w:t>
      </w:r>
      <w:r w:rsidR="00215BF6" w:rsidRPr="00BE086B">
        <w:rPr>
          <w:sz w:val="28"/>
          <w:szCs w:val="28"/>
        </w:rPr>
        <w:t xml:space="preserve">ризначення ХС сприяло відновленню рухової та дослідницької активності щурів у порівнянні з групою активного контролю (ЕОА + ЕГ), що свідчило про позитивний вплив ХС на перебіг коморбідного стану. За призначення ХС достовірно збільшилася кількість досліджених квадратів у 2,13 рази </w:t>
      </w:r>
      <w:r w:rsidR="00215BF6" w:rsidRPr="00BE086B">
        <w:rPr>
          <w:rFonts w:eastAsia="Microsoft YaHei"/>
          <w:iCs/>
          <w:sz w:val="28"/>
          <w:szCs w:val="28"/>
          <w:lang w:eastAsia="ru-RU"/>
        </w:rPr>
        <w:t xml:space="preserve">(р&lt;0,001) </w:t>
      </w:r>
      <w:r w:rsidR="00215BF6" w:rsidRPr="00BE086B">
        <w:rPr>
          <w:sz w:val="28"/>
          <w:szCs w:val="28"/>
        </w:rPr>
        <w:t xml:space="preserve">у порівнянні з групою активного контролю (ЕОА + ЕГ). Кількість стійок та досліджених нірок при призначені ХС достовірно збільшились у 5,67 та 3,46 рази </w:t>
      </w:r>
      <w:r w:rsidR="00215BF6" w:rsidRPr="00BE086B">
        <w:rPr>
          <w:rFonts w:eastAsia="Microsoft YaHei"/>
          <w:iCs/>
          <w:sz w:val="28"/>
          <w:szCs w:val="28"/>
          <w:lang w:eastAsia="ru-RU"/>
        </w:rPr>
        <w:t xml:space="preserve">(р&lt;0,001) відповідно </w:t>
      </w:r>
      <w:r w:rsidR="00215BF6" w:rsidRPr="00BE086B">
        <w:rPr>
          <w:sz w:val="28"/>
          <w:szCs w:val="28"/>
        </w:rPr>
        <w:t xml:space="preserve">у порівнянні з групою активного контролю (ЕОА + ЕГ). Тривожний стан тварин при призначені ХС </w:t>
      </w:r>
      <w:r w:rsidR="00215BF6" w:rsidRPr="00BE086B">
        <w:rPr>
          <w:sz w:val="28"/>
          <w:szCs w:val="28"/>
        </w:rPr>
        <w:lastRenderedPageBreak/>
        <w:t>характеризувався тенденцією до вирівнювання емоціонального фону відносно групи активного контролю</w:t>
      </w:r>
      <w:r w:rsidR="009038F6">
        <w:rPr>
          <w:sz w:val="28"/>
          <w:szCs w:val="28"/>
          <w:lang w:val="uk-UA"/>
        </w:rPr>
        <w:t xml:space="preserve"> </w:t>
      </w:r>
      <w:r w:rsidR="009038F6" w:rsidRPr="00BE086B">
        <w:rPr>
          <w:sz w:val="28"/>
          <w:szCs w:val="28"/>
          <w:lang w:val="uk-UA"/>
        </w:rPr>
        <w:t>[</w:t>
      </w:r>
      <w:r w:rsidR="009038F6">
        <w:rPr>
          <w:sz w:val="28"/>
          <w:szCs w:val="28"/>
          <w:lang w:val="uk-UA"/>
        </w:rPr>
        <w:t>360</w:t>
      </w:r>
      <w:r w:rsidR="009038F6" w:rsidRPr="00BE086B">
        <w:rPr>
          <w:sz w:val="28"/>
          <w:szCs w:val="28"/>
          <w:lang w:val="uk-UA"/>
        </w:rPr>
        <w:t>]</w:t>
      </w:r>
      <w:r w:rsidR="00215BF6" w:rsidRPr="00BE086B">
        <w:rPr>
          <w:sz w:val="28"/>
          <w:szCs w:val="28"/>
        </w:rPr>
        <w:t>.</w:t>
      </w:r>
    </w:p>
    <w:p w:rsidR="00215BF6" w:rsidRPr="00BE086B" w:rsidRDefault="00215BF6" w:rsidP="009D0803">
      <w:pPr>
        <w:spacing w:line="360" w:lineRule="auto"/>
        <w:ind w:firstLine="709"/>
        <w:jc w:val="both"/>
        <w:rPr>
          <w:sz w:val="28"/>
          <w:szCs w:val="28"/>
        </w:rPr>
      </w:pPr>
      <w:r w:rsidRPr="00BE086B">
        <w:rPr>
          <w:sz w:val="28"/>
          <w:szCs w:val="28"/>
          <w:lang w:val="uk-UA"/>
        </w:rPr>
        <w:t>Н</w:t>
      </w:r>
      <w:r w:rsidRPr="00BE086B">
        <w:rPr>
          <w:sz w:val="28"/>
          <w:szCs w:val="28"/>
        </w:rPr>
        <w:t xml:space="preserve">а фоні 28-добового введення ХС (70 доба експерименту) відносно </w:t>
      </w:r>
      <w:r w:rsidRPr="00BE086B">
        <w:rPr>
          <w:rFonts w:eastAsia="Microsoft YaHei"/>
          <w:iCs/>
          <w:sz w:val="28"/>
          <w:szCs w:val="28"/>
          <w:lang w:eastAsia="ru-RU"/>
        </w:rPr>
        <w:t>групи активного контролю (</w:t>
      </w:r>
      <w:r w:rsidRPr="00BE086B">
        <w:rPr>
          <w:rFonts w:eastAsia="Microsoft YaHei"/>
          <w:sz w:val="28"/>
          <w:szCs w:val="28"/>
        </w:rPr>
        <w:t xml:space="preserve">ЕОА + ЕГ) </w:t>
      </w:r>
      <w:r w:rsidRPr="00BE086B">
        <w:rPr>
          <w:sz w:val="28"/>
          <w:szCs w:val="28"/>
        </w:rPr>
        <w:t xml:space="preserve">відмічалося достовірне зниження </w:t>
      </w:r>
      <w:r w:rsidRPr="00BE086B">
        <w:rPr>
          <w:rFonts w:eastAsia="Microsoft YaHei"/>
          <w:iCs/>
          <w:sz w:val="28"/>
          <w:szCs w:val="28"/>
          <w:lang w:eastAsia="ru-RU"/>
        </w:rPr>
        <w:t xml:space="preserve">(р&lt;0,001) </w:t>
      </w:r>
      <w:r w:rsidRPr="00BE086B">
        <w:rPr>
          <w:sz w:val="28"/>
          <w:szCs w:val="28"/>
        </w:rPr>
        <w:t>рівня серомукоїдів у 1,55 рази (на 35,4%)</w:t>
      </w:r>
      <w:r w:rsidRPr="00BE086B">
        <w:rPr>
          <w:rFonts w:eastAsia="Microsoft YaHei"/>
          <w:iCs/>
          <w:sz w:val="28"/>
          <w:szCs w:val="28"/>
          <w:lang w:eastAsia="ru-RU"/>
        </w:rPr>
        <w:t xml:space="preserve">, сіалових кислот у 1,56 рази (на 36,1%), ГАГ у 1,43 рази (на 30,3%), оксипроліну у 1,98 рази (на 49,5%) та кальцію у 1,65 рази (на 39,3%). </w:t>
      </w:r>
      <w:r w:rsidRPr="00BE086B">
        <w:rPr>
          <w:sz w:val="28"/>
          <w:szCs w:val="28"/>
        </w:rPr>
        <w:t xml:space="preserve">Звертає увагу зниження рівня маркеру СТХ II у 1,35 рази </w:t>
      </w:r>
      <w:r w:rsidRPr="00BE086B">
        <w:rPr>
          <w:rFonts w:eastAsia="Microsoft YaHei"/>
          <w:iCs/>
          <w:sz w:val="28"/>
          <w:szCs w:val="28"/>
          <w:lang w:eastAsia="ru-RU"/>
        </w:rPr>
        <w:t xml:space="preserve">(р&lt;0,001) </w:t>
      </w:r>
      <w:r w:rsidRPr="00BE086B">
        <w:rPr>
          <w:sz w:val="28"/>
          <w:szCs w:val="28"/>
        </w:rPr>
        <w:t xml:space="preserve">відносно </w:t>
      </w:r>
      <w:r w:rsidRPr="00BE086B">
        <w:rPr>
          <w:rFonts w:eastAsia="Microsoft YaHei"/>
          <w:iCs/>
          <w:sz w:val="28"/>
          <w:szCs w:val="28"/>
          <w:lang w:eastAsia="ru-RU"/>
        </w:rPr>
        <w:t>групи активного контролю (</w:t>
      </w:r>
      <w:r w:rsidRPr="00BE086B">
        <w:rPr>
          <w:rFonts w:eastAsia="Microsoft YaHei"/>
          <w:sz w:val="28"/>
          <w:szCs w:val="28"/>
        </w:rPr>
        <w:t>ЕОА + ЕГ)</w:t>
      </w:r>
      <w:r w:rsidRPr="00BE086B">
        <w:rPr>
          <w:sz w:val="28"/>
          <w:szCs w:val="28"/>
        </w:rPr>
        <w:t>, що відображає процес деструкції хрящової тканини, зокрема колагену II типу</w:t>
      </w:r>
      <w:r w:rsidR="009038F6">
        <w:rPr>
          <w:sz w:val="28"/>
          <w:szCs w:val="28"/>
          <w:lang w:val="uk-UA"/>
        </w:rPr>
        <w:t xml:space="preserve"> </w:t>
      </w:r>
      <w:r w:rsidR="009038F6" w:rsidRPr="00BE086B">
        <w:rPr>
          <w:sz w:val="28"/>
          <w:szCs w:val="28"/>
          <w:lang w:val="uk-UA"/>
        </w:rPr>
        <w:t>[</w:t>
      </w:r>
      <w:r w:rsidR="009038F6">
        <w:rPr>
          <w:sz w:val="28"/>
          <w:szCs w:val="28"/>
          <w:lang w:val="uk-UA"/>
        </w:rPr>
        <w:t>360</w:t>
      </w:r>
      <w:r w:rsidR="009038F6" w:rsidRPr="00BE086B">
        <w:rPr>
          <w:sz w:val="28"/>
          <w:szCs w:val="28"/>
          <w:lang w:val="uk-UA"/>
        </w:rPr>
        <w:t>]</w:t>
      </w:r>
      <w:r w:rsidRPr="00BE086B">
        <w:rPr>
          <w:sz w:val="28"/>
          <w:szCs w:val="28"/>
        </w:rPr>
        <w:t>.</w:t>
      </w:r>
    </w:p>
    <w:p w:rsidR="00215BF6" w:rsidRPr="00BE086B" w:rsidRDefault="00215BF6" w:rsidP="009D0803">
      <w:pPr>
        <w:spacing w:line="360" w:lineRule="auto"/>
        <w:ind w:firstLine="709"/>
        <w:jc w:val="both"/>
        <w:rPr>
          <w:sz w:val="28"/>
          <w:szCs w:val="28"/>
        </w:rPr>
      </w:pPr>
      <w:r w:rsidRPr="00BE086B">
        <w:rPr>
          <w:bCs/>
          <w:sz w:val="28"/>
          <w:szCs w:val="28"/>
        </w:rPr>
        <w:t xml:space="preserve">Аналіз результатів щодо впливу ХС на прояви ОА на фоні ГІТ встановив, що </w:t>
      </w:r>
      <w:r w:rsidRPr="00BE086B">
        <w:rPr>
          <w:sz w:val="28"/>
          <w:szCs w:val="28"/>
        </w:rPr>
        <w:t>ОА та ГІТ призводять до збільшення морфометричних розмірів уражених суглобів, пригнічення показників рухової, дослідницької та вегетативної активності щурів та змін біохімічних показників у сироватці крові на фоні запалення та дегенеративно-дистрофічного процесу (за рівнем серомукоїдів, сіалових кислот, глікозаміногліканів, оксипроліну, сивороткового кальцію та маркеру СТХ ІІ). Призначення ХС сприяло позитивному впливу на протікання патологічних змін внаслідок коморбідного стану, що характеризувався відновленням морфометричних розмірів уражених суглобів, показників рухової, дослідницької та вегетативної активності щурів та біохімічних показників (за рівнем серомукоїдів, сіалових кислот, глікозаміногліканів, оксипроліну, сивороткового кальцію та маркеру СТХ ІІ)</w:t>
      </w:r>
      <w:r w:rsidR="009038F6">
        <w:rPr>
          <w:sz w:val="28"/>
          <w:szCs w:val="28"/>
          <w:lang w:val="uk-UA"/>
        </w:rPr>
        <w:t xml:space="preserve"> </w:t>
      </w:r>
      <w:r w:rsidR="009038F6" w:rsidRPr="00BE086B">
        <w:rPr>
          <w:sz w:val="28"/>
          <w:szCs w:val="28"/>
          <w:lang w:val="uk-UA"/>
        </w:rPr>
        <w:t>[</w:t>
      </w:r>
      <w:r w:rsidR="009038F6">
        <w:rPr>
          <w:sz w:val="28"/>
          <w:szCs w:val="28"/>
          <w:lang w:val="uk-UA"/>
        </w:rPr>
        <w:t>360</w:t>
      </w:r>
      <w:r w:rsidR="009038F6" w:rsidRPr="00BE086B">
        <w:rPr>
          <w:sz w:val="28"/>
          <w:szCs w:val="28"/>
          <w:lang w:val="uk-UA"/>
        </w:rPr>
        <w:t>]</w:t>
      </w:r>
      <w:r w:rsidRPr="00BE086B">
        <w:rPr>
          <w:sz w:val="28"/>
          <w:szCs w:val="28"/>
        </w:rPr>
        <w:t>.</w:t>
      </w:r>
    </w:p>
    <w:p w:rsidR="00215BF6" w:rsidRPr="00BE086B" w:rsidRDefault="00215BF6" w:rsidP="009D0803">
      <w:pPr>
        <w:spacing w:line="360" w:lineRule="auto"/>
        <w:ind w:firstLine="709"/>
        <w:jc w:val="both"/>
        <w:rPr>
          <w:sz w:val="28"/>
          <w:szCs w:val="28"/>
        </w:rPr>
      </w:pPr>
      <w:r w:rsidRPr="00BE086B">
        <w:rPr>
          <w:sz w:val="28"/>
          <w:szCs w:val="28"/>
        </w:rPr>
        <w:t>На підставі отриманих результатів обґрунтована доцільність призначення ХС, як компоненту фармакотерапії при ОА та ГІТ.</w:t>
      </w:r>
    </w:p>
    <w:p w:rsidR="00215BF6" w:rsidRPr="00BE086B" w:rsidRDefault="00215BF6" w:rsidP="009D0803">
      <w:pPr>
        <w:spacing w:line="360" w:lineRule="auto"/>
        <w:ind w:firstLine="709"/>
        <w:jc w:val="both"/>
        <w:rPr>
          <w:sz w:val="28"/>
          <w:szCs w:val="28"/>
          <w:lang w:val="uk-UA"/>
        </w:rPr>
      </w:pPr>
      <w:r w:rsidRPr="00BE086B">
        <w:rPr>
          <w:sz w:val="28"/>
          <w:szCs w:val="28"/>
          <w:lang w:val="uk-UA" w:eastAsia="ru-RU"/>
        </w:rPr>
        <w:t xml:space="preserve">Аналіз отриманих результатів встановив, що антиноцицептивна дія за комбінованого застосування </w:t>
      </w:r>
      <w:r w:rsidRPr="00BE086B">
        <w:rPr>
          <w:sz w:val="28"/>
          <w:szCs w:val="28"/>
          <w:lang w:val="uk-UA"/>
        </w:rPr>
        <w:t xml:space="preserve">диклофенаку натрію + хондроїтину сульфату + L-тироксину </w:t>
      </w:r>
      <w:r w:rsidRPr="00BE086B">
        <w:rPr>
          <w:sz w:val="28"/>
          <w:szCs w:val="28"/>
          <w:lang w:val="uk-UA" w:eastAsia="ru-RU"/>
        </w:rPr>
        <w:t>проявлялась більш виражено</w:t>
      </w:r>
      <w:r w:rsidR="009038F6">
        <w:rPr>
          <w:sz w:val="28"/>
          <w:szCs w:val="28"/>
          <w:lang w:val="uk-UA" w:eastAsia="ru-RU"/>
        </w:rPr>
        <w:t xml:space="preserve"> </w:t>
      </w:r>
      <w:r w:rsidR="009038F6" w:rsidRPr="00BE086B">
        <w:rPr>
          <w:sz w:val="28"/>
          <w:szCs w:val="28"/>
          <w:lang w:val="uk-UA"/>
        </w:rPr>
        <w:t>[</w:t>
      </w:r>
      <w:r w:rsidR="009038F6">
        <w:rPr>
          <w:sz w:val="28"/>
          <w:szCs w:val="28"/>
          <w:lang w:val="uk-UA"/>
        </w:rPr>
        <w:t xml:space="preserve">360, </w:t>
      </w:r>
      <w:r w:rsidR="009038F6" w:rsidRPr="00BE086B">
        <w:rPr>
          <w:sz w:val="28"/>
          <w:szCs w:val="28"/>
          <w:lang w:val="uk-UA"/>
        </w:rPr>
        <w:t>462]</w:t>
      </w:r>
      <w:r w:rsidRPr="00BE086B">
        <w:rPr>
          <w:sz w:val="28"/>
          <w:szCs w:val="28"/>
          <w:lang w:val="uk-UA" w:eastAsia="ru-RU"/>
        </w:rPr>
        <w:t>.</w:t>
      </w:r>
    </w:p>
    <w:p w:rsidR="00215BF6" w:rsidRPr="00BE086B" w:rsidRDefault="00215BF6" w:rsidP="009D0803">
      <w:pPr>
        <w:spacing w:line="360" w:lineRule="auto"/>
        <w:ind w:firstLine="709"/>
        <w:jc w:val="both"/>
        <w:rPr>
          <w:sz w:val="28"/>
          <w:szCs w:val="28"/>
          <w:lang w:val="uk-UA"/>
        </w:rPr>
      </w:pPr>
      <w:r w:rsidRPr="00BE086B">
        <w:rPr>
          <w:bCs/>
          <w:sz w:val="28"/>
          <w:szCs w:val="28"/>
          <w:lang w:val="uk-UA" w:eastAsia="ru-RU"/>
        </w:rPr>
        <w:t xml:space="preserve">При оцінці аналгетичної активності досліджуваних препаратів методом термоподразнення хвоста у щурів встановлено, що </w:t>
      </w:r>
      <w:r w:rsidRPr="00BE086B">
        <w:rPr>
          <w:sz w:val="28"/>
          <w:szCs w:val="28"/>
          <w:lang w:val="uk-UA"/>
        </w:rPr>
        <w:t xml:space="preserve">препарат диклофенак </w:t>
      </w:r>
      <w:r w:rsidRPr="00BE086B">
        <w:rPr>
          <w:sz w:val="28"/>
          <w:szCs w:val="28"/>
          <w:lang w:val="uk-UA"/>
        </w:rPr>
        <w:lastRenderedPageBreak/>
        <w:t xml:space="preserve">натрію </w:t>
      </w:r>
      <w:r w:rsidRPr="00BE086B">
        <w:rPr>
          <w:sz w:val="28"/>
          <w:szCs w:val="28"/>
          <w:lang w:val="uk-UA" w:eastAsia="ru-RU"/>
        </w:rPr>
        <w:t>при внутрішньошлунковому одноразовому введенні у дозі 10 мг/кг показав максимальну знеболювальну активність на 90 хвилині експерименту, що проявлялося у зменшенні імерсії хвоста у 1,67 рази (р&lt;0,05)</w:t>
      </w:r>
      <w:r w:rsidR="009038F6">
        <w:rPr>
          <w:sz w:val="28"/>
          <w:szCs w:val="28"/>
          <w:lang w:val="uk-UA" w:eastAsia="ru-RU"/>
        </w:rPr>
        <w:t xml:space="preserve"> </w:t>
      </w:r>
      <w:r w:rsidR="009038F6" w:rsidRPr="00BE086B">
        <w:rPr>
          <w:sz w:val="28"/>
          <w:szCs w:val="28"/>
          <w:lang w:val="uk-UA"/>
        </w:rPr>
        <w:t>[</w:t>
      </w:r>
      <w:r w:rsidR="009038F6">
        <w:rPr>
          <w:sz w:val="28"/>
          <w:szCs w:val="28"/>
          <w:lang w:val="uk-UA"/>
        </w:rPr>
        <w:t>360</w:t>
      </w:r>
      <w:r w:rsidR="009038F6" w:rsidRPr="00BE086B">
        <w:rPr>
          <w:sz w:val="28"/>
          <w:szCs w:val="28"/>
          <w:lang w:val="uk-UA"/>
        </w:rPr>
        <w:t>]</w:t>
      </w:r>
      <w:r w:rsidRPr="00BE086B">
        <w:rPr>
          <w:sz w:val="28"/>
          <w:szCs w:val="28"/>
          <w:lang w:val="uk-UA" w:eastAsia="ru-RU"/>
        </w:rPr>
        <w:t>.</w:t>
      </w:r>
    </w:p>
    <w:p w:rsidR="00215BF6" w:rsidRPr="00BE086B" w:rsidRDefault="00215BF6" w:rsidP="009D0803">
      <w:pPr>
        <w:spacing w:line="360" w:lineRule="auto"/>
        <w:ind w:firstLine="709"/>
        <w:jc w:val="both"/>
        <w:rPr>
          <w:sz w:val="28"/>
          <w:szCs w:val="28"/>
          <w:lang w:val="uk-UA"/>
        </w:rPr>
      </w:pPr>
      <w:r w:rsidRPr="00BE086B">
        <w:rPr>
          <w:bCs/>
          <w:sz w:val="28"/>
          <w:szCs w:val="28"/>
          <w:lang w:val="uk-UA" w:eastAsia="ru-RU"/>
        </w:rPr>
        <w:t>Дослідження аналгетичної активності за комбінованого застосування ЛЗ (</w:t>
      </w:r>
      <w:r w:rsidRPr="00BE086B">
        <w:rPr>
          <w:sz w:val="28"/>
          <w:szCs w:val="28"/>
          <w:lang w:val="uk-UA" w:eastAsia="ru-RU"/>
        </w:rPr>
        <w:t>диклофенак натрію + хондроїтину сульфат + L-тироксин)</w:t>
      </w:r>
      <w:r w:rsidRPr="00BE086B">
        <w:rPr>
          <w:bCs/>
          <w:sz w:val="28"/>
          <w:szCs w:val="28"/>
          <w:lang w:val="uk-UA" w:eastAsia="ru-RU"/>
        </w:rPr>
        <w:t xml:space="preserve"> на моделі «оцтовокислих корчів» встановило, що </w:t>
      </w:r>
      <w:r w:rsidRPr="00BE086B">
        <w:rPr>
          <w:sz w:val="28"/>
          <w:szCs w:val="28"/>
          <w:lang w:val="uk-UA" w:eastAsia="ru-RU"/>
        </w:rPr>
        <w:t>введення д</w:t>
      </w:r>
      <w:r w:rsidRPr="00BE086B">
        <w:rPr>
          <w:sz w:val="28"/>
          <w:szCs w:val="28"/>
          <w:lang w:val="uk-UA"/>
        </w:rPr>
        <w:t xml:space="preserve">иклофенаку натрію </w:t>
      </w:r>
      <w:r w:rsidRPr="00BE086B">
        <w:rPr>
          <w:sz w:val="28"/>
          <w:szCs w:val="28"/>
          <w:lang w:val="uk-UA" w:eastAsia="ru-RU"/>
        </w:rPr>
        <w:t xml:space="preserve">призводить до істотного зниження кількості «оцтовокислих корчів» у 2,96 рази </w:t>
      </w:r>
      <w:r w:rsidRPr="00BE086B">
        <w:rPr>
          <w:sz w:val="28"/>
          <w:szCs w:val="28"/>
          <w:lang w:eastAsia="ru-RU"/>
        </w:rPr>
        <w:t>(р&lt;0,001)</w:t>
      </w:r>
      <w:r w:rsidRPr="00BE086B">
        <w:rPr>
          <w:sz w:val="28"/>
          <w:szCs w:val="28"/>
          <w:lang w:val="uk-UA" w:eastAsia="ru-RU"/>
        </w:rPr>
        <w:t>. У меншій мірі досліджуваний показник знижувався на тлі введення ХС, де редукція корчів склала 1,47 рази (</w:t>
      </w:r>
      <w:r w:rsidRPr="00BE086B">
        <w:rPr>
          <w:sz w:val="28"/>
          <w:szCs w:val="28"/>
          <w:lang w:eastAsia="ru-RU"/>
        </w:rPr>
        <w:t>р&lt;0,001</w:t>
      </w:r>
      <w:r w:rsidRPr="00BE086B">
        <w:rPr>
          <w:sz w:val="28"/>
          <w:szCs w:val="28"/>
          <w:lang w:val="uk-UA" w:eastAsia="ru-RU"/>
        </w:rPr>
        <w:t>)</w:t>
      </w:r>
      <w:r w:rsidR="009038F6">
        <w:rPr>
          <w:sz w:val="28"/>
          <w:szCs w:val="28"/>
          <w:lang w:val="uk-UA" w:eastAsia="ru-RU"/>
        </w:rPr>
        <w:t xml:space="preserve"> </w:t>
      </w:r>
      <w:r w:rsidR="009038F6" w:rsidRPr="00BE086B">
        <w:rPr>
          <w:sz w:val="28"/>
          <w:szCs w:val="28"/>
          <w:lang w:val="uk-UA"/>
        </w:rPr>
        <w:t>[</w:t>
      </w:r>
      <w:r w:rsidR="009038F6">
        <w:rPr>
          <w:sz w:val="28"/>
          <w:szCs w:val="28"/>
          <w:lang w:val="uk-UA"/>
        </w:rPr>
        <w:t>360</w:t>
      </w:r>
      <w:r w:rsidR="009038F6" w:rsidRPr="00BE086B">
        <w:rPr>
          <w:sz w:val="28"/>
          <w:szCs w:val="28"/>
          <w:lang w:val="uk-UA"/>
        </w:rPr>
        <w:t>]</w:t>
      </w:r>
      <w:r w:rsidRPr="00BE086B">
        <w:rPr>
          <w:sz w:val="28"/>
          <w:szCs w:val="28"/>
          <w:lang w:val="uk-UA" w:eastAsia="ru-RU"/>
        </w:rPr>
        <w:t>.</w:t>
      </w:r>
    </w:p>
    <w:p w:rsidR="00215BF6" w:rsidRPr="00BE086B" w:rsidRDefault="00215BF6" w:rsidP="009D0803">
      <w:pPr>
        <w:pStyle w:val="WW-"/>
        <w:spacing w:after="0" w:line="360" w:lineRule="auto"/>
        <w:ind w:firstLine="709"/>
        <w:jc w:val="both"/>
        <w:rPr>
          <w:rFonts w:ascii="Times New Roman" w:eastAsia="Times New Roman" w:hAnsi="Times New Roman" w:cs="Times New Roman"/>
          <w:color w:val="auto"/>
          <w:sz w:val="28"/>
          <w:szCs w:val="28"/>
          <w:lang w:eastAsia="ru-RU"/>
        </w:rPr>
      </w:pPr>
      <w:r w:rsidRPr="00BE086B">
        <w:rPr>
          <w:rFonts w:ascii="Times New Roman" w:eastAsia="Times New Roman" w:hAnsi="Times New Roman" w:cs="Times New Roman"/>
          <w:color w:val="auto"/>
          <w:sz w:val="28"/>
          <w:szCs w:val="28"/>
          <w:lang w:eastAsia="ru-RU"/>
        </w:rPr>
        <w:t>Таким чином, аналіз результатів проведених досліджень за комбінованого застосування д</w:t>
      </w:r>
      <w:r w:rsidRPr="00BE086B">
        <w:rPr>
          <w:rFonts w:ascii="Times New Roman" w:hAnsi="Times New Roman" w:cs="Times New Roman"/>
          <w:color w:val="auto"/>
          <w:sz w:val="28"/>
          <w:szCs w:val="28"/>
        </w:rPr>
        <w:t xml:space="preserve">иклофенаку натрію, ХС та L-тироксину </w:t>
      </w:r>
      <w:r w:rsidRPr="00BE086B">
        <w:rPr>
          <w:rStyle w:val="Default20Paragraph20Font"/>
          <w:rFonts w:ascii="Times New Roman" w:hAnsi="Times New Roman" w:cs="Times New Roman"/>
          <w:bCs/>
          <w:iCs/>
          <w:color w:val="auto"/>
          <w:sz w:val="28"/>
          <w:szCs w:val="28"/>
        </w:rPr>
        <w:t xml:space="preserve">на моделях електрошкірного подразнення хвоста щура, </w:t>
      </w:r>
      <w:r w:rsidRPr="00BE086B">
        <w:rPr>
          <w:rFonts w:ascii="Times New Roman" w:eastAsia="Times New Roman" w:hAnsi="Times New Roman" w:cs="Times New Roman"/>
          <w:bCs/>
          <w:color w:val="auto"/>
          <w:sz w:val="28"/>
          <w:szCs w:val="28"/>
          <w:lang w:eastAsia="ru-RU"/>
        </w:rPr>
        <w:t xml:space="preserve">термоподразнення хвоста щура та «оцтовокислих корчів» </w:t>
      </w:r>
      <w:r w:rsidRPr="00BE086B">
        <w:rPr>
          <w:rFonts w:ascii="Times New Roman" w:eastAsia="Times New Roman" w:hAnsi="Times New Roman" w:cs="Times New Roman"/>
          <w:color w:val="auto"/>
          <w:sz w:val="28"/>
          <w:szCs w:val="28"/>
          <w:lang w:eastAsia="ru-RU"/>
        </w:rPr>
        <w:t>при одноразовому внутрішньошлунковому введені визначив виражений аналгетичний ефект, що за силою дії перевищував дію окремих препаратів</w:t>
      </w:r>
      <w:r w:rsidR="009038F6">
        <w:rPr>
          <w:rFonts w:ascii="Times New Roman" w:eastAsia="Times New Roman" w:hAnsi="Times New Roman" w:cs="Times New Roman"/>
          <w:color w:val="auto"/>
          <w:sz w:val="28"/>
          <w:szCs w:val="28"/>
          <w:lang w:val="uk-UA" w:eastAsia="ru-RU"/>
        </w:rPr>
        <w:t xml:space="preserve"> </w:t>
      </w:r>
      <w:r w:rsidR="009038F6" w:rsidRPr="003F78D9">
        <w:rPr>
          <w:rFonts w:ascii="Times New Roman" w:hAnsi="Times New Roman" w:cs="Times New Roman"/>
          <w:color w:val="auto"/>
          <w:sz w:val="28"/>
          <w:szCs w:val="28"/>
          <w:lang w:val="uk-UA"/>
        </w:rPr>
        <w:t>[</w:t>
      </w:r>
      <w:r w:rsidR="009038F6" w:rsidRPr="003F78D9">
        <w:rPr>
          <w:rFonts w:ascii="Times New Roman" w:hAnsi="Times New Roman" w:cs="Times New Roman"/>
          <w:sz w:val="28"/>
          <w:szCs w:val="28"/>
          <w:lang w:val="uk-UA"/>
        </w:rPr>
        <w:t xml:space="preserve">360, </w:t>
      </w:r>
      <w:r w:rsidR="009038F6" w:rsidRPr="003F78D9">
        <w:rPr>
          <w:rFonts w:ascii="Times New Roman" w:hAnsi="Times New Roman" w:cs="Times New Roman"/>
          <w:color w:val="auto"/>
          <w:sz w:val="28"/>
          <w:szCs w:val="28"/>
          <w:lang w:val="uk-UA"/>
        </w:rPr>
        <w:t>462]</w:t>
      </w:r>
      <w:r w:rsidRPr="00BE086B">
        <w:rPr>
          <w:rFonts w:ascii="Times New Roman" w:eastAsia="Times New Roman" w:hAnsi="Times New Roman" w:cs="Times New Roman"/>
          <w:color w:val="auto"/>
          <w:sz w:val="28"/>
          <w:szCs w:val="28"/>
          <w:lang w:eastAsia="ru-RU"/>
        </w:rPr>
        <w:t>.</w:t>
      </w:r>
    </w:p>
    <w:p w:rsidR="00215BF6" w:rsidRPr="00BE086B" w:rsidRDefault="00215BF6" w:rsidP="009D0803">
      <w:pPr>
        <w:spacing w:line="360" w:lineRule="auto"/>
        <w:ind w:firstLine="709"/>
        <w:jc w:val="both"/>
        <w:rPr>
          <w:sz w:val="28"/>
          <w:szCs w:val="28"/>
          <w:lang w:val="uk-UA"/>
        </w:rPr>
      </w:pPr>
      <w:r w:rsidRPr="00BE086B">
        <w:rPr>
          <w:sz w:val="28"/>
          <w:szCs w:val="28"/>
          <w:lang w:val="uk-UA"/>
        </w:rPr>
        <w:t>На підставі б</w:t>
      </w:r>
      <w:r w:rsidRPr="00BE086B">
        <w:rPr>
          <w:rStyle w:val="translation-chunk"/>
          <w:bCs/>
          <w:sz w:val="28"/>
          <w:szCs w:val="28"/>
          <w:lang w:val="uk-UA"/>
        </w:rPr>
        <w:t>іофармацевтичного аналізу взаємодії</w:t>
      </w:r>
      <w:r w:rsidRPr="00BE086B">
        <w:rPr>
          <w:bCs/>
          <w:sz w:val="28"/>
          <w:szCs w:val="28"/>
          <w:lang w:val="uk-UA"/>
        </w:rPr>
        <w:t xml:space="preserve"> компонентів комбінованого засобу - диклофенак натрію, хондроїтин сульфат та L-тироксин при експериментальному остеоартрозі на тлі гіпотиреозу </w:t>
      </w:r>
      <w:r w:rsidRPr="00BE086B">
        <w:rPr>
          <w:sz w:val="28"/>
          <w:szCs w:val="28"/>
          <w:lang w:val="uk-UA"/>
        </w:rPr>
        <w:t xml:space="preserve">встановлено, що використання комбінації </w:t>
      </w:r>
      <w:r w:rsidRPr="00BE086B">
        <w:rPr>
          <w:sz w:val="28"/>
          <w:szCs w:val="28"/>
        </w:rPr>
        <w:t>L</w:t>
      </w:r>
      <w:r w:rsidRPr="00BE086B">
        <w:rPr>
          <w:sz w:val="28"/>
          <w:szCs w:val="28"/>
          <w:lang w:val="uk-UA"/>
        </w:rPr>
        <w:t>-тироксину, диклофенаку натрію та ХС на фоні ОА та ГІТ доцільно, як з боку фармакологічної активності - спостерігається більш потужний знеболювальний ефект – позитивна фармакодинаміка, так і з боку відсутності біофармацевтичної взаємодії між препаратами - компонентами комбінації - позитивна фармакокінетика. Призначення ХС сприяє позитивному впливу на перебіг патологічних змін за коморбідного стану, що характеризується відновленням морфометричних розмірів уражених суглобів, показників рухової, дослідницької та вегетативної активності щурів та біохімічних показників</w:t>
      </w:r>
      <w:r w:rsidR="009038F6">
        <w:rPr>
          <w:sz w:val="28"/>
          <w:szCs w:val="28"/>
          <w:lang w:val="uk-UA"/>
        </w:rPr>
        <w:t xml:space="preserve"> </w:t>
      </w:r>
      <w:r w:rsidR="009038F6" w:rsidRPr="003F78D9">
        <w:rPr>
          <w:sz w:val="28"/>
          <w:szCs w:val="28"/>
          <w:lang w:val="uk-UA"/>
        </w:rPr>
        <w:t>[360, 462]</w:t>
      </w:r>
      <w:r w:rsidRPr="00BE086B">
        <w:rPr>
          <w:sz w:val="28"/>
          <w:szCs w:val="28"/>
          <w:lang w:val="uk-UA"/>
        </w:rPr>
        <w:t>.</w:t>
      </w:r>
    </w:p>
    <w:p w:rsidR="001D13A3" w:rsidRPr="00BE086B" w:rsidRDefault="001D13A3" w:rsidP="009D0803">
      <w:pPr>
        <w:pStyle w:val="af0"/>
        <w:ind w:firstLine="709"/>
        <w:jc w:val="both"/>
        <w:rPr>
          <w:sz w:val="28"/>
          <w:szCs w:val="28"/>
          <w:lang w:val="uk-UA"/>
        </w:rPr>
      </w:pPr>
    </w:p>
    <w:p w:rsidR="00BC1614" w:rsidRDefault="00BC1614" w:rsidP="009D0803">
      <w:pPr>
        <w:pStyle w:val="af0"/>
        <w:ind w:firstLine="709"/>
        <w:jc w:val="both"/>
        <w:rPr>
          <w:sz w:val="28"/>
          <w:szCs w:val="28"/>
          <w:lang w:val="uk-UA"/>
        </w:rPr>
      </w:pPr>
    </w:p>
    <w:p w:rsidR="00125A5A" w:rsidRPr="00BE086B" w:rsidRDefault="00125A5A" w:rsidP="009D0803">
      <w:pPr>
        <w:pStyle w:val="af0"/>
        <w:ind w:firstLine="709"/>
        <w:jc w:val="both"/>
        <w:rPr>
          <w:sz w:val="28"/>
          <w:szCs w:val="28"/>
          <w:lang w:val="uk-UA"/>
        </w:rPr>
      </w:pPr>
    </w:p>
    <w:p w:rsidR="00E51A5F" w:rsidRPr="00BE086B" w:rsidRDefault="00E51A5F" w:rsidP="00E51A5F">
      <w:pPr>
        <w:spacing w:line="360" w:lineRule="auto"/>
        <w:jc w:val="center"/>
        <w:rPr>
          <w:sz w:val="28"/>
          <w:szCs w:val="28"/>
          <w:lang w:val="uk-UA"/>
        </w:rPr>
      </w:pPr>
      <w:r w:rsidRPr="00BE086B">
        <w:rPr>
          <w:b/>
          <w:bCs/>
          <w:sz w:val="28"/>
          <w:szCs w:val="28"/>
          <w:lang w:val="uk-UA"/>
        </w:rPr>
        <w:lastRenderedPageBreak/>
        <w:t>РОЗДІЛ 8</w:t>
      </w:r>
    </w:p>
    <w:p w:rsidR="00E51A5F" w:rsidRPr="00BE086B" w:rsidRDefault="00E51A5F" w:rsidP="00E51A5F">
      <w:pPr>
        <w:spacing w:line="360" w:lineRule="auto"/>
        <w:jc w:val="center"/>
        <w:rPr>
          <w:b/>
          <w:bCs/>
          <w:sz w:val="28"/>
          <w:szCs w:val="28"/>
          <w:lang w:val="uk-UA"/>
        </w:rPr>
      </w:pPr>
    </w:p>
    <w:p w:rsidR="00E51A5F" w:rsidRPr="00BE086B" w:rsidRDefault="00E51A5F" w:rsidP="00E51A5F">
      <w:pPr>
        <w:pStyle w:val="31"/>
        <w:spacing w:line="360" w:lineRule="auto"/>
        <w:ind w:firstLine="709"/>
        <w:jc w:val="center"/>
        <w:rPr>
          <w:b/>
          <w:szCs w:val="28"/>
        </w:rPr>
      </w:pPr>
      <w:r w:rsidRPr="00BE086B">
        <w:rPr>
          <w:b/>
          <w:szCs w:val="28"/>
        </w:rPr>
        <w:t xml:space="preserve">МОРФОФУНКЦІОНАЛЬНИЙ СТАН КІСТКОВОЇ ТА ХРЯЩОВОЇ ТКАНИН </w:t>
      </w:r>
      <w:r w:rsidRPr="00BE086B">
        <w:rPr>
          <w:b/>
          <w:bCs/>
          <w:szCs w:val="28"/>
        </w:rPr>
        <w:t xml:space="preserve">КОЛІННИХ СУГЛОБІВ </w:t>
      </w:r>
      <w:r w:rsidRPr="00BE086B">
        <w:rPr>
          <w:b/>
          <w:szCs w:val="28"/>
        </w:rPr>
        <w:t>ЩУРІВ</w:t>
      </w:r>
      <w:r w:rsidRPr="00BE086B">
        <w:rPr>
          <w:b/>
          <w:bCs/>
          <w:szCs w:val="28"/>
        </w:rPr>
        <w:t xml:space="preserve"> ЗА УМОВ ЕКСПЕРИМЕНТАЛЬНОГО ОСТЕОАРТРОЗУ ТА ГІПОТИРЕОЗУ</w:t>
      </w:r>
    </w:p>
    <w:p w:rsidR="00E51A5F" w:rsidRPr="00BE086B" w:rsidRDefault="00E51A5F" w:rsidP="00E51A5F">
      <w:pPr>
        <w:spacing w:line="360" w:lineRule="auto"/>
        <w:jc w:val="center"/>
        <w:rPr>
          <w:sz w:val="28"/>
          <w:szCs w:val="28"/>
          <w:lang w:val="uk-UA"/>
        </w:rPr>
      </w:pPr>
    </w:p>
    <w:p w:rsidR="00E51A5F" w:rsidRPr="00BE086B" w:rsidRDefault="00E51A5F" w:rsidP="00E51A5F">
      <w:pPr>
        <w:spacing w:line="360" w:lineRule="auto"/>
        <w:ind w:firstLine="709"/>
        <w:jc w:val="both"/>
        <w:rPr>
          <w:sz w:val="28"/>
          <w:szCs w:val="28"/>
          <w:lang w:val="uk-UA"/>
        </w:rPr>
      </w:pPr>
      <w:r w:rsidRPr="00BE086B">
        <w:rPr>
          <w:sz w:val="28"/>
          <w:szCs w:val="28"/>
          <w:lang w:val="uk-UA"/>
        </w:rPr>
        <w:t xml:space="preserve">В розділі представлені результати вивчення структурних гістологічних змін кісткової та хрящової тканин на тлі гіпофункції щитоподібної залози, коморбідної патології (остеоартроз на тлі гіпотиреозу) та за умов призначення </w:t>
      </w:r>
      <w:r w:rsidRPr="00BE086B">
        <w:rPr>
          <w:rStyle w:val="translation-chunk"/>
          <w:bCs/>
          <w:sz w:val="28"/>
          <w:szCs w:val="28"/>
        </w:rPr>
        <w:t>L</w:t>
      </w:r>
      <w:r w:rsidRPr="00BE086B">
        <w:rPr>
          <w:bCs/>
          <w:sz w:val="28"/>
          <w:szCs w:val="28"/>
          <w:lang w:val="uk-UA"/>
        </w:rPr>
        <w:t xml:space="preserve">-тироксину, диклофенаку натрію та хондроїтину сульфату </w:t>
      </w:r>
      <w:r w:rsidRPr="00BE086B">
        <w:rPr>
          <w:sz w:val="28"/>
          <w:szCs w:val="28"/>
          <w:lang w:val="uk-UA"/>
        </w:rPr>
        <w:t>у експериментальних щурів</w:t>
      </w:r>
      <w:r w:rsidR="00F63285" w:rsidRPr="00BE086B">
        <w:rPr>
          <w:sz w:val="28"/>
          <w:szCs w:val="28"/>
          <w:lang w:val="uk-UA"/>
        </w:rPr>
        <w:t xml:space="preserve"> </w:t>
      </w:r>
      <w:r w:rsidR="00F63285" w:rsidRPr="00BE086B">
        <w:rPr>
          <w:bCs/>
          <w:sz w:val="28"/>
          <w:szCs w:val="28"/>
          <w:lang w:val="uk-UA"/>
        </w:rPr>
        <w:t xml:space="preserve">[108-111, </w:t>
      </w:r>
      <w:r w:rsidR="00597BD1" w:rsidRPr="00BE086B">
        <w:rPr>
          <w:bCs/>
          <w:sz w:val="28"/>
          <w:szCs w:val="28"/>
          <w:lang w:val="uk-UA"/>
        </w:rPr>
        <w:t>413</w:t>
      </w:r>
      <w:r w:rsidR="00F63285" w:rsidRPr="00BE086B">
        <w:rPr>
          <w:bCs/>
          <w:sz w:val="28"/>
          <w:szCs w:val="28"/>
          <w:lang w:val="uk-UA"/>
        </w:rPr>
        <w:t>]</w:t>
      </w:r>
      <w:r w:rsidRPr="00BE086B">
        <w:rPr>
          <w:sz w:val="28"/>
          <w:szCs w:val="28"/>
          <w:lang w:val="uk-UA"/>
        </w:rPr>
        <w:t>.</w:t>
      </w:r>
    </w:p>
    <w:p w:rsidR="00E51A5F" w:rsidRPr="00BE086B" w:rsidRDefault="00E51A5F" w:rsidP="00E51A5F">
      <w:pPr>
        <w:spacing w:line="360" w:lineRule="auto"/>
        <w:ind w:firstLine="709"/>
        <w:jc w:val="both"/>
        <w:rPr>
          <w:sz w:val="28"/>
          <w:szCs w:val="28"/>
          <w:lang w:val="uk-UA"/>
        </w:rPr>
      </w:pPr>
    </w:p>
    <w:p w:rsidR="00E51A5F" w:rsidRPr="00BE086B" w:rsidRDefault="00E51A5F" w:rsidP="00E51A5F">
      <w:pPr>
        <w:spacing w:line="360" w:lineRule="auto"/>
        <w:ind w:firstLine="709"/>
        <w:jc w:val="both"/>
        <w:rPr>
          <w:sz w:val="28"/>
          <w:szCs w:val="28"/>
        </w:rPr>
      </w:pPr>
      <w:r w:rsidRPr="00BE086B">
        <w:rPr>
          <w:b/>
          <w:bCs/>
          <w:sz w:val="28"/>
          <w:szCs w:val="28"/>
        </w:rPr>
        <w:t>8.1. Гістоморфологічна структура колінних суглобів щурів при експериментальному гіпотиреозі</w:t>
      </w:r>
    </w:p>
    <w:p w:rsidR="00E51A5F" w:rsidRPr="00BE086B" w:rsidRDefault="00E51A5F" w:rsidP="00B867D6">
      <w:pPr>
        <w:spacing w:line="360" w:lineRule="auto"/>
        <w:ind w:firstLine="709"/>
        <w:jc w:val="both"/>
        <w:rPr>
          <w:bCs/>
          <w:sz w:val="28"/>
          <w:szCs w:val="28"/>
        </w:rPr>
      </w:pPr>
    </w:p>
    <w:p w:rsidR="00E51A5F" w:rsidRPr="00BE086B" w:rsidRDefault="00E51A5F" w:rsidP="00B867D6">
      <w:pPr>
        <w:spacing w:line="360" w:lineRule="auto"/>
        <w:ind w:firstLine="709"/>
        <w:jc w:val="both"/>
        <w:rPr>
          <w:sz w:val="28"/>
          <w:szCs w:val="28"/>
        </w:rPr>
      </w:pPr>
      <w:r w:rsidRPr="00BE086B">
        <w:rPr>
          <w:rFonts w:eastAsia="Calibri"/>
          <w:bCs/>
          <w:sz w:val="28"/>
          <w:szCs w:val="28"/>
        </w:rPr>
        <w:t xml:space="preserve">В підрозділі описані результати </w:t>
      </w:r>
      <w:r w:rsidRPr="00BE086B">
        <w:rPr>
          <w:rFonts w:eastAsia="Calibri"/>
          <w:sz w:val="28"/>
          <w:szCs w:val="28"/>
        </w:rPr>
        <w:t xml:space="preserve">дослідження впливу </w:t>
      </w:r>
      <w:r w:rsidRPr="00BE086B">
        <w:rPr>
          <w:bCs/>
          <w:sz w:val="28"/>
          <w:szCs w:val="28"/>
        </w:rPr>
        <w:t>експериментальної моделі</w:t>
      </w:r>
      <w:r w:rsidRPr="00BE086B">
        <w:rPr>
          <w:sz w:val="28"/>
          <w:szCs w:val="28"/>
        </w:rPr>
        <w:t xml:space="preserve"> гіпотиреозу на гістологічну структуру кісткової та хрящової тканин </w:t>
      </w:r>
      <w:r w:rsidRPr="00BE086B">
        <w:rPr>
          <w:bCs/>
          <w:sz w:val="28"/>
          <w:szCs w:val="28"/>
        </w:rPr>
        <w:t>колінних суглобів щурів</w:t>
      </w:r>
      <w:r w:rsidR="0014367D" w:rsidRPr="00BE086B">
        <w:rPr>
          <w:bCs/>
          <w:sz w:val="28"/>
          <w:szCs w:val="28"/>
          <w:lang w:val="uk-UA"/>
        </w:rPr>
        <w:t>, що визначені за допомогою світової мікроскопії</w:t>
      </w:r>
      <w:r w:rsidR="00597BD1" w:rsidRPr="00BE086B">
        <w:rPr>
          <w:bCs/>
          <w:sz w:val="28"/>
          <w:szCs w:val="28"/>
        </w:rPr>
        <w:t xml:space="preserve"> </w:t>
      </w:r>
      <w:r w:rsidR="00597BD1" w:rsidRPr="00BE086B">
        <w:rPr>
          <w:bCs/>
          <w:sz w:val="28"/>
          <w:szCs w:val="28"/>
          <w:lang w:val="uk-UA"/>
        </w:rPr>
        <w:t>[</w:t>
      </w:r>
      <w:r w:rsidR="00597BD1" w:rsidRPr="00BE086B">
        <w:rPr>
          <w:bCs/>
          <w:sz w:val="28"/>
          <w:szCs w:val="28"/>
        </w:rPr>
        <w:t>257, 412, 413</w:t>
      </w:r>
      <w:r w:rsidR="00597BD1" w:rsidRPr="00BE086B">
        <w:rPr>
          <w:bCs/>
          <w:sz w:val="28"/>
          <w:szCs w:val="28"/>
          <w:lang w:val="uk-UA"/>
        </w:rPr>
        <w:t>]</w:t>
      </w:r>
      <w:r w:rsidRPr="00BE086B">
        <w:rPr>
          <w:sz w:val="28"/>
          <w:szCs w:val="28"/>
        </w:rPr>
        <w:t>.</w:t>
      </w:r>
    </w:p>
    <w:p w:rsidR="00E51A5F" w:rsidRPr="00BE086B" w:rsidRDefault="007646F4" w:rsidP="00B867D6">
      <w:pPr>
        <w:spacing w:line="360" w:lineRule="auto"/>
        <w:ind w:firstLine="709"/>
        <w:jc w:val="both"/>
        <w:rPr>
          <w:sz w:val="28"/>
          <w:szCs w:val="28"/>
        </w:rPr>
      </w:pPr>
      <w:r w:rsidRPr="00BE086B">
        <w:rPr>
          <w:sz w:val="28"/>
          <w:szCs w:val="28"/>
          <w:lang w:val="uk-UA"/>
        </w:rPr>
        <w:t>На</w:t>
      </w:r>
      <w:r w:rsidR="00E51A5F" w:rsidRPr="00BE086B">
        <w:rPr>
          <w:sz w:val="28"/>
          <w:szCs w:val="28"/>
        </w:rPr>
        <w:t xml:space="preserve"> початк</w:t>
      </w:r>
      <w:r w:rsidRPr="00BE086B">
        <w:rPr>
          <w:sz w:val="28"/>
          <w:szCs w:val="28"/>
          <w:lang w:val="uk-UA"/>
        </w:rPr>
        <w:t>у</w:t>
      </w:r>
      <w:r w:rsidR="00E51A5F" w:rsidRPr="00BE086B">
        <w:rPr>
          <w:sz w:val="28"/>
          <w:szCs w:val="28"/>
        </w:rPr>
        <w:t xml:space="preserve"> дослідження всі експериментальні тварини випадковим шляхом розділені на 2 групи:</w:t>
      </w:r>
    </w:p>
    <w:p w:rsidR="00E51A5F" w:rsidRPr="00BE086B" w:rsidRDefault="00E51A5F" w:rsidP="00B867D6">
      <w:pPr>
        <w:spacing w:line="360" w:lineRule="auto"/>
        <w:ind w:firstLine="709"/>
        <w:jc w:val="both"/>
        <w:rPr>
          <w:sz w:val="28"/>
          <w:szCs w:val="28"/>
        </w:rPr>
      </w:pPr>
      <w:r w:rsidRPr="00BE086B">
        <w:rPr>
          <w:sz w:val="28"/>
          <w:szCs w:val="28"/>
        </w:rPr>
        <w:t>Група 1 - Інтактні тварини (контрольна група) (10 щурів).</w:t>
      </w:r>
    </w:p>
    <w:p w:rsidR="00E51A5F" w:rsidRPr="00BE086B" w:rsidRDefault="00E51A5F" w:rsidP="00B867D6">
      <w:pPr>
        <w:spacing w:line="360" w:lineRule="auto"/>
        <w:ind w:firstLine="709"/>
        <w:jc w:val="both"/>
        <w:rPr>
          <w:sz w:val="28"/>
          <w:szCs w:val="28"/>
        </w:rPr>
      </w:pPr>
      <w:r w:rsidRPr="00BE086B">
        <w:rPr>
          <w:sz w:val="28"/>
          <w:szCs w:val="28"/>
        </w:rPr>
        <w:t>Група 2 - Тварини з експериментальним гіпотиреозом «без лікування» (10 щурів).</w:t>
      </w:r>
    </w:p>
    <w:p w:rsidR="00E51A5F" w:rsidRPr="00BE086B" w:rsidRDefault="00E51A5F" w:rsidP="00B867D6">
      <w:pPr>
        <w:spacing w:line="360" w:lineRule="auto"/>
        <w:ind w:firstLine="709"/>
        <w:jc w:val="both"/>
        <w:rPr>
          <w:bCs/>
          <w:sz w:val="28"/>
          <w:szCs w:val="28"/>
        </w:rPr>
      </w:pPr>
      <w:r w:rsidRPr="00BE086B">
        <w:rPr>
          <w:sz w:val="28"/>
          <w:szCs w:val="28"/>
        </w:rPr>
        <w:t>При аналізі результатів встановлено, що г</w:t>
      </w:r>
      <w:r w:rsidRPr="00BE086B">
        <w:rPr>
          <w:sz w:val="28"/>
          <w:szCs w:val="28"/>
          <w:lang w:eastAsia="ru-RU"/>
        </w:rPr>
        <w:t xml:space="preserve">істоархітектура колінних суглобів щурів </w:t>
      </w:r>
      <w:r w:rsidRPr="00BE086B">
        <w:rPr>
          <w:i/>
          <w:sz w:val="28"/>
          <w:szCs w:val="28"/>
          <w:lang w:eastAsia="ru-RU"/>
        </w:rPr>
        <w:t>контрольної групи</w:t>
      </w:r>
      <w:r w:rsidRPr="00BE086B">
        <w:rPr>
          <w:sz w:val="28"/>
          <w:szCs w:val="28"/>
          <w:lang w:eastAsia="ru-RU"/>
        </w:rPr>
        <w:t xml:space="preserve"> була типовою та відповідала нормальній будові синовіальних суглобів. Так, колінний суглоб був оточений фіброзною капсулою, що складалася із зовнішнього фіброзного та внутрішнього синовіального шарів. Синовіальна оболонка мала складчасту будову та </w:t>
      </w:r>
      <w:r w:rsidRPr="00BE086B">
        <w:rPr>
          <w:sz w:val="28"/>
          <w:szCs w:val="28"/>
          <w:lang w:eastAsia="ru-RU"/>
        </w:rPr>
        <w:lastRenderedPageBreak/>
        <w:t>складалася з пухкої сполучної тканини, що містила кровоносні та лімфатичні судини (рис. 8.1).</w:t>
      </w:r>
    </w:p>
    <w:p w:rsidR="00E51A5F" w:rsidRPr="00BE086B" w:rsidRDefault="006219F5" w:rsidP="00B867D6">
      <w:pPr>
        <w:spacing w:line="360" w:lineRule="auto"/>
        <w:ind w:firstLine="709"/>
        <w:jc w:val="center"/>
        <w:rPr>
          <w:bCs/>
          <w:sz w:val="28"/>
          <w:szCs w:val="28"/>
        </w:rPr>
      </w:pPr>
      <w:r>
        <w:rPr>
          <w:bCs/>
          <w:noProof/>
          <w:sz w:val="28"/>
          <w:szCs w:val="28"/>
          <w:lang w:eastAsia="ru-RU"/>
        </w:rPr>
        <w:drawing>
          <wp:inline distT="0" distB="0" distL="0" distR="0">
            <wp:extent cx="3402000" cy="2534400"/>
            <wp:effectExtent l="0" t="0" r="825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8.1.jpg"/>
                    <pic:cNvPicPr/>
                  </pic:nvPicPr>
                  <pic:blipFill>
                    <a:blip r:embed="rId88">
                      <a:extLst>
                        <a:ext uri="{28A0092B-C50C-407E-A947-70E740481C1C}">
                          <a14:useLocalDpi xmlns:a14="http://schemas.microsoft.com/office/drawing/2010/main" val="0"/>
                        </a:ext>
                      </a:extLst>
                    </a:blip>
                    <a:stretch>
                      <a:fillRect/>
                    </a:stretch>
                  </pic:blipFill>
                  <pic:spPr>
                    <a:xfrm>
                      <a:off x="0" y="0"/>
                      <a:ext cx="3402000" cy="2534400"/>
                    </a:xfrm>
                    <a:prstGeom prst="rect">
                      <a:avLst/>
                    </a:prstGeom>
                  </pic:spPr>
                </pic:pic>
              </a:graphicData>
            </a:graphic>
          </wp:inline>
        </w:drawing>
      </w:r>
    </w:p>
    <w:p w:rsidR="00E51A5F" w:rsidRPr="00BE086B" w:rsidRDefault="00E51A5F" w:rsidP="00E51A5F">
      <w:pPr>
        <w:spacing w:line="360" w:lineRule="auto"/>
        <w:ind w:firstLine="709"/>
        <w:jc w:val="both"/>
        <w:rPr>
          <w:bCs/>
          <w:sz w:val="28"/>
          <w:szCs w:val="28"/>
        </w:rPr>
      </w:pPr>
      <w:r w:rsidRPr="00BE086B">
        <w:rPr>
          <w:b/>
          <w:sz w:val="28"/>
          <w:szCs w:val="28"/>
          <w:lang w:eastAsia="ru-RU"/>
        </w:rPr>
        <w:t>Рис. 8.1.</w:t>
      </w:r>
      <w:r w:rsidRPr="00BE086B">
        <w:rPr>
          <w:sz w:val="28"/>
          <w:szCs w:val="28"/>
          <w:lang w:eastAsia="ru-RU"/>
        </w:rPr>
        <w:t xml:space="preserve"> Фрагмент колінного суглоба щура контрольної групи: С – синовіальна оболонка, стрілка – синовіальні клітини. </w:t>
      </w:r>
      <w:r w:rsidRPr="00BE086B">
        <w:rPr>
          <w:rFonts w:eastAsia="Calibri"/>
          <w:sz w:val="28"/>
          <w:szCs w:val="28"/>
        </w:rPr>
        <w:t>Забарвлення гематоксиліном-еозином, збільшення × 100.</w:t>
      </w:r>
    </w:p>
    <w:p w:rsidR="00E51A5F" w:rsidRPr="00BE086B" w:rsidRDefault="00E51A5F" w:rsidP="00E51A5F">
      <w:pPr>
        <w:spacing w:line="360" w:lineRule="auto"/>
        <w:ind w:firstLine="709"/>
        <w:jc w:val="both"/>
        <w:rPr>
          <w:sz w:val="28"/>
          <w:szCs w:val="28"/>
        </w:rPr>
      </w:pPr>
    </w:p>
    <w:p w:rsidR="00E51A5F" w:rsidRPr="00BE086B" w:rsidRDefault="00E51A5F" w:rsidP="00E51A5F">
      <w:pPr>
        <w:spacing w:line="360" w:lineRule="auto"/>
        <w:ind w:firstLine="709"/>
        <w:jc w:val="both"/>
        <w:rPr>
          <w:sz w:val="28"/>
          <w:szCs w:val="28"/>
        </w:rPr>
      </w:pPr>
      <w:r w:rsidRPr="00BE086B">
        <w:rPr>
          <w:sz w:val="28"/>
          <w:szCs w:val="28"/>
        </w:rPr>
        <w:t>Як видно з рис. 8.1, надхряща має товщину, яка в кілька разів менше товщини основної речовини. Зовнішній шар забарвлений помірно оксифільно, глибокий клітинний шар плавно переходить в основну речовину. Основна речовина хряща представлена групами дрібних клітин, оточених контуром, що відокремлює кожну групу від аморфної речовини. Кількість клітин в групах коливається від 4-х до 10. Деякі групи мають клітини з інтенсивними базофільними ядрами. Межа між хрящовою та кістковою тканиною добре помітний. Остеоцити в складі кісткової тканини розташовуються окремо, мають базофільно пофарбовані округлі ядра. Основна речовина кісткових трабекул забарвлена помірно оксифільно, пластинки кісткової тканини мають впорядковану архітектуру. Між трабекулами проглядаються осередки кісткового мозку та судини.</w:t>
      </w:r>
    </w:p>
    <w:p w:rsidR="00E51A5F" w:rsidRPr="00BE086B" w:rsidRDefault="00E51A5F" w:rsidP="00E51A5F">
      <w:pPr>
        <w:spacing w:line="360" w:lineRule="auto"/>
        <w:ind w:firstLine="851"/>
        <w:jc w:val="both"/>
        <w:rPr>
          <w:sz w:val="28"/>
          <w:szCs w:val="28"/>
        </w:rPr>
      </w:pPr>
      <w:r w:rsidRPr="00BE086B">
        <w:rPr>
          <w:sz w:val="28"/>
          <w:szCs w:val="28"/>
          <w:lang w:eastAsia="ru-RU"/>
        </w:rPr>
        <w:t>Взагалі при вивчені г</w:t>
      </w:r>
      <w:r w:rsidRPr="00BE086B">
        <w:rPr>
          <w:bCs/>
          <w:sz w:val="28"/>
          <w:szCs w:val="28"/>
        </w:rPr>
        <w:t>істоморфологічної структури колінних суглобів щурів контрольної групи було визначено, що з</w:t>
      </w:r>
      <w:r w:rsidRPr="00BE086B">
        <w:rPr>
          <w:sz w:val="28"/>
          <w:szCs w:val="28"/>
          <w:lang w:eastAsia="ru-RU"/>
        </w:rPr>
        <w:t xml:space="preserve"> боку суглобової порожнини синовіальна оболонка була вистелена кількома шарами синовіальних клітин. </w:t>
      </w:r>
      <w:r w:rsidRPr="00BE086B">
        <w:rPr>
          <w:sz w:val="28"/>
          <w:szCs w:val="28"/>
          <w:lang w:eastAsia="ru-RU"/>
        </w:rPr>
        <w:lastRenderedPageBreak/>
        <w:t>Морфологічно та функціонально синовіальні клітини поділялися на два типи: тип А (макрофагоподібні клітини, головною функцією яких є видалення клітинного детриту з синовіальної рідини) та тип В (фібробластоподібні клітини, що здійснюють синтез компонентів синовіальної рідини) (рис.8.2).</w:t>
      </w:r>
    </w:p>
    <w:p w:rsidR="00E51A5F" w:rsidRPr="00BE086B" w:rsidRDefault="00772617" w:rsidP="00E51A5F">
      <w:pPr>
        <w:spacing w:line="360" w:lineRule="auto"/>
        <w:ind w:firstLine="851"/>
        <w:jc w:val="center"/>
        <w:rPr>
          <w:sz w:val="28"/>
          <w:szCs w:val="28"/>
          <w:lang w:eastAsia="ru-RU"/>
        </w:rPr>
      </w:pPr>
      <w:r>
        <w:rPr>
          <w:noProof/>
          <w:sz w:val="28"/>
          <w:szCs w:val="28"/>
          <w:lang w:eastAsia="ru-RU"/>
        </w:rPr>
        <w:drawing>
          <wp:inline distT="0" distB="0" distL="0" distR="0">
            <wp:extent cx="3650400" cy="2840400"/>
            <wp:effectExtent l="0" t="0" r="762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8.2.jpg"/>
                    <pic:cNvPicPr/>
                  </pic:nvPicPr>
                  <pic:blipFill>
                    <a:blip r:embed="rId89">
                      <a:extLst>
                        <a:ext uri="{28A0092B-C50C-407E-A947-70E740481C1C}">
                          <a14:useLocalDpi xmlns:a14="http://schemas.microsoft.com/office/drawing/2010/main" val="0"/>
                        </a:ext>
                      </a:extLst>
                    </a:blip>
                    <a:stretch>
                      <a:fillRect/>
                    </a:stretch>
                  </pic:blipFill>
                  <pic:spPr>
                    <a:xfrm>
                      <a:off x="0" y="0"/>
                      <a:ext cx="3650400" cy="2840400"/>
                    </a:xfrm>
                    <a:prstGeom prst="rect">
                      <a:avLst/>
                    </a:prstGeom>
                  </pic:spPr>
                </pic:pic>
              </a:graphicData>
            </a:graphic>
          </wp:inline>
        </w:drawing>
      </w:r>
    </w:p>
    <w:p w:rsidR="00E51A5F" w:rsidRPr="00BE086B" w:rsidRDefault="00E51A5F" w:rsidP="00E51A5F">
      <w:pPr>
        <w:spacing w:line="360" w:lineRule="auto"/>
        <w:ind w:firstLine="851"/>
        <w:jc w:val="both"/>
        <w:rPr>
          <w:sz w:val="28"/>
          <w:szCs w:val="28"/>
          <w:lang w:eastAsia="ru-RU"/>
        </w:rPr>
      </w:pPr>
      <w:r w:rsidRPr="00BE086B">
        <w:rPr>
          <w:b/>
          <w:sz w:val="28"/>
          <w:szCs w:val="28"/>
          <w:lang w:eastAsia="ru-RU"/>
        </w:rPr>
        <w:t>Рис. 8.2.</w:t>
      </w:r>
      <w:r w:rsidRPr="00BE086B">
        <w:rPr>
          <w:sz w:val="28"/>
          <w:szCs w:val="28"/>
          <w:lang w:eastAsia="ru-RU"/>
        </w:rPr>
        <w:t xml:space="preserve"> Фрагмент дистального епіфізу стегнової кістки щура контрольної групи: суглобовий хрящ (двобічна стрілка), трабекули губчастої кістки (стрілка), кістковий мозок (зірочка).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pacing w:line="360" w:lineRule="auto"/>
        <w:ind w:firstLine="851"/>
        <w:jc w:val="both"/>
        <w:rPr>
          <w:sz w:val="28"/>
          <w:szCs w:val="28"/>
          <w:lang w:eastAsia="ru-RU"/>
        </w:rPr>
      </w:pPr>
    </w:p>
    <w:p w:rsidR="00E51A5F" w:rsidRPr="00BE086B" w:rsidRDefault="00E51A5F" w:rsidP="00E51A5F">
      <w:pPr>
        <w:spacing w:line="360" w:lineRule="auto"/>
        <w:ind w:firstLine="851"/>
        <w:jc w:val="both"/>
        <w:rPr>
          <w:sz w:val="28"/>
          <w:szCs w:val="28"/>
          <w:lang w:eastAsia="ru-RU"/>
        </w:rPr>
      </w:pPr>
      <w:r w:rsidRPr="00BE086B">
        <w:rPr>
          <w:sz w:val="28"/>
          <w:szCs w:val="28"/>
          <w:lang w:eastAsia="ru-RU"/>
        </w:rPr>
        <w:t>Суглобовий хрящ дистального епіфізу стегнової кістки щурів контрольної групи мав структуру гіалінового хряща у складі якого переважав позаклітинний матрикс багатий протеогліканами та колагеном ІІ типу і містив чотири зони: поверхневу або тангенціальну (1), транзиторну (2), глибоку або радіальну (3) та зону кальцифікованого (4) хряща (рис. 8.3).</w:t>
      </w:r>
    </w:p>
    <w:p w:rsidR="00E51A5F" w:rsidRPr="00BE086B" w:rsidRDefault="00E51A5F" w:rsidP="00E51A5F">
      <w:pPr>
        <w:spacing w:line="360" w:lineRule="auto"/>
        <w:ind w:firstLine="851"/>
        <w:jc w:val="both"/>
        <w:rPr>
          <w:sz w:val="28"/>
          <w:szCs w:val="28"/>
        </w:rPr>
      </w:pPr>
      <w:r w:rsidRPr="00BE086B">
        <w:rPr>
          <w:sz w:val="28"/>
          <w:szCs w:val="28"/>
          <w:lang w:eastAsia="ru-RU"/>
        </w:rPr>
        <w:t xml:space="preserve">Поверхневий шар суглобового хряща складався зі сплощених поодиноких хондроцитів невеликого розміру, які розташовувались паралельно поверхні хряща. У перехідній зоні візуалізувалися поодинокі округлі хондроцити. Глибокий радіальний шар гіалінового хряща складався з перпендикулярно орієнтованих до суглобової поверхні рядів хондроцитів, що розміщувалися у лакунах, формуючи ізогенні групи. Хондроцити мали бліду </w:t>
      </w:r>
      <w:r w:rsidRPr="00BE086B">
        <w:rPr>
          <w:sz w:val="28"/>
          <w:szCs w:val="28"/>
          <w:lang w:eastAsia="ru-RU"/>
        </w:rPr>
        <w:lastRenderedPageBreak/>
        <w:t>базофільну цитоплазму та центрально розташовані округлі ядра. Зона кальцифікованого хряща відділяла радіальний шар від підлеглої субходральної кістки та містила поодинокі хондроцити, що були оточені незвапнованим матриксом, натомість міжклітинний простір цієї зони хряща мав ознаки кальцифікації. На межі звапнованого та незвапнованого хряща чітко відзначалася хвиляста базофільна лінія (tidemark) (рис. 8.3).</w:t>
      </w:r>
    </w:p>
    <w:p w:rsidR="00E51A5F" w:rsidRPr="00BE086B" w:rsidRDefault="00772617" w:rsidP="00E51A5F">
      <w:pPr>
        <w:spacing w:line="360" w:lineRule="auto"/>
        <w:ind w:firstLine="851"/>
        <w:jc w:val="center"/>
        <w:rPr>
          <w:sz w:val="28"/>
          <w:szCs w:val="28"/>
          <w:lang w:eastAsia="ru-RU"/>
        </w:rPr>
      </w:pPr>
      <w:r>
        <w:rPr>
          <w:noProof/>
          <w:sz w:val="28"/>
          <w:szCs w:val="28"/>
          <w:lang w:eastAsia="ru-RU"/>
        </w:rPr>
        <w:drawing>
          <wp:inline distT="0" distB="0" distL="0" distR="0">
            <wp:extent cx="3646800" cy="27324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8.3.jpg"/>
                    <pic:cNvPicPr/>
                  </pic:nvPicPr>
                  <pic:blipFill>
                    <a:blip r:embed="rId90">
                      <a:extLst>
                        <a:ext uri="{28A0092B-C50C-407E-A947-70E740481C1C}">
                          <a14:useLocalDpi xmlns:a14="http://schemas.microsoft.com/office/drawing/2010/main" val="0"/>
                        </a:ext>
                      </a:extLst>
                    </a:blip>
                    <a:stretch>
                      <a:fillRect/>
                    </a:stretch>
                  </pic:blipFill>
                  <pic:spPr>
                    <a:xfrm>
                      <a:off x="0" y="0"/>
                      <a:ext cx="3646800" cy="2732400"/>
                    </a:xfrm>
                    <a:prstGeom prst="rect">
                      <a:avLst/>
                    </a:prstGeom>
                  </pic:spPr>
                </pic:pic>
              </a:graphicData>
            </a:graphic>
          </wp:inline>
        </w:drawing>
      </w:r>
    </w:p>
    <w:p w:rsidR="00E51A5F" w:rsidRPr="00BE086B" w:rsidRDefault="00E51A5F" w:rsidP="00E51A5F">
      <w:pPr>
        <w:spacing w:line="360" w:lineRule="auto"/>
        <w:ind w:firstLine="851"/>
        <w:jc w:val="both"/>
        <w:rPr>
          <w:sz w:val="28"/>
          <w:szCs w:val="28"/>
          <w:lang w:eastAsia="ru-RU"/>
        </w:rPr>
      </w:pPr>
      <w:r w:rsidRPr="00BE086B">
        <w:rPr>
          <w:b/>
          <w:sz w:val="28"/>
          <w:szCs w:val="28"/>
          <w:lang w:eastAsia="ru-RU"/>
        </w:rPr>
        <w:t>Рис. 8.3.</w:t>
      </w:r>
      <w:r w:rsidRPr="00BE086B">
        <w:rPr>
          <w:sz w:val="28"/>
          <w:szCs w:val="28"/>
          <w:lang w:eastAsia="ru-RU"/>
        </w:rPr>
        <w:t xml:space="preserve"> Гістоархітектура колінного суглобового хряща щура контрольної групи: 1 – поверхнева зона, 2 – транзиторна зона, 3 - радіальна зона, 4 - зона кальцифікованого хряща, стрілка – границя звапнованого та незвапнованого хряща, К – кісткова трабекула, М – кістковий мозок. </w:t>
      </w:r>
      <w:r w:rsidRPr="00BE086B">
        <w:rPr>
          <w:rFonts w:eastAsia="Calibri"/>
          <w:sz w:val="28"/>
          <w:szCs w:val="28"/>
        </w:rPr>
        <w:t xml:space="preserve">Забарвлення гематоксиліном-еозином, збільшення × </w:t>
      </w:r>
      <w:r w:rsidRPr="00BE086B">
        <w:rPr>
          <w:sz w:val="28"/>
          <w:szCs w:val="28"/>
          <w:lang w:eastAsia="ru-RU"/>
        </w:rPr>
        <w:t>400.</w:t>
      </w:r>
    </w:p>
    <w:p w:rsidR="00E51A5F" w:rsidRPr="00BE086B" w:rsidRDefault="00E51A5F" w:rsidP="00E51A5F">
      <w:pPr>
        <w:spacing w:line="360" w:lineRule="auto"/>
        <w:ind w:firstLine="851"/>
        <w:jc w:val="both"/>
        <w:rPr>
          <w:sz w:val="28"/>
          <w:szCs w:val="28"/>
          <w:lang w:eastAsia="ru-RU"/>
        </w:rPr>
      </w:pPr>
    </w:p>
    <w:p w:rsidR="00E51A5F" w:rsidRPr="00BE086B" w:rsidRDefault="00E51A5F" w:rsidP="00E51A5F">
      <w:pPr>
        <w:spacing w:line="360" w:lineRule="auto"/>
        <w:ind w:firstLine="851"/>
        <w:jc w:val="both"/>
        <w:rPr>
          <w:sz w:val="28"/>
          <w:szCs w:val="28"/>
          <w:lang w:eastAsia="ru-RU"/>
        </w:rPr>
      </w:pPr>
      <w:r w:rsidRPr="00BE086B">
        <w:rPr>
          <w:sz w:val="28"/>
          <w:szCs w:val="28"/>
          <w:lang w:eastAsia="ru-RU"/>
        </w:rPr>
        <w:t>Субхондральна кістка дистального епіфізу стегнової кістки щура була представлена губчастою кісткою, що складалася з кісткових пластинок, які розміщувались під кутом одна до одної, формуючи трабекули, проміжки між якими були заповнені кістковим мозком. Зрілі остеоцити кістки розміщувались у лакунах кісткового матриксу, а зовнішній край трабекул обрамляли клітини-деривати кісткового мозку – остеобласти (рис. 8.1-8.3).</w:t>
      </w:r>
    </w:p>
    <w:p w:rsidR="00E51A5F" w:rsidRPr="00BE086B" w:rsidRDefault="00E51A5F" w:rsidP="00E51A5F">
      <w:pPr>
        <w:spacing w:line="360" w:lineRule="auto"/>
        <w:ind w:firstLine="851"/>
        <w:jc w:val="both"/>
        <w:rPr>
          <w:bCs/>
          <w:sz w:val="28"/>
          <w:szCs w:val="28"/>
          <w:lang w:eastAsia="ru-RU"/>
        </w:rPr>
      </w:pPr>
      <w:r w:rsidRPr="00BE086B">
        <w:rPr>
          <w:sz w:val="28"/>
          <w:szCs w:val="28"/>
          <w:lang w:eastAsia="ru-RU"/>
        </w:rPr>
        <w:lastRenderedPageBreak/>
        <w:t xml:space="preserve">Гістологічний аналіз складових колінного суглоба щурів </w:t>
      </w:r>
      <w:r w:rsidRPr="00BE086B">
        <w:rPr>
          <w:i/>
          <w:sz w:val="28"/>
          <w:szCs w:val="28"/>
          <w:lang w:eastAsia="ru-RU"/>
        </w:rPr>
        <w:t>2 групи зі змодельованим ГІТ</w:t>
      </w:r>
      <w:r w:rsidRPr="00BE086B">
        <w:rPr>
          <w:sz w:val="28"/>
          <w:szCs w:val="28"/>
          <w:lang w:eastAsia="ru-RU"/>
        </w:rPr>
        <w:t xml:space="preserve"> </w:t>
      </w:r>
      <w:r w:rsidRPr="00BE086B">
        <w:rPr>
          <w:bCs/>
          <w:sz w:val="28"/>
          <w:szCs w:val="28"/>
          <w:lang w:eastAsia="ru-RU"/>
        </w:rPr>
        <w:t>показав, що структура хряща і субхондральної кістки піддається певним змінам (рис. 8.4 та рис. 8.5).</w:t>
      </w:r>
    </w:p>
    <w:p w:rsidR="00E51A5F" w:rsidRPr="00BE086B" w:rsidRDefault="00AF27FE" w:rsidP="00E51A5F">
      <w:pPr>
        <w:spacing w:line="360" w:lineRule="auto"/>
        <w:ind w:firstLine="709"/>
        <w:jc w:val="center"/>
        <w:rPr>
          <w:rFonts w:eastAsia="Calibri"/>
          <w:b/>
          <w:sz w:val="28"/>
          <w:szCs w:val="28"/>
        </w:rPr>
      </w:pPr>
      <w:r w:rsidRPr="00BE086B">
        <w:rPr>
          <w:noProof/>
          <w:sz w:val="28"/>
          <w:szCs w:val="28"/>
          <w:lang w:eastAsia="ru-RU"/>
        </w:rPr>
        <mc:AlternateContent>
          <mc:Choice Requires="wps">
            <w:drawing>
              <wp:inline distT="0" distB="0" distL="0" distR="0">
                <wp:extent cx="635" cy="635"/>
                <wp:effectExtent l="2540" t="2540" r="0" b="0"/>
                <wp:docPr id="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 cy="635"/>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inline>
            </w:drawing>
          </mc:Choice>
          <mc:Fallback>
            <w:pict>
              <v:rect w14:anchorId="47A59B71" id="Rectangle 34" o:spid="_x0000_s1026" style="width:.05pt;height:.0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" stroked="f" strokecolor="#3465a4">
                <v:stroke joinstyle="round"/>
                <w10:anchorlock/>
              </v:rect>
            </w:pict>
          </mc:Fallback>
        </mc:AlternateContent>
      </w:r>
      <w:r w:rsidR="00356BFA">
        <w:rPr>
          <w:rFonts w:eastAsia="Calibri"/>
          <w:b/>
          <w:noProof/>
          <w:sz w:val="28"/>
          <w:szCs w:val="28"/>
          <w:lang w:eastAsia="ru-RU"/>
        </w:rPr>
        <w:drawing>
          <wp:inline distT="0" distB="0" distL="0" distR="0">
            <wp:extent cx="3207600" cy="24840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8.4.jpg"/>
                    <pic:cNvPicPr/>
                  </pic:nvPicPr>
                  <pic:blipFill>
                    <a:blip r:embed="rId91">
                      <a:extLst>
                        <a:ext uri="{28A0092B-C50C-407E-A947-70E740481C1C}">
                          <a14:useLocalDpi xmlns:a14="http://schemas.microsoft.com/office/drawing/2010/main" val="0"/>
                        </a:ext>
                      </a:extLst>
                    </a:blip>
                    <a:stretch>
                      <a:fillRect/>
                    </a:stretch>
                  </pic:blipFill>
                  <pic:spPr>
                    <a:xfrm>
                      <a:off x="0" y="0"/>
                      <a:ext cx="3207600" cy="2484000"/>
                    </a:xfrm>
                    <a:prstGeom prst="rect">
                      <a:avLst/>
                    </a:prstGeom>
                  </pic:spPr>
                </pic:pic>
              </a:graphicData>
            </a:graphic>
          </wp:inline>
        </w:drawing>
      </w:r>
    </w:p>
    <w:p w:rsidR="00E51A5F" w:rsidRPr="00BE086B" w:rsidRDefault="00E51A5F" w:rsidP="00E51A5F">
      <w:pPr>
        <w:spacing w:line="360" w:lineRule="auto"/>
        <w:ind w:firstLine="709"/>
        <w:jc w:val="both"/>
        <w:rPr>
          <w:sz w:val="28"/>
          <w:szCs w:val="28"/>
        </w:rPr>
      </w:pPr>
      <w:r w:rsidRPr="00BE086B">
        <w:rPr>
          <w:rFonts w:eastAsia="Calibri"/>
          <w:b/>
          <w:sz w:val="28"/>
          <w:szCs w:val="28"/>
        </w:rPr>
        <w:t>Рис. 8.4.</w:t>
      </w:r>
      <w:r w:rsidRPr="00BE086B">
        <w:rPr>
          <w:rFonts w:eastAsia="Calibri"/>
          <w:sz w:val="28"/>
          <w:szCs w:val="28"/>
        </w:rPr>
        <w:t xml:space="preserve"> </w:t>
      </w:r>
      <w:r w:rsidRPr="00BE086B">
        <w:rPr>
          <w:sz w:val="28"/>
          <w:szCs w:val="28"/>
          <w:lang w:eastAsia="ru-RU"/>
        </w:rPr>
        <w:t>Фрагмент епіфізу стегнової кістки щура з експериментальним ГІТ</w:t>
      </w:r>
      <w:r w:rsidRPr="00BE086B">
        <w:rPr>
          <w:rFonts w:eastAsia="Calibri"/>
          <w:sz w:val="28"/>
          <w:szCs w:val="28"/>
        </w:rPr>
        <w:t>: 1 - синовіальна капсула; 2 - хрящ; 3 - кісткові трабекули. Забарвлення гематоксиліном-еозином, збільшення × 100.</w:t>
      </w:r>
    </w:p>
    <w:p w:rsidR="00E51A5F" w:rsidRPr="00BE086B" w:rsidRDefault="00356BFA" w:rsidP="00E51A5F">
      <w:pPr>
        <w:spacing w:line="360" w:lineRule="auto"/>
        <w:ind w:firstLine="709"/>
        <w:jc w:val="center"/>
        <w:rPr>
          <w:rFonts w:eastAsia="Calibri"/>
          <w:b/>
          <w:sz w:val="28"/>
          <w:szCs w:val="28"/>
        </w:rPr>
      </w:pPr>
      <w:r>
        <w:rPr>
          <w:rFonts w:eastAsia="Calibri"/>
          <w:b/>
          <w:noProof/>
          <w:sz w:val="28"/>
          <w:szCs w:val="28"/>
          <w:lang w:eastAsia="ru-RU"/>
        </w:rPr>
        <w:drawing>
          <wp:inline distT="0" distB="0" distL="0" distR="0">
            <wp:extent cx="3240000" cy="2505600"/>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8.5.jpg"/>
                    <pic:cNvPicPr/>
                  </pic:nvPicPr>
                  <pic:blipFill>
                    <a:blip r:embed="rId92">
                      <a:extLst>
                        <a:ext uri="{28A0092B-C50C-407E-A947-70E740481C1C}">
                          <a14:useLocalDpi xmlns:a14="http://schemas.microsoft.com/office/drawing/2010/main" val="0"/>
                        </a:ext>
                      </a:extLst>
                    </a:blip>
                    <a:stretch>
                      <a:fillRect/>
                    </a:stretch>
                  </pic:blipFill>
                  <pic:spPr>
                    <a:xfrm>
                      <a:off x="0" y="0"/>
                      <a:ext cx="3240000" cy="2505600"/>
                    </a:xfrm>
                    <a:prstGeom prst="rect">
                      <a:avLst/>
                    </a:prstGeom>
                  </pic:spPr>
                </pic:pic>
              </a:graphicData>
            </a:graphic>
          </wp:inline>
        </w:drawing>
      </w:r>
    </w:p>
    <w:p w:rsidR="00E51A5F" w:rsidRPr="00BE086B" w:rsidRDefault="00E51A5F" w:rsidP="00E51A5F">
      <w:pPr>
        <w:pStyle w:val="western"/>
        <w:spacing w:before="0" w:after="0" w:line="360" w:lineRule="auto"/>
        <w:ind w:firstLine="709"/>
        <w:jc w:val="both"/>
        <w:rPr>
          <w:rFonts w:ascii="Times New Roman" w:hAnsi="Times New Roman" w:cs="Times New Roman"/>
          <w:color w:val="auto"/>
          <w:sz w:val="28"/>
          <w:szCs w:val="28"/>
        </w:rPr>
      </w:pPr>
      <w:r w:rsidRPr="00BE086B">
        <w:rPr>
          <w:rFonts w:ascii="Times New Roman" w:eastAsia="Calibri" w:hAnsi="Times New Roman" w:cs="Times New Roman"/>
          <w:b/>
          <w:color w:val="auto"/>
          <w:sz w:val="28"/>
          <w:szCs w:val="28"/>
        </w:rPr>
        <w:t>Рис. 8.5.</w:t>
      </w:r>
      <w:r w:rsidRPr="00BE086B">
        <w:rPr>
          <w:rFonts w:ascii="Times New Roman" w:eastAsia="Calibri" w:hAnsi="Times New Roman" w:cs="Times New Roman"/>
          <w:color w:val="auto"/>
          <w:sz w:val="28"/>
          <w:szCs w:val="28"/>
        </w:rPr>
        <w:t xml:space="preserve"> </w:t>
      </w:r>
      <w:r w:rsidRPr="00BE086B">
        <w:rPr>
          <w:rFonts w:ascii="Times New Roman" w:hAnsi="Times New Roman" w:cs="Times New Roman"/>
          <w:color w:val="auto"/>
          <w:sz w:val="28"/>
          <w:szCs w:val="28"/>
          <w:lang w:eastAsia="ru-RU"/>
        </w:rPr>
        <w:t>Фрагмент епіфізу стегнової кістки щура з експериментальним ГІТ</w:t>
      </w:r>
      <w:r w:rsidRPr="00BE086B">
        <w:rPr>
          <w:rFonts w:ascii="Times New Roman" w:eastAsia="Calibri" w:hAnsi="Times New Roman" w:cs="Times New Roman"/>
          <w:color w:val="auto"/>
          <w:sz w:val="28"/>
          <w:szCs w:val="28"/>
        </w:rPr>
        <w:t>: 1 - надхряща; 2 - основна речовина хряща; 3 - зона з деструкцією клітин. Забарвлення гематоксиліном-еозином, збільшення × 200.</w:t>
      </w:r>
    </w:p>
    <w:p w:rsidR="00E51A5F" w:rsidRPr="00BE086B" w:rsidRDefault="00E51A5F" w:rsidP="00E51A5F">
      <w:pPr>
        <w:spacing w:line="360" w:lineRule="auto"/>
        <w:ind w:firstLine="709"/>
        <w:jc w:val="both"/>
        <w:rPr>
          <w:bCs/>
          <w:sz w:val="28"/>
          <w:szCs w:val="28"/>
          <w:lang w:eastAsia="ru-RU"/>
        </w:rPr>
      </w:pPr>
    </w:p>
    <w:p w:rsidR="00E51A5F" w:rsidRPr="00BE086B" w:rsidRDefault="00E51A5F" w:rsidP="00E51A5F">
      <w:pPr>
        <w:spacing w:line="360" w:lineRule="auto"/>
        <w:ind w:firstLine="709"/>
        <w:jc w:val="both"/>
        <w:rPr>
          <w:sz w:val="28"/>
          <w:szCs w:val="28"/>
        </w:rPr>
      </w:pPr>
      <w:r w:rsidRPr="00BE086B">
        <w:rPr>
          <w:bCs/>
          <w:sz w:val="28"/>
          <w:szCs w:val="28"/>
          <w:lang w:eastAsia="ru-RU"/>
        </w:rPr>
        <w:t xml:space="preserve">Як видно з рис. 8.4 та 8.5, синовіальна оболонка різко збільшена в товщині, її структура пухка, неоднорідна, місцями спостерігаються ділянки деструкції. Поверхня надхряща має нерівний край, місцями вакуолізірована. </w:t>
      </w:r>
      <w:r w:rsidRPr="00BE086B">
        <w:rPr>
          <w:bCs/>
          <w:sz w:val="28"/>
          <w:szCs w:val="28"/>
          <w:lang w:eastAsia="ru-RU"/>
        </w:rPr>
        <w:lastRenderedPageBreak/>
        <w:t>Шари надхряща стерті за рахунок набухання тканини. Основна речовина хряща складається з безлічі дрібних клітин, згрупованих між собою. Глибокі шари мають гіперхромне, базофільне забарвлення аморфної речовини, а також мають місце зони з деструкцією клітин, які забарвлені гіперхромно та їх структуру неможливо розрізнити. Більш поверхневі зони мають просвітлення за рахунок набухання аморфної речовини. Субхондральна кісткова тканина також має зміни хромофільності за рахунок посилення ступеню базофілії деяких трабекул. У деяких поверхневих ділянках кістки визначаються ділянки деструкції (рис. 8.4, 8.5).</w:t>
      </w:r>
    </w:p>
    <w:p w:rsidR="00E51A5F" w:rsidRPr="00BE086B" w:rsidRDefault="00E51A5F" w:rsidP="00E51A5F">
      <w:pPr>
        <w:spacing w:line="360" w:lineRule="auto"/>
        <w:ind w:firstLine="709"/>
        <w:jc w:val="both"/>
        <w:rPr>
          <w:sz w:val="28"/>
          <w:szCs w:val="28"/>
        </w:rPr>
      </w:pPr>
      <w:r w:rsidRPr="00BE086B">
        <w:rPr>
          <w:sz w:val="28"/>
          <w:szCs w:val="28"/>
        </w:rPr>
        <w:t xml:space="preserve">При аналізі структури хрящової та кісткової тканини колінних суглобів щурів з ГІТ було встановлено, що є ознаки запалення синовіальної оболонки, порушення структури надхряща з явищами набухання, порушення трофіки глибоких шарів хряща, що супроводжується деструкцією ряду хондроцитів, а також змінами гістохімічних властивостей аморфної речовини. Вираженої деструкції кісткової тканини не спостерігалося, мали місце окремі осередки порушення архітектури кісткових трабекул, </w:t>
      </w:r>
      <w:r w:rsidRPr="00BE086B">
        <w:rPr>
          <w:sz w:val="28"/>
          <w:szCs w:val="28"/>
          <w:lang w:eastAsia="ru-RU"/>
        </w:rPr>
        <w:t>переривання суцільності суглобового хряща та склероз субхондральної кістки</w:t>
      </w:r>
      <w:r w:rsidRPr="00BE086B">
        <w:rPr>
          <w:sz w:val="28"/>
          <w:szCs w:val="28"/>
        </w:rPr>
        <w:t xml:space="preserve"> (рис. 8.6).</w:t>
      </w:r>
    </w:p>
    <w:p w:rsidR="00E51A5F" w:rsidRPr="00BE086B" w:rsidRDefault="00356BFA" w:rsidP="00E51A5F">
      <w:pPr>
        <w:spacing w:line="360" w:lineRule="auto"/>
        <w:ind w:firstLine="709"/>
        <w:jc w:val="center"/>
        <w:rPr>
          <w:sz w:val="28"/>
          <w:szCs w:val="28"/>
        </w:rPr>
      </w:pPr>
      <w:r>
        <w:rPr>
          <w:noProof/>
          <w:sz w:val="28"/>
          <w:szCs w:val="28"/>
          <w:lang w:eastAsia="ru-RU"/>
        </w:rPr>
        <w:drawing>
          <wp:inline distT="0" distB="0" distL="0" distR="0">
            <wp:extent cx="3412800" cy="2563200"/>
            <wp:effectExtent l="0" t="0" r="0" b="889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8.6.jpg"/>
                    <pic:cNvPicPr/>
                  </pic:nvPicPr>
                  <pic:blipFill>
                    <a:blip r:embed="rId93">
                      <a:extLst>
                        <a:ext uri="{28A0092B-C50C-407E-A947-70E740481C1C}">
                          <a14:useLocalDpi xmlns:a14="http://schemas.microsoft.com/office/drawing/2010/main" val="0"/>
                        </a:ext>
                      </a:extLst>
                    </a:blip>
                    <a:stretch>
                      <a:fillRect/>
                    </a:stretch>
                  </pic:blipFill>
                  <pic:spPr>
                    <a:xfrm>
                      <a:off x="0" y="0"/>
                      <a:ext cx="3412800" cy="2563200"/>
                    </a:xfrm>
                    <a:prstGeom prst="rect">
                      <a:avLst/>
                    </a:prstGeom>
                  </pic:spPr>
                </pic:pic>
              </a:graphicData>
            </a:graphic>
          </wp:inline>
        </w:drawing>
      </w:r>
    </w:p>
    <w:p w:rsidR="00E51A5F" w:rsidRPr="00BE086B" w:rsidRDefault="00E51A5F" w:rsidP="00E51A5F">
      <w:pPr>
        <w:spacing w:line="360" w:lineRule="auto"/>
        <w:ind w:firstLine="709"/>
        <w:jc w:val="both"/>
        <w:rPr>
          <w:sz w:val="28"/>
          <w:szCs w:val="28"/>
          <w:lang w:eastAsia="ru-RU"/>
        </w:rPr>
      </w:pPr>
      <w:r w:rsidRPr="00BE086B">
        <w:rPr>
          <w:b/>
          <w:sz w:val="28"/>
          <w:szCs w:val="28"/>
          <w:lang w:eastAsia="ru-RU"/>
        </w:rPr>
        <w:t>Рис. 8.6.</w:t>
      </w:r>
      <w:r w:rsidRPr="00BE086B">
        <w:rPr>
          <w:sz w:val="28"/>
          <w:szCs w:val="28"/>
          <w:lang w:eastAsia="ru-RU"/>
        </w:rPr>
        <w:t xml:space="preserve"> Фрагмент епіфізу стегнової кістки щура з експериментальним ГІТ: стрілка – місце переривання суцільності суглобового хряща, зірочка – склероз субхондральної кістки.</w:t>
      </w:r>
    </w:p>
    <w:p w:rsidR="00E51A5F" w:rsidRPr="00BE086B" w:rsidRDefault="00E51A5F" w:rsidP="00E51A5F">
      <w:pPr>
        <w:spacing w:line="360" w:lineRule="auto"/>
        <w:ind w:firstLine="709"/>
        <w:jc w:val="both"/>
        <w:rPr>
          <w:sz w:val="28"/>
          <w:szCs w:val="28"/>
        </w:rPr>
      </w:pP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pacing w:line="360" w:lineRule="auto"/>
        <w:ind w:firstLine="709"/>
        <w:jc w:val="both"/>
        <w:rPr>
          <w:sz w:val="28"/>
          <w:szCs w:val="28"/>
        </w:rPr>
      </w:pPr>
      <w:r w:rsidRPr="00BE086B">
        <w:rPr>
          <w:sz w:val="28"/>
          <w:szCs w:val="28"/>
        </w:rPr>
        <w:lastRenderedPageBreak/>
        <w:t>Таким чином, метаболічні порушення при гіпофункції щитоподібної залози негативно впливають на стан кісткової і хрящової тканини, обумовлюючи процес дегенерації хрящової тканини.</w:t>
      </w:r>
    </w:p>
    <w:p w:rsidR="00E51A5F" w:rsidRPr="00BE086B" w:rsidRDefault="00E51A5F" w:rsidP="00E51A5F">
      <w:pPr>
        <w:spacing w:line="360" w:lineRule="auto"/>
        <w:ind w:firstLine="709"/>
        <w:jc w:val="both"/>
        <w:rPr>
          <w:sz w:val="28"/>
          <w:szCs w:val="28"/>
        </w:rPr>
      </w:pPr>
      <w:r w:rsidRPr="00BE086B">
        <w:rPr>
          <w:sz w:val="28"/>
          <w:szCs w:val="28"/>
        </w:rPr>
        <w:t>При гіпофункції щитоподібної залози спостерігаються ознаки запалення синовіальної оболонки, порушення структури надхряща з явищами набухання, порушення трофіки глибоких шарів хряща, що супроводжується деструкцією деяких хондроцитів, а також змінами гістохімічних властивостей аморфної речовини</w:t>
      </w:r>
      <w:r w:rsidR="00597BD1" w:rsidRPr="00BE086B">
        <w:rPr>
          <w:sz w:val="28"/>
          <w:szCs w:val="28"/>
        </w:rPr>
        <w:t xml:space="preserve"> </w:t>
      </w:r>
      <w:r w:rsidR="00597BD1" w:rsidRPr="00BE086B">
        <w:rPr>
          <w:bCs/>
          <w:sz w:val="28"/>
          <w:szCs w:val="28"/>
          <w:lang w:val="uk-UA"/>
        </w:rPr>
        <w:t>[</w:t>
      </w:r>
      <w:r w:rsidR="00597BD1" w:rsidRPr="00BE086B">
        <w:rPr>
          <w:bCs/>
          <w:sz w:val="28"/>
          <w:szCs w:val="28"/>
        </w:rPr>
        <w:t>412</w:t>
      </w:r>
      <w:r w:rsidR="00597BD1" w:rsidRPr="00BE086B">
        <w:rPr>
          <w:bCs/>
          <w:sz w:val="28"/>
          <w:szCs w:val="28"/>
          <w:lang w:val="uk-UA"/>
        </w:rPr>
        <w:t>]</w:t>
      </w:r>
      <w:r w:rsidRPr="00BE086B">
        <w:rPr>
          <w:sz w:val="28"/>
          <w:szCs w:val="28"/>
        </w:rPr>
        <w:t>.</w:t>
      </w:r>
    </w:p>
    <w:p w:rsidR="00E51A5F" w:rsidRPr="00BE086B" w:rsidRDefault="00E51A5F" w:rsidP="00E51A5F">
      <w:pPr>
        <w:spacing w:line="360" w:lineRule="auto"/>
        <w:ind w:firstLine="709"/>
        <w:jc w:val="both"/>
        <w:rPr>
          <w:sz w:val="28"/>
          <w:szCs w:val="28"/>
        </w:rPr>
      </w:pPr>
      <w:r w:rsidRPr="00BE086B">
        <w:rPr>
          <w:bCs/>
          <w:sz w:val="28"/>
          <w:szCs w:val="28"/>
        </w:rPr>
        <w:t>Виявлені структурні зміни кістково-хрящової тканини на тлі гіпофункції щитоподібної залози свідчать про розвиток дегенеративно-дистрофічного процесу та необхідність медикаментозної корекції виниклих порушень, що визначає передумови до пошуку оптимальних засобів ефективної і безпечної фармакотерапії</w:t>
      </w:r>
      <w:r w:rsidR="00597BD1" w:rsidRPr="00BE086B">
        <w:rPr>
          <w:bCs/>
          <w:sz w:val="28"/>
          <w:szCs w:val="28"/>
        </w:rPr>
        <w:t xml:space="preserve"> </w:t>
      </w:r>
      <w:r w:rsidR="00597BD1" w:rsidRPr="00BE086B">
        <w:rPr>
          <w:bCs/>
          <w:sz w:val="28"/>
          <w:szCs w:val="28"/>
          <w:lang w:val="uk-UA"/>
        </w:rPr>
        <w:t>[</w:t>
      </w:r>
      <w:r w:rsidR="00597BD1" w:rsidRPr="00BE086B">
        <w:rPr>
          <w:bCs/>
          <w:sz w:val="28"/>
          <w:szCs w:val="28"/>
        </w:rPr>
        <w:t>257, 412, 413</w:t>
      </w:r>
      <w:r w:rsidR="00597BD1" w:rsidRPr="00BE086B">
        <w:rPr>
          <w:bCs/>
          <w:sz w:val="28"/>
          <w:szCs w:val="28"/>
          <w:lang w:val="uk-UA"/>
        </w:rPr>
        <w:t>]</w:t>
      </w:r>
      <w:r w:rsidRPr="00BE086B">
        <w:rPr>
          <w:bCs/>
          <w:sz w:val="28"/>
          <w:szCs w:val="28"/>
        </w:rPr>
        <w:t>.</w:t>
      </w:r>
    </w:p>
    <w:p w:rsidR="00E51A5F" w:rsidRPr="00BE086B" w:rsidRDefault="00E51A5F" w:rsidP="00E51A5F">
      <w:pPr>
        <w:spacing w:line="360" w:lineRule="auto"/>
        <w:ind w:firstLine="709"/>
        <w:jc w:val="both"/>
        <w:rPr>
          <w:bCs/>
          <w:sz w:val="28"/>
          <w:szCs w:val="28"/>
        </w:rPr>
      </w:pPr>
    </w:p>
    <w:p w:rsidR="00E51A5F" w:rsidRPr="00BE086B" w:rsidRDefault="00E51A5F" w:rsidP="00E51A5F">
      <w:pPr>
        <w:spacing w:line="360" w:lineRule="auto"/>
        <w:ind w:firstLine="709"/>
        <w:jc w:val="both"/>
        <w:rPr>
          <w:b/>
          <w:sz w:val="28"/>
          <w:szCs w:val="28"/>
        </w:rPr>
      </w:pPr>
      <w:r w:rsidRPr="00BE086B">
        <w:rPr>
          <w:b/>
          <w:bCs/>
          <w:sz w:val="28"/>
          <w:szCs w:val="28"/>
        </w:rPr>
        <w:t>8.2. Гістоморфологічна структура колінних суглобів щурів при експериментальних моделях коморбідної патології</w:t>
      </w:r>
    </w:p>
    <w:p w:rsidR="00E51A5F" w:rsidRPr="00BE086B" w:rsidRDefault="00E51A5F" w:rsidP="00E51A5F">
      <w:pPr>
        <w:spacing w:line="360" w:lineRule="auto"/>
        <w:ind w:firstLine="709"/>
        <w:jc w:val="both"/>
        <w:rPr>
          <w:bCs/>
          <w:sz w:val="28"/>
          <w:szCs w:val="28"/>
        </w:rPr>
      </w:pPr>
    </w:p>
    <w:p w:rsidR="00E51A5F" w:rsidRPr="00BE086B" w:rsidRDefault="00E51A5F" w:rsidP="00E51A5F">
      <w:pPr>
        <w:spacing w:line="360" w:lineRule="auto"/>
        <w:ind w:firstLine="709"/>
        <w:jc w:val="both"/>
        <w:rPr>
          <w:sz w:val="28"/>
          <w:szCs w:val="28"/>
        </w:rPr>
      </w:pPr>
      <w:r w:rsidRPr="00BE086B">
        <w:rPr>
          <w:rFonts w:eastAsia="Calibri"/>
          <w:bCs/>
          <w:sz w:val="28"/>
          <w:szCs w:val="28"/>
        </w:rPr>
        <w:t xml:space="preserve">В підрозділі описані результати </w:t>
      </w:r>
      <w:r w:rsidRPr="00BE086B">
        <w:rPr>
          <w:rFonts w:eastAsia="Calibri"/>
          <w:sz w:val="28"/>
          <w:szCs w:val="28"/>
        </w:rPr>
        <w:t xml:space="preserve">дослідження впливу </w:t>
      </w:r>
      <w:r w:rsidRPr="00BE086B">
        <w:rPr>
          <w:bCs/>
          <w:sz w:val="28"/>
          <w:szCs w:val="28"/>
        </w:rPr>
        <w:t>експериментальних моделей коморбідної патології</w:t>
      </w:r>
      <w:r w:rsidRPr="00BE086B">
        <w:rPr>
          <w:sz w:val="28"/>
          <w:szCs w:val="28"/>
        </w:rPr>
        <w:t xml:space="preserve"> (остеоартроз на тлі гіпотиреозу) на гістологічну структуру кісткової та хрящової тканин </w:t>
      </w:r>
      <w:r w:rsidRPr="00BE086B">
        <w:rPr>
          <w:bCs/>
          <w:sz w:val="28"/>
          <w:szCs w:val="28"/>
        </w:rPr>
        <w:t>колінних суглобів щурів</w:t>
      </w:r>
      <w:r w:rsidR="00597BD1" w:rsidRPr="00BE086B">
        <w:rPr>
          <w:bCs/>
          <w:sz w:val="28"/>
          <w:szCs w:val="28"/>
        </w:rPr>
        <w:t xml:space="preserve"> </w:t>
      </w:r>
      <w:r w:rsidR="00597BD1" w:rsidRPr="00BE086B">
        <w:rPr>
          <w:bCs/>
          <w:sz w:val="28"/>
          <w:szCs w:val="28"/>
          <w:lang w:val="uk-UA"/>
        </w:rPr>
        <w:t>[</w:t>
      </w:r>
      <w:r w:rsidR="00597BD1" w:rsidRPr="00BE086B">
        <w:rPr>
          <w:bCs/>
          <w:sz w:val="28"/>
          <w:szCs w:val="28"/>
        </w:rPr>
        <w:t>412</w:t>
      </w:r>
      <w:r w:rsidR="00597BD1" w:rsidRPr="00BE086B">
        <w:rPr>
          <w:bCs/>
          <w:sz w:val="28"/>
          <w:szCs w:val="28"/>
          <w:lang w:val="uk-UA"/>
        </w:rPr>
        <w:t>]</w:t>
      </w:r>
      <w:r w:rsidRPr="00BE086B">
        <w:rPr>
          <w:sz w:val="28"/>
          <w:szCs w:val="28"/>
        </w:rPr>
        <w:t>.</w:t>
      </w:r>
    </w:p>
    <w:p w:rsidR="00E51A5F" w:rsidRPr="00BE086B" w:rsidRDefault="00E51A5F" w:rsidP="00E51A5F">
      <w:pPr>
        <w:spacing w:line="360" w:lineRule="auto"/>
        <w:ind w:firstLine="709"/>
        <w:jc w:val="both"/>
        <w:rPr>
          <w:bCs/>
          <w:sz w:val="28"/>
          <w:szCs w:val="28"/>
        </w:rPr>
      </w:pPr>
    </w:p>
    <w:p w:rsidR="00E51A5F" w:rsidRPr="00BE086B" w:rsidRDefault="00E51A5F" w:rsidP="00E51A5F">
      <w:pPr>
        <w:spacing w:line="360" w:lineRule="auto"/>
        <w:ind w:firstLine="709"/>
        <w:jc w:val="both"/>
        <w:rPr>
          <w:sz w:val="28"/>
          <w:szCs w:val="28"/>
        </w:rPr>
      </w:pPr>
      <w:r w:rsidRPr="00BE086B">
        <w:rPr>
          <w:sz w:val="28"/>
          <w:szCs w:val="28"/>
        </w:rPr>
        <w:t>На початку дослідження всі експериментальні тварини випадковим шляхом розділені на 2 групи:</w:t>
      </w:r>
    </w:p>
    <w:p w:rsidR="00E51A5F" w:rsidRPr="00BE086B" w:rsidRDefault="00E51A5F" w:rsidP="00E51A5F">
      <w:pPr>
        <w:spacing w:line="360" w:lineRule="auto"/>
        <w:ind w:firstLine="709"/>
        <w:jc w:val="both"/>
        <w:rPr>
          <w:sz w:val="28"/>
          <w:szCs w:val="28"/>
        </w:rPr>
      </w:pPr>
      <w:r w:rsidRPr="00BE086B">
        <w:rPr>
          <w:sz w:val="28"/>
          <w:szCs w:val="28"/>
        </w:rPr>
        <w:t>Група 1 - Інтактні тварини (контрольна група) (10 щурів).</w:t>
      </w:r>
    </w:p>
    <w:p w:rsidR="00E51A5F" w:rsidRPr="00BE086B" w:rsidRDefault="00E51A5F" w:rsidP="00E51A5F">
      <w:pPr>
        <w:spacing w:line="360" w:lineRule="auto"/>
        <w:ind w:firstLine="709"/>
        <w:jc w:val="both"/>
        <w:rPr>
          <w:sz w:val="28"/>
          <w:szCs w:val="28"/>
        </w:rPr>
      </w:pPr>
      <w:r w:rsidRPr="00BE086B">
        <w:rPr>
          <w:sz w:val="28"/>
          <w:szCs w:val="28"/>
        </w:rPr>
        <w:t xml:space="preserve">Група 2 - Тварини з </w:t>
      </w:r>
      <w:r w:rsidRPr="00BE086B">
        <w:rPr>
          <w:bCs/>
          <w:sz w:val="28"/>
          <w:szCs w:val="28"/>
        </w:rPr>
        <w:t>коморбідною патологією</w:t>
      </w:r>
      <w:r w:rsidRPr="00BE086B">
        <w:rPr>
          <w:sz w:val="28"/>
          <w:szCs w:val="28"/>
        </w:rPr>
        <w:t xml:space="preserve"> (остеоартроз на тлі гіпотиреозу) «без лікування» (10 щурів).</w:t>
      </w:r>
    </w:p>
    <w:p w:rsidR="00E51A5F" w:rsidRPr="00BE086B" w:rsidRDefault="00E51A5F" w:rsidP="00E51A5F">
      <w:pPr>
        <w:spacing w:line="360" w:lineRule="auto"/>
        <w:ind w:firstLine="851"/>
        <w:jc w:val="both"/>
        <w:rPr>
          <w:sz w:val="28"/>
          <w:szCs w:val="28"/>
          <w:lang w:eastAsia="ru-RU"/>
        </w:rPr>
      </w:pPr>
      <w:r w:rsidRPr="00BE086B">
        <w:rPr>
          <w:sz w:val="28"/>
          <w:szCs w:val="28"/>
        </w:rPr>
        <w:t>При аналізі результатів встановлено, що г</w:t>
      </w:r>
      <w:r w:rsidRPr="00BE086B">
        <w:rPr>
          <w:sz w:val="28"/>
          <w:szCs w:val="28"/>
          <w:lang w:eastAsia="ru-RU"/>
        </w:rPr>
        <w:t xml:space="preserve">істоархітектура суглобів щурів </w:t>
      </w:r>
      <w:r w:rsidRPr="00BE086B">
        <w:rPr>
          <w:i/>
          <w:sz w:val="28"/>
          <w:szCs w:val="28"/>
          <w:lang w:eastAsia="ru-RU"/>
        </w:rPr>
        <w:t>контрольної групи</w:t>
      </w:r>
      <w:r w:rsidRPr="00BE086B">
        <w:rPr>
          <w:sz w:val="28"/>
          <w:szCs w:val="28"/>
          <w:lang w:eastAsia="ru-RU"/>
        </w:rPr>
        <w:t xml:space="preserve"> була типовою та відповідала сучасним уявленням про будову синовіальних суглобів, що було описано вище (рис. 8.1-8.3).</w:t>
      </w:r>
    </w:p>
    <w:p w:rsidR="00E51A5F" w:rsidRPr="00BE086B" w:rsidRDefault="00E51A5F" w:rsidP="00E51A5F">
      <w:pPr>
        <w:spacing w:line="360" w:lineRule="auto"/>
        <w:ind w:firstLine="851"/>
        <w:jc w:val="both"/>
        <w:rPr>
          <w:sz w:val="28"/>
          <w:szCs w:val="28"/>
        </w:rPr>
      </w:pPr>
      <w:r w:rsidRPr="00BE086B">
        <w:rPr>
          <w:sz w:val="28"/>
          <w:szCs w:val="28"/>
          <w:lang w:eastAsia="ru-RU"/>
        </w:rPr>
        <w:lastRenderedPageBreak/>
        <w:t xml:space="preserve">Гістологічний аналіз складових колінного суглоба щурів </w:t>
      </w:r>
      <w:r w:rsidRPr="00BE086B">
        <w:rPr>
          <w:i/>
          <w:sz w:val="28"/>
          <w:szCs w:val="28"/>
          <w:lang w:eastAsia="ru-RU"/>
        </w:rPr>
        <w:t xml:space="preserve">2 групи з коморбідною патологією </w:t>
      </w:r>
      <w:r w:rsidRPr="00BE086B">
        <w:rPr>
          <w:sz w:val="28"/>
          <w:szCs w:val="28"/>
          <w:lang w:eastAsia="ru-RU"/>
        </w:rPr>
        <w:t>виявив значні дегенеративні зміни гіалінового хряща та субхондральної кістки з елементами реактивного запалення, гіпертрофії та гіперплазії синовіальної оболонки (рис. 8.7 та рис. 8.8).</w:t>
      </w:r>
    </w:p>
    <w:p w:rsidR="00E51A5F" w:rsidRPr="00BE086B" w:rsidRDefault="004C656A" w:rsidP="00E51A5F">
      <w:pPr>
        <w:spacing w:line="360" w:lineRule="auto"/>
        <w:ind w:firstLine="851"/>
        <w:jc w:val="center"/>
        <w:rPr>
          <w:b/>
          <w:bCs/>
          <w:sz w:val="28"/>
          <w:szCs w:val="28"/>
          <w:lang w:eastAsia="ru-RU"/>
        </w:rPr>
      </w:pPr>
      <w:r>
        <w:rPr>
          <w:b/>
          <w:bCs/>
          <w:noProof/>
          <w:sz w:val="28"/>
          <w:szCs w:val="28"/>
          <w:lang w:eastAsia="ru-RU"/>
        </w:rPr>
        <w:drawing>
          <wp:inline distT="0" distB="0" distL="0" distR="0">
            <wp:extent cx="3646800" cy="25992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8.7.jpg"/>
                    <pic:cNvPicPr/>
                  </pic:nvPicPr>
                  <pic:blipFill>
                    <a:blip r:embed="rId94">
                      <a:extLst>
                        <a:ext uri="{28A0092B-C50C-407E-A947-70E740481C1C}">
                          <a14:useLocalDpi xmlns:a14="http://schemas.microsoft.com/office/drawing/2010/main" val="0"/>
                        </a:ext>
                      </a:extLst>
                    </a:blip>
                    <a:stretch>
                      <a:fillRect/>
                    </a:stretch>
                  </pic:blipFill>
                  <pic:spPr>
                    <a:xfrm>
                      <a:off x="0" y="0"/>
                      <a:ext cx="3646800" cy="2599200"/>
                    </a:xfrm>
                    <a:prstGeom prst="rect">
                      <a:avLst/>
                    </a:prstGeom>
                  </pic:spPr>
                </pic:pic>
              </a:graphicData>
            </a:graphic>
          </wp:inline>
        </w:drawing>
      </w:r>
    </w:p>
    <w:p w:rsidR="00E51A5F" w:rsidRPr="00BE086B" w:rsidRDefault="00E51A5F" w:rsidP="00E51A5F">
      <w:pPr>
        <w:spacing w:line="360" w:lineRule="auto"/>
        <w:ind w:firstLine="709"/>
        <w:jc w:val="both"/>
        <w:rPr>
          <w:sz w:val="28"/>
          <w:szCs w:val="28"/>
        </w:rPr>
      </w:pPr>
      <w:r w:rsidRPr="00BE086B">
        <w:rPr>
          <w:b/>
          <w:bCs/>
          <w:sz w:val="28"/>
          <w:szCs w:val="28"/>
          <w:lang w:eastAsia="ru-RU"/>
        </w:rPr>
        <w:t xml:space="preserve">Рис. 8.7. </w:t>
      </w:r>
      <w:r w:rsidRPr="00BE086B">
        <w:rPr>
          <w:sz w:val="28"/>
          <w:szCs w:val="28"/>
          <w:lang w:eastAsia="ru-RU"/>
        </w:rPr>
        <w:t xml:space="preserve">Фрагмент синовіальної оболонки колінного суглоба щура: головка стрілки – запальний інфільтрат, стрілка – новоутворені капіляри.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4C656A" w:rsidP="00E51A5F">
      <w:pPr>
        <w:spacing w:line="360" w:lineRule="auto"/>
        <w:ind w:firstLine="709"/>
        <w:jc w:val="center"/>
        <w:rPr>
          <w:b/>
          <w:bCs/>
          <w:sz w:val="28"/>
          <w:szCs w:val="28"/>
          <w:lang w:eastAsia="ru-RU"/>
        </w:rPr>
      </w:pPr>
      <w:r>
        <w:rPr>
          <w:b/>
          <w:bCs/>
          <w:noProof/>
          <w:sz w:val="28"/>
          <w:szCs w:val="28"/>
          <w:lang w:eastAsia="ru-RU"/>
        </w:rPr>
        <w:drawing>
          <wp:inline distT="0" distB="0" distL="0" distR="0">
            <wp:extent cx="3657600" cy="27432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8.8.jpg"/>
                    <pic:cNvPicPr/>
                  </pic:nvPicPr>
                  <pic:blipFill>
                    <a:blip r:embed="rId95">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E51A5F" w:rsidRPr="00BE086B" w:rsidRDefault="00E51A5F" w:rsidP="00E51A5F">
      <w:pPr>
        <w:spacing w:line="360" w:lineRule="auto"/>
        <w:ind w:firstLine="709"/>
        <w:jc w:val="both"/>
        <w:rPr>
          <w:sz w:val="28"/>
          <w:szCs w:val="28"/>
        </w:rPr>
      </w:pPr>
      <w:r w:rsidRPr="00BE086B">
        <w:rPr>
          <w:b/>
          <w:bCs/>
          <w:sz w:val="28"/>
          <w:szCs w:val="28"/>
          <w:lang w:eastAsia="ru-RU"/>
        </w:rPr>
        <w:t>Рис. 8.8.</w:t>
      </w:r>
      <w:r w:rsidRPr="00BE086B">
        <w:rPr>
          <w:sz w:val="28"/>
          <w:szCs w:val="28"/>
          <w:lang w:eastAsia="ru-RU"/>
        </w:rPr>
        <w:t xml:space="preserve"> Фрагмент синовіальної оболонки колінного суглоба щура: головка стрілки – запальний інфільтрат, стрілка – новоутворені капіляри. </w:t>
      </w:r>
      <w:r w:rsidRPr="00BE086B">
        <w:rPr>
          <w:rFonts w:eastAsia="Calibri"/>
          <w:sz w:val="28"/>
          <w:szCs w:val="28"/>
        </w:rPr>
        <w:t xml:space="preserve">Забарвлення гематоксиліном-еозином, збільшення × </w:t>
      </w:r>
      <w:r w:rsidRPr="00BE086B">
        <w:rPr>
          <w:sz w:val="28"/>
          <w:szCs w:val="28"/>
          <w:lang w:eastAsia="ru-RU"/>
        </w:rPr>
        <w:t>400.</w:t>
      </w:r>
    </w:p>
    <w:p w:rsidR="00E51A5F" w:rsidRPr="00BE086B" w:rsidRDefault="00E51A5F" w:rsidP="00E51A5F">
      <w:pPr>
        <w:spacing w:line="360" w:lineRule="auto"/>
        <w:ind w:firstLine="851"/>
        <w:jc w:val="both"/>
        <w:rPr>
          <w:sz w:val="28"/>
          <w:szCs w:val="28"/>
          <w:lang w:eastAsia="ru-RU"/>
        </w:rPr>
      </w:pPr>
    </w:p>
    <w:p w:rsidR="00E51A5F" w:rsidRPr="00BE086B" w:rsidRDefault="00E51A5F" w:rsidP="00E51A5F">
      <w:pPr>
        <w:spacing w:line="360" w:lineRule="auto"/>
        <w:ind w:firstLine="851"/>
        <w:jc w:val="both"/>
        <w:rPr>
          <w:sz w:val="28"/>
          <w:szCs w:val="28"/>
        </w:rPr>
      </w:pPr>
      <w:r w:rsidRPr="00BE086B">
        <w:rPr>
          <w:sz w:val="28"/>
          <w:szCs w:val="28"/>
          <w:lang w:eastAsia="ru-RU"/>
        </w:rPr>
        <w:lastRenderedPageBreak/>
        <w:t>Як видно з рис. 8.7 та рис. 8.8, синовіальна оболонка суглобів експериментальних щурів була значно гіпертрофована. Відзначалася виразна проліферація синовіоцитів. Власне синовіум мав ознаки фіброзу та лімфо-плазмоцитарної запальної інфільтрації.</w:t>
      </w:r>
    </w:p>
    <w:p w:rsidR="00E51A5F" w:rsidRDefault="00E51A5F" w:rsidP="00E51A5F">
      <w:pPr>
        <w:spacing w:line="360" w:lineRule="auto"/>
        <w:ind w:firstLine="851"/>
        <w:jc w:val="both"/>
        <w:rPr>
          <w:sz w:val="28"/>
          <w:szCs w:val="28"/>
          <w:lang w:eastAsia="ru-RU"/>
        </w:rPr>
      </w:pPr>
      <w:r w:rsidRPr="00BE086B">
        <w:rPr>
          <w:sz w:val="28"/>
          <w:szCs w:val="28"/>
          <w:lang w:eastAsia="ru-RU"/>
        </w:rPr>
        <w:t>З боку суглобового хряща спостерігалось його виразне стоншення та деформація у порівнянні з контрольною групою. Поверхня хряща була нерівною та нерідко дотикалась до тканинного детриту, візуалізувались множинні тріщини (фібриляції) та великі осередки ерозій, аж до зони кальцифікованого хряща. Окрім того відзначалась значна редукція хондроцитів поверхневої, транзиторної та радіальної зон хряща (рис. 8.9).</w:t>
      </w:r>
    </w:p>
    <w:p w:rsidR="00E62A35" w:rsidRPr="00BE086B" w:rsidRDefault="00E62A35" w:rsidP="00E51A5F">
      <w:pPr>
        <w:spacing w:line="360" w:lineRule="auto"/>
        <w:ind w:firstLine="851"/>
        <w:jc w:val="both"/>
        <w:rPr>
          <w:sz w:val="28"/>
          <w:szCs w:val="28"/>
          <w:lang w:eastAsia="ru-RU"/>
        </w:rPr>
      </w:pPr>
    </w:p>
    <w:p w:rsidR="00E51A5F" w:rsidRDefault="004C656A" w:rsidP="00E51A5F">
      <w:pPr>
        <w:spacing w:line="100" w:lineRule="atLeast"/>
        <w:ind w:firstLine="851"/>
        <w:jc w:val="center"/>
        <w:rPr>
          <w:b/>
          <w:bCs/>
          <w:sz w:val="28"/>
          <w:szCs w:val="28"/>
          <w:lang w:eastAsia="ru-RU"/>
        </w:rPr>
      </w:pPr>
      <w:r>
        <w:rPr>
          <w:b/>
          <w:bCs/>
          <w:noProof/>
          <w:sz w:val="28"/>
          <w:szCs w:val="28"/>
          <w:lang w:eastAsia="ru-RU"/>
        </w:rPr>
        <w:drawing>
          <wp:inline distT="0" distB="0" distL="0" distR="0">
            <wp:extent cx="3646800" cy="2818800"/>
            <wp:effectExtent l="0" t="0" r="0" b="63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8.9.jpg"/>
                    <pic:cNvPicPr/>
                  </pic:nvPicPr>
                  <pic:blipFill>
                    <a:blip r:embed="rId96">
                      <a:extLst>
                        <a:ext uri="{28A0092B-C50C-407E-A947-70E740481C1C}">
                          <a14:useLocalDpi xmlns:a14="http://schemas.microsoft.com/office/drawing/2010/main" val="0"/>
                        </a:ext>
                      </a:extLst>
                    </a:blip>
                    <a:stretch>
                      <a:fillRect/>
                    </a:stretch>
                  </pic:blipFill>
                  <pic:spPr>
                    <a:xfrm>
                      <a:off x="0" y="0"/>
                      <a:ext cx="3646800" cy="2818800"/>
                    </a:xfrm>
                    <a:prstGeom prst="rect">
                      <a:avLst/>
                    </a:prstGeom>
                  </pic:spPr>
                </pic:pic>
              </a:graphicData>
            </a:graphic>
          </wp:inline>
        </w:drawing>
      </w:r>
    </w:p>
    <w:p w:rsidR="00E62A35" w:rsidRPr="00BE086B" w:rsidRDefault="00E62A35" w:rsidP="00E51A5F">
      <w:pPr>
        <w:spacing w:line="100" w:lineRule="atLeast"/>
        <w:ind w:firstLine="851"/>
        <w:jc w:val="center"/>
        <w:rPr>
          <w:b/>
          <w:bCs/>
          <w:sz w:val="28"/>
          <w:szCs w:val="28"/>
          <w:lang w:eastAsia="ru-RU"/>
        </w:rPr>
      </w:pPr>
    </w:p>
    <w:p w:rsidR="00E51A5F" w:rsidRPr="00BE086B" w:rsidRDefault="00E51A5F" w:rsidP="00E51A5F">
      <w:pPr>
        <w:spacing w:line="360" w:lineRule="auto"/>
        <w:ind w:firstLine="709"/>
        <w:jc w:val="both"/>
        <w:rPr>
          <w:sz w:val="28"/>
          <w:szCs w:val="28"/>
        </w:rPr>
      </w:pPr>
      <w:r w:rsidRPr="00BE086B">
        <w:rPr>
          <w:b/>
          <w:bCs/>
          <w:sz w:val="28"/>
          <w:szCs w:val="28"/>
          <w:lang w:eastAsia="ru-RU"/>
        </w:rPr>
        <w:t>Рис. 8.9.</w:t>
      </w:r>
      <w:r w:rsidRPr="00BE086B">
        <w:rPr>
          <w:sz w:val="28"/>
          <w:szCs w:val="28"/>
          <w:lang w:eastAsia="ru-RU"/>
        </w:rPr>
        <w:t xml:space="preserve"> Дистальний епіфіз стегнової кістки щура: стоншений суглобовий хрящ (двобічна стрілка), фібриляції (тріщини) гіалінового хряща (стрілка), дистрофічно змінені хондроцити (головка стрілки), трабекули кістки (К), кістковий мозок (М).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pacing w:line="360" w:lineRule="auto"/>
        <w:ind w:firstLine="851"/>
        <w:jc w:val="both"/>
        <w:rPr>
          <w:sz w:val="28"/>
          <w:szCs w:val="28"/>
          <w:lang w:eastAsia="ru-RU"/>
        </w:rPr>
      </w:pPr>
    </w:p>
    <w:p w:rsidR="00E51A5F" w:rsidRDefault="00E51A5F" w:rsidP="00E51A5F">
      <w:pPr>
        <w:spacing w:line="360" w:lineRule="auto"/>
        <w:ind w:firstLine="851"/>
        <w:jc w:val="both"/>
        <w:rPr>
          <w:sz w:val="28"/>
          <w:szCs w:val="28"/>
          <w:lang w:eastAsia="ru-RU"/>
        </w:rPr>
      </w:pPr>
      <w:r w:rsidRPr="00BE086B">
        <w:rPr>
          <w:sz w:val="28"/>
          <w:szCs w:val="28"/>
          <w:lang w:eastAsia="ru-RU"/>
        </w:rPr>
        <w:t xml:space="preserve">У товщі хряща нерідко зустрічалися лише клітини-тіні. Дистрофічно змінені хондроцити локалізувались переважно у зоні кальцифікованого хряща </w:t>
      </w:r>
      <w:r w:rsidRPr="00BE086B">
        <w:rPr>
          <w:sz w:val="28"/>
          <w:szCs w:val="28"/>
          <w:lang w:eastAsia="ru-RU"/>
        </w:rPr>
        <w:lastRenderedPageBreak/>
        <w:t>поблизу субхондральної кістки, мали тенденцію до формування кластерів та містили переважно пікнотичні або каріолітично змінені ядра (рис. 8.10).</w:t>
      </w:r>
    </w:p>
    <w:p w:rsidR="00E62A35" w:rsidRPr="00BE086B" w:rsidRDefault="00E62A35" w:rsidP="00E51A5F">
      <w:pPr>
        <w:spacing w:line="360" w:lineRule="auto"/>
        <w:ind w:firstLine="851"/>
        <w:jc w:val="both"/>
        <w:rPr>
          <w:sz w:val="28"/>
          <w:szCs w:val="28"/>
          <w:lang w:eastAsia="ru-RU"/>
        </w:rPr>
      </w:pPr>
    </w:p>
    <w:p w:rsidR="00E51A5F" w:rsidRDefault="00E62A35" w:rsidP="00E51A5F">
      <w:pPr>
        <w:spacing w:line="100" w:lineRule="atLeast"/>
        <w:ind w:firstLine="851"/>
        <w:jc w:val="center"/>
        <w:rPr>
          <w:b/>
          <w:bCs/>
          <w:sz w:val="28"/>
          <w:szCs w:val="28"/>
          <w:lang w:eastAsia="ru-RU"/>
        </w:rPr>
      </w:pPr>
      <w:r>
        <w:rPr>
          <w:b/>
          <w:bCs/>
          <w:noProof/>
          <w:sz w:val="28"/>
          <w:szCs w:val="28"/>
          <w:lang w:eastAsia="ru-RU"/>
        </w:rPr>
        <w:drawing>
          <wp:inline distT="0" distB="0" distL="0" distR="0">
            <wp:extent cx="3650400" cy="2754000"/>
            <wp:effectExtent l="0" t="0" r="7620" b="825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8.10.jpg"/>
                    <pic:cNvPicPr/>
                  </pic:nvPicPr>
                  <pic:blipFill>
                    <a:blip r:embed="rId97">
                      <a:extLst>
                        <a:ext uri="{28A0092B-C50C-407E-A947-70E740481C1C}">
                          <a14:useLocalDpi xmlns:a14="http://schemas.microsoft.com/office/drawing/2010/main" val="0"/>
                        </a:ext>
                      </a:extLst>
                    </a:blip>
                    <a:stretch>
                      <a:fillRect/>
                    </a:stretch>
                  </pic:blipFill>
                  <pic:spPr>
                    <a:xfrm>
                      <a:off x="0" y="0"/>
                      <a:ext cx="3650400" cy="2754000"/>
                    </a:xfrm>
                    <a:prstGeom prst="rect">
                      <a:avLst/>
                    </a:prstGeom>
                  </pic:spPr>
                </pic:pic>
              </a:graphicData>
            </a:graphic>
          </wp:inline>
        </w:drawing>
      </w:r>
    </w:p>
    <w:p w:rsidR="00E62A35" w:rsidRPr="00BE086B" w:rsidRDefault="00E62A35" w:rsidP="00E51A5F">
      <w:pPr>
        <w:spacing w:line="100" w:lineRule="atLeast"/>
        <w:ind w:firstLine="851"/>
        <w:jc w:val="center"/>
        <w:rPr>
          <w:b/>
          <w:bCs/>
          <w:sz w:val="28"/>
          <w:szCs w:val="28"/>
          <w:lang w:eastAsia="ru-RU"/>
        </w:rPr>
      </w:pPr>
    </w:p>
    <w:p w:rsidR="00E51A5F" w:rsidRPr="00BE086B" w:rsidRDefault="00E51A5F" w:rsidP="00E51A5F">
      <w:pPr>
        <w:spacing w:line="360" w:lineRule="auto"/>
        <w:ind w:firstLine="709"/>
        <w:jc w:val="both"/>
        <w:rPr>
          <w:sz w:val="28"/>
          <w:szCs w:val="28"/>
        </w:rPr>
      </w:pPr>
      <w:r w:rsidRPr="00BE086B">
        <w:rPr>
          <w:b/>
          <w:bCs/>
          <w:sz w:val="28"/>
          <w:szCs w:val="28"/>
          <w:lang w:eastAsia="ru-RU"/>
        </w:rPr>
        <w:t>Рис. 8.10.</w:t>
      </w:r>
      <w:r w:rsidRPr="00BE086B">
        <w:rPr>
          <w:sz w:val="28"/>
          <w:szCs w:val="28"/>
          <w:lang w:eastAsia="ru-RU"/>
        </w:rPr>
        <w:t xml:space="preserve"> Ділянка гіалінового хрящу колінного суглобу щура: чорна стрілка – дистрофічно змінені хондроцити з ознаками каріолізису, головка стрілки – хондроцити-тіні, біла стрілка – остеоцити з ознаками необоротної деструкції. </w:t>
      </w:r>
      <w:r w:rsidRPr="00BE086B">
        <w:rPr>
          <w:rFonts w:eastAsia="Calibri"/>
          <w:sz w:val="28"/>
          <w:szCs w:val="28"/>
        </w:rPr>
        <w:t xml:space="preserve">Забарвлення гематоксиліном-еозином, збільшення × </w:t>
      </w:r>
      <w:r w:rsidRPr="00BE086B">
        <w:rPr>
          <w:sz w:val="28"/>
          <w:szCs w:val="28"/>
          <w:lang w:eastAsia="ru-RU"/>
        </w:rPr>
        <w:t>400.</w:t>
      </w:r>
    </w:p>
    <w:p w:rsidR="00E51A5F" w:rsidRPr="00BE086B" w:rsidRDefault="00E51A5F" w:rsidP="00E51A5F">
      <w:pPr>
        <w:spacing w:line="360" w:lineRule="auto"/>
        <w:ind w:firstLine="851"/>
        <w:jc w:val="both"/>
        <w:rPr>
          <w:sz w:val="28"/>
          <w:szCs w:val="28"/>
          <w:lang w:eastAsia="ru-RU"/>
        </w:rPr>
      </w:pPr>
    </w:p>
    <w:p w:rsidR="00E51A5F" w:rsidRPr="00BE086B" w:rsidRDefault="00E51A5F" w:rsidP="00E51A5F">
      <w:pPr>
        <w:spacing w:line="360" w:lineRule="auto"/>
        <w:ind w:firstLine="851"/>
        <w:jc w:val="both"/>
        <w:rPr>
          <w:sz w:val="28"/>
          <w:szCs w:val="28"/>
        </w:rPr>
      </w:pPr>
      <w:r w:rsidRPr="00BE086B">
        <w:rPr>
          <w:sz w:val="28"/>
          <w:szCs w:val="28"/>
          <w:lang w:eastAsia="ru-RU"/>
        </w:rPr>
        <w:t>Мікроскопічний аналіз виявляв поодинокі осередки повної деструкції суглобового хряща. Проте на краю суглоба (поблизу синовіальної оболонки) в деяких зразках щурів 2 групи дослідження відзначалось збереження товщини гіалінового хряща, що мало ознаки метахромазії та у товщі якого візуалізувались хондроцити. Проте загальна гістоархітектура цієї ділянки хряща мала ознаки дезорганізації. Окрім того місцями відзначалося зникнення лінії розмежування звапнованого та незвапнованого хряща. (рис. 8.11).</w:t>
      </w:r>
    </w:p>
    <w:p w:rsidR="00E51A5F" w:rsidRPr="00BE086B" w:rsidRDefault="00E62A35" w:rsidP="00E51A5F">
      <w:pPr>
        <w:spacing w:line="100" w:lineRule="atLeast"/>
        <w:ind w:firstLine="851"/>
        <w:jc w:val="center"/>
        <w:rPr>
          <w:b/>
          <w:bCs/>
          <w:sz w:val="28"/>
          <w:szCs w:val="28"/>
          <w:lang w:eastAsia="ru-RU"/>
        </w:rPr>
      </w:pPr>
      <w:r>
        <w:rPr>
          <w:b/>
          <w:bCs/>
          <w:noProof/>
          <w:sz w:val="28"/>
          <w:szCs w:val="28"/>
          <w:lang w:eastAsia="ru-RU"/>
        </w:rPr>
        <w:lastRenderedPageBreak/>
        <w:drawing>
          <wp:inline distT="0" distB="0" distL="0" distR="0">
            <wp:extent cx="3650400" cy="2754000"/>
            <wp:effectExtent l="0" t="0" r="7620" b="825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8.11.jpg"/>
                    <pic:cNvPicPr/>
                  </pic:nvPicPr>
                  <pic:blipFill>
                    <a:blip r:embed="rId98">
                      <a:extLst>
                        <a:ext uri="{28A0092B-C50C-407E-A947-70E740481C1C}">
                          <a14:useLocalDpi xmlns:a14="http://schemas.microsoft.com/office/drawing/2010/main" val="0"/>
                        </a:ext>
                      </a:extLst>
                    </a:blip>
                    <a:stretch>
                      <a:fillRect/>
                    </a:stretch>
                  </pic:blipFill>
                  <pic:spPr>
                    <a:xfrm>
                      <a:off x="0" y="0"/>
                      <a:ext cx="3650400" cy="2754000"/>
                    </a:xfrm>
                    <a:prstGeom prst="rect">
                      <a:avLst/>
                    </a:prstGeom>
                  </pic:spPr>
                </pic:pic>
              </a:graphicData>
            </a:graphic>
          </wp:inline>
        </w:drawing>
      </w:r>
    </w:p>
    <w:p w:rsidR="00E51A5F" w:rsidRPr="00BE086B" w:rsidRDefault="00E51A5F" w:rsidP="00E51A5F">
      <w:pPr>
        <w:spacing w:line="360" w:lineRule="auto"/>
        <w:ind w:firstLine="709"/>
        <w:jc w:val="both"/>
        <w:rPr>
          <w:sz w:val="28"/>
          <w:szCs w:val="28"/>
        </w:rPr>
      </w:pPr>
      <w:r w:rsidRPr="00BE086B">
        <w:rPr>
          <w:b/>
          <w:bCs/>
          <w:sz w:val="28"/>
          <w:szCs w:val="28"/>
          <w:lang w:eastAsia="ru-RU"/>
        </w:rPr>
        <w:t>Рис. 8.11.</w:t>
      </w:r>
      <w:r w:rsidRPr="00BE086B">
        <w:rPr>
          <w:sz w:val="28"/>
          <w:szCs w:val="28"/>
          <w:lang w:eastAsia="ru-RU"/>
        </w:rPr>
        <w:t xml:space="preserve"> Фрагмент епіфізу стегнової кістки щура: стрілка - ділянка суглобового хряща, головка стрілки – місце переривання лінії розмежування незвапнованого та звапнованого хрящів.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pacing w:line="360" w:lineRule="auto"/>
        <w:ind w:firstLine="851"/>
        <w:jc w:val="both"/>
        <w:rPr>
          <w:sz w:val="28"/>
          <w:szCs w:val="28"/>
          <w:lang w:eastAsia="ru-RU"/>
        </w:rPr>
      </w:pPr>
    </w:p>
    <w:p w:rsidR="00E51A5F" w:rsidRPr="00BE086B" w:rsidRDefault="00E51A5F" w:rsidP="00E51A5F">
      <w:pPr>
        <w:spacing w:line="360" w:lineRule="auto"/>
        <w:ind w:firstLine="851"/>
        <w:jc w:val="both"/>
        <w:rPr>
          <w:sz w:val="28"/>
          <w:szCs w:val="28"/>
        </w:rPr>
      </w:pPr>
      <w:r w:rsidRPr="00BE086B">
        <w:rPr>
          <w:sz w:val="28"/>
          <w:szCs w:val="28"/>
          <w:lang w:eastAsia="ru-RU"/>
        </w:rPr>
        <w:t>Взагалі екстрацелюлярний матрикс суглобового хряща колінних суглобів щурів за умов коморбідної патології мав ознаки мукоїдного набухання, метахромазії та фіброзу. Патологічні зміни з боку субхондральної кістки проявлялись у вигляді виразного субхондрального склерозу, осередків крововиливів та зменшення обсягу кісткового мозку. Окрім того в епіфізі стегнової кістки спостерігалися осередки некрозу та інкапсуляції тканинного детриту.</w:t>
      </w:r>
    </w:p>
    <w:p w:rsidR="00E51A5F" w:rsidRPr="00BE086B" w:rsidRDefault="00E51A5F" w:rsidP="00E51A5F">
      <w:pPr>
        <w:spacing w:line="360" w:lineRule="auto"/>
        <w:ind w:firstLine="851"/>
        <w:jc w:val="both"/>
        <w:rPr>
          <w:sz w:val="28"/>
          <w:szCs w:val="28"/>
        </w:rPr>
      </w:pPr>
      <w:r w:rsidRPr="00BE086B">
        <w:rPr>
          <w:bCs/>
          <w:sz w:val="28"/>
          <w:szCs w:val="28"/>
          <w:lang w:eastAsia="ru-RU"/>
        </w:rPr>
        <w:t>Таким чином, порівняльний морфологічний аналіз дистального епіфізу стегнової кістки щурів групи контролю та тварин зі змодельованими патологічними станами ОА та ГІТ виявив виразні реактивні зміни з боку синовіальної оболонки, суттєве стоншення суглобового хряща та редукцію числа хондроцитів у його складі, а також значний субхондральний склероз, що свідчить про формування більш виразних дегенеративно-дистрофічних змін на тлі коморбідної патології</w:t>
      </w:r>
      <w:r w:rsidR="00597BD1" w:rsidRPr="00BE086B">
        <w:rPr>
          <w:bCs/>
          <w:sz w:val="28"/>
          <w:szCs w:val="28"/>
          <w:lang w:eastAsia="ru-RU"/>
        </w:rPr>
        <w:t xml:space="preserve"> </w:t>
      </w:r>
      <w:r w:rsidR="00597BD1" w:rsidRPr="00BE086B">
        <w:rPr>
          <w:bCs/>
          <w:sz w:val="28"/>
          <w:szCs w:val="28"/>
          <w:lang w:val="uk-UA"/>
        </w:rPr>
        <w:t>[</w:t>
      </w:r>
      <w:r w:rsidR="00597BD1" w:rsidRPr="00BE086B">
        <w:rPr>
          <w:bCs/>
          <w:sz w:val="28"/>
          <w:szCs w:val="28"/>
        </w:rPr>
        <w:t>257, 412, 413</w:t>
      </w:r>
      <w:r w:rsidR="00597BD1" w:rsidRPr="00BE086B">
        <w:rPr>
          <w:bCs/>
          <w:sz w:val="28"/>
          <w:szCs w:val="28"/>
          <w:lang w:val="uk-UA"/>
        </w:rPr>
        <w:t>]</w:t>
      </w:r>
      <w:r w:rsidRPr="00BE086B">
        <w:rPr>
          <w:bCs/>
          <w:sz w:val="28"/>
          <w:szCs w:val="28"/>
          <w:lang w:eastAsia="ru-RU"/>
        </w:rPr>
        <w:t>.</w:t>
      </w:r>
    </w:p>
    <w:p w:rsidR="00DC2558" w:rsidRDefault="00DC2558" w:rsidP="00E51A5F">
      <w:pPr>
        <w:pStyle w:val="24"/>
        <w:spacing w:line="360" w:lineRule="auto"/>
        <w:ind w:firstLine="709"/>
        <w:jc w:val="both"/>
        <w:rPr>
          <w:rFonts w:ascii="Times New Roman" w:hAnsi="Times New Roman" w:cs="Times New Roman"/>
          <w:b/>
          <w:bCs/>
          <w:sz w:val="28"/>
          <w:szCs w:val="28"/>
        </w:rPr>
      </w:pPr>
    </w:p>
    <w:p w:rsidR="00E62A35" w:rsidRPr="00BE086B" w:rsidRDefault="00E62A35" w:rsidP="00E51A5F">
      <w:pPr>
        <w:pStyle w:val="24"/>
        <w:spacing w:line="360" w:lineRule="auto"/>
        <w:ind w:firstLine="709"/>
        <w:jc w:val="both"/>
        <w:rPr>
          <w:rFonts w:ascii="Times New Roman" w:hAnsi="Times New Roman" w:cs="Times New Roman"/>
          <w:b/>
          <w:bCs/>
          <w:sz w:val="28"/>
          <w:szCs w:val="28"/>
        </w:rPr>
      </w:pPr>
    </w:p>
    <w:p w:rsidR="00DC2558" w:rsidRPr="00BE086B" w:rsidRDefault="00DC2558" w:rsidP="00E51A5F">
      <w:pPr>
        <w:pStyle w:val="24"/>
        <w:spacing w:line="360" w:lineRule="auto"/>
        <w:ind w:firstLine="709"/>
        <w:jc w:val="both"/>
        <w:rPr>
          <w:rFonts w:ascii="Times New Roman" w:hAnsi="Times New Roman" w:cs="Times New Roman"/>
          <w:b/>
          <w:bCs/>
          <w:sz w:val="28"/>
          <w:szCs w:val="28"/>
        </w:rPr>
      </w:pPr>
    </w:p>
    <w:p w:rsidR="00E51A5F" w:rsidRPr="00BE086B" w:rsidRDefault="00E51A5F" w:rsidP="00E51A5F">
      <w:pPr>
        <w:pStyle w:val="24"/>
        <w:spacing w:line="360" w:lineRule="auto"/>
        <w:ind w:firstLine="709"/>
        <w:jc w:val="both"/>
        <w:rPr>
          <w:rFonts w:ascii="Times New Roman" w:hAnsi="Times New Roman" w:cs="Times New Roman"/>
          <w:b/>
          <w:sz w:val="28"/>
          <w:szCs w:val="28"/>
        </w:rPr>
      </w:pPr>
      <w:r w:rsidRPr="00BE086B">
        <w:rPr>
          <w:rFonts w:ascii="Times New Roman" w:hAnsi="Times New Roman" w:cs="Times New Roman"/>
          <w:b/>
          <w:bCs/>
          <w:sz w:val="28"/>
          <w:szCs w:val="28"/>
        </w:rPr>
        <w:t xml:space="preserve">8.3 Вплив L-тироксину на стан </w:t>
      </w:r>
      <w:r w:rsidRPr="00BE086B">
        <w:rPr>
          <w:rFonts w:ascii="Times New Roman" w:hAnsi="Times New Roman" w:cs="Times New Roman"/>
          <w:b/>
          <w:sz w:val="28"/>
          <w:szCs w:val="28"/>
        </w:rPr>
        <w:t xml:space="preserve">кісткової та хрящової тканин </w:t>
      </w:r>
      <w:r w:rsidRPr="00BE086B">
        <w:rPr>
          <w:rFonts w:ascii="Times New Roman" w:hAnsi="Times New Roman" w:cs="Times New Roman"/>
          <w:b/>
          <w:bCs/>
          <w:sz w:val="28"/>
          <w:szCs w:val="28"/>
        </w:rPr>
        <w:t>колінних суглобів за умов експериментального остеоартрозу та гіпотиреозу</w:t>
      </w:r>
    </w:p>
    <w:p w:rsidR="00E51A5F" w:rsidRPr="00BE086B" w:rsidRDefault="00E51A5F" w:rsidP="00E51A5F">
      <w:pPr>
        <w:pStyle w:val="24"/>
        <w:spacing w:line="360" w:lineRule="auto"/>
        <w:ind w:firstLine="709"/>
        <w:jc w:val="both"/>
        <w:rPr>
          <w:rFonts w:ascii="Times New Roman" w:hAnsi="Times New Roman" w:cs="Times New Roman"/>
          <w:bCs/>
          <w:sz w:val="28"/>
          <w:szCs w:val="28"/>
        </w:rPr>
      </w:pPr>
    </w:p>
    <w:p w:rsidR="00E51A5F" w:rsidRPr="00BE086B" w:rsidRDefault="00E51A5F" w:rsidP="00E51A5F">
      <w:pPr>
        <w:spacing w:line="360" w:lineRule="auto"/>
        <w:ind w:firstLine="709"/>
        <w:jc w:val="both"/>
        <w:rPr>
          <w:sz w:val="28"/>
          <w:szCs w:val="28"/>
        </w:rPr>
      </w:pPr>
      <w:r w:rsidRPr="00BE086B">
        <w:rPr>
          <w:rFonts w:eastAsia="Calibri"/>
          <w:bCs/>
          <w:sz w:val="28"/>
          <w:szCs w:val="28"/>
        </w:rPr>
        <w:t xml:space="preserve">В підрозділі описані результати </w:t>
      </w:r>
      <w:r w:rsidRPr="00BE086B">
        <w:rPr>
          <w:rFonts w:eastAsia="Calibri"/>
          <w:sz w:val="28"/>
          <w:szCs w:val="28"/>
        </w:rPr>
        <w:t xml:space="preserve">дослідження впливу </w:t>
      </w:r>
      <w:r w:rsidRPr="00BE086B">
        <w:rPr>
          <w:bCs/>
          <w:sz w:val="28"/>
          <w:szCs w:val="28"/>
        </w:rPr>
        <w:t>призначення</w:t>
      </w:r>
      <w:r w:rsidRPr="00BE086B">
        <w:rPr>
          <w:rFonts w:eastAsia="Calibri"/>
          <w:sz w:val="28"/>
          <w:szCs w:val="28"/>
        </w:rPr>
        <w:t xml:space="preserve"> </w:t>
      </w:r>
      <w:r w:rsidRPr="00BE086B">
        <w:rPr>
          <w:bCs/>
          <w:sz w:val="28"/>
          <w:szCs w:val="28"/>
        </w:rPr>
        <w:t>L-тироксину</w:t>
      </w:r>
      <w:r w:rsidRPr="00BE086B">
        <w:rPr>
          <w:sz w:val="28"/>
          <w:szCs w:val="28"/>
        </w:rPr>
        <w:t xml:space="preserve"> на гістологічну структуру кісткової та хрящової тканин </w:t>
      </w:r>
      <w:r w:rsidRPr="00BE086B">
        <w:rPr>
          <w:bCs/>
          <w:sz w:val="28"/>
          <w:szCs w:val="28"/>
        </w:rPr>
        <w:t xml:space="preserve">колінних суглобів щурів </w:t>
      </w:r>
      <w:r w:rsidRPr="00BE086B">
        <w:rPr>
          <w:sz w:val="28"/>
          <w:szCs w:val="28"/>
        </w:rPr>
        <w:t>на фоні експериментального остеоартрозу та гіпотиреозу</w:t>
      </w:r>
      <w:r w:rsidR="00DC2558" w:rsidRPr="00BE086B">
        <w:rPr>
          <w:sz w:val="28"/>
          <w:szCs w:val="28"/>
          <w:lang w:val="uk-UA"/>
        </w:rPr>
        <w:t>, що визначено за допомогою світової мікроскопії</w:t>
      </w:r>
      <w:r w:rsidR="00597BD1" w:rsidRPr="00BE086B">
        <w:rPr>
          <w:sz w:val="28"/>
          <w:szCs w:val="28"/>
        </w:rPr>
        <w:t xml:space="preserve"> </w:t>
      </w:r>
      <w:r w:rsidR="00597BD1" w:rsidRPr="00BE086B">
        <w:rPr>
          <w:bCs/>
          <w:sz w:val="28"/>
          <w:szCs w:val="28"/>
          <w:lang w:val="uk-UA"/>
        </w:rPr>
        <w:t>[</w:t>
      </w:r>
      <w:r w:rsidR="00597BD1" w:rsidRPr="00BE086B">
        <w:rPr>
          <w:bCs/>
          <w:sz w:val="28"/>
          <w:szCs w:val="28"/>
        </w:rPr>
        <w:t>257, 412, 413</w:t>
      </w:r>
      <w:r w:rsidR="00597BD1" w:rsidRPr="00BE086B">
        <w:rPr>
          <w:bCs/>
          <w:sz w:val="28"/>
          <w:szCs w:val="28"/>
          <w:lang w:val="uk-UA"/>
        </w:rPr>
        <w:t>]</w:t>
      </w:r>
      <w:r w:rsidRPr="00BE086B">
        <w:rPr>
          <w:sz w:val="28"/>
          <w:szCs w:val="28"/>
        </w:rPr>
        <w:t>.</w:t>
      </w:r>
    </w:p>
    <w:p w:rsidR="00E51A5F" w:rsidRPr="00BE086B" w:rsidRDefault="00E51A5F" w:rsidP="00E51A5F">
      <w:pPr>
        <w:spacing w:line="360" w:lineRule="auto"/>
        <w:ind w:firstLine="709"/>
        <w:jc w:val="both"/>
        <w:rPr>
          <w:sz w:val="28"/>
          <w:szCs w:val="28"/>
        </w:rPr>
      </w:pPr>
      <w:r w:rsidRPr="00BE086B">
        <w:rPr>
          <w:sz w:val="28"/>
          <w:szCs w:val="28"/>
        </w:rPr>
        <w:t>На початку дослідження всі експериментальні тварини випадковим шляхом розділені на 3 групи:</w:t>
      </w:r>
    </w:p>
    <w:p w:rsidR="00E51A5F" w:rsidRPr="00BE086B" w:rsidRDefault="00E51A5F" w:rsidP="00E51A5F">
      <w:pPr>
        <w:spacing w:line="360" w:lineRule="auto"/>
        <w:ind w:firstLine="709"/>
        <w:jc w:val="both"/>
        <w:rPr>
          <w:sz w:val="28"/>
          <w:szCs w:val="28"/>
        </w:rPr>
      </w:pPr>
      <w:r w:rsidRPr="00BE086B">
        <w:rPr>
          <w:sz w:val="28"/>
          <w:szCs w:val="28"/>
        </w:rPr>
        <w:t>Група 1 - Інтактні тварини (10 щурів).</w:t>
      </w:r>
    </w:p>
    <w:p w:rsidR="00E51A5F" w:rsidRPr="00BE086B" w:rsidRDefault="00E51A5F" w:rsidP="00E51A5F">
      <w:pPr>
        <w:spacing w:line="360" w:lineRule="auto"/>
        <w:ind w:firstLine="709"/>
        <w:jc w:val="both"/>
        <w:rPr>
          <w:sz w:val="28"/>
          <w:szCs w:val="28"/>
        </w:rPr>
      </w:pPr>
      <w:r w:rsidRPr="00BE086B">
        <w:rPr>
          <w:sz w:val="28"/>
          <w:szCs w:val="28"/>
        </w:rPr>
        <w:t xml:space="preserve">Група 2 - Тварини з </w:t>
      </w:r>
      <w:r w:rsidRPr="00BE086B">
        <w:rPr>
          <w:bCs/>
          <w:sz w:val="28"/>
          <w:szCs w:val="28"/>
        </w:rPr>
        <w:t>коморбідною патологією</w:t>
      </w:r>
      <w:r w:rsidRPr="00BE086B">
        <w:rPr>
          <w:sz w:val="28"/>
          <w:szCs w:val="28"/>
        </w:rPr>
        <w:t xml:space="preserve"> (остеоартроз на тлі гіпотиреозу) «без лікування» (10 щурів).</w:t>
      </w:r>
    </w:p>
    <w:p w:rsidR="00E51A5F" w:rsidRPr="00BE086B" w:rsidRDefault="00E51A5F" w:rsidP="00E51A5F">
      <w:pPr>
        <w:spacing w:line="360" w:lineRule="auto"/>
        <w:ind w:firstLine="709"/>
        <w:jc w:val="both"/>
        <w:rPr>
          <w:sz w:val="28"/>
          <w:szCs w:val="28"/>
        </w:rPr>
      </w:pPr>
      <w:r w:rsidRPr="00BE086B">
        <w:rPr>
          <w:sz w:val="28"/>
          <w:szCs w:val="28"/>
        </w:rPr>
        <w:t xml:space="preserve">Група 3 - Тварини з </w:t>
      </w:r>
      <w:r w:rsidRPr="00BE086B">
        <w:rPr>
          <w:bCs/>
          <w:sz w:val="28"/>
          <w:szCs w:val="28"/>
        </w:rPr>
        <w:t>коморбідною патологією</w:t>
      </w:r>
      <w:r w:rsidRPr="00BE086B">
        <w:rPr>
          <w:sz w:val="28"/>
          <w:szCs w:val="28"/>
        </w:rPr>
        <w:t xml:space="preserve"> (остеоартроз на тлі гіпотиреозу) на фоні призначення L-тироксину (10 щурів).</w:t>
      </w:r>
    </w:p>
    <w:p w:rsidR="00E51A5F" w:rsidRPr="00BE086B" w:rsidRDefault="00E51A5F" w:rsidP="00E51A5F">
      <w:pPr>
        <w:spacing w:line="360" w:lineRule="auto"/>
        <w:ind w:firstLine="851"/>
        <w:jc w:val="both"/>
        <w:rPr>
          <w:sz w:val="28"/>
          <w:szCs w:val="28"/>
          <w:lang w:eastAsia="ru-RU"/>
        </w:rPr>
      </w:pPr>
      <w:r w:rsidRPr="00BE086B">
        <w:rPr>
          <w:sz w:val="28"/>
          <w:szCs w:val="28"/>
          <w:lang w:eastAsia="ru-RU"/>
        </w:rPr>
        <w:t xml:space="preserve">Аналіз гістологічної структури колінних суглобів щурів встановив, що на тлі фармакологічної корекції експериментального ОА та ГІТ призначенням </w:t>
      </w:r>
      <w:r w:rsidRPr="00BE086B">
        <w:rPr>
          <w:sz w:val="28"/>
          <w:szCs w:val="28"/>
        </w:rPr>
        <w:t xml:space="preserve">L-тироксину </w:t>
      </w:r>
      <w:r w:rsidRPr="00BE086B">
        <w:rPr>
          <w:sz w:val="28"/>
          <w:szCs w:val="28"/>
          <w:lang w:eastAsia="ru-RU"/>
        </w:rPr>
        <w:t xml:space="preserve">з боку синовіальної оболонки колінного суглобу експериментальних тварин спостерігалося помірне зменшення лімфо-плазмоцитарної інфільтрації у порівнянні з 2 групою щурів </w:t>
      </w:r>
      <w:r w:rsidR="00DC2558" w:rsidRPr="00BE086B">
        <w:rPr>
          <w:sz w:val="28"/>
          <w:szCs w:val="28"/>
          <w:lang w:val="uk-UA" w:eastAsia="ru-RU"/>
        </w:rPr>
        <w:t xml:space="preserve">- </w:t>
      </w:r>
      <w:r w:rsidR="00DC2558" w:rsidRPr="00BE086B">
        <w:rPr>
          <w:sz w:val="28"/>
          <w:szCs w:val="28"/>
        </w:rPr>
        <w:t xml:space="preserve">тварини з </w:t>
      </w:r>
      <w:r w:rsidR="00DC2558" w:rsidRPr="00BE086B">
        <w:rPr>
          <w:bCs/>
          <w:sz w:val="28"/>
          <w:szCs w:val="28"/>
        </w:rPr>
        <w:t>коморбідною патологією</w:t>
      </w:r>
      <w:r w:rsidR="00DC2558" w:rsidRPr="00BE086B">
        <w:rPr>
          <w:sz w:val="28"/>
          <w:szCs w:val="28"/>
        </w:rPr>
        <w:t xml:space="preserve"> (остеоартроз на тлі гіпотиреозу) «без лікування» </w:t>
      </w:r>
      <w:r w:rsidRPr="00BE086B">
        <w:rPr>
          <w:sz w:val="28"/>
          <w:szCs w:val="28"/>
          <w:lang w:eastAsia="ru-RU"/>
        </w:rPr>
        <w:t>(рис. 8.12).</w:t>
      </w:r>
    </w:p>
    <w:p w:rsidR="00DC2558" w:rsidRPr="00BE086B" w:rsidRDefault="00DC2558" w:rsidP="00E51A5F">
      <w:pPr>
        <w:spacing w:line="360" w:lineRule="auto"/>
        <w:ind w:firstLine="851"/>
        <w:jc w:val="both"/>
        <w:rPr>
          <w:sz w:val="28"/>
          <w:szCs w:val="28"/>
        </w:rPr>
      </w:pPr>
    </w:p>
    <w:p w:rsidR="00E51A5F" w:rsidRDefault="003E4F86" w:rsidP="00E51A5F">
      <w:pPr>
        <w:spacing w:line="360" w:lineRule="auto"/>
        <w:ind w:firstLine="851"/>
        <w:jc w:val="center"/>
        <w:rPr>
          <w:b/>
          <w:bCs/>
          <w:sz w:val="28"/>
          <w:szCs w:val="28"/>
          <w:lang w:eastAsia="ru-RU"/>
        </w:rPr>
      </w:pPr>
      <w:r>
        <w:rPr>
          <w:b/>
          <w:bCs/>
          <w:noProof/>
          <w:sz w:val="28"/>
          <w:szCs w:val="28"/>
          <w:lang w:eastAsia="ru-RU"/>
        </w:rPr>
        <w:lastRenderedPageBreak/>
        <w:drawing>
          <wp:inline distT="0" distB="0" distL="0" distR="0">
            <wp:extent cx="3657600" cy="27324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8.12.jpg"/>
                    <pic:cNvPicPr/>
                  </pic:nvPicPr>
                  <pic:blipFill>
                    <a:blip r:embed="rId99">
                      <a:extLst>
                        <a:ext uri="{28A0092B-C50C-407E-A947-70E740481C1C}">
                          <a14:useLocalDpi xmlns:a14="http://schemas.microsoft.com/office/drawing/2010/main" val="0"/>
                        </a:ext>
                      </a:extLst>
                    </a:blip>
                    <a:stretch>
                      <a:fillRect/>
                    </a:stretch>
                  </pic:blipFill>
                  <pic:spPr>
                    <a:xfrm>
                      <a:off x="0" y="0"/>
                      <a:ext cx="3657600" cy="2732400"/>
                    </a:xfrm>
                    <a:prstGeom prst="rect">
                      <a:avLst/>
                    </a:prstGeom>
                  </pic:spPr>
                </pic:pic>
              </a:graphicData>
            </a:graphic>
          </wp:inline>
        </w:drawing>
      </w:r>
    </w:p>
    <w:p w:rsidR="003E4F86" w:rsidRPr="00BE086B" w:rsidRDefault="003E4F86" w:rsidP="00E51A5F">
      <w:pPr>
        <w:spacing w:line="360" w:lineRule="auto"/>
        <w:ind w:firstLine="851"/>
        <w:jc w:val="center"/>
        <w:rPr>
          <w:b/>
          <w:bCs/>
          <w:sz w:val="28"/>
          <w:szCs w:val="28"/>
          <w:lang w:eastAsia="ru-RU"/>
        </w:rPr>
      </w:pPr>
    </w:p>
    <w:p w:rsidR="00E51A5F" w:rsidRPr="00BE086B" w:rsidRDefault="00E51A5F" w:rsidP="00E51A5F">
      <w:pPr>
        <w:spacing w:line="360" w:lineRule="auto"/>
        <w:ind w:firstLine="709"/>
        <w:jc w:val="both"/>
        <w:rPr>
          <w:sz w:val="28"/>
          <w:szCs w:val="28"/>
        </w:rPr>
      </w:pPr>
      <w:r w:rsidRPr="00BE086B">
        <w:rPr>
          <w:b/>
          <w:bCs/>
          <w:sz w:val="28"/>
          <w:szCs w:val="28"/>
          <w:lang w:eastAsia="ru-RU"/>
        </w:rPr>
        <w:t>Рис. 8.12.</w:t>
      </w:r>
      <w:r w:rsidRPr="00BE086B">
        <w:rPr>
          <w:sz w:val="28"/>
          <w:szCs w:val="28"/>
          <w:lang w:eastAsia="ru-RU"/>
        </w:rPr>
        <w:t xml:space="preserve"> Фрагмент синовіальної оболонки колінного суглоба щура з коморбідною патологією на тлі введення </w:t>
      </w:r>
      <w:r w:rsidRPr="00BE086B">
        <w:rPr>
          <w:sz w:val="28"/>
          <w:szCs w:val="28"/>
        </w:rPr>
        <w:t>L-тироксину</w:t>
      </w:r>
      <w:r w:rsidRPr="00BE086B">
        <w:rPr>
          <w:sz w:val="28"/>
          <w:szCs w:val="28"/>
          <w:lang w:eastAsia="ru-RU"/>
        </w:rPr>
        <w:t xml:space="preserve">: стрілка – гіпертрофована синовіальна оболонка, що утворює складки, зірочка – кіста заповнена муцинозним вмістом.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pacing w:line="360" w:lineRule="auto"/>
        <w:ind w:firstLine="851"/>
        <w:jc w:val="both"/>
        <w:rPr>
          <w:sz w:val="28"/>
          <w:szCs w:val="28"/>
          <w:lang w:eastAsia="ru-RU"/>
        </w:rPr>
      </w:pPr>
    </w:p>
    <w:p w:rsidR="00E51A5F" w:rsidRPr="00BE086B" w:rsidRDefault="00E51A5F" w:rsidP="00E51A5F">
      <w:pPr>
        <w:spacing w:line="360" w:lineRule="auto"/>
        <w:ind w:firstLine="851"/>
        <w:jc w:val="both"/>
        <w:rPr>
          <w:sz w:val="28"/>
          <w:szCs w:val="28"/>
          <w:lang w:eastAsia="ru-RU"/>
        </w:rPr>
      </w:pPr>
      <w:r w:rsidRPr="00BE086B">
        <w:rPr>
          <w:sz w:val="28"/>
          <w:szCs w:val="28"/>
          <w:lang w:eastAsia="ru-RU"/>
        </w:rPr>
        <w:t xml:space="preserve">Як видно з рис. 8.12, у структурах колінного суглобу щурів з коморбідною патологією на тлі введення </w:t>
      </w:r>
      <w:r w:rsidRPr="00BE086B">
        <w:rPr>
          <w:sz w:val="28"/>
          <w:szCs w:val="28"/>
        </w:rPr>
        <w:t>L-тироксину</w:t>
      </w:r>
      <w:r w:rsidRPr="00BE086B">
        <w:rPr>
          <w:sz w:val="28"/>
          <w:szCs w:val="28"/>
          <w:lang w:eastAsia="ru-RU"/>
        </w:rPr>
        <w:t xml:space="preserve"> визначалися ознаки гіпертрофії та фіброзу синовіальної оболонки. Синовіоцити були гіперплазовані, а власне синовіум добре васкуляризований. В окремих зразках дослідження візуалізувалася кіста, що була заповнена муцинозним вмістом. Подібно до 2 групи суглобовий хрящ поблизу синовіальної оболонки мав значну товщину, проте характеризувався ознаками дезорганізації.</w:t>
      </w:r>
    </w:p>
    <w:p w:rsidR="00E51A5F" w:rsidRPr="00BE086B" w:rsidRDefault="00E51A5F" w:rsidP="00E51A5F">
      <w:pPr>
        <w:spacing w:line="360" w:lineRule="auto"/>
        <w:ind w:firstLine="851"/>
        <w:jc w:val="both"/>
        <w:rPr>
          <w:sz w:val="28"/>
          <w:szCs w:val="28"/>
          <w:lang w:eastAsia="ru-RU"/>
        </w:rPr>
      </w:pPr>
      <w:r w:rsidRPr="00BE086B">
        <w:rPr>
          <w:sz w:val="28"/>
          <w:szCs w:val="28"/>
          <w:lang w:eastAsia="ru-RU"/>
        </w:rPr>
        <w:t xml:space="preserve">Визначено, що фармакологічна корекція </w:t>
      </w:r>
      <w:r w:rsidRPr="00BE086B">
        <w:rPr>
          <w:sz w:val="28"/>
          <w:szCs w:val="28"/>
        </w:rPr>
        <w:t xml:space="preserve">L-тироксином </w:t>
      </w:r>
      <w:r w:rsidRPr="00BE086B">
        <w:rPr>
          <w:sz w:val="28"/>
          <w:szCs w:val="28"/>
          <w:lang w:eastAsia="ru-RU"/>
        </w:rPr>
        <w:t>стимулювала регенераторні можливості гіалінового хрящу епіфізу стегнової кістки (рис. 8.13).</w:t>
      </w:r>
    </w:p>
    <w:p w:rsidR="00E51A5F" w:rsidRPr="00BE086B" w:rsidRDefault="003E4F86" w:rsidP="00E51A5F">
      <w:pPr>
        <w:spacing w:line="100" w:lineRule="atLeast"/>
        <w:ind w:firstLine="851"/>
        <w:jc w:val="center"/>
        <w:rPr>
          <w:b/>
          <w:bCs/>
          <w:sz w:val="28"/>
          <w:szCs w:val="28"/>
          <w:lang w:eastAsia="ru-RU"/>
        </w:rPr>
      </w:pPr>
      <w:r>
        <w:rPr>
          <w:b/>
          <w:bCs/>
          <w:noProof/>
          <w:sz w:val="28"/>
          <w:szCs w:val="28"/>
          <w:lang w:eastAsia="ru-RU"/>
        </w:rPr>
        <w:lastRenderedPageBreak/>
        <w:drawing>
          <wp:inline distT="0" distB="0" distL="0" distR="0">
            <wp:extent cx="3646800" cy="27432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8.13.jpg"/>
                    <pic:cNvPicPr/>
                  </pic:nvPicPr>
                  <pic:blipFill>
                    <a:blip r:embed="rId100">
                      <a:extLst>
                        <a:ext uri="{28A0092B-C50C-407E-A947-70E740481C1C}">
                          <a14:useLocalDpi xmlns:a14="http://schemas.microsoft.com/office/drawing/2010/main" val="0"/>
                        </a:ext>
                      </a:extLst>
                    </a:blip>
                    <a:stretch>
                      <a:fillRect/>
                    </a:stretch>
                  </pic:blipFill>
                  <pic:spPr>
                    <a:xfrm>
                      <a:off x="0" y="0"/>
                      <a:ext cx="3646800" cy="2743200"/>
                    </a:xfrm>
                    <a:prstGeom prst="rect">
                      <a:avLst/>
                    </a:prstGeom>
                  </pic:spPr>
                </pic:pic>
              </a:graphicData>
            </a:graphic>
          </wp:inline>
        </w:drawing>
      </w:r>
    </w:p>
    <w:p w:rsidR="00E51A5F" w:rsidRPr="00BE086B" w:rsidRDefault="00E51A5F" w:rsidP="00E51A5F">
      <w:pPr>
        <w:spacing w:line="360" w:lineRule="auto"/>
        <w:ind w:firstLine="709"/>
        <w:jc w:val="both"/>
        <w:rPr>
          <w:sz w:val="28"/>
          <w:szCs w:val="28"/>
        </w:rPr>
      </w:pPr>
      <w:r w:rsidRPr="00BE086B">
        <w:rPr>
          <w:b/>
          <w:bCs/>
          <w:sz w:val="28"/>
          <w:szCs w:val="28"/>
          <w:lang w:eastAsia="ru-RU"/>
        </w:rPr>
        <w:t>Рис. 8.13.</w:t>
      </w:r>
      <w:r w:rsidRPr="00BE086B">
        <w:rPr>
          <w:sz w:val="28"/>
          <w:szCs w:val="28"/>
          <w:lang w:eastAsia="ru-RU"/>
        </w:rPr>
        <w:t xml:space="preserve"> Дистальний епіфіз стегнової кістки щура з коморбідною патологією на тлі введення </w:t>
      </w:r>
      <w:r w:rsidRPr="00BE086B">
        <w:rPr>
          <w:sz w:val="28"/>
          <w:szCs w:val="28"/>
        </w:rPr>
        <w:t>L-тироксину</w:t>
      </w:r>
      <w:r w:rsidRPr="00BE086B">
        <w:rPr>
          <w:sz w:val="28"/>
          <w:szCs w:val="28"/>
          <w:lang w:eastAsia="ru-RU"/>
        </w:rPr>
        <w:t xml:space="preserve">: стрілка – новоутворений хрящ, головка стрілки – рештки дегенеративно зміненого суглобового хряща, зірочка – некротизована кісткова трабекула, К – кісткова трабекула, С – субходральний склероз.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pacing w:line="360" w:lineRule="auto"/>
        <w:ind w:firstLine="851"/>
        <w:jc w:val="both"/>
        <w:rPr>
          <w:sz w:val="28"/>
          <w:szCs w:val="28"/>
          <w:lang w:eastAsia="ru-RU"/>
        </w:rPr>
      </w:pPr>
    </w:p>
    <w:p w:rsidR="00E51A5F" w:rsidRPr="00BE086B" w:rsidRDefault="00E51A5F" w:rsidP="00E51A5F">
      <w:pPr>
        <w:spacing w:line="360" w:lineRule="auto"/>
        <w:ind w:firstLine="851"/>
        <w:jc w:val="both"/>
        <w:rPr>
          <w:sz w:val="28"/>
          <w:szCs w:val="28"/>
        </w:rPr>
      </w:pPr>
      <w:r w:rsidRPr="00BE086B">
        <w:rPr>
          <w:sz w:val="28"/>
          <w:szCs w:val="28"/>
          <w:lang w:eastAsia="ru-RU"/>
        </w:rPr>
        <w:t xml:space="preserve">Як видно з рис. 8.13, виразність репаративних процесів вздовж суглобової поверхні була різною від обмежених ділянок заміщення хрящу волокнистою сполучною тканиною до значних ділянок новоутвореного хряща різної товщини та організації. Звертало увагу, що ріст молодого хряща відзначався з боку субхондральної кістки та молодий хрящ обмежувався рештками дегенеративно зміненого деформованого суглобового хряща. При цьому новоутворений хрящ без ознак кальцифікації занурювався у субхондральну кістку на різну глибину. Молодий гіаліновий хрящ складався із дрібних клітин – хондробластів, що розташовувалися ближче до кістки та крупніших клітин, локалізованих ближче до поверхні – хондроцитів, що мали бліду базофільну цитоплазму, центрально розташоване ядро та тенденцію до розташування групами (рис. 8.14). Іноді групи молодих хондроцитів формували ланцюжок клітин, який був орієнтований перпендикулярно до </w:t>
      </w:r>
      <w:r w:rsidRPr="00BE086B">
        <w:rPr>
          <w:sz w:val="28"/>
          <w:szCs w:val="28"/>
          <w:lang w:eastAsia="ru-RU"/>
        </w:rPr>
        <w:lastRenderedPageBreak/>
        <w:t>суглобової поверхні. Основний матрикс хряща демонстрував ознаки метахромазії (рис. 8.15).</w:t>
      </w:r>
    </w:p>
    <w:p w:rsidR="00E51A5F" w:rsidRPr="00BE086B" w:rsidRDefault="003E4F86" w:rsidP="00E51A5F">
      <w:pPr>
        <w:spacing w:line="100" w:lineRule="atLeast"/>
        <w:ind w:firstLine="851"/>
        <w:jc w:val="center"/>
        <w:rPr>
          <w:b/>
          <w:bCs/>
          <w:sz w:val="28"/>
          <w:szCs w:val="28"/>
          <w:lang w:eastAsia="ru-RU"/>
        </w:rPr>
      </w:pPr>
      <w:r>
        <w:rPr>
          <w:b/>
          <w:bCs/>
          <w:noProof/>
          <w:sz w:val="28"/>
          <w:szCs w:val="28"/>
          <w:lang w:eastAsia="ru-RU"/>
        </w:rPr>
        <w:drawing>
          <wp:inline distT="0" distB="0" distL="0" distR="0">
            <wp:extent cx="3646800" cy="27324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8.14.jpg"/>
                    <pic:cNvPicPr/>
                  </pic:nvPicPr>
                  <pic:blipFill>
                    <a:blip r:embed="rId101">
                      <a:extLst>
                        <a:ext uri="{28A0092B-C50C-407E-A947-70E740481C1C}">
                          <a14:useLocalDpi xmlns:a14="http://schemas.microsoft.com/office/drawing/2010/main" val="0"/>
                        </a:ext>
                      </a:extLst>
                    </a:blip>
                    <a:stretch>
                      <a:fillRect/>
                    </a:stretch>
                  </pic:blipFill>
                  <pic:spPr>
                    <a:xfrm>
                      <a:off x="0" y="0"/>
                      <a:ext cx="3646800" cy="2732400"/>
                    </a:xfrm>
                    <a:prstGeom prst="rect">
                      <a:avLst/>
                    </a:prstGeom>
                  </pic:spPr>
                </pic:pic>
              </a:graphicData>
            </a:graphic>
          </wp:inline>
        </w:drawing>
      </w:r>
    </w:p>
    <w:p w:rsidR="00E51A5F" w:rsidRPr="00BE086B" w:rsidRDefault="00E51A5F" w:rsidP="00E51A5F">
      <w:pPr>
        <w:spacing w:line="360" w:lineRule="auto"/>
        <w:ind w:firstLine="709"/>
        <w:jc w:val="both"/>
        <w:rPr>
          <w:sz w:val="28"/>
          <w:szCs w:val="28"/>
        </w:rPr>
      </w:pPr>
      <w:r w:rsidRPr="00BE086B">
        <w:rPr>
          <w:b/>
          <w:bCs/>
          <w:sz w:val="28"/>
          <w:szCs w:val="28"/>
          <w:lang w:eastAsia="ru-RU"/>
        </w:rPr>
        <w:t>Рис. 8.14.</w:t>
      </w:r>
      <w:r w:rsidRPr="00BE086B">
        <w:rPr>
          <w:sz w:val="28"/>
          <w:szCs w:val="28"/>
          <w:lang w:eastAsia="ru-RU"/>
        </w:rPr>
        <w:t xml:space="preserve"> Дистальний епіфіз стегнової кістки щура з коморбідною патологією на тлі введення </w:t>
      </w:r>
      <w:r w:rsidRPr="00BE086B">
        <w:rPr>
          <w:sz w:val="28"/>
          <w:szCs w:val="28"/>
        </w:rPr>
        <w:t>L-тироксину</w:t>
      </w:r>
      <w:r w:rsidRPr="00BE086B">
        <w:rPr>
          <w:sz w:val="28"/>
          <w:szCs w:val="28"/>
          <w:lang w:eastAsia="ru-RU"/>
        </w:rPr>
        <w:t xml:space="preserve">: стрілка – дегенеративно змінений суглобовий хрящ, головка стрілки – група молодих хондроцитів, що утворюють ланцюжок, зірочка – незріла сполучна тканина.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3E4F86" w:rsidP="00E51A5F">
      <w:pPr>
        <w:spacing w:line="100" w:lineRule="atLeast"/>
        <w:ind w:firstLine="851"/>
        <w:jc w:val="center"/>
        <w:rPr>
          <w:sz w:val="28"/>
          <w:szCs w:val="28"/>
          <w:lang w:eastAsia="ru-RU"/>
        </w:rPr>
      </w:pPr>
      <w:r>
        <w:rPr>
          <w:noProof/>
          <w:sz w:val="28"/>
          <w:szCs w:val="28"/>
          <w:lang w:eastAsia="ru-RU"/>
        </w:rPr>
        <w:drawing>
          <wp:inline distT="0" distB="0" distL="0" distR="0">
            <wp:extent cx="3646800" cy="27324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8.15.jpg"/>
                    <pic:cNvPicPr/>
                  </pic:nvPicPr>
                  <pic:blipFill>
                    <a:blip r:embed="rId102">
                      <a:extLst>
                        <a:ext uri="{28A0092B-C50C-407E-A947-70E740481C1C}">
                          <a14:useLocalDpi xmlns:a14="http://schemas.microsoft.com/office/drawing/2010/main" val="0"/>
                        </a:ext>
                      </a:extLst>
                    </a:blip>
                    <a:stretch>
                      <a:fillRect/>
                    </a:stretch>
                  </pic:blipFill>
                  <pic:spPr>
                    <a:xfrm>
                      <a:off x="0" y="0"/>
                      <a:ext cx="3646800" cy="2732400"/>
                    </a:xfrm>
                    <a:prstGeom prst="rect">
                      <a:avLst/>
                    </a:prstGeom>
                  </pic:spPr>
                </pic:pic>
              </a:graphicData>
            </a:graphic>
          </wp:inline>
        </w:drawing>
      </w:r>
    </w:p>
    <w:p w:rsidR="00E51A5F" w:rsidRPr="00BE086B" w:rsidRDefault="00E51A5F" w:rsidP="00E51A5F">
      <w:pPr>
        <w:spacing w:line="360" w:lineRule="auto"/>
        <w:ind w:firstLine="709"/>
        <w:jc w:val="both"/>
        <w:rPr>
          <w:sz w:val="28"/>
          <w:szCs w:val="28"/>
        </w:rPr>
      </w:pPr>
      <w:r w:rsidRPr="00BE086B">
        <w:rPr>
          <w:b/>
          <w:sz w:val="28"/>
          <w:szCs w:val="28"/>
          <w:lang w:eastAsia="ru-RU"/>
        </w:rPr>
        <w:t>Рис. 8.15.</w:t>
      </w:r>
      <w:r w:rsidRPr="00BE086B">
        <w:rPr>
          <w:sz w:val="28"/>
          <w:szCs w:val="28"/>
          <w:lang w:eastAsia="ru-RU"/>
        </w:rPr>
        <w:t xml:space="preserve"> Ділянка новоутвореного хряща дистального епіфізу стегна щура з коморбідною патологією на тлі введення </w:t>
      </w:r>
      <w:r w:rsidRPr="00BE086B">
        <w:rPr>
          <w:sz w:val="28"/>
          <w:szCs w:val="28"/>
        </w:rPr>
        <w:t>L-тироксину</w:t>
      </w:r>
      <w:r w:rsidRPr="00BE086B">
        <w:rPr>
          <w:sz w:val="28"/>
          <w:szCs w:val="28"/>
          <w:lang w:eastAsia="ru-RU"/>
        </w:rPr>
        <w:t xml:space="preserve">: головка стрілки – молоді хондроцити, зірочка – позаклітинний матрикс з явищами метахромазії. </w:t>
      </w:r>
      <w:r w:rsidRPr="00BE086B">
        <w:rPr>
          <w:rFonts w:eastAsia="Calibri"/>
          <w:sz w:val="28"/>
          <w:szCs w:val="28"/>
        </w:rPr>
        <w:t xml:space="preserve">Забарвлення гематоксиліном-еозином, збільшення × </w:t>
      </w:r>
      <w:r w:rsidRPr="00BE086B">
        <w:rPr>
          <w:sz w:val="28"/>
          <w:szCs w:val="28"/>
          <w:lang w:eastAsia="ru-RU"/>
        </w:rPr>
        <w:t>400.</w:t>
      </w:r>
    </w:p>
    <w:p w:rsidR="00E51A5F" w:rsidRPr="00BE086B" w:rsidRDefault="00E51A5F" w:rsidP="00E51A5F">
      <w:pPr>
        <w:spacing w:line="360" w:lineRule="auto"/>
        <w:ind w:firstLine="851"/>
        <w:jc w:val="both"/>
        <w:rPr>
          <w:sz w:val="28"/>
          <w:szCs w:val="28"/>
          <w:lang w:eastAsia="ru-RU"/>
        </w:rPr>
      </w:pPr>
    </w:p>
    <w:p w:rsidR="00E51A5F" w:rsidRPr="00BE086B" w:rsidRDefault="00E51A5F" w:rsidP="00E51A5F">
      <w:pPr>
        <w:spacing w:line="360" w:lineRule="auto"/>
        <w:ind w:firstLine="851"/>
        <w:jc w:val="both"/>
        <w:rPr>
          <w:sz w:val="28"/>
          <w:szCs w:val="28"/>
          <w:lang w:eastAsia="uk-UA"/>
        </w:rPr>
      </w:pPr>
      <w:r w:rsidRPr="00BE086B">
        <w:rPr>
          <w:sz w:val="28"/>
          <w:szCs w:val="28"/>
          <w:lang w:eastAsia="ru-RU"/>
        </w:rPr>
        <w:lastRenderedPageBreak/>
        <w:t xml:space="preserve">Встановлено, що на тлі введення </w:t>
      </w:r>
      <w:r w:rsidRPr="00BE086B">
        <w:rPr>
          <w:sz w:val="28"/>
          <w:szCs w:val="28"/>
        </w:rPr>
        <w:t xml:space="preserve">L-тироксину при коморбідній патології, </w:t>
      </w:r>
      <w:r w:rsidRPr="00BE086B">
        <w:rPr>
          <w:sz w:val="28"/>
          <w:szCs w:val="28"/>
          <w:lang w:eastAsia="ru-RU"/>
        </w:rPr>
        <w:t xml:space="preserve">субхондральна кістка у досліджених зразках була склерозована та добре васкуляризована. </w:t>
      </w:r>
      <w:r w:rsidRPr="00BE086B">
        <w:rPr>
          <w:sz w:val="28"/>
          <w:szCs w:val="28"/>
          <w:lang w:eastAsia="uk-UA"/>
        </w:rPr>
        <w:t>Проте спостерігались осередки суглобової поверхні, де обсяг новоутвореного хряща був достатньо обмеженими (рис. 8.16 та 8.17).</w:t>
      </w:r>
    </w:p>
    <w:p w:rsidR="00E51A5F" w:rsidRPr="00BE086B" w:rsidRDefault="003E4F86" w:rsidP="00E51A5F">
      <w:pPr>
        <w:shd w:val="clear" w:color="auto" w:fill="FFFFFF"/>
        <w:spacing w:line="100" w:lineRule="atLeast"/>
        <w:ind w:firstLine="851"/>
        <w:jc w:val="center"/>
        <w:rPr>
          <w:b/>
          <w:bCs/>
          <w:sz w:val="28"/>
          <w:szCs w:val="28"/>
          <w:lang w:eastAsia="ru-RU"/>
        </w:rPr>
      </w:pPr>
      <w:r>
        <w:rPr>
          <w:b/>
          <w:bCs/>
          <w:noProof/>
          <w:sz w:val="28"/>
          <w:szCs w:val="28"/>
          <w:lang w:eastAsia="ru-RU"/>
        </w:rPr>
        <w:drawing>
          <wp:inline distT="0" distB="0" distL="0" distR="0">
            <wp:extent cx="3646800" cy="27324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8.16.jpg"/>
                    <pic:cNvPicPr/>
                  </pic:nvPicPr>
                  <pic:blipFill>
                    <a:blip r:embed="rId103">
                      <a:extLst>
                        <a:ext uri="{28A0092B-C50C-407E-A947-70E740481C1C}">
                          <a14:useLocalDpi xmlns:a14="http://schemas.microsoft.com/office/drawing/2010/main" val="0"/>
                        </a:ext>
                      </a:extLst>
                    </a:blip>
                    <a:stretch>
                      <a:fillRect/>
                    </a:stretch>
                  </pic:blipFill>
                  <pic:spPr>
                    <a:xfrm>
                      <a:off x="0" y="0"/>
                      <a:ext cx="3646800" cy="2732400"/>
                    </a:xfrm>
                    <a:prstGeom prst="rect">
                      <a:avLst/>
                    </a:prstGeom>
                  </pic:spPr>
                </pic:pic>
              </a:graphicData>
            </a:graphic>
          </wp:inline>
        </w:drawing>
      </w:r>
    </w:p>
    <w:p w:rsidR="00E51A5F" w:rsidRPr="00BE086B" w:rsidRDefault="00E51A5F" w:rsidP="00E51A5F">
      <w:pPr>
        <w:shd w:val="clear" w:color="auto" w:fill="FFFFFF"/>
        <w:spacing w:line="360" w:lineRule="auto"/>
        <w:ind w:firstLine="709"/>
        <w:jc w:val="both"/>
        <w:rPr>
          <w:sz w:val="28"/>
          <w:szCs w:val="28"/>
          <w:lang w:eastAsia="ru-RU"/>
        </w:rPr>
      </w:pPr>
      <w:r w:rsidRPr="00BE086B">
        <w:rPr>
          <w:b/>
          <w:bCs/>
          <w:sz w:val="28"/>
          <w:szCs w:val="28"/>
          <w:lang w:eastAsia="ru-RU"/>
        </w:rPr>
        <w:t>Рис. 8.16.</w:t>
      </w:r>
      <w:r w:rsidRPr="00BE086B">
        <w:rPr>
          <w:sz w:val="28"/>
          <w:szCs w:val="28"/>
          <w:lang w:eastAsia="ru-RU"/>
        </w:rPr>
        <w:t xml:space="preserve"> Фрагмент дистального епіфізу стегна щура з коморбідною патологією на тлі введення </w:t>
      </w:r>
      <w:r w:rsidRPr="00BE086B">
        <w:rPr>
          <w:sz w:val="28"/>
          <w:szCs w:val="28"/>
        </w:rPr>
        <w:t>L-тироксину</w:t>
      </w:r>
      <w:r w:rsidRPr="00BE086B">
        <w:rPr>
          <w:sz w:val="28"/>
          <w:szCs w:val="28"/>
          <w:lang w:eastAsia="ru-RU"/>
        </w:rPr>
        <w:t xml:space="preserve">: стрілка – осередок новоутвореного хряща, К – кісткова трабекула. С – субхондральний склероз, головка стрілки – кровоносні судини.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hd w:val="clear" w:color="auto" w:fill="FFFFFF"/>
        <w:spacing w:line="360" w:lineRule="auto"/>
        <w:ind w:firstLine="709"/>
        <w:jc w:val="both"/>
        <w:rPr>
          <w:sz w:val="28"/>
          <w:szCs w:val="28"/>
          <w:lang w:eastAsia="ru-RU"/>
        </w:rPr>
      </w:pPr>
    </w:p>
    <w:p w:rsidR="00E51A5F" w:rsidRPr="00BE086B" w:rsidRDefault="00E51A5F" w:rsidP="00E51A5F">
      <w:pPr>
        <w:spacing w:line="360" w:lineRule="auto"/>
        <w:ind w:firstLine="851"/>
        <w:jc w:val="both"/>
        <w:rPr>
          <w:sz w:val="28"/>
          <w:szCs w:val="28"/>
        </w:rPr>
      </w:pPr>
      <w:r w:rsidRPr="00BE086B">
        <w:rPr>
          <w:sz w:val="28"/>
          <w:szCs w:val="28"/>
          <w:lang w:eastAsia="ru-RU"/>
        </w:rPr>
        <w:t>Як видно з рис. 8.16, поблизу суглобової поверхні між некротизованими кістковими трабекулами відзначалося розростання незрілої сполучної тканини (мезенхіми), яка поступово переходила у структуру новоутвореного хряща. Відсутність чіткої межі між компонентами незрілої сполучної тканини та молодим хрящем, пояснюється здатністю мезенхімальних стовбурових клітин диференціюватися у хондробласти та хондроцити.</w:t>
      </w:r>
    </w:p>
    <w:p w:rsidR="00E51A5F" w:rsidRPr="00BE086B" w:rsidRDefault="003E4F86" w:rsidP="00E51A5F">
      <w:pPr>
        <w:shd w:val="clear" w:color="auto" w:fill="FFFFFF"/>
        <w:spacing w:line="100" w:lineRule="atLeast"/>
        <w:ind w:firstLine="851"/>
        <w:jc w:val="center"/>
        <w:rPr>
          <w:b/>
          <w:bCs/>
          <w:sz w:val="28"/>
          <w:szCs w:val="28"/>
          <w:lang w:eastAsia="ru-RU"/>
        </w:rPr>
      </w:pPr>
      <w:r>
        <w:rPr>
          <w:b/>
          <w:bCs/>
          <w:noProof/>
          <w:sz w:val="28"/>
          <w:szCs w:val="28"/>
          <w:lang w:eastAsia="ru-RU"/>
        </w:rPr>
        <w:lastRenderedPageBreak/>
        <w:drawing>
          <wp:inline distT="0" distB="0" distL="0" distR="0">
            <wp:extent cx="3268800" cy="2448000"/>
            <wp:effectExtent l="0" t="0" r="825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8.17.jpg"/>
                    <pic:cNvPicPr/>
                  </pic:nvPicPr>
                  <pic:blipFill>
                    <a:blip r:embed="rId104">
                      <a:extLst>
                        <a:ext uri="{28A0092B-C50C-407E-A947-70E740481C1C}">
                          <a14:useLocalDpi xmlns:a14="http://schemas.microsoft.com/office/drawing/2010/main" val="0"/>
                        </a:ext>
                      </a:extLst>
                    </a:blip>
                    <a:stretch>
                      <a:fillRect/>
                    </a:stretch>
                  </pic:blipFill>
                  <pic:spPr>
                    <a:xfrm>
                      <a:off x="0" y="0"/>
                      <a:ext cx="3268800" cy="2448000"/>
                    </a:xfrm>
                    <a:prstGeom prst="rect">
                      <a:avLst/>
                    </a:prstGeom>
                  </pic:spPr>
                </pic:pic>
              </a:graphicData>
            </a:graphic>
          </wp:inline>
        </w:drawing>
      </w:r>
    </w:p>
    <w:p w:rsidR="00E51A5F" w:rsidRPr="00BE086B" w:rsidRDefault="00E51A5F" w:rsidP="00E51A5F">
      <w:pPr>
        <w:shd w:val="clear" w:color="auto" w:fill="FFFFFF"/>
        <w:spacing w:line="360" w:lineRule="auto"/>
        <w:ind w:firstLine="709"/>
        <w:jc w:val="both"/>
        <w:rPr>
          <w:sz w:val="28"/>
          <w:szCs w:val="28"/>
        </w:rPr>
      </w:pPr>
      <w:r w:rsidRPr="00BE086B">
        <w:rPr>
          <w:b/>
          <w:bCs/>
          <w:sz w:val="28"/>
          <w:szCs w:val="28"/>
          <w:lang w:eastAsia="ru-RU"/>
        </w:rPr>
        <w:t>Рис. 8.17.</w:t>
      </w:r>
      <w:r w:rsidRPr="00BE086B">
        <w:rPr>
          <w:sz w:val="28"/>
          <w:szCs w:val="28"/>
          <w:lang w:eastAsia="ru-RU"/>
        </w:rPr>
        <w:t xml:space="preserve"> Фрагмент дистального епіфізу стегна щура з коморбідною патологією на тлі введення </w:t>
      </w:r>
      <w:r w:rsidRPr="00BE086B">
        <w:rPr>
          <w:sz w:val="28"/>
          <w:szCs w:val="28"/>
        </w:rPr>
        <w:t>L-тироксину</w:t>
      </w:r>
      <w:r w:rsidRPr="00BE086B">
        <w:rPr>
          <w:sz w:val="28"/>
          <w:szCs w:val="28"/>
          <w:lang w:eastAsia="ru-RU"/>
        </w:rPr>
        <w:t xml:space="preserve">: стрілка – ділянка новоутвореного хряща, К – кісткова трабекула. С – субхондральний склероз, головка стрілки – кровоносні судини.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hd w:val="clear" w:color="auto" w:fill="FFFFFF"/>
        <w:spacing w:line="360" w:lineRule="auto"/>
        <w:ind w:firstLine="851"/>
        <w:jc w:val="both"/>
        <w:rPr>
          <w:sz w:val="28"/>
          <w:szCs w:val="28"/>
          <w:lang w:eastAsia="uk-UA"/>
        </w:rPr>
      </w:pPr>
      <w:r w:rsidRPr="00BE086B">
        <w:rPr>
          <w:sz w:val="28"/>
          <w:szCs w:val="28"/>
          <w:lang w:eastAsia="uk-UA"/>
        </w:rPr>
        <w:t>Поруч з ділянками суглобової поверхні, де обсяг новоутвореного хряща був обмеженими відзначались ділянки, де протяжність та товщина молодого суглобового хряща була більш значною, а в аморфній речовині хондроцити розташовувались кластерами (рис. 8.18).</w:t>
      </w:r>
    </w:p>
    <w:p w:rsidR="00E51A5F" w:rsidRPr="00BE086B" w:rsidRDefault="003E4F86" w:rsidP="00E51A5F">
      <w:pPr>
        <w:shd w:val="clear" w:color="auto" w:fill="FFFFFF"/>
        <w:spacing w:line="100" w:lineRule="atLeast"/>
        <w:ind w:firstLine="851"/>
        <w:jc w:val="center"/>
        <w:rPr>
          <w:b/>
          <w:bCs/>
          <w:sz w:val="28"/>
          <w:szCs w:val="28"/>
          <w:lang w:eastAsia="ru-RU"/>
        </w:rPr>
      </w:pPr>
      <w:r>
        <w:rPr>
          <w:b/>
          <w:bCs/>
          <w:noProof/>
          <w:sz w:val="28"/>
          <w:szCs w:val="28"/>
          <w:lang w:eastAsia="ru-RU"/>
        </w:rPr>
        <w:drawing>
          <wp:inline distT="0" distB="0" distL="0" distR="0">
            <wp:extent cx="3268800" cy="2448000"/>
            <wp:effectExtent l="0" t="0" r="825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8.18.jpg"/>
                    <pic:cNvPicPr/>
                  </pic:nvPicPr>
                  <pic:blipFill>
                    <a:blip r:embed="rId105">
                      <a:extLst>
                        <a:ext uri="{28A0092B-C50C-407E-A947-70E740481C1C}">
                          <a14:useLocalDpi xmlns:a14="http://schemas.microsoft.com/office/drawing/2010/main" val="0"/>
                        </a:ext>
                      </a:extLst>
                    </a:blip>
                    <a:stretch>
                      <a:fillRect/>
                    </a:stretch>
                  </pic:blipFill>
                  <pic:spPr>
                    <a:xfrm>
                      <a:off x="0" y="0"/>
                      <a:ext cx="3268800" cy="2448000"/>
                    </a:xfrm>
                    <a:prstGeom prst="rect">
                      <a:avLst/>
                    </a:prstGeom>
                  </pic:spPr>
                </pic:pic>
              </a:graphicData>
            </a:graphic>
          </wp:inline>
        </w:drawing>
      </w:r>
    </w:p>
    <w:p w:rsidR="00E51A5F" w:rsidRPr="00BE086B" w:rsidRDefault="00E51A5F" w:rsidP="00E51A5F">
      <w:pPr>
        <w:shd w:val="clear" w:color="auto" w:fill="FFFFFF"/>
        <w:spacing w:line="360" w:lineRule="auto"/>
        <w:ind w:firstLine="709"/>
        <w:jc w:val="both"/>
        <w:rPr>
          <w:sz w:val="28"/>
          <w:szCs w:val="28"/>
        </w:rPr>
      </w:pPr>
      <w:r w:rsidRPr="00BE086B">
        <w:rPr>
          <w:b/>
          <w:bCs/>
          <w:sz w:val="28"/>
          <w:szCs w:val="28"/>
          <w:lang w:eastAsia="ru-RU"/>
        </w:rPr>
        <w:t>Рис. 8.18.</w:t>
      </w:r>
      <w:r w:rsidRPr="00BE086B">
        <w:rPr>
          <w:sz w:val="28"/>
          <w:szCs w:val="28"/>
          <w:lang w:eastAsia="ru-RU"/>
        </w:rPr>
        <w:t xml:space="preserve"> Фрагмент новоутвореного суглобового хряща дистального епіфізу стегна щура з коморбідною патологією на тлі введення </w:t>
      </w:r>
      <w:r w:rsidRPr="00BE086B">
        <w:rPr>
          <w:sz w:val="28"/>
          <w:szCs w:val="28"/>
        </w:rPr>
        <w:t>L-тироксину</w:t>
      </w:r>
      <w:r w:rsidRPr="00BE086B">
        <w:rPr>
          <w:sz w:val="28"/>
          <w:szCs w:val="28"/>
          <w:lang w:eastAsia="ru-RU"/>
        </w:rPr>
        <w:t xml:space="preserve">: стрілка – ділянка новоутвореного хряща, К – кісткова трабекула. С – субхондральний склероз, головка стрілки – кровоносні судини. </w:t>
      </w:r>
      <w:r w:rsidRPr="00BE086B">
        <w:rPr>
          <w:rFonts w:eastAsia="Calibri"/>
          <w:sz w:val="28"/>
          <w:szCs w:val="28"/>
        </w:rPr>
        <w:t xml:space="preserve">Забарвлення гематоксиліном-еозином, збільшення × </w:t>
      </w:r>
      <w:r w:rsidRPr="00BE086B">
        <w:rPr>
          <w:sz w:val="28"/>
          <w:szCs w:val="28"/>
          <w:lang w:eastAsia="ru-RU"/>
        </w:rPr>
        <w:t>400.</w:t>
      </w:r>
    </w:p>
    <w:p w:rsidR="00E51A5F" w:rsidRPr="00BE086B" w:rsidRDefault="00E51A5F" w:rsidP="00E51A5F">
      <w:pPr>
        <w:shd w:val="clear" w:color="auto" w:fill="FFFFFF"/>
        <w:spacing w:line="360" w:lineRule="auto"/>
        <w:ind w:firstLine="851"/>
        <w:jc w:val="both"/>
        <w:rPr>
          <w:sz w:val="28"/>
          <w:szCs w:val="28"/>
        </w:rPr>
      </w:pPr>
      <w:r w:rsidRPr="00BE086B">
        <w:rPr>
          <w:sz w:val="28"/>
          <w:szCs w:val="28"/>
          <w:lang w:eastAsia="uk-UA"/>
        </w:rPr>
        <w:lastRenderedPageBreak/>
        <w:t xml:space="preserve">Порівняння гістологічної структури колінних суглобів щурів 2 та 3 груп </w:t>
      </w:r>
      <w:r w:rsidRPr="00BE086B">
        <w:rPr>
          <w:sz w:val="28"/>
          <w:szCs w:val="28"/>
          <w:lang w:eastAsia="ru-RU"/>
        </w:rPr>
        <w:t xml:space="preserve">з коморбідною патологією </w:t>
      </w:r>
      <w:r w:rsidRPr="00BE086B">
        <w:rPr>
          <w:sz w:val="28"/>
          <w:szCs w:val="28"/>
          <w:lang w:eastAsia="uk-UA"/>
        </w:rPr>
        <w:t xml:space="preserve">дозволило встановити, що визначені ділянки хряща відрізнялись недостатньою зрілістю у тварин 3 групи, що проявлялося відсутністю чіткої зональності розподілу хондроцитів та несформованістю лінії розмежування незвапнованого та звапнованого хряща. Регенерація суглобового хряща дистального епіфізу стегна щурів у відповідь на введення </w:t>
      </w:r>
      <w:r w:rsidRPr="00BE086B">
        <w:rPr>
          <w:sz w:val="28"/>
          <w:szCs w:val="28"/>
        </w:rPr>
        <w:t xml:space="preserve">L-тироксину </w:t>
      </w:r>
      <w:r w:rsidRPr="00BE086B">
        <w:rPr>
          <w:sz w:val="28"/>
          <w:szCs w:val="28"/>
          <w:lang w:eastAsia="uk-UA"/>
        </w:rPr>
        <w:t>відбувалася в межах суглобової поверхні, без залучення ділянки субхондральної кістки. Дослідження гістологічної структури субхондральної кістки у щурів 3 групи встановило збереження субхондрального склерозу та значної васкуляризації дистального епіфізу стегна щурів (рис. 8.13, 8.14, 8.16 та 8.17).</w:t>
      </w:r>
    </w:p>
    <w:p w:rsidR="00E51A5F" w:rsidRPr="00BE086B" w:rsidRDefault="00E51A5F" w:rsidP="00E51A5F">
      <w:pPr>
        <w:shd w:val="clear" w:color="auto" w:fill="FFFFFF"/>
        <w:spacing w:line="360" w:lineRule="auto"/>
        <w:ind w:firstLine="709"/>
        <w:jc w:val="both"/>
        <w:rPr>
          <w:sz w:val="28"/>
          <w:szCs w:val="28"/>
        </w:rPr>
      </w:pPr>
      <w:r w:rsidRPr="00BE086B">
        <w:rPr>
          <w:sz w:val="28"/>
          <w:szCs w:val="28"/>
          <w:lang w:eastAsia="uk-UA"/>
        </w:rPr>
        <w:t xml:space="preserve">Таким чином, застосування </w:t>
      </w:r>
      <w:r w:rsidRPr="00BE086B">
        <w:rPr>
          <w:sz w:val="28"/>
          <w:szCs w:val="28"/>
        </w:rPr>
        <w:t>L-тироксину для фармакологічної</w:t>
      </w:r>
      <w:r w:rsidRPr="00BE086B">
        <w:rPr>
          <w:sz w:val="28"/>
          <w:szCs w:val="28"/>
          <w:lang w:eastAsia="uk-UA"/>
        </w:rPr>
        <w:t xml:space="preserve"> корекції коморбідного стану, обумовленого експериментальним ОА та ГІТ призводило до зменшення запальних реактивних змін з боку синовіальної оболонки та стимуляції регенерації суглобового хряща. Патологічні зміни дистального епіфізу стегнової кістки щурів при порівнянні з контрольною та 2 групою тварин свідчили про наявність та збереження значної гіпертрофії та гіперплазії синовіальної оболонки з вираженими ознаками запалення, недостатньої регенерації суглобового хряща з ознаками порушення його гістоархітектури та наявності виразного субхондрального склерозу, що свідчило про недостатність та неадекватність призначення тільки </w:t>
      </w:r>
      <w:r w:rsidRPr="00BE086B">
        <w:rPr>
          <w:sz w:val="28"/>
          <w:szCs w:val="28"/>
        </w:rPr>
        <w:t>L-тироксину при коморбідній патології</w:t>
      </w:r>
      <w:r w:rsidRPr="00BE086B">
        <w:rPr>
          <w:sz w:val="28"/>
          <w:szCs w:val="28"/>
          <w:lang w:eastAsia="uk-UA"/>
        </w:rPr>
        <w:t>.</w:t>
      </w:r>
    </w:p>
    <w:p w:rsidR="00E51A5F" w:rsidRPr="00BE086B" w:rsidRDefault="00E51A5F" w:rsidP="00E51A5F">
      <w:pPr>
        <w:spacing w:line="360" w:lineRule="auto"/>
        <w:ind w:firstLine="709"/>
        <w:jc w:val="both"/>
        <w:rPr>
          <w:sz w:val="28"/>
          <w:szCs w:val="28"/>
          <w:lang w:eastAsia="en-US"/>
        </w:rPr>
      </w:pPr>
      <w:r w:rsidRPr="00BE086B">
        <w:rPr>
          <w:bCs/>
          <w:sz w:val="28"/>
          <w:szCs w:val="28"/>
        </w:rPr>
        <w:t>Тому у дослідженні були визначені гістоморфологічні зміни хрящової тканини при призначені диклофенаку натрію та хондроїтину сульфату на фоні замісної гормональної терапії L-тироксином при експериментальних патологіях</w:t>
      </w:r>
      <w:r w:rsidR="00597BD1" w:rsidRPr="00BE086B">
        <w:rPr>
          <w:bCs/>
          <w:sz w:val="28"/>
          <w:szCs w:val="28"/>
        </w:rPr>
        <w:t xml:space="preserve"> </w:t>
      </w:r>
      <w:r w:rsidR="00597BD1" w:rsidRPr="00BE086B">
        <w:rPr>
          <w:bCs/>
          <w:sz w:val="28"/>
          <w:szCs w:val="28"/>
          <w:lang w:val="uk-UA"/>
        </w:rPr>
        <w:t>[</w:t>
      </w:r>
      <w:r w:rsidR="00597BD1" w:rsidRPr="00BE086B">
        <w:rPr>
          <w:bCs/>
          <w:sz w:val="28"/>
          <w:szCs w:val="28"/>
        </w:rPr>
        <w:t>257, 412, 413</w:t>
      </w:r>
      <w:r w:rsidR="00597BD1" w:rsidRPr="00BE086B">
        <w:rPr>
          <w:bCs/>
          <w:sz w:val="28"/>
          <w:szCs w:val="28"/>
          <w:lang w:val="uk-UA"/>
        </w:rPr>
        <w:t>]</w:t>
      </w:r>
      <w:r w:rsidRPr="00BE086B">
        <w:rPr>
          <w:bCs/>
          <w:sz w:val="28"/>
          <w:szCs w:val="28"/>
        </w:rPr>
        <w:t>.</w:t>
      </w:r>
    </w:p>
    <w:p w:rsidR="00E51A5F" w:rsidRPr="00BE086B" w:rsidRDefault="00E51A5F" w:rsidP="00E51A5F">
      <w:pPr>
        <w:shd w:val="clear" w:color="auto" w:fill="FFFFFF"/>
        <w:spacing w:line="360" w:lineRule="auto"/>
        <w:ind w:firstLine="851"/>
        <w:jc w:val="both"/>
        <w:rPr>
          <w:bCs/>
          <w:sz w:val="28"/>
          <w:szCs w:val="28"/>
        </w:rPr>
      </w:pPr>
    </w:p>
    <w:p w:rsidR="0038751E" w:rsidRPr="00BE086B" w:rsidRDefault="0038751E" w:rsidP="00E51A5F">
      <w:pPr>
        <w:shd w:val="clear" w:color="auto" w:fill="FFFFFF"/>
        <w:spacing w:line="360" w:lineRule="auto"/>
        <w:ind w:firstLine="851"/>
        <w:jc w:val="both"/>
        <w:rPr>
          <w:bCs/>
          <w:sz w:val="28"/>
          <w:szCs w:val="28"/>
        </w:rPr>
      </w:pPr>
    </w:p>
    <w:p w:rsidR="00E51A5F" w:rsidRPr="00BE086B" w:rsidRDefault="00E51A5F" w:rsidP="00E51A5F">
      <w:pPr>
        <w:spacing w:line="360" w:lineRule="auto"/>
        <w:ind w:firstLine="709"/>
        <w:jc w:val="both"/>
        <w:rPr>
          <w:b/>
          <w:sz w:val="28"/>
          <w:szCs w:val="28"/>
        </w:rPr>
      </w:pPr>
      <w:r w:rsidRPr="00BE086B">
        <w:rPr>
          <w:b/>
          <w:bCs/>
          <w:sz w:val="28"/>
          <w:szCs w:val="28"/>
        </w:rPr>
        <w:lastRenderedPageBreak/>
        <w:t xml:space="preserve">8.4 Вплив сумісного призначення диклофенаку натрію, хондроїтину сульфату та L-тироксину на стан </w:t>
      </w:r>
      <w:r w:rsidRPr="00BE086B">
        <w:rPr>
          <w:b/>
          <w:sz w:val="28"/>
          <w:szCs w:val="28"/>
        </w:rPr>
        <w:t xml:space="preserve">кісткової і хрящової тканин </w:t>
      </w:r>
      <w:r w:rsidRPr="00BE086B">
        <w:rPr>
          <w:b/>
          <w:bCs/>
          <w:sz w:val="28"/>
          <w:szCs w:val="28"/>
        </w:rPr>
        <w:t>колінних суглобів за умов</w:t>
      </w:r>
      <w:r w:rsidRPr="00BE086B">
        <w:rPr>
          <w:b/>
          <w:sz w:val="28"/>
          <w:szCs w:val="28"/>
        </w:rPr>
        <w:t xml:space="preserve"> </w:t>
      </w:r>
      <w:r w:rsidRPr="00BE086B">
        <w:rPr>
          <w:b/>
          <w:bCs/>
          <w:sz w:val="28"/>
          <w:szCs w:val="28"/>
        </w:rPr>
        <w:t>коморбідної патології</w:t>
      </w:r>
    </w:p>
    <w:p w:rsidR="00E51A5F" w:rsidRPr="00BE086B" w:rsidRDefault="00E51A5F" w:rsidP="00E51A5F">
      <w:pPr>
        <w:spacing w:line="360" w:lineRule="auto"/>
        <w:ind w:firstLine="709"/>
        <w:jc w:val="both"/>
        <w:rPr>
          <w:sz w:val="28"/>
          <w:szCs w:val="28"/>
        </w:rPr>
      </w:pPr>
    </w:p>
    <w:p w:rsidR="00E51A5F" w:rsidRPr="00BE086B" w:rsidRDefault="00E51A5F" w:rsidP="00E51A5F">
      <w:pPr>
        <w:spacing w:line="360" w:lineRule="auto"/>
        <w:ind w:firstLine="709"/>
        <w:jc w:val="both"/>
        <w:rPr>
          <w:sz w:val="28"/>
          <w:szCs w:val="28"/>
        </w:rPr>
      </w:pPr>
      <w:r w:rsidRPr="00BE086B">
        <w:rPr>
          <w:rFonts w:eastAsia="Calibri"/>
          <w:bCs/>
          <w:sz w:val="28"/>
          <w:szCs w:val="28"/>
        </w:rPr>
        <w:t xml:space="preserve">В підрозділі описані результати </w:t>
      </w:r>
      <w:r w:rsidRPr="00BE086B">
        <w:rPr>
          <w:rFonts w:eastAsia="Calibri"/>
          <w:sz w:val="28"/>
          <w:szCs w:val="28"/>
        </w:rPr>
        <w:t xml:space="preserve">дослідження впливу </w:t>
      </w:r>
      <w:r w:rsidRPr="00BE086B">
        <w:rPr>
          <w:bCs/>
          <w:sz w:val="28"/>
          <w:szCs w:val="28"/>
        </w:rPr>
        <w:t>сумісного призначення</w:t>
      </w:r>
      <w:r w:rsidRPr="00BE086B">
        <w:rPr>
          <w:rFonts w:eastAsia="Calibri"/>
          <w:sz w:val="28"/>
          <w:szCs w:val="28"/>
        </w:rPr>
        <w:t xml:space="preserve"> </w:t>
      </w:r>
      <w:r w:rsidRPr="00BE086B">
        <w:rPr>
          <w:bCs/>
          <w:sz w:val="28"/>
          <w:szCs w:val="28"/>
        </w:rPr>
        <w:t>диклофенаку натрію, хондроїтину сульфату та L-тироксину</w:t>
      </w:r>
      <w:r w:rsidRPr="00BE086B">
        <w:rPr>
          <w:sz w:val="28"/>
          <w:szCs w:val="28"/>
        </w:rPr>
        <w:t xml:space="preserve"> на гістологічну структуру хрящової тканини при гіпотиреозі та остеоартрозі у експериментальних щурів</w:t>
      </w:r>
      <w:r w:rsidR="00597BD1" w:rsidRPr="00BE086B">
        <w:rPr>
          <w:sz w:val="28"/>
          <w:szCs w:val="28"/>
        </w:rPr>
        <w:t xml:space="preserve"> </w:t>
      </w:r>
      <w:r w:rsidR="00597BD1" w:rsidRPr="00BE086B">
        <w:rPr>
          <w:bCs/>
          <w:sz w:val="28"/>
          <w:szCs w:val="28"/>
          <w:lang w:val="uk-UA"/>
        </w:rPr>
        <w:t>[</w:t>
      </w:r>
      <w:r w:rsidR="00597BD1" w:rsidRPr="00BE086B">
        <w:rPr>
          <w:bCs/>
          <w:sz w:val="28"/>
          <w:szCs w:val="28"/>
        </w:rPr>
        <w:t>412, 413</w:t>
      </w:r>
      <w:r w:rsidR="00597BD1" w:rsidRPr="00BE086B">
        <w:rPr>
          <w:bCs/>
          <w:sz w:val="28"/>
          <w:szCs w:val="28"/>
          <w:lang w:val="uk-UA"/>
        </w:rPr>
        <w:t>]</w:t>
      </w:r>
      <w:r w:rsidRPr="00BE086B">
        <w:rPr>
          <w:sz w:val="28"/>
          <w:szCs w:val="28"/>
        </w:rPr>
        <w:t>.</w:t>
      </w:r>
    </w:p>
    <w:p w:rsidR="00E51A5F" w:rsidRPr="00BE086B" w:rsidRDefault="00190F49" w:rsidP="00E51A5F">
      <w:pPr>
        <w:spacing w:line="360" w:lineRule="auto"/>
        <w:ind w:firstLine="709"/>
        <w:jc w:val="both"/>
        <w:rPr>
          <w:sz w:val="28"/>
          <w:szCs w:val="28"/>
        </w:rPr>
      </w:pPr>
      <w:r w:rsidRPr="00BE086B">
        <w:rPr>
          <w:sz w:val="28"/>
          <w:szCs w:val="28"/>
          <w:lang w:val="uk-UA"/>
        </w:rPr>
        <w:t>На</w:t>
      </w:r>
      <w:r w:rsidR="00E51A5F" w:rsidRPr="00BE086B">
        <w:rPr>
          <w:sz w:val="28"/>
          <w:szCs w:val="28"/>
        </w:rPr>
        <w:t xml:space="preserve"> початк</w:t>
      </w:r>
      <w:r w:rsidRPr="00BE086B">
        <w:rPr>
          <w:sz w:val="28"/>
          <w:szCs w:val="28"/>
          <w:lang w:val="uk-UA"/>
        </w:rPr>
        <w:t>у</w:t>
      </w:r>
      <w:r w:rsidR="00E51A5F" w:rsidRPr="00BE086B">
        <w:rPr>
          <w:sz w:val="28"/>
          <w:szCs w:val="28"/>
        </w:rPr>
        <w:t xml:space="preserve"> дослідження всі експериментальні тварини випадковим шляхом розділені на 3 групи:</w:t>
      </w:r>
    </w:p>
    <w:p w:rsidR="00E51A5F" w:rsidRPr="00BE086B" w:rsidRDefault="00E51A5F" w:rsidP="00E51A5F">
      <w:pPr>
        <w:spacing w:line="360" w:lineRule="auto"/>
        <w:ind w:firstLine="709"/>
        <w:jc w:val="both"/>
        <w:rPr>
          <w:sz w:val="28"/>
          <w:szCs w:val="28"/>
        </w:rPr>
      </w:pPr>
      <w:r w:rsidRPr="00BE086B">
        <w:rPr>
          <w:sz w:val="28"/>
          <w:szCs w:val="28"/>
        </w:rPr>
        <w:t>Група 1 - Інтактні тварини (10 щурів).</w:t>
      </w:r>
    </w:p>
    <w:p w:rsidR="00E51A5F" w:rsidRPr="00BE086B" w:rsidRDefault="00E51A5F" w:rsidP="00E51A5F">
      <w:pPr>
        <w:spacing w:line="360" w:lineRule="auto"/>
        <w:ind w:firstLine="709"/>
        <w:jc w:val="both"/>
        <w:rPr>
          <w:sz w:val="28"/>
          <w:szCs w:val="28"/>
        </w:rPr>
      </w:pPr>
      <w:r w:rsidRPr="00BE086B">
        <w:rPr>
          <w:sz w:val="28"/>
          <w:szCs w:val="28"/>
        </w:rPr>
        <w:t xml:space="preserve">Група 2 - Тварини з </w:t>
      </w:r>
      <w:r w:rsidRPr="00BE086B">
        <w:rPr>
          <w:bCs/>
          <w:sz w:val="28"/>
          <w:szCs w:val="28"/>
        </w:rPr>
        <w:t>коморбідною патологією</w:t>
      </w:r>
      <w:r w:rsidRPr="00BE086B">
        <w:rPr>
          <w:sz w:val="28"/>
          <w:szCs w:val="28"/>
        </w:rPr>
        <w:t xml:space="preserve"> (остеоартроз на тлі гіпотиреозу) «без лікування» (10 щурів).</w:t>
      </w:r>
    </w:p>
    <w:p w:rsidR="00E51A5F" w:rsidRPr="00BE086B" w:rsidRDefault="00E51A5F" w:rsidP="00E51A5F">
      <w:pPr>
        <w:spacing w:line="360" w:lineRule="auto"/>
        <w:ind w:firstLine="709"/>
        <w:jc w:val="both"/>
        <w:rPr>
          <w:sz w:val="28"/>
          <w:szCs w:val="28"/>
        </w:rPr>
      </w:pPr>
      <w:r w:rsidRPr="00BE086B">
        <w:rPr>
          <w:sz w:val="28"/>
          <w:szCs w:val="28"/>
        </w:rPr>
        <w:t xml:space="preserve">Група 3 - Тварини з </w:t>
      </w:r>
      <w:r w:rsidRPr="00BE086B">
        <w:rPr>
          <w:bCs/>
          <w:sz w:val="28"/>
          <w:szCs w:val="28"/>
        </w:rPr>
        <w:t>коморбідною патологією</w:t>
      </w:r>
      <w:r w:rsidRPr="00BE086B">
        <w:rPr>
          <w:sz w:val="28"/>
          <w:szCs w:val="28"/>
        </w:rPr>
        <w:t xml:space="preserve"> (остеоартроз на тлі гіпотиреозу) на фоні призначення </w:t>
      </w:r>
      <w:r w:rsidRPr="00BE086B">
        <w:rPr>
          <w:bCs/>
          <w:sz w:val="28"/>
          <w:szCs w:val="28"/>
        </w:rPr>
        <w:t>диклофенаку натрію, хондроїтину сульфату та L-тироксину</w:t>
      </w:r>
      <w:r w:rsidRPr="00BE086B">
        <w:rPr>
          <w:sz w:val="28"/>
          <w:szCs w:val="28"/>
        </w:rPr>
        <w:t xml:space="preserve"> (10 щурів).</w:t>
      </w:r>
    </w:p>
    <w:p w:rsidR="00E51A5F" w:rsidRPr="00BE086B" w:rsidRDefault="00E51A5F" w:rsidP="00E51A5F">
      <w:pPr>
        <w:spacing w:line="360" w:lineRule="auto"/>
        <w:ind w:firstLine="709"/>
        <w:jc w:val="both"/>
        <w:rPr>
          <w:sz w:val="28"/>
          <w:szCs w:val="28"/>
        </w:rPr>
      </w:pPr>
      <w:r w:rsidRPr="00BE086B">
        <w:rPr>
          <w:sz w:val="28"/>
          <w:szCs w:val="28"/>
          <w:lang w:eastAsia="ru-RU"/>
        </w:rPr>
        <w:t xml:space="preserve">Аналіз гістологічної структури колінних суглобів щурів встановив, що на тлі фармакологічної корекції експериментального ОА та ГІТ призначенням </w:t>
      </w:r>
      <w:r w:rsidRPr="00BE086B">
        <w:rPr>
          <w:bCs/>
          <w:sz w:val="28"/>
          <w:szCs w:val="28"/>
        </w:rPr>
        <w:t xml:space="preserve">диклофенаку натрію, хондроїтину сульфату та L-тироксину спостерігається </w:t>
      </w:r>
      <w:r w:rsidRPr="00BE086B">
        <w:rPr>
          <w:sz w:val="28"/>
          <w:szCs w:val="28"/>
          <w:lang w:eastAsia="uk-UA"/>
        </w:rPr>
        <w:t xml:space="preserve">збереження субхондрального склерозу та васкуляризації дистального епіфізу стегна щурів (рис. 8.19). Також введення </w:t>
      </w:r>
      <w:r w:rsidRPr="00BE086B">
        <w:rPr>
          <w:bCs/>
          <w:sz w:val="28"/>
          <w:szCs w:val="28"/>
        </w:rPr>
        <w:t>диклофенаку натрію, хондроїтину сульфату та L-тироксину</w:t>
      </w:r>
      <w:r w:rsidRPr="00BE086B">
        <w:rPr>
          <w:sz w:val="28"/>
          <w:szCs w:val="28"/>
          <w:lang w:eastAsia="uk-UA"/>
        </w:rPr>
        <w:t xml:space="preserve"> мало репаративний вплив на кісткову тканину трабекул. На відміну від попередньої групи дослідження (призначення тільки </w:t>
      </w:r>
      <w:r w:rsidRPr="00BE086B">
        <w:rPr>
          <w:bCs/>
          <w:sz w:val="28"/>
          <w:szCs w:val="28"/>
        </w:rPr>
        <w:t>L-тироксину)</w:t>
      </w:r>
      <w:r w:rsidRPr="00BE086B">
        <w:rPr>
          <w:sz w:val="28"/>
          <w:szCs w:val="28"/>
          <w:lang w:eastAsia="uk-UA"/>
        </w:rPr>
        <w:t>, кількість некротично змінених кісткових трабекул була значно редукованою, а їх морфологія – співставною з контрольною групою (рис. 8.20).</w:t>
      </w:r>
    </w:p>
    <w:p w:rsidR="00E51A5F" w:rsidRPr="00BE086B" w:rsidRDefault="003E4F86" w:rsidP="00E51A5F">
      <w:pPr>
        <w:shd w:val="clear" w:color="auto" w:fill="FFFFFF"/>
        <w:spacing w:line="100" w:lineRule="atLeast"/>
        <w:ind w:firstLine="851"/>
        <w:jc w:val="center"/>
        <w:rPr>
          <w:b/>
          <w:bCs/>
          <w:sz w:val="28"/>
          <w:szCs w:val="28"/>
          <w:lang w:eastAsia="ru-RU"/>
        </w:rPr>
      </w:pPr>
      <w:r>
        <w:rPr>
          <w:b/>
          <w:bCs/>
          <w:noProof/>
          <w:sz w:val="28"/>
          <w:szCs w:val="28"/>
          <w:lang w:eastAsia="ru-RU"/>
        </w:rPr>
        <w:lastRenderedPageBreak/>
        <w:drawing>
          <wp:inline distT="0" distB="0" distL="0" distR="0">
            <wp:extent cx="3646800" cy="27324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8.19.jpg"/>
                    <pic:cNvPicPr/>
                  </pic:nvPicPr>
                  <pic:blipFill>
                    <a:blip r:embed="rId106">
                      <a:extLst>
                        <a:ext uri="{28A0092B-C50C-407E-A947-70E740481C1C}">
                          <a14:useLocalDpi xmlns:a14="http://schemas.microsoft.com/office/drawing/2010/main" val="0"/>
                        </a:ext>
                      </a:extLst>
                    </a:blip>
                    <a:stretch>
                      <a:fillRect/>
                    </a:stretch>
                  </pic:blipFill>
                  <pic:spPr>
                    <a:xfrm>
                      <a:off x="0" y="0"/>
                      <a:ext cx="3646800" cy="2732400"/>
                    </a:xfrm>
                    <a:prstGeom prst="rect">
                      <a:avLst/>
                    </a:prstGeom>
                  </pic:spPr>
                </pic:pic>
              </a:graphicData>
            </a:graphic>
          </wp:inline>
        </w:drawing>
      </w:r>
    </w:p>
    <w:p w:rsidR="00E51A5F" w:rsidRPr="00BE086B" w:rsidRDefault="00E51A5F" w:rsidP="00E51A5F">
      <w:pPr>
        <w:shd w:val="clear" w:color="auto" w:fill="FFFFFF"/>
        <w:spacing w:line="360" w:lineRule="auto"/>
        <w:ind w:firstLine="709"/>
        <w:jc w:val="both"/>
        <w:rPr>
          <w:sz w:val="28"/>
          <w:szCs w:val="28"/>
        </w:rPr>
      </w:pPr>
      <w:r w:rsidRPr="00BE086B">
        <w:rPr>
          <w:b/>
          <w:bCs/>
          <w:sz w:val="28"/>
          <w:szCs w:val="28"/>
          <w:lang w:eastAsia="ru-RU"/>
        </w:rPr>
        <w:t>Рис. 8.19.</w:t>
      </w:r>
      <w:r w:rsidRPr="00BE086B">
        <w:rPr>
          <w:sz w:val="28"/>
          <w:szCs w:val="28"/>
          <w:lang w:eastAsia="ru-RU"/>
        </w:rPr>
        <w:t xml:space="preserve"> Фрагмент дистального епіфізу стегна щура з коморбідною патологією на тлі введення </w:t>
      </w:r>
      <w:r w:rsidRPr="00BE086B">
        <w:rPr>
          <w:bCs/>
          <w:sz w:val="28"/>
          <w:szCs w:val="28"/>
        </w:rPr>
        <w:t>диклофенаку натрію, хондроїтину сульфату та L-тироксину</w:t>
      </w:r>
      <w:r w:rsidRPr="00BE086B">
        <w:rPr>
          <w:sz w:val="28"/>
          <w:szCs w:val="28"/>
          <w:lang w:eastAsia="ru-RU"/>
        </w:rPr>
        <w:t xml:space="preserve">: двобічна стрілка – новоутворений хрящ, К – кісткова трабекула. С – субхондральний склероз, головка стрілки – кровоносні судини.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3E4F86" w:rsidP="00E51A5F">
      <w:pPr>
        <w:shd w:val="clear" w:color="auto" w:fill="FFFFFF"/>
        <w:spacing w:line="360" w:lineRule="auto"/>
        <w:ind w:firstLine="851"/>
        <w:jc w:val="center"/>
        <w:rPr>
          <w:b/>
          <w:bCs/>
          <w:sz w:val="28"/>
          <w:szCs w:val="28"/>
          <w:lang w:eastAsia="ru-RU"/>
        </w:rPr>
      </w:pPr>
      <w:r>
        <w:rPr>
          <w:b/>
          <w:bCs/>
          <w:noProof/>
          <w:sz w:val="28"/>
          <w:szCs w:val="28"/>
          <w:lang w:eastAsia="ru-RU"/>
        </w:rPr>
        <w:drawing>
          <wp:inline distT="0" distB="0" distL="0" distR="0">
            <wp:extent cx="3646800" cy="27324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8.20.jpg"/>
                    <pic:cNvPicPr/>
                  </pic:nvPicPr>
                  <pic:blipFill>
                    <a:blip r:embed="rId107">
                      <a:extLst>
                        <a:ext uri="{28A0092B-C50C-407E-A947-70E740481C1C}">
                          <a14:useLocalDpi xmlns:a14="http://schemas.microsoft.com/office/drawing/2010/main" val="0"/>
                        </a:ext>
                      </a:extLst>
                    </a:blip>
                    <a:stretch>
                      <a:fillRect/>
                    </a:stretch>
                  </pic:blipFill>
                  <pic:spPr>
                    <a:xfrm>
                      <a:off x="0" y="0"/>
                      <a:ext cx="3646800" cy="2732400"/>
                    </a:xfrm>
                    <a:prstGeom prst="rect">
                      <a:avLst/>
                    </a:prstGeom>
                  </pic:spPr>
                </pic:pic>
              </a:graphicData>
            </a:graphic>
          </wp:inline>
        </w:drawing>
      </w:r>
    </w:p>
    <w:p w:rsidR="00E51A5F" w:rsidRPr="00BE086B" w:rsidRDefault="00E51A5F" w:rsidP="00E51A5F">
      <w:pPr>
        <w:shd w:val="clear" w:color="auto" w:fill="FFFFFF"/>
        <w:spacing w:line="360" w:lineRule="auto"/>
        <w:ind w:firstLine="709"/>
        <w:jc w:val="both"/>
        <w:rPr>
          <w:sz w:val="28"/>
          <w:szCs w:val="28"/>
        </w:rPr>
      </w:pPr>
      <w:r w:rsidRPr="00BE086B">
        <w:rPr>
          <w:b/>
          <w:bCs/>
          <w:sz w:val="28"/>
          <w:szCs w:val="28"/>
          <w:lang w:eastAsia="ru-RU"/>
        </w:rPr>
        <w:t xml:space="preserve">Рис. 8.20. </w:t>
      </w:r>
      <w:r w:rsidRPr="00BE086B">
        <w:rPr>
          <w:sz w:val="28"/>
          <w:szCs w:val="28"/>
          <w:lang w:eastAsia="ru-RU"/>
        </w:rPr>
        <w:t xml:space="preserve">Фрагмент синовіальної оболонки колінного суглоба щура з коморбідною патологією на тлі введення </w:t>
      </w:r>
      <w:r w:rsidRPr="00BE086B">
        <w:rPr>
          <w:bCs/>
          <w:sz w:val="28"/>
          <w:szCs w:val="28"/>
        </w:rPr>
        <w:t>диклофенаку натрію, хондроїтину сульфату та L-тироксину</w:t>
      </w:r>
      <w:r w:rsidRPr="00BE086B">
        <w:rPr>
          <w:sz w:val="28"/>
          <w:szCs w:val="28"/>
          <w:lang w:eastAsia="ru-RU"/>
        </w:rPr>
        <w:t xml:space="preserve">: С – гіпертрофована синовіальна оболонка, двобічна стрілка – суглобовий хрящ, зірочка – мукоїдне набухання хряща. </w:t>
      </w:r>
      <w:r w:rsidRPr="00BE086B">
        <w:rPr>
          <w:rFonts w:eastAsia="Calibri"/>
          <w:sz w:val="28"/>
          <w:szCs w:val="28"/>
        </w:rPr>
        <w:t xml:space="preserve">Забарвлення гематоксиліном-еозином, збільшення × </w:t>
      </w:r>
      <w:r w:rsidRPr="00BE086B">
        <w:rPr>
          <w:sz w:val="28"/>
          <w:szCs w:val="28"/>
          <w:lang w:eastAsia="ru-RU"/>
        </w:rPr>
        <w:t>100.</w:t>
      </w:r>
    </w:p>
    <w:p w:rsidR="00E51A5F" w:rsidRPr="00BE086B" w:rsidRDefault="00E51A5F" w:rsidP="00E51A5F">
      <w:pPr>
        <w:spacing w:line="360" w:lineRule="auto"/>
        <w:ind w:firstLine="709"/>
        <w:jc w:val="both"/>
        <w:rPr>
          <w:sz w:val="28"/>
          <w:szCs w:val="28"/>
        </w:rPr>
      </w:pPr>
      <w:r w:rsidRPr="00BE086B">
        <w:rPr>
          <w:sz w:val="28"/>
          <w:szCs w:val="28"/>
        </w:rPr>
        <w:lastRenderedPageBreak/>
        <w:t>Порівняльний аналіз гістологічної структури колінних суглобів щурів показав, що на гістологічному препараті тварин 3 групи добре визначається надхряща, основна речовина хряща та субхондральна кістка (рис. 8.21).</w:t>
      </w:r>
    </w:p>
    <w:p w:rsidR="00E51A5F" w:rsidRPr="00BE086B" w:rsidRDefault="00B46242" w:rsidP="00E51A5F">
      <w:pPr>
        <w:spacing w:line="360" w:lineRule="auto"/>
        <w:ind w:firstLine="709"/>
        <w:jc w:val="center"/>
        <w:rPr>
          <w:rFonts w:eastAsia="Calibri"/>
          <w:b/>
          <w:sz w:val="28"/>
          <w:szCs w:val="28"/>
        </w:rPr>
      </w:pPr>
      <w:r>
        <w:rPr>
          <w:noProof/>
          <w:sz w:val="28"/>
          <w:szCs w:val="28"/>
          <w:lang w:eastAsia="ru-RU"/>
        </w:rPr>
        <w:drawing>
          <wp:inline distT="0" distB="0" distL="0" distR="0">
            <wp:extent cx="2865600" cy="3409200"/>
            <wp:effectExtent l="0" t="0" r="0" b="127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8.21.jpg"/>
                    <pic:cNvPicPr/>
                  </pic:nvPicPr>
                  <pic:blipFill>
                    <a:blip r:embed="rId108">
                      <a:extLst>
                        <a:ext uri="{28A0092B-C50C-407E-A947-70E740481C1C}">
                          <a14:useLocalDpi xmlns:a14="http://schemas.microsoft.com/office/drawing/2010/main" val="0"/>
                        </a:ext>
                      </a:extLst>
                    </a:blip>
                    <a:stretch>
                      <a:fillRect/>
                    </a:stretch>
                  </pic:blipFill>
                  <pic:spPr>
                    <a:xfrm>
                      <a:off x="0" y="0"/>
                      <a:ext cx="2865600" cy="3409200"/>
                    </a:xfrm>
                    <a:prstGeom prst="rect">
                      <a:avLst/>
                    </a:prstGeom>
                  </pic:spPr>
                </pic:pic>
              </a:graphicData>
            </a:graphic>
          </wp:inline>
        </w:drawing>
      </w:r>
      <w:r w:rsidR="00AF27FE" w:rsidRPr="00BE086B">
        <w:rPr>
          <w:noProof/>
          <w:sz w:val="28"/>
          <w:szCs w:val="28"/>
          <w:lang w:eastAsia="ru-RU"/>
        </w:rPr>
        <mc:AlternateContent>
          <mc:Choice Requires="wps">
            <w:drawing>
              <wp:inline distT="0" distB="0" distL="0" distR="0">
                <wp:extent cx="635" cy="635"/>
                <wp:effectExtent l="635" t="0" r="0" b="2540"/>
                <wp:docPr id="1"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 cy="635"/>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inline>
            </w:drawing>
          </mc:Choice>
          <mc:Fallback>
            <w:pict>
              <v:rect w14:anchorId="128D4C7B" id="Rectangle 33" o:spid="_x0000_s1026" style="width:.05pt;height:.0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" stroked="f" strokecolor="#3465a4">
                <v:stroke joinstyle="round"/>
                <w10:anchorlock/>
              </v:rect>
            </w:pict>
          </mc:Fallback>
        </mc:AlternateContent>
      </w:r>
    </w:p>
    <w:p w:rsidR="00E51A5F" w:rsidRPr="00BE086B" w:rsidRDefault="00E51A5F" w:rsidP="00E51A5F">
      <w:pPr>
        <w:spacing w:line="360" w:lineRule="auto"/>
        <w:ind w:firstLine="709"/>
        <w:jc w:val="both"/>
        <w:rPr>
          <w:sz w:val="28"/>
          <w:szCs w:val="28"/>
        </w:rPr>
      </w:pPr>
      <w:r w:rsidRPr="00BE086B">
        <w:rPr>
          <w:rFonts w:eastAsia="Calibri"/>
          <w:b/>
          <w:sz w:val="28"/>
          <w:szCs w:val="28"/>
        </w:rPr>
        <w:t>Рис. 8.21.</w:t>
      </w:r>
      <w:r w:rsidRPr="00BE086B">
        <w:rPr>
          <w:rFonts w:eastAsia="Calibri"/>
          <w:sz w:val="28"/>
          <w:szCs w:val="28"/>
        </w:rPr>
        <w:t xml:space="preserve"> </w:t>
      </w:r>
      <w:r w:rsidRPr="00BE086B">
        <w:rPr>
          <w:sz w:val="28"/>
          <w:szCs w:val="28"/>
          <w:lang w:eastAsia="ru-RU"/>
        </w:rPr>
        <w:t xml:space="preserve">Фрагмент дистального епіфізу стегна щура з коморбідною патологією на тлі введення </w:t>
      </w:r>
      <w:r w:rsidRPr="00BE086B">
        <w:rPr>
          <w:bCs/>
          <w:sz w:val="28"/>
          <w:szCs w:val="28"/>
        </w:rPr>
        <w:t>диклофенаку натрію, хондроїтину сульфату та L-тироксину</w:t>
      </w:r>
      <w:r w:rsidRPr="00BE086B">
        <w:rPr>
          <w:rFonts w:eastAsia="Calibri"/>
          <w:sz w:val="28"/>
          <w:szCs w:val="28"/>
        </w:rPr>
        <w:t>: 1 – надхряща; 2 – хрящ; 3 – кісткові трабекули. Забарвлення гематоксиліном та еозіном, збільшення ×200.</w:t>
      </w:r>
    </w:p>
    <w:p w:rsidR="00E51A5F" w:rsidRPr="00BE086B" w:rsidRDefault="00E51A5F" w:rsidP="00E51A5F">
      <w:pPr>
        <w:spacing w:line="360" w:lineRule="auto"/>
        <w:ind w:firstLine="709"/>
        <w:jc w:val="both"/>
        <w:rPr>
          <w:sz w:val="28"/>
          <w:szCs w:val="28"/>
        </w:rPr>
      </w:pPr>
    </w:p>
    <w:p w:rsidR="00E51A5F" w:rsidRPr="00BE086B" w:rsidRDefault="00E51A5F" w:rsidP="00E51A5F">
      <w:pPr>
        <w:spacing w:line="360" w:lineRule="auto"/>
        <w:ind w:firstLine="709"/>
        <w:jc w:val="both"/>
        <w:rPr>
          <w:sz w:val="28"/>
          <w:szCs w:val="28"/>
        </w:rPr>
      </w:pPr>
      <w:r w:rsidRPr="00BE086B">
        <w:rPr>
          <w:sz w:val="28"/>
          <w:szCs w:val="28"/>
        </w:rPr>
        <w:t xml:space="preserve">Як видно з рис. 8.21, надхряща має товщину, яка в кілька разів менше товщини основної речовини. Зовнішній шар забарвлений помірно оксифільно, глибокий клітинний шар плавно переходить в основну речовину. Основна речовина хрящу представлена групами дрібних клітин, оточених контуром, що відокремлює кожну групу від аморфної речовини. Кількість клітин в групах коливається від 4-х до 10. Деякі групи мають клітини з інтенсивними базофільними ядрами. Межа між хрящовою та кістковою тканинами добре помітна. Остеоцити в складі кісткової тканини розташовуються окремо, мають базофільно пофарбовані округлі ядра. Основна речовина кісткових трабекул забарвлена помірно оксифільно, пластинки кісткової тканини мають </w:t>
      </w:r>
      <w:r w:rsidRPr="00BE086B">
        <w:rPr>
          <w:sz w:val="28"/>
          <w:szCs w:val="28"/>
        </w:rPr>
        <w:lastRenderedPageBreak/>
        <w:t>впорядковану архітектуру. Між трабекулами проглядаються осередки кісткового мозку та судини.</w:t>
      </w:r>
    </w:p>
    <w:p w:rsidR="00E51A5F" w:rsidRPr="00BE086B" w:rsidRDefault="00E51A5F" w:rsidP="00E51A5F">
      <w:pPr>
        <w:spacing w:line="360" w:lineRule="auto"/>
        <w:ind w:firstLine="709"/>
        <w:jc w:val="both"/>
        <w:rPr>
          <w:sz w:val="28"/>
          <w:szCs w:val="28"/>
          <w:lang w:eastAsia="en-US"/>
        </w:rPr>
      </w:pPr>
      <w:r w:rsidRPr="00BE086B">
        <w:rPr>
          <w:sz w:val="28"/>
          <w:szCs w:val="28"/>
        </w:rPr>
        <w:t xml:space="preserve">Таким чином, аналіз гістологічної структури хрящової тканини колінних суглобів щурів, які отримували </w:t>
      </w:r>
      <w:r w:rsidRPr="00BE086B">
        <w:rPr>
          <w:bCs/>
          <w:sz w:val="28"/>
          <w:szCs w:val="28"/>
        </w:rPr>
        <w:t>диклофенак натрію, хондроїтину сульфат</w:t>
      </w:r>
      <w:r w:rsidRPr="00BE086B">
        <w:rPr>
          <w:sz w:val="28"/>
          <w:szCs w:val="28"/>
        </w:rPr>
        <w:t xml:space="preserve"> та L-тироксин показав, що у зразках тканин добре візуалізуються надхряща, основна речовина хряща та субхондральна кістка. При призначені </w:t>
      </w:r>
      <w:r w:rsidRPr="00BE086B">
        <w:rPr>
          <w:bCs/>
          <w:sz w:val="28"/>
          <w:szCs w:val="28"/>
        </w:rPr>
        <w:t>диклофенаку натрію, хондроїтину сульфату</w:t>
      </w:r>
      <w:r w:rsidRPr="00BE086B">
        <w:rPr>
          <w:sz w:val="28"/>
          <w:szCs w:val="28"/>
        </w:rPr>
        <w:t xml:space="preserve"> та L-тироксину визначена активна регенерація хрящової і кісткової тканини з ділянками неоваскулогенезу, зменшення ознак реактивного запалення та фіброзу синовіальної оболонки, виражена протяжність та товщина молодого хряща. Хрящова і кісткова тканина колінного суглоба щурів за основними параметрами була практично однакова з інтактними тваринами з тією лише різницею, що мала місце активна регенерація як хрящової, так і кісткової тканини з ділянками неоваскулогенезу</w:t>
      </w:r>
      <w:r w:rsidR="00597BD1" w:rsidRPr="00BE086B">
        <w:rPr>
          <w:sz w:val="28"/>
          <w:szCs w:val="28"/>
        </w:rPr>
        <w:t xml:space="preserve"> </w:t>
      </w:r>
      <w:r w:rsidR="00597BD1" w:rsidRPr="00BE086B">
        <w:rPr>
          <w:bCs/>
          <w:sz w:val="28"/>
          <w:szCs w:val="28"/>
          <w:lang w:val="uk-UA"/>
        </w:rPr>
        <w:t>[</w:t>
      </w:r>
      <w:r w:rsidR="00597BD1" w:rsidRPr="00BE086B">
        <w:rPr>
          <w:bCs/>
          <w:sz w:val="28"/>
          <w:szCs w:val="28"/>
        </w:rPr>
        <w:t>257, 412, 413</w:t>
      </w:r>
      <w:r w:rsidR="00597BD1" w:rsidRPr="00BE086B">
        <w:rPr>
          <w:bCs/>
          <w:sz w:val="28"/>
          <w:szCs w:val="28"/>
          <w:lang w:val="uk-UA"/>
        </w:rPr>
        <w:t>]</w:t>
      </w:r>
      <w:r w:rsidRPr="00BE086B">
        <w:rPr>
          <w:sz w:val="28"/>
          <w:szCs w:val="28"/>
        </w:rPr>
        <w:t>.</w:t>
      </w:r>
    </w:p>
    <w:p w:rsidR="00E51A5F" w:rsidRPr="00BE086B" w:rsidRDefault="00E51A5F" w:rsidP="00E51A5F">
      <w:pPr>
        <w:pStyle w:val="1f"/>
        <w:spacing w:after="0" w:line="360" w:lineRule="auto"/>
        <w:ind w:left="0" w:firstLine="709"/>
        <w:contextualSpacing w:val="0"/>
        <w:jc w:val="both"/>
        <w:rPr>
          <w:rFonts w:ascii="Times New Roman" w:hAnsi="Times New Roman" w:cs="Times New Roman"/>
          <w:sz w:val="28"/>
          <w:szCs w:val="28"/>
        </w:rPr>
      </w:pPr>
      <w:r w:rsidRPr="00BE086B">
        <w:rPr>
          <w:rFonts w:ascii="Times New Roman" w:hAnsi="Times New Roman" w:cs="Times New Roman"/>
          <w:sz w:val="28"/>
          <w:szCs w:val="28"/>
          <w:lang w:eastAsia="uk-UA"/>
        </w:rPr>
        <w:t xml:space="preserve">На підставі проведених гістоморфологічних досліджень встановлено, що </w:t>
      </w:r>
      <w:r w:rsidRPr="00BE086B">
        <w:rPr>
          <w:rFonts w:ascii="Times New Roman" w:hAnsi="Times New Roman" w:cs="Times New Roman"/>
          <w:sz w:val="28"/>
          <w:szCs w:val="28"/>
        </w:rPr>
        <w:t xml:space="preserve">комбіноване застосування </w:t>
      </w:r>
      <w:r w:rsidRPr="00BE086B">
        <w:rPr>
          <w:rFonts w:ascii="Times New Roman" w:eastAsia="Times New Roman" w:hAnsi="Times New Roman" w:cs="Times New Roman"/>
          <w:sz w:val="28"/>
          <w:szCs w:val="28"/>
        </w:rPr>
        <w:t xml:space="preserve">диклофенаку натрію, </w:t>
      </w:r>
      <w:r w:rsidRPr="00BE086B">
        <w:rPr>
          <w:rFonts w:ascii="Times New Roman" w:hAnsi="Times New Roman" w:cs="Times New Roman"/>
          <w:bCs/>
          <w:sz w:val="28"/>
          <w:szCs w:val="28"/>
        </w:rPr>
        <w:t>хондроїтину сульфату</w:t>
      </w:r>
      <w:r w:rsidRPr="00BE086B">
        <w:rPr>
          <w:rFonts w:ascii="Times New Roman" w:eastAsia="Times New Roman" w:hAnsi="Times New Roman" w:cs="Times New Roman"/>
          <w:sz w:val="28"/>
          <w:szCs w:val="28"/>
        </w:rPr>
        <w:t xml:space="preserve"> та L-тироксину сприяє активній регенерації хрящової і кісткової тканини з ділянками неоваскулогенезу, зменшенню ознак реактивного запалення та фіброзу синовіальної оболонки та формуванню молодого хряща, і комбіноване застосування цих препаратів можна рекомендувати до клінічної опробації при ОА та ГІТ.</w:t>
      </w:r>
    </w:p>
    <w:p w:rsidR="00E51A5F" w:rsidRPr="00BE086B" w:rsidRDefault="00E51A5F" w:rsidP="00E51A5F">
      <w:pPr>
        <w:pStyle w:val="31"/>
        <w:spacing w:line="360" w:lineRule="auto"/>
        <w:ind w:firstLine="709"/>
        <w:jc w:val="both"/>
        <w:rPr>
          <w:szCs w:val="28"/>
        </w:rPr>
      </w:pPr>
      <w:r w:rsidRPr="00BE086B">
        <w:rPr>
          <w:szCs w:val="28"/>
        </w:rPr>
        <w:t xml:space="preserve">Взагалі, на підставі проведеного дослідження морфофункціонального стану кісткової та хрящової тканин </w:t>
      </w:r>
      <w:r w:rsidRPr="00BE086B">
        <w:rPr>
          <w:bCs/>
          <w:szCs w:val="28"/>
        </w:rPr>
        <w:t xml:space="preserve">колінних суглобів </w:t>
      </w:r>
      <w:r w:rsidRPr="00BE086B">
        <w:rPr>
          <w:szCs w:val="28"/>
        </w:rPr>
        <w:t>щурів</w:t>
      </w:r>
      <w:r w:rsidRPr="00BE086B">
        <w:rPr>
          <w:bCs/>
          <w:szCs w:val="28"/>
        </w:rPr>
        <w:t xml:space="preserve"> за умов експериментального остеоартрозу та гіпотиреозу </w:t>
      </w:r>
      <w:r w:rsidRPr="00BE086B">
        <w:rPr>
          <w:szCs w:val="28"/>
        </w:rPr>
        <w:t>встановлено, що метаболічні порушення при гіпофункції щитоподібної залози негативно впливають на стан кісткової і хрящової тканини, стимулюючи процес дегенерації хрящової тканини.</w:t>
      </w:r>
    </w:p>
    <w:p w:rsidR="00E51A5F" w:rsidRPr="00BE086B" w:rsidRDefault="00E51A5F" w:rsidP="00E51A5F">
      <w:pPr>
        <w:spacing w:line="360" w:lineRule="auto"/>
        <w:ind w:firstLine="709"/>
        <w:jc w:val="both"/>
        <w:rPr>
          <w:sz w:val="28"/>
          <w:szCs w:val="28"/>
          <w:lang w:val="uk-UA"/>
        </w:rPr>
      </w:pPr>
      <w:r w:rsidRPr="00BE086B">
        <w:rPr>
          <w:sz w:val="28"/>
          <w:szCs w:val="28"/>
          <w:lang w:val="uk-UA"/>
        </w:rPr>
        <w:t xml:space="preserve">При гіпофункції щитоподібної залози спостерігаються ознаки запалення синовіальної оболонки, порушення структури надхряща з явищами набухання, порушення трофіки глибоких шарів хряща, що супроводжується деструкцією </w:t>
      </w:r>
      <w:r w:rsidRPr="00BE086B">
        <w:rPr>
          <w:sz w:val="28"/>
          <w:szCs w:val="28"/>
          <w:lang w:val="uk-UA"/>
        </w:rPr>
        <w:lastRenderedPageBreak/>
        <w:t>деяких хондроцитів, а також змінами гістохімічних властивостей аморфної речовини.</w:t>
      </w:r>
    </w:p>
    <w:p w:rsidR="00E51A5F" w:rsidRPr="00BE086B" w:rsidRDefault="00E51A5F" w:rsidP="00E51A5F">
      <w:pPr>
        <w:spacing w:line="360" w:lineRule="auto"/>
        <w:ind w:firstLine="709"/>
        <w:jc w:val="both"/>
        <w:rPr>
          <w:sz w:val="28"/>
          <w:szCs w:val="28"/>
          <w:lang w:val="uk-UA"/>
        </w:rPr>
      </w:pPr>
      <w:r w:rsidRPr="00BE086B">
        <w:rPr>
          <w:bCs/>
          <w:sz w:val="28"/>
          <w:szCs w:val="28"/>
          <w:lang w:val="uk-UA"/>
        </w:rPr>
        <w:t>Виявлені структурні зміни кістково-хрящової тканини на тлі гіпофункції щитоподібної залози свідчать про розвиток дегенеративно-дистрофічного процесу та необхідність медикаментозної корекції виниклих порушень, що визначає передумови до пошуку оптимальних засобів ефективної і безпечної фармакотерапії.</w:t>
      </w:r>
    </w:p>
    <w:p w:rsidR="00E51A5F" w:rsidRPr="00BE086B" w:rsidRDefault="00E51A5F" w:rsidP="00E51A5F">
      <w:pPr>
        <w:spacing w:line="360" w:lineRule="auto"/>
        <w:ind w:firstLine="851"/>
        <w:jc w:val="both"/>
        <w:rPr>
          <w:sz w:val="28"/>
          <w:szCs w:val="28"/>
        </w:rPr>
      </w:pPr>
      <w:r w:rsidRPr="00BE086B">
        <w:rPr>
          <w:sz w:val="28"/>
          <w:szCs w:val="28"/>
          <w:lang w:val="uk-UA" w:eastAsia="ru-RU"/>
        </w:rPr>
        <w:t xml:space="preserve">За умов коморбідної патології екстрацелюлярний матрикс суглобового хряща колінних суглобів щурів мав ознаки мукоїдного набухання, метахромазії та фіброзу. </w:t>
      </w:r>
      <w:r w:rsidRPr="00BE086B">
        <w:rPr>
          <w:sz w:val="28"/>
          <w:szCs w:val="28"/>
          <w:lang w:eastAsia="ru-RU"/>
        </w:rPr>
        <w:t>Патологічні зміни з боку субхондральної кістки проявлялись у вигляді виразного субхондрального склерозу, осередків крововиливів та зменшення обсягу кісткового мозку. Окрім того в епіфізі стегнової кістки спостерігалися осередки некрозу та інкапсуляції тканинного детриту.</w:t>
      </w:r>
    </w:p>
    <w:p w:rsidR="00E51A5F" w:rsidRPr="00BE086B" w:rsidRDefault="00E51A5F" w:rsidP="00E51A5F">
      <w:pPr>
        <w:spacing w:line="360" w:lineRule="auto"/>
        <w:ind w:firstLine="851"/>
        <w:jc w:val="both"/>
        <w:rPr>
          <w:bCs/>
          <w:sz w:val="28"/>
          <w:szCs w:val="28"/>
          <w:lang w:eastAsia="ru-RU"/>
        </w:rPr>
      </w:pPr>
      <w:r w:rsidRPr="00BE086B">
        <w:rPr>
          <w:bCs/>
          <w:sz w:val="28"/>
          <w:szCs w:val="28"/>
          <w:lang w:eastAsia="ru-RU"/>
        </w:rPr>
        <w:t>Порівняльний морфологічний аналіз дистального епіфізу стегнової кістки щурів групи контролю та тварин зі змодельованими патологічними станами ОА та ГІТ виявив виразні реактивні зміни з боку синовіальної оболонки, суттєве стоншення суглобового хряща та редукцію числа хондроцитів у його складі, а також значний субхондральний склероз, що свідчить про формування більш виразних дегенеративно-дистрофічних змін на тлі коморбідної патології.</w:t>
      </w:r>
    </w:p>
    <w:p w:rsidR="00E51A5F" w:rsidRPr="00BE086B" w:rsidRDefault="00E51A5F" w:rsidP="00E51A5F">
      <w:pPr>
        <w:spacing w:line="360" w:lineRule="auto"/>
        <w:ind w:firstLine="851"/>
        <w:jc w:val="both"/>
        <w:rPr>
          <w:sz w:val="28"/>
          <w:szCs w:val="28"/>
          <w:lang w:eastAsia="uk-UA"/>
        </w:rPr>
      </w:pPr>
      <w:r w:rsidRPr="00BE086B">
        <w:rPr>
          <w:sz w:val="28"/>
          <w:szCs w:val="28"/>
          <w:lang w:eastAsia="uk-UA"/>
        </w:rPr>
        <w:t xml:space="preserve">Застосування </w:t>
      </w:r>
      <w:r w:rsidRPr="00BE086B">
        <w:rPr>
          <w:sz w:val="28"/>
          <w:szCs w:val="28"/>
        </w:rPr>
        <w:t>L-тироксину для фармакологічної</w:t>
      </w:r>
      <w:r w:rsidRPr="00BE086B">
        <w:rPr>
          <w:sz w:val="28"/>
          <w:szCs w:val="28"/>
          <w:lang w:eastAsia="uk-UA"/>
        </w:rPr>
        <w:t xml:space="preserve"> корекції коморбідного стану, обумовленого експериментальним ОА та ГІТ призводило до зменшення запальних реактивних змін з боку синовіальної оболонки та стимуляції регенерації суглобового хряща. Патологічні зміни дистального епіфізу стегнової кістки щурів свідчили про наявність та збереження значної гіпертрофії та гіперплазії синовіальної оболонки з вираженими ознаками запалення, недостатньої регенерації суглобового хряща з ознаками порушення його гістоархітектури та наявності виразного субхондрального склерозу, що </w:t>
      </w:r>
      <w:r w:rsidRPr="00BE086B">
        <w:rPr>
          <w:sz w:val="28"/>
          <w:szCs w:val="28"/>
          <w:lang w:eastAsia="uk-UA"/>
        </w:rPr>
        <w:lastRenderedPageBreak/>
        <w:t xml:space="preserve">свідчило про недостатність та неадекватність призначення тільки </w:t>
      </w:r>
      <w:r w:rsidRPr="00BE086B">
        <w:rPr>
          <w:sz w:val="28"/>
          <w:szCs w:val="28"/>
        </w:rPr>
        <w:t>L-тироксину при коморбідній патології</w:t>
      </w:r>
      <w:r w:rsidR="00597BD1" w:rsidRPr="00BE086B">
        <w:rPr>
          <w:sz w:val="28"/>
          <w:szCs w:val="28"/>
        </w:rPr>
        <w:t xml:space="preserve"> </w:t>
      </w:r>
      <w:r w:rsidR="00597BD1" w:rsidRPr="00BE086B">
        <w:rPr>
          <w:bCs/>
          <w:sz w:val="28"/>
          <w:szCs w:val="28"/>
          <w:lang w:val="uk-UA"/>
        </w:rPr>
        <w:t>[</w:t>
      </w:r>
      <w:r w:rsidR="00597BD1" w:rsidRPr="00BE086B">
        <w:rPr>
          <w:bCs/>
          <w:sz w:val="28"/>
          <w:szCs w:val="28"/>
        </w:rPr>
        <w:t>412, 413</w:t>
      </w:r>
      <w:r w:rsidR="00597BD1" w:rsidRPr="00BE086B">
        <w:rPr>
          <w:bCs/>
          <w:sz w:val="28"/>
          <w:szCs w:val="28"/>
          <w:lang w:val="uk-UA"/>
        </w:rPr>
        <w:t>]</w:t>
      </w:r>
      <w:r w:rsidRPr="00BE086B">
        <w:rPr>
          <w:sz w:val="28"/>
          <w:szCs w:val="28"/>
          <w:lang w:eastAsia="uk-UA"/>
        </w:rPr>
        <w:t>.</w:t>
      </w:r>
    </w:p>
    <w:p w:rsidR="00E51A5F" w:rsidRPr="00BE086B" w:rsidRDefault="00E51A5F" w:rsidP="00E51A5F">
      <w:pPr>
        <w:spacing w:line="360" w:lineRule="auto"/>
        <w:ind w:firstLine="851"/>
        <w:jc w:val="both"/>
        <w:rPr>
          <w:sz w:val="28"/>
          <w:szCs w:val="28"/>
          <w:lang w:eastAsia="en-US"/>
        </w:rPr>
      </w:pPr>
      <w:r w:rsidRPr="00BE086B">
        <w:rPr>
          <w:sz w:val="28"/>
          <w:szCs w:val="28"/>
        </w:rPr>
        <w:t xml:space="preserve">Аналіз гістологічної структури хрящової тканини колінних суглобів щурів, які отримували </w:t>
      </w:r>
      <w:r w:rsidRPr="00BE086B">
        <w:rPr>
          <w:bCs/>
          <w:sz w:val="28"/>
          <w:szCs w:val="28"/>
        </w:rPr>
        <w:t>диклофенак натрію, хондроїтину сульфат</w:t>
      </w:r>
      <w:r w:rsidRPr="00BE086B">
        <w:rPr>
          <w:sz w:val="28"/>
          <w:szCs w:val="28"/>
        </w:rPr>
        <w:t xml:space="preserve"> та L-тироксин показав, що у зразках тканин добре візуалізуються надхряща, основна речовина хряща та субхондральна кістка. При призначені </w:t>
      </w:r>
      <w:r w:rsidRPr="00BE086B">
        <w:rPr>
          <w:bCs/>
          <w:sz w:val="28"/>
          <w:szCs w:val="28"/>
        </w:rPr>
        <w:t>диклофенаку натрію, хондроїтину сульфату</w:t>
      </w:r>
      <w:r w:rsidRPr="00BE086B">
        <w:rPr>
          <w:sz w:val="28"/>
          <w:szCs w:val="28"/>
        </w:rPr>
        <w:t xml:space="preserve"> та L-тироксину визначена активна регенерація хрящової і кісткової тканини з ділянками неоваскулогенезу, зменшення ознак реактивного запалення та фіброзу синовіальної оболонки, виражена протяжність та товщина молодого хряща. Хрящова і кісткова тканина колінного суглоба щурів за основними параметрами була практично однакова з інтактними тваринами з тією лише різницею, що мала місце активна регенерація як хрящової, так і кісткової тканини з ділянками неоваскулогенезу.</w:t>
      </w:r>
    </w:p>
    <w:p w:rsidR="00E51A5F" w:rsidRPr="00BE086B" w:rsidRDefault="00E51A5F" w:rsidP="00E51A5F">
      <w:pPr>
        <w:pStyle w:val="1f"/>
        <w:spacing w:after="0" w:line="360" w:lineRule="auto"/>
        <w:ind w:left="0" w:firstLine="709"/>
        <w:jc w:val="both"/>
        <w:rPr>
          <w:rFonts w:ascii="Times New Roman" w:hAnsi="Times New Roman" w:cs="Times New Roman"/>
          <w:sz w:val="28"/>
          <w:szCs w:val="28"/>
        </w:rPr>
      </w:pPr>
      <w:r w:rsidRPr="00BE086B">
        <w:rPr>
          <w:rFonts w:ascii="Times New Roman" w:hAnsi="Times New Roman" w:cs="Times New Roman"/>
          <w:sz w:val="28"/>
          <w:szCs w:val="28"/>
          <w:lang w:eastAsia="uk-UA"/>
        </w:rPr>
        <w:t xml:space="preserve">На підставі проведених гістоморфологічних досліджень встановлено, що </w:t>
      </w:r>
      <w:r w:rsidRPr="00BE086B">
        <w:rPr>
          <w:rFonts w:ascii="Times New Roman" w:hAnsi="Times New Roman" w:cs="Times New Roman"/>
          <w:sz w:val="28"/>
          <w:szCs w:val="28"/>
        </w:rPr>
        <w:t xml:space="preserve">комбіноване застосування </w:t>
      </w:r>
      <w:r w:rsidRPr="00BE086B">
        <w:rPr>
          <w:rFonts w:ascii="Times New Roman" w:eastAsia="Times New Roman" w:hAnsi="Times New Roman" w:cs="Times New Roman"/>
          <w:sz w:val="28"/>
          <w:szCs w:val="28"/>
        </w:rPr>
        <w:t xml:space="preserve">диклофенаку натрію, </w:t>
      </w:r>
      <w:r w:rsidRPr="00BE086B">
        <w:rPr>
          <w:rFonts w:ascii="Times New Roman" w:hAnsi="Times New Roman" w:cs="Times New Roman"/>
          <w:bCs/>
          <w:sz w:val="28"/>
          <w:szCs w:val="28"/>
        </w:rPr>
        <w:t>хондроїтину сульфату</w:t>
      </w:r>
      <w:r w:rsidRPr="00BE086B">
        <w:rPr>
          <w:rFonts w:ascii="Times New Roman" w:eastAsia="Times New Roman" w:hAnsi="Times New Roman" w:cs="Times New Roman"/>
          <w:sz w:val="28"/>
          <w:szCs w:val="28"/>
        </w:rPr>
        <w:t xml:space="preserve"> та L-тироксину сприяє активній регенерації хрящової і кісткової тканини з ділянками неоваскулогенезу, зменшенню ознак реактивного запалення та фіброзу синовіальної оболонки та формуванню молодого хряща, і комбіноване застосування цих препаратів можна рекомендувати до клінічної апробації при ОА та ГІТ</w:t>
      </w:r>
      <w:r w:rsidR="00597BD1" w:rsidRPr="00BE086B">
        <w:rPr>
          <w:rFonts w:ascii="Times New Roman" w:eastAsia="Times New Roman" w:hAnsi="Times New Roman" w:cs="Times New Roman"/>
          <w:sz w:val="28"/>
          <w:szCs w:val="28"/>
          <w:lang w:val="ru-RU"/>
        </w:rPr>
        <w:t xml:space="preserve"> </w:t>
      </w:r>
      <w:r w:rsidR="00597BD1" w:rsidRPr="00BE086B">
        <w:rPr>
          <w:rFonts w:ascii="Times New Roman" w:hAnsi="Times New Roman" w:cs="Times New Roman"/>
          <w:bCs/>
          <w:sz w:val="28"/>
          <w:szCs w:val="28"/>
        </w:rPr>
        <w:t>[</w:t>
      </w:r>
      <w:r w:rsidR="00597BD1" w:rsidRPr="00BE086B">
        <w:rPr>
          <w:rFonts w:ascii="Times New Roman" w:hAnsi="Times New Roman" w:cs="Times New Roman"/>
          <w:bCs/>
          <w:sz w:val="28"/>
          <w:szCs w:val="28"/>
          <w:lang w:val="ru-RU"/>
        </w:rPr>
        <w:t>257, 412, 413</w:t>
      </w:r>
      <w:r w:rsidR="00597BD1" w:rsidRPr="00BE086B">
        <w:rPr>
          <w:rFonts w:ascii="Times New Roman" w:hAnsi="Times New Roman" w:cs="Times New Roman"/>
          <w:bCs/>
          <w:sz w:val="28"/>
          <w:szCs w:val="28"/>
        </w:rPr>
        <w:t>]</w:t>
      </w:r>
      <w:r w:rsidRPr="00BE086B">
        <w:rPr>
          <w:rFonts w:ascii="Times New Roman" w:eastAsia="Times New Roman" w:hAnsi="Times New Roman" w:cs="Times New Roman"/>
          <w:sz w:val="28"/>
          <w:szCs w:val="28"/>
        </w:rPr>
        <w:t>.</w:t>
      </w:r>
    </w:p>
    <w:p w:rsidR="00BC1614" w:rsidRPr="00BE086B" w:rsidRDefault="00BC1614" w:rsidP="009D0803">
      <w:pPr>
        <w:pStyle w:val="af0"/>
        <w:ind w:firstLine="709"/>
        <w:jc w:val="both"/>
        <w:rPr>
          <w:sz w:val="28"/>
          <w:szCs w:val="28"/>
          <w:lang w:val="uk-UA"/>
        </w:rPr>
      </w:pPr>
    </w:p>
    <w:p w:rsidR="00F10868" w:rsidRPr="00BE086B" w:rsidRDefault="00F10868" w:rsidP="009D0803">
      <w:pPr>
        <w:pStyle w:val="af0"/>
        <w:ind w:firstLine="709"/>
        <w:jc w:val="both"/>
        <w:rPr>
          <w:sz w:val="28"/>
          <w:szCs w:val="28"/>
          <w:lang w:val="uk-UA"/>
        </w:rPr>
      </w:pPr>
    </w:p>
    <w:p w:rsidR="00F10868" w:rsidRPr="00BE086B" w:rsidRDefault="00F10868" w:rsidP="009D0803">
      <w:pPr>
        <w:pStyle w:val="af0"/>
        <w:ind w:firstLine="709"/>
        <w:jc w:val="both"/>
        <w:rPr>
          <w:sz w:val="28"/>
          <w:szCs w:val="28"/>
          <w:lang w:val="uk-UA"/>
        </w:rPr>
      </w:pPr>
    </w:p>
    <w:p w:rsidR="00F10868" w:rsidRPr="00BE086B" w:rsidRDefault="00F10868" w:rsidP="009D0803">
      <w:pPr>
        <w:pStyle w:val="af0"/>
        <w:ind w:firstLine="709"/>
        <w:jc w:val="both"/>
        <w:rPr>
          <w:sz w:val="28"/>
          <w:szCs w:val="28"/>
          <w:lang w:val="uk-UA"/>
        </w:rPr>
      </w:pPr>
    </w:p>
    <w:p w:rsidR="00F10868" w:rsidRPr="00BE086B" w:rsidRDefault="00F10868" w:rsidP="009D0803">
      <w:pPr>
        <w:pStyle w:val="af0"/>
        <w:ind w:firstLine="709"/>
        <w:jc w:val="both"/>
        <w:rPr>
          <w:sz w:val="28"/>
          <w:szCs w:val="28"/>
          <w:lang w:val="uk-UA"/>
        </w:rPr>
      </w:pPr>
    </w:p>
    <w:p w:rsidR="00F10868" w:rsidRPr="00BE086B" w:rsidRDefault="00F10868" w:rsidP="009D0803">
      <w:pPr>
        <w:pStyle w:val="af0"/>
        <w:ind w:firstLine="709"/>
        <w:jc w:val="both"/>
        <w:rPr>
          <w:sz w:val="28"/>
          <w:szCs w:val="28"/>
          <w:lang w:val="uk-UA"/>
        </w:rPr>
      </w:pPr>
    </w:p>
    <w:p w:rsidR="00F10868" w:rsidRPr="00BE086B" w:rsidRDefault="00F10868" w:rsidP="009D0803">
      <w:pPr>
        <w:pStyle w:val="af0"/>
        <w:ind w:firstLine="709"/>
        <w:jc w:val="both"/>
        <w:rPr>
          <w:sz w:val="28"/>
          <w:szCs w:val="28"/>
          <w:lang w:val="uk-UA"/>
        </w:rPr>
      </w:pPr>
    </w:p>
    <w:p w:rsidR="00F10868" w:rsidRPr="00BE086B" w:rsidRDefault="00F10868" w:rsidP="009D0803">
      <w:pPr>
        <w:pStyle w:val="af0"/>
        <w:ind w:firstLine="709"/>
        <w:jc w:val="both"/>
        <w:rPr>
          <w:sz w:val="28"/>
          <w:szCs w:val="28"/>
          <w:lang w:val="uk-UA"/>
        </w:rPr>
      </w:pPr>
    </w:p>
    <w:p w:rsidR="00F10868" w:rsidRPr="00BE086B" w:rsidRDefault="00F10868" w:rsidP="009D0803">
      <w:pPr>
        <w:pStyle w:val="af0"/>
        <w:ind w:firstLine="709"/>
        <w:jc w:val="both"/>
        <w:rPr>
          <w:sz w:val="28"/>
          <w:szCs w:val="28"/>
          <w:lang w:val="uk-UA"/>
        </w:rPr>
      </w:pPr>
    </w:p>
    <w:p w:rsidR="00F10868" w:rsidRPr="00BE086B" w:rsidRDefault="00F10868" w:rsidP="00F10868">
      <w:pPr>
        <w:spacing w:line="360" w:lineRule="auto"/>
        <w:ind w:firstLine="709"/>
        <w:jc w:val="center"/>
        <w:rPr>
          <w:sz w:val="28"/>
          <w:szCs w:val="28"/>
        </w:rPr>
      </w:pPr>
      <w:r w:rsidRPr="00BE086B">
        <w:rPr>
          <w:b/>
          <w:bCs/>
          <w:sz w:val="28"/>
          <w:szCs w:val="28"/>
        </w:rPr>
        <w:lastRenderedPageBreak/>
        <w:t>РОЗДІЛ 9</w:t>
      </w:r>
    </w:p>
    <w:p w:rsidR="00F10868" w:rsidRPr="00BE086B" w:rsidRDefault="00F10868" w:rsidP="00F10868">
      <w:pPr>
        <w:spacing w:line="360" w:lineRule="auto"/>
        <w:ind w:firstLine="709"/>
        <w:jc w:val="center"/>
        <w:rPr>
          <w:b/>
          <w:bCs/>
          <w:sz w:val="28"/>
          <w:szCs w:val="28"/>
        </w:rPr>
      </w:pPr>
    </w:p>
    <w:p w:rsidR="00F10868" w:rsidRPr="00BE086B" w:rsidRDefault="00F10868" w:rsidP="00F10868">
      <w:pPr>
        <w:spacing w:line="360" w:lineRule="auto"/>
        <w:ind w:firstLine="709"/>
        <w:jc w:val="center"/>
        <w:rPr>
          <w:sz w:val="28"/>
          <w:szCs w:val="28"/>
        </w:rPr>
      </w:pPr>
      <w:r w:rsidRPr="00BE086B">
        <w:rPr>
          <w:b/>
          <w:bCs/>
          <w:sz w:val="28"/>
          <w:szCs w:val="28"/>
        </w:rPr>
        <w:t>УЗАГАЛЬНЕННЯ ТА АНАЛІЗ ОТРИМАНИХ РЕЗУЛЬТАТІВ</w:t>
      </w:r>
    </w:p>
    <w:p w:rsidR="00F10868" w:rsidRPr="00BE086B" w:rsidRDefault="00F10868" w:rsidP="00F10868">
      <w:pPr>
        <w:spacing w:line="360" w:lineRule="auto"/>
        <w:ind w:firstLine="709"/>
        <w:jc w:val="both"/>
        <w:rPr>
          <w:sz w:val="28"/>
          <w:szCs w:val="28"/>
        </w:rPr>
      </w:pPr>
    </w:p>
    <w:p w:rsidR="00F10868" w:rsidRPr="00BE086B" w:rsidRDefault="00F10868" w:rsidP="00F10868">
      <w:pPr>
        <w:pStyle w:val="1"/>
        <w:shd w:val="clear" w:color="auto" w:fill="FFFFFF"/>
        <w:spacing w:line="360" w:lineRule="auto"/>
        <w:ind w:left="0" w:right="0" w:firstLine="709"/>
        <w:jc w:val="both"/>
        <w:textAlignment w:val="baseline"/>
        <w:rPr>
          <w:b/>
          <w:szCs w:val="28"/>
        </w:rPr>
      </w:pPr>
      <w:r w:rsidRPr="00BE086B">
        <w:rPr>
          <w:szCs w:val="28"/>
        </w:rPr>
        <w:t>Біль є основним проявом захворювань та причиною страждань людини, що спонукає до використання аналгетичних засобів. Ретроспективний аналіз вітчизняної та закордонної літератури показав, що поширеність больового синдрому у дітей та дорослих в системі первинної медичної допомоги коливається від 40 до 70% [1-5].</w:t>
      </w:r>
    </w:p>
    <w:p w:rsidR="00F10868" w:rsidRPr="00BE086B" w:rsidRDefault="00F10868" w:rsidP="00F10868">
      <w:pPr>
        <w:pStyle w:val="1"/>
        <w:shd w:val="clear" w:color="auto" w:fill="FFFFFF"/>
        <w:spacing w:line="360" w:lineRule="auto"/>
        <w:ind w:left="0" w:right="0" w:firstLine="709"/>
        <w:jc w:val="both"/>
        <w:textAlignment w:val="baseline"/>
        <w:rPr>
          <w:b/>
          <w:szCs w:val="28"/>
        </w:rPr>
      </w:pPr>
      <w:r w:rsidRPr="00BE086B">
        <w:rPr>
          <w:szCs w:val="28"/>
        </w:rPr>
        <w:t>Особливої уваги потребує біль, спричинений різноманітними патологічними станами внаслідок ускладнення захворювання сукупністю етіологічних та/або патогенетичних факторів. У зв’язку з цим больовий синдром може бути коморбідним з основним захворюванням, яке може сформуватись за типом сінтропії - ураження органів під впливом загальних патогенетичних факторів або інтерференції - виникнення одного захворювання під впливом іншого [6-10]. В таких випадках біль є фактором, який обтяжує перебіг коморбідної патології, а потреба в прийомі аналгетиків набуває рис тривалості і безперервності, що підвищує ризики ускладнень та побічних явищ фармакотерапії [11-15].</w:t>
      </w:r>
    </w:p>
    <w:p w:rsidR="00F10868" w:rsidRPr="00BE086B" w:rsidRDefault="00F10868" w:rsidP="00F10868">
      <w:pPr>
        <w:spacing w:line="360" w:lineRule="auto"/>
        <w:ind w:firstLine="709"/>
        <w:jc w:val="both"/>
        <w:rPr>
          <w:sz w:val="28"/>
          <w:szCs w:val="28"/>
          <w:lang w:val="uk-UA"/>
        </w:rPr>
      </w:pPr>
      <w:r w:rsidRPr="00BE086B">
        <w:rPr>
          <w:sz w:val="28"/>
          <w:szCs w:val="28"/>
          <w:lang w:val="uk-UA"/>
        </w:rPr>
        <w:t>Остеоартроз (ОА) та гіпотиреоз (ГІТ) відносяться до актуальних проблем сучасної медицини та всього суспільства у зв'язку з великою частотою поширеності цих нозологій, тяжким перебігом та інвалідизуючими наслідками даних захворювань [16-20].</w:t>
      </w:r>
    </w:p>
    <w:p w:rsidR="00F10868" w:rsidRPr="00BE086B" w:rsidRDefault="00F10868" w:rsidP="00F10868">
      <w:pPr>
        <w:spacing w:line="360" w:lineRule="auto"/>
        <w:ind w:firstLine="709"/>
        <w:jc w:val="both"/>
        <w:rPr>
          <w:b/>
          <w:sz w:val="28"/>
          <w:szCs w:val="28"/>
          <w:lang w:val="uk-UA"/>
        </w:rPr>
      </w:pPr>
      <w:r w:rsidRPr="00BE086B">
        <w:rPr>
          <w:sz w:val="28"/>
          <w:szCs w:val="28"/>
          <w:lang w:val="uk-UA"/>
        </w:rPr>
        <w:t xml:space="preserve">Як окремі нозологічні форми ОА та ГІТ відрізняються за своєю етіологією [18, 21-24]. Так, ГІТ пов'язаний з недостатньою функціональною активністю щитоподібної залози (ЩЗ) [25-29], а ОА – це дегенеративно-дистрофічний та запальний процес, який пов'язаний з первинним ушкодженням гіалінового хряща суглоба [30-34]. Проте </w:t>
      </w:r>
      <w:r w:rsidRPr="00BE086B">
        <w:rPr>
          <w:sz w:val="28"/>
          <w:szCs w:val="28"/>
          <w:shd w:val="clear" w:color="auto" w:fill="FFFFFF"/>
          <w:lang w:val="uk-UA"/>
        </w:rPr>
        <w:t xml:space="preserve">певну роль у розвитку ОА відіграють ендокринні фактори </w:t>
      </w:r>
      <w:r w:rsidRPr="00BE086B">
        <w:rPr>
          <w:sz w:val="28"/>
          <w:szCs w:val="28"/>
          <w:lang w:val="uk-UA"/>
        </w:rPr>
        <w:t>[35-39]</w:t>
      </w:r>
      <w:r w:rsidRPr="00BE086B">
        <w:rPr>
          <w:sz w:val="28"/>
          <w:szCs w:val="28"/>
          <w:shd w:val="clear" w:color="auto" w:fill="FFFFFF"/>
          <w:lang w:val="uk-UA"/>
        </w:rPr>
        <w:t>.</w:t>
      </w:r>
    </w:p>
    <w:p w:rsidR="00F10868" w:rsidRPr="00BE086B" w:rsidRDefault="00F10868" w:rsidP="00F10868">
      <w:pPr>
        <w:spacing w:line="360" w:lineRule="auto"/>
        <w:ind w:firstLine="709"/>
        <w:jc w:val="both"/>
        <w:rPr>
          <w:sz w:val="28"/>
          <w:szCs w:val="28"/>
          <w:lang w:val="uk-UA"/>
        </w:rPr>
      </w:pPr>
      <w:r w:rsidRPr="00BE086B">
        <w:rPr>
          <w:sz w:val="28"/>
          <w:szCs w:val="28"/>
          <w:lang w:val="uk-UA"/>
        </w:rPr>
        <w:lastRenderedPageBreak/>
        <w:t>На сьогоднішній день ОА та ГІТ, як окремі нозологічні захворювання, досить широко досліджені та продовжують досліджуватися у зв’язку з постійним прогресом фармакології, ендокринології, ортопедії, ревматології та пов’язаних з ними дисциплінами, проте важливого сенсу набуває питання коморбідності цих захворювань, які в літературі висвітлені недостатньо [40-44].</w:t>
      </w:r>
    </w:p>
    <w:p w:rsidR="00F10868" w:rsidRPr="00BE086B" w:rsidRDefault="00F10868" w:rsidP="00F10868">
      <w:pPr>
        <w:spacing w:line="360" w:lineRule="auto"/>
        <w:ind w:firstLine="709"/>
        <w:jc w:val="both"/>
        <w:rPr>
          <w:sz w:val="28"/>
          <w:szCs w:val="28"/>
          <w:lang w:val="uk-UA"/>
        </w:rPr>
      </w:pPr>
      <w:r w:rsidRPr="00BE086B">
        <w:rPr>
          <w:sz w:val="28"/>
          <w:szCs w:val="28"/>
          <w:lang w:val="uk-UA"/>
        </w:rPr>
        <w:t>Фармакотерапія остеоартрозу (ОА) та гіпотиреозу (ГІТ) є однією з актуальних проблем сучасної медицини у всьому світі не лише через те, що ці патологічні стани є вельми поширеними, характеризуються тяжким перебігом та наслідками, що призводять до інвалідизації населення, а ще і через недостатність знань щодо можливості та доцільності застосування ліків різних фармакотерапевтичних груп на тлі ОА, коморбідного з ГІТ. У цьому аспекті особливого значення набуває проблема знеболення, що окреслює актуальність дослідження ефективності та безпечності окремих аналгетиків за комбінованого застосування з препаратами, що використовуються для лікування ГІТ</w:t>
      </w:r>
      <w:r w:rsidR="00597BD1" w:rsidRPr="00BE086B">
        <w:rPr>
          <w:sz w:val="28"/>
          <w:szCs w:val="28"/>
          <w:lang w:val="uk-UA"/>
        </w:rPr>
        <w:t xml:space="preserve"> </w:t>
      </w:r>
      <w:r w:rsidR="00597BD1" w:rsidRPr="00BE086B">
        <w:rPr>
          <w:bCs/>
          <w:sz w:val="28"/>
          <w:szCs w:val="28"/>
          <w:lang w:val="uk-UA"/>
        </w:rPr>
        <w:t>[7, 322, 328]</w:t>
      </w:r>
      <w:r w:rsidRPr="00BE086B">
        <w:rPr>
          <w:sz w:val="28"/>
          <w:szCs w:val="28"/>
          <w:lang w:val="uk-UA"/>
        </w:rPr>
        <w:t>.</w:t>
      </w:r>
    </w:p>
    <w:p w:rsidR="00F10868" w:rsidRPr="00BE086B" w:rsidRDefault="00F10868" w:rsidP="00F10868">
      <w:pPr>
        <w:spacing w:line="360" w:lineRule="auto"/>
        <w:ind w:firstLine="709"/>
        <w:jc w:val="both"/>
        <w:rPr>
          <w:sz w:val="28"/>
          <w:szCs w:val="28"/>
        </w:rPr>
      </w:pPr>
      <w:r w:rsidRPr="00BE086B">
        <w:rPr>
          <w:sz w:val="28"/>
          <w:szCs w:val="28"/>
          <w:lang w:val="uk-UA"/>
        </w:rPr>
        <w:t xml:space="preserve">Відомий взаємозв'язок патології ЩЗ з розвитком ревматоїдного артриту і системного червоного вовчаку, цукрового діабету, серцево-судинної патології, розладами ШКТ, енергетичного обміну, вегетативної нервової системи  і дисбалансу статевих гормонів. При ГІТ активуються процеси перекисного окислення ліпідів, підвищується чутливість до стресу, уповільнюються окислювально-відновні реакції, порушується терморегуляція, накопичуються продукти обміну, виникають функціональні порушення ЦНС та ССС, розвивається дистрофія тканин з формуванням слизового набряку (мікседема) і розвитком «гіпотиреозних» артропатій і міопатій. </w:t>
      </w:r>
      <w:r w:rsidRPr="00BE086B">
        <w:rPr>
          <w:sz w:val="28"/>
          <w:szCs w:val="28"/>
        </w:rPr>
        <w:t xml:space="preserve">Тому особливого значення набувають питання фармакологічної корекції за сумісного перебігу ОА з ГІТ, здатних ускладнювати та прискорювати негативні наслідки метаболічного дисбалансу. Відомо про наявність та ступінь метаболічних порушень при ГІТ, що негативно впливають на стан кісткової і хрящової тканини, однак можливості фармакотерапії щодо </w:t>
      </w:r>
      <w:r w:rsidRPr="00BE086B">
        <w:rPr>
          <w:sz w:val="28"/>
          <w:szCs w:val="28"/>
        </w:rPr>
        <w:lastRenderedPageBreak/>
        <w:t>стимуляції регенерації та нормалізації метаболічних порушень вивчені недостатньо</w:t>
      </w:r>
      <w:r w:rsidR="00E10792" w:rsidRPr="00BE086B">
        <w:rPr>
          <w:sz w:val="28"/>
          <w:szCs w:val="28"/>
        </w:rPr>
        <w:t xml:space="preserve"> </w:t>
      </w:r>
      <w:r w:rsidR="00E10792" w:rsidRPr="00BE086B">
        <w:rPr>
          <w:bCs/>
          <w:sz w:val="28"/>
          <w:szCs w:val="28"/>
          <w:lang w:val="uk-UA"/>
        </w:rPr>
        <w:t>[</w:t>
      </w:r>
      <w:r w:rsidR="00E10792" w:rsidRPr="00BE086B">
        <w:rPr>
          <w:bCs/>
          <w:sz w:val="28"/>
          <w:szCs w:val="28"/>
        </w:rPr>
        <w:t>257, 412, 413</w:t>
      </w:r>
      <w:r w:rsidR="00E10792" w:rsidRPr="00BE086B">
        <w:rPr>
          <w:bCs/>
          <w:sz w:val="28"/>
          <w:szCs w:val="28"/>
          <w:lang w:val="uk-UA"/>
        </w:rPr>
        <w:t>]</w:t>
      </w:r>
      <w:r w:rsidRPr="00BE086B">
        <w:rPr>
          <w:sz w:val="28"/>
          <w:szCs w:val="28"/>
        </w:rPr>
        <w:t>.</w:t>
      </w:r>
    </w:p>
    <w:p w:rsidR="00F10868" w:rsidRPr="00BE086B" w:rsidRDefault="00F10868" w:rsidP="00F10868">
      <w:pPr>
        <w:spacing w:line="360" w:lineRule="auto"/>
        <w:ind w:firstLine="709"/>
        <w:jc w:val="both"/>
        <w:rPr>
          <w:sz w:val="28"/>
          <w:szCs w:val="28"/>
        </w:rPr>
      </w:pPr>
      <w:r w:rsidRPr="00BE086B">
        <w:rPr>
          <w:sz w:val="28"/>
          <w:szCs w:val="28"/>
          <w:shd w:val="clear" w:color="auto" w:fill="FFFFFF"/>
        </w:rPr>
        <w:t>Неопіоідні аналгетики, а особливо, нестероїдні протизапальні засоби (НПЗЗ), що найчастіше використовуються для усунення больового синдрому при ОА, можуть прискорити ураження суглобів при ОА шляхом посилення синтезу прозапальних цитокінів або інгібуючи синтез протеогліканів хряща. Проте питання впливу аналгетичної терапії на стан кісткової та хрящової тканин при ГІТ та їхній вплив на рівень біохімічних маркерів при гіпофункції ЩЗ досліджено недостатньо</w:t>
      </w:r>
      <w:r w:rsidR="00E10792" w:rsidRPr="00BE086B">
        <w:rPr>
          <w:sz w:val="28"/>
          <w:szCs w:val="28"/>
          <w:shd w:val="clear" w:color="auto" w:fill="FFFFFF"/>
        </w:rPr>
        <w:t xml:space="preserve"> </w:t>
      </w:r>
      <w:r w:rsidR="00E10792" w:rsidRPr="00BE086B">
        <w:rPr>
          <w:bCs/>
          <w:sz w:val="28"/>
          <w:szCs w:val="28"/>
          <w:lang w:val="uk-UA"/>
        </w:rPr>
        <w:t>[7, 322, 328]</w:t>
      </w:r>
      <w:r w:rsidRPr="00BE086B">
        <w:rPr>
          <w:sz w:val="28"/>
          <w:szCs w:val="28"/>
        </w:rPr>
        <w:t>.</w:t>
      </w:r>
    </w:p>
    <w:p w:rsidR="00F10868" w:rsidRPr="00BE086B" w:rsidRDefault="00F10868" w:rsidP="00F10868">
      <w:pPr>
        <w:spacing w:line="360" w:lineRule="auto"/>
        <w:ind w:firstLine="709"/>
        <w:jc w:val="both"/>
        <w:rPr>
          <w:sz w:val="28"/>
          <w:szCs w:val="28"/>
        </w:rPr>
      </w:pPr>
      <w:r w:rsidRPr="00BE086B">
        <w:rPr>
          <w:sz w:val="28"/>
          <w:szCs w:val="28"/>
        </w:rPr>
        <w:t xml:space="preserve">Відомо, що аналгетики можуть впливати на гормональну активність ЩЗ через безпосередній вплив на синтез та </w:t>
      </w:r>
      <w:r w:rsidRPr="00BE086B">
        <w:rPr>
          <w:kern w:val="28"/>
          <w:sz w:val="28"/>
          <w:szCs w:val="28"/>
        </w:rPr>
        <w:t>виділення гормонів або їх метаболізм, кліренс та поглинання тканинами</w:t>
      </w:r>
      <w:r w:rsidRPr="00BE086B">
        <w:rPr>
          <w:sz w:val="28"/>
          <w:szCs w:val="28"/>
        </w:rPr>
        <w:t>. Проте, важливим та недослідженим питанням є вивчення процесів взаємодії аналгетичних засобів з препаратом замісної гормональної терапії L-тироксином, їхньої здатності впливати на біль різної інтенсивності</w:t>
      </w:r>
      <w:r w:rsidR="00E10792" w:rsidRPr="00BE086B">
        <w:rPr>
          <w:sz w:val="28"/>
          <w:szCs w:val="28"/>
        </w:rPr>
        <w:t xml:space="preserve"> </w:t>
      </w:r>
      <w:r w:rsidR="00E10792" w:rsidRPr="00BE086B">
        <w:rPr>
          <w:bCs/>
          <w:sz w:val="28"/>
          <w:szCs w:val="28"/>
          <w:lang w:val="uk-UA"/>
        </w:rPr>
        <w:t>[</w:t>
      </w:r>
      <w:r w:rsidR="00E10792" w:rsidRPr="00BE086B">
        <w:rPr>
          <w:bCs/>
          <w:sz w:val="28"/>
          <w:szCs w:val="28"/>
        </w:rPr>
        <w:t>360</w:t>
      </w:r>
      <w:r w:rsidR="00E10792" w:rsidRPr="00BE086B">
        <w:rPr>
          <w:bCs/>
          <w:sz w:val="28"/>
          <w:szCs w:val="28"/>
          <w:lang w:val="uk-UA"/>
        </w:rPr>
        <w:t>]</w:t>
      </w:r>
      <w:r w:rsidRPr="00BE086B">
        <w:rPr>
          <w:sz w:val="28"/>
          <w:szCs w:val="28"/>
        </w:rPr>
        <w:t>.</w:t>
      </w:r>
    </w:p>
    <w:p w:rsidR="00F10868" w:rsidRPr="00BE086B" w:rsidRDefault="00F10868" w:rsidP="00F10868">
      <w:pPr>
        <w:spacing w:line="360" w:lineRule="auto"/>
        <w:ind w:firstLine="709"/>
        <w:jc w:val="both"/>
        <w:rPr>
          <w:sz w:val="28"/>
          <w:szCs w:val="28"/>
        </w:rPr>
      </w:pPr>
      <w:r w:rsidRPr="00BE086B">
        <w:rPr>
          <w:sz w:val="28"/>
          <w:szCs w:val="28"/>
        </w:rPr>
        <w:t>Вважається, що призначення замісної гормональної терапії ГІТ призводить до відновлення інтенсивності метаболічних процесів, проте дослідження питання впливу гормонотерапії на структуру гіалінового хряща не проводились. Також залишаються відкритими питання профілактики дегенеративно-дистрофічних змін у суглобах за ГІТ і вивчення лікарської взаємодії з метою пропозицій щодо ефективного та безпечного комбінованого застосування препаратів різних фармакотерапевтичних груп</w:t>
      </w:r>
      <w:r w:rsidR="00E10792" w:rsidRPr="00BE086B">
        <w:rPr>
          <w:sz w:val="28"/>
          <w:szCs w:val="28"/>
        </w:rPr>
        <w:t xml:space="preserve"> </w:t>
      </w:r>
      <w:r w:rsidR="00E10792" w:rsidRPr="00BE086B">
        <w:rPr>
          <w:bCs/>
          <w:sz w:val="28"/>
          <w:szCs w:val="28"/>
          <w:lang w:val="uk-UA"/>
        </w:rPr>
        <w:t>[</w:t>
      </w:r>
      <w:r w:rsidR="00E10792" w:rsidRPr="00BE086B">
        <w:rPr>
          <w:bCs/>
          <w:sz w:val="28"/>
          <w:szCs w:val="28"/>
        </w:rPr>
        <w:t>257, 412, 413</w:t>
      </w:r>
      <w:r w:rsidR="00E10792" w:rsidRPr="00BE086B">
        <w:rPr>
          <w:bCs/>
          <w:sz w:val="28"/>
          <w:szCs w:val="28"/>
          <w:lang w:val="uk-UA"/>
        </w:rPr>
        <w:t>]</w:t>
      </w:r>
      <w:r w:rsidRPr="00BE086B">
        <w:rPr>
          <w:sz w:val="28"/>
          <w:szCs w:val="28"/>
        </w:rPr>
        <w:t>.</w:t>
      </w:r>
    </w:p>
    <w:p w:rsidR="00F10868" w:rsidRPr="00BE086B" w:rsidRDefault="00F10868" w:rsidP="00F10868">
      <w:pPr>
        <w:spacing w:line="360" w:lineRule="auto"/>
        <w:ind w:firstLine="709"/>
        <w:jc w:val="both"/>
        <w:rPr>
          <w:rStyle w:val="highlight"/>
          <w:sz w:val="28"/>
          <w:szCs w:val="28"/>
        </w:rPr>
      </w:pPr>
      <w:r w:rsidRPr="00BE086B">
        <w:rPr>
          <w:sz w:val="28"/>
          <w:szCs w:val="28"/>
        </w:rPr>
        <w:t xml:space="preserve">Все вищезазначене вказує на існування актуальної сучасної проблеми медицини, яка пов’язана з пошуком нових підходів до фармакотерапії </w:t>
      </w:r>
      <w:r w:rsidRPr="00BE086B">
        <w:rPr>
          <w:rStyle w:val="highlight"/>
          <w:sz w:val="28"/>
          <w:szCs w:val="28"/>
        </w:rPr>
        <w:t>больового синдрому та медикаментозного захисту суглобів у хворих на ОА та ГІТ шляхом визначення ефективності використання знеболювальних та хондропротекторних засобів за умов замісної гормональної терапії гіпотиреозу, що може слугувати теоретичними передумовами оптимізації лікування коморбідного стану. Вирішенню саме цієї проблеми присвячене наше дослідження.</w:t>
      </w:r>
    </w:p>
    <w:p w:rsidR="00F10868" w:rsidRPr="00BE086B" w:rsidRDefault="00F10868" w:rsidP="00F10868">
      <w:pPr>
        <w:spacing w:line="360" w:lineRule="auto"/>
        <w:ind w:firstLine="709"/>
        <w:jc w:val="both"/>
        <w:rPr>
          <w:rFonts w:eastAsia="Calibri"/>
          <w:iCs/>
          <w:sz w:val="28"/>
          <w:szCs w:val="28"/>
        </w:rPr>
      </w:pPr>
      <w:r w:rsidRPr="00BE086B">
        <w:rPr>
          <w:rStyle w:val="highlight"/>
          <w:sz w:val="28"/>
          <w:szCs w:val="28"/>
        </w:rPr>
        <w:lastRenderedPageBreak/>
        <w:t>Нами проводилась о</w:t>
      </w:r>
      <w:r w:rsidRPr="00BE086B">
        <w:rPr>
          <w:sz w:val="28"/>
          <w:szCs w:val="28"/>
        </w:rPr>
        <w:t>цінка аналгетичної дії</w:t>
      </w:r>
      <w:r w:rsidRPr="00BE086B">
        <w:rPr>
          <w:bCs/>
          <w:sz w:val="28"/>
          <w:szCs w:val="28"/>
        </w:rPr>
        <w:t xml:space="preserve"> НПЗЗ та парацетамолу при коморбідній патології та було доведено, що о</w:t>
      </w:r>
      <w:r w:rsidRPr="00BE086B">
        <w:rPr>
          <w:rFonts w:eastAsia="Calibri"/>
          <w:iCs/>
          <w:sz w:val="28"/>
          <w:szCs w:val="28"/>
        </w:rPr>
        <w:t>стеоартроз призводить до зниження порогу больової чутливості, що і було підтверджено нашими дослідженнями, за результатами яких встановлене зростання больового відчуття у щурів порівняно з інтактних тварин на 24% (р&lt;0,05), тоді як за коморбідного стану – ОА, асоційованого з ГІТ спостерігалося зниження порогу больової чутливості порівняно до показника в інтактних тварин лише на 17% (р&lt;0,05)</w:t>
      </w:r>
      <w:r w:rsidR="00E10792" w:rsidRPr="00BE086B">
        <w:rPr>
          <w:rFonts w:eastAsia="Calibri"/>
          <w:iCs/>
          <w:sz w:val="28"/>
          <w:szCs w:val="28"/>
        </w:rPr>
        <w:t xml:space="preserve"> </w:t>
      </w:r>
      <w:r w:rsidR="00E10792" w:rsidRPr="00BE086B">
        <w:rPr>
          <w:bCs/>
          <w:sz w:val="28"/>
          <w:szCs w:val="28"/>
          <w:lang w:val="uk-UA"/>
        </w:rPr>
        <w:t>[</w:t>
      </w:r>
      <w:r w:rsidR="00E10792" w:rsidRPr="00BE086B">
        <w:rPr>
          <w:bCs/>
          <w:sz w:val="28"/>
          <w:szCs w:val="28"/>
        </w:rPr>
        <w:t>360</w:t>
      </w:r>
      <w:r w:rsidR="00E10792" w:rsidRPr="00BE086B">
        <w:rPr>
          <w:bCs/>
          <w:sz w:val="28"/>
          <w:szCs w:val="28"/>
          <w:lang w:val="uk-UA"/>
        </w:rPr>
        <w:t>]</w:t>
      </w:r>
      <w:r w:rsidRPr="00BE086B">
        <w:rPr>
          <w:rFonts w:eastAsia="Calibri"/>
          <w:iCs/>
          <w:sz w:val="28"/>
          <w:szCs w:val="28"/>
        </w:rPr>
        <w:t>.</w:t>
      </w:r>
    </w:p>
    <w:p w:rsidR="00F10868" w:rsidRPr="00BE086B" w:rsidRDefault="00F10868" w:rsidP="00F10868">
      <w:pPr>
        <w:spacing w:line="360" w:lineRule="auto"/>
        <w:ind w:firstLine="709"/>
        <w:jc w:val="both"/>
        <w:rPr>
          <w:rFonts w:eastAsia="Calibri"/>
          <w:iCs/>
          <w:sz w:val="28"/>
          <w:szCs w:val="28"/>
        </w:rPr>
      </w:pPr>
      <w:r w:rsidRPr="00BE086B">
        <w:rPr>
          <w:rFonts w:eastAsia="Calibri"/>
          <w:iCs/>
          <w:sz w:val="28"/>
          <w:szCs w:val="28"/>
        </w:rPr>
        <w:t>Так, на фоні експериментального ОА у щурів за ступенем антиноцицептивної активності на моделі електричного подразнення на піку розвитку знеболювальної дії (90 хвилина тестування) НПЗЗ розташувалися у наступному порядку: диклофенак натрію (+184%) (</w:t>
      </w:r>
      <w:r w:rsidRPr="00BE086B">
        <w:rPr>
          <w:sz w:val="28"/>
          <w:szCs w:val="28"/>
        </w:rPr>
        <w:t>р</w:t>
      </w:r>
      <w:r w:rsidRPr="00BE086B">
        <w:rPr>
          <w:rFonts w:eastAsia="Calibri"/>
          <w:iCs/>
          <w:sz w:val="28"/>
          <w:szCs w:val="28"/>
        </w:rPr>
        <w:t>&lt;</w:t>
      </w:r>
      <w:r w:rsidRPr="00BE086B">
        <w:rPr>
          <w:sz w:val="28"/>
          <w:szCs w:val="28"/>
        </w:rPr>
        <w:t xml:space="preserve">0,001) </w:t>
      </w:r>
      <w:r w:rsidRPr="00BE086B">
        <w:rPr>
          <w:rFonts w:eastAsia="Calibri"/>
          <w:iCs/>
          <w:sz w:val="28"/>
          <w:szCs w:val="28"/>
        </w:rPr>
        <w:t>≥ німесулід (+156%) (</w:t>
      </w:r>
      <w:r w:rsidRPr="00BE086B">
        <w:rPr>
          <w:sz w:val="28"/>
          <w:szCs w:val="28"/>
        </w:rPr>
        <w:t>р</w:t>
      </w:r>
      <w:r w:rsidRPr="00BE086B">
        <w:rPr>
          <w:rFonts w:eastAsia="Calibri"/>
          <w:iCs/>
          <w:sz w:val="28"/>
          <w:szCs w:val="28"/>
        </w:rPr>
        <w:t>&lt;</w:t>
      </w:r>
      <w:r w:rsidRPr="00BE086B">
        <w:rPr>
          <w:sz w:val="28"/>
          <w:szCs w:val="28"/>
        </w:rPr>
        <w:t xml:space="preserve">0,001) </w:t>
      </w:r>
      <w:r w:rsidRPr="00BE086B">
        <w:rPr>
          <w:rFonts w:eastAsia="Calibri"/>
          <w:iCs/>
          <w:sz w:val="28"/>
          <w:szCs w:val="28"/>
        </w:rPr>
        <w:t>≥ мелоксикам (+149%) (</w:t>
      </w:r>
      <w:r w:rsidRPr="00BE086B">
        <w:rPr>
          <w:sz w:val="28"/>
          <w:szCs w:val="28"/>
        </w:rPr>
        <w:t>р</w:t>
      </w:r>
      <w:r w:rsidRPr="00BE086B">
        <w:rPr>
          <w:rFonts w:eastAsia="Calibri"/>
          <w:iCs/>
          <w:sz w:val="28"/>
          <w:szCs w:val="28"/>
        </w:rPr>
        <w:t>&lt;</w:t>
      </w:r>
      <w:r w:rsidRPr="00BE086B">
        <w:rPr>
          <w:sz w:val="28"/>
          <w:szCs w:val="28"/>
        </w:rPr>
        <w:t>0,001)</w:t>
      </w:r>
      <w:r w:rsidRPr="00BE086B">
        <w:rPr>
          <w:rFonts w:eastAsia="Calibri"/>
          <w:iCs/>
          <w:sz w:val="28"/>
          <w:szCs w:val="28"/>
        </w:rPr>
        <w:t xml:space="preserve"> ≥ ібупрофен (+113%) (</w:t>
      </w:r>
      <w:r w:rsidRPr="00BE086B">
        <w:rPr>
          <w:sz w:val="28"/>
          <w:szCs w:val="28"/>
        </w:rPr>
        <w:t>р</w:t>
      </w:r>
      <w:r w:rsidRPr="00BE086B">
        <w:rPr>
          <w:rFonts w:eastAsia="Calibri"/>
          <w:iCs/>
          <w:sz w:val="28"/>
          <w:szCs w:val="28"/>
        </w:rPr>
        <w:t>&lt;</w:t>
      </w:r>
      <w:r w:rsidRPr="00BE086B">
        <w:rPr>
          <w:sz w:val="28"/>
          <w:szCs w:val="28"/>
        </w:rPr>
        <w:t xml:space="preserve">0,001) </w:t>
      </w:r>
      <w:r w:rsidRPr="00BE086B">
        <w:rPr>
          <w:rFonts w:eastAsia="Calibri"/>
          <w:iCs/>
          <w:sz w:val="28"/>
          <w:szCs w:val="28"/>
        </w:rPr>
        <w:t>≥ целекоксиб (+84%) (</w:t>
      </w:r>
      <w:r w:rsidRPr="00BE086B">
        <w:rPr>
          <w:sz w:val="28"/>
          <w:szCs w:val="28"/>
        </w:rPr>
        <w:t>р</w:t>
      </w:r>
      <w:r w:rsidRPr="00BE086B">
        <w:rPr>
          <w:rFonts w:eastAsia="Calibri"/>
          <w:iCs/>
          <w:sz w:val="28"/>
          <w:szCs w:val="28"/>
        </w:rPr>
        <w:t>&lt;</w:t>
      </w:r>
      <w:r w:rsidRPr="00BE086B">
        <w:rPr>
          <w:sz w:val="28"/>
          <w:szCs w:val="28"/>
        </w:rPr>
        <w:t xml:space="preserve">0,001) </w:t>
      </w:r>
      <w:r w:rsidRPr="00BE086B">
        <w:rPr>
          <w:rFonts w:eastAsia="Calibri"/>
          <w:iCs/>
          <w:sz w:val="28"/>
          <w:szCs w:val="28"/>
        </w:rPr>
        <w:t>≥ парацетамол (+64%) (</w:t>
      </w:r>
      <w:r w:rsidRPr="00BE086B">
        <w:rPr>
          <w:sz w:val="28"/>
          <w:szCs w:val="28"/>
        </w:rPr>
        <w:t>р</w:t>
      </w:r>
      <w:r w:rsidRPr="00BE086B">
        <w:rPr>
          <w:rFonts w:eastAsia="Calibri"/>
          <w:iCs/>
          <w:sz w:val="28"/>
          <w:szCs w:val="28"/>
        </w:rPr>
        <w:t>&lt;</w:t>
      </w:r>
      <w:r w:rsidRPr="00BE086B">
        <w:rPr>
          <w:sz w:val="28"/>
          <w:szCs w:val="28"/>
        </w:rPr>
        <w:t>0,001)</w:t>
      </w:r>
      <w:r w:rsidRPr="00BE086B">
        <w:rPr>
          <w:rFonts w:eastAsia="Calibri"/>
          <w:iCs/>
          <w:sz w:val="28"/>
          <w:szCs w:val="28"/>
        </w:rPr>
        <w:t xml:space="preserve"> порівняно до групи ЕОА.</w:t>
      </w:r>
    </w:p>
    <w:p w:rsidR="00F10868" w:rsidRPr="00BE086B" w:rsidRDefault="00F10868" w:rsidP="00F10868">
      <w:pPr>
        <w:spacing w:line="360" w:lineRule="auto"/>
        <w:ind w:firstLine="709"/>
        <w:jc w:val="both"/>
        <w:rPr>
          <w:rFonts w:eastAsia="Calibri"/>
          <w:iCs/>
          <w:sz w:val="28"/>
          <w:szCs w:val="28"/>
        </w:rPr>
      </w:pPr>
      <w:r w:rsidRPr="00BE086B">
        <w:rPr>
          <w:rFonts w:eastAsia="Calibri"/>
          <w:iCs/>
          <w:sz w:val="28"/>
          <w:szCs w:val="28"/>
        </w:rPr>
        <w:t xml:space="preserve">За результатами, отриманими у тварин з коморбідним станом, встановлене значне зниження знеболювальної активності всіх досліджуваних препаратів та дещо змінений порядок їхнього розташування у переліку за ступенем аналгезії: диклофенак натрію (+164%)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Fonts w:eastAsia="Calibri"/>
          <w:iCs/>
          <w:sz w:val="28"/>
          <w:szCs w:val="28"/>
        </w:rPr>
        <w:t xml:space="preserve">≥ німесулід (+104%)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Fonts w:eastAsia="Calibri"/>
          <w:iCs/>
          <w:sz w:val="28"/>
          <w:szCs w:val="28"/>
        </w:rPr>
        <w:t xml:space="preserve">≥ ібупрофен (+101%)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Fonts w:eastAsia="Calibri"/>
          <w:iCs/>
          <w:sz w:val="28"/>
          <w:szCs w:val="28"/>
        </w:rPr>
        <w:t xml:space="preserve">≥ мелоксикам (+99%)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Fonts w:eastAsia="Calibri"/>
          <w:iCs/>
          <w:sz w:val="28"/>
          <w:szCs w:val="28"/>
        </w:rPr>
        <w:t xml:space="preserve">≥ целекоксиб (+59%)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Fonts w:eastAsia="Calibri"/>
          <w:iCs/>
          <w:sz w:val="28"/>
          <w:szCs w:val="28"/>
        </w:rPr>
        <w:t xml:space="preserve">≥ парацетамол (+33%) </w:t>
      </w:r>
      <w:r w:rsidRPr="00BE086B">
        <w:rPr>
          <w:rFonts w:eastAsia="Calibri"/>
          <w:sz w:val="28"/>
          <w:szCs w:val="28"/>
        </w:rPr>
        <w:t>(р</w:t>
      </w:r>
      <w:r w:rsidRPr="00BE086B">
        <w:rPr>
          <w:rFonts w:eastAsia="Calibri"/>
          <w:iCs/>
          <w:sz w:val="28"/>
          <w:szCs w:val="28"/>
        </w:rPr>
        <w:t>&lt;</w:t>
      </w:r>
      <w:r w:rsidRPr="00BE086B">
        <w:rPr>
          <w:rFonts w:eastAsia="Calibri"/>
          <w:sz w:val="28"/>
          <w:szCs w:val="28"/>
        </w:rPr>
        <w:t>0,05)</w:t>
      </w:r>
      <w:r w:rsidRPr="00BE086B">
        <w:rPr>
          <w:rFonts w:eastAsia="Calibri"/>
          <w:iCs/>
          <w:sz w:val="28"/>
          <w:szCs w:val="28"/>
        </w:rPr>
        <w:t>.</w:t>
      </w:r>
    </w:p>
    <w:p w:rsidR="00F10868" w:rsidRPr="00BE086B" w:rsidRDefault="00F10868" w:rsidP="00F10868">
      <w:pPr>
        <w:spacing w:line="360" w:lineRule="auto"/>
        <w:ind w:firstLine="709"/>
        <w:jc w:val="both"/>
        <w:rPr>
          <w:sz w:val="28"/>
          <w:szCs w:val="28"/>
        </w:rPr>
      </w:pPr>
      <w:r w:rsidRPr="00BE086B">
        <w:rPr>
          <w:rFonts w:eastAsia="Calibri"/>
          <w:iCs/>
          <w:sz w:val="28"/>
          <w:szCs w:val="28"/>
        </w:rPr>
        <w:t>Було доведено, що на тлі коморбідної патології парацетамол проявляв нижчу у 1,94 рази</w:t>
      </w:r>
      <w:r w:rsidRPr="00BE086B">
        <w:rPr>
          <w:rFonts w:eastAsia="Calibri"/>
          <w:sz w:val="28"/>
          <w:szCs w:val="28"/>
        </w:rPr>
        <w:t xml:space="preserve"> (р&lt;0,05</w:t>
      </w:r>
      <w:r w:rsidRPr="00BE086B">
        <w:rPr>
          <w:rFonts w:eastAsia="Calibri"/>
          <w:iCs/>
          <w:sz w:val="28"/>
          <w:szCs w:val="28"/>
        </w:rPr>
        <w:t xml:space="preserve">) антиноцицептивну активність, знеболювальний ефект целекоксибу знижувався у 1,42 рази </w:t>
      </w:r>
      <w:r w:rsidRPr="00BE086B">
        <w:rPr>
          <w:rFonts w:eastAsia="Calibri"/>
          <w:sz w:val="28"/>
          <w:szCs w:val="28"/>
        </w:rPr>
        <w:t>(р</w:t>
      </w:r>
      <w:r w:rsidRPr="00BE086B">
        <w:rPr>
          <w:rFonts w:eastAsia="Calibri"/>
          <w:iCs/>
          <w:sz w:val="28"/>
          <w:szCs w:val="28"/>
        </w:rPr>
        <w:t>&lt;</w:t>
      </w:r>
      <w:r w:rsidRPr="00BE086B">
        <w:rPr>
          <w:rFonts w:eastAsia="Calibri"/>
          <w:sz w:val="28"/>
          <w:szCs w:val="28"/>
        </w:rPr>
        <w:t>0,001)</w:t>
      </w:r>
      <w:r w:rsidRPr="00BE086B">
        <w:rPr>
          <w:rFonts w:eastAsia="Calibri"/>
          <w:iCs/>
          <w:sz w:val="28"/>
          <w:szCs w:val="28"/>
        </w:rPr>
        <w:t xml:space="preserve">, німесуліду та мелоксикаму у 1,5 рази </w:t>
      </w:r>
      <w:r w:rsidRPr="00BE086B">
        <w:rPr>
          <w:rFonts w:eastAsia="Calibri"/>
          <w:sz w:val="28"/>
          <w:szCs w:val="28"/>
        </w:rPr>
        <w:t>(р</w:t>
      </w:r>
      <w:r w:rsidRPr="00BE086B">
        <w:rPr>
          <w:rFonts w:eastAsia="Calibri"/>
          <w:iCs/>
          <w:sz w:val="28"/>
          <w:szCs w:val="28"/>
        </w:rPr>
        <w:t>&lt;</w:t>
      </w:r>
      <w:r w:rsidRPr="00BE086B">
        <w:rPr>
          <w:rFonts w:eastAsia="Calibri"/>
          <w:sz w:val="28"/>
          <w:szCs w:val="28"/>
        </w:rPr>
        <w:t>0,001)</w:t>
      </w:r>
      <w:r w:rsidRPr="00BE086B">
        <w:rPr>
          <w:rFonts w:eastAsia="Calibri"/>
          <w:iCs/>
          <w:sz w:val="28"/>
          <w:szCs w:val="28"/>
        </w:rPr>
        <w:t xml:space="preserve">. Якщо на фоні ОА знеболювальна дія німесуліду перевищувала на 43% дію ібупрофену, то за коморбідної патології аналгетична ефективність обох препаратів суттєво знижувалася і за цим показником німесулід та ібупрофен були практично рівноефективними. </w:t>
      </w:r>
      <w:r w:rsidRPr="00BE086B">
        <w:rPr>
          <w:sz w:val="28"/>
          <w:szCs w:val="28"/>
        </w:rPr>
        <w:t xml:space="preserve">На відміну від зазначених препаратів, лише диклофенак натрію на тлі </w:t>
      </w:r>
      <w:r w:rsidRPr="00BE086B">
        <w:rPr>
          <w:sz w:val="28"/>
          <w:szCs w:val="28"/>
        </w:rPr>
        <w:lastRenderedPageBreak/>
        <w:t>асоційованого стану достовірно зберігав свої антиноцицептивні властивості, фактично, на рівні знеболювальної активності за застосування на тлі лише ОА.</w:t>
      </w:r>
    </w:p>
    <w:p w:rsidR="00F10868" w:rsidRPr="00BE086B" w:rsidRDefault="00F10868" w:rsidP="00F10868">
      <w:pPr>
        <w:spacing w:line="360" w:lineRule="auto"/>
        <w:ind w:firstLine="709"/>
        <w:jc w:val="both"/>
        <w:rPr>
          <w:rFonts w:eastAsia="Calibri"/>
          <w:iCs/>
          <w:sz w:val="28"/>
          <w:szCs w:val="28"/>
        </w:rPr>
      </w:pPr>
      <w:r w:rsidRPr="00BE086B">
        <w:rPr>
          <w:rFonts w:eastAsia="Calibri"/>
          <w:iCs/>
          <w:sz w:val="28"/>
          <w:szCs w:val="28"/>
        </w:rPr>
        <w:t xml:space="preserve">Знеболювальний ефект ЛЗ на тлі коморбідної патології та за призначення L-тироксину проявився більш виразно. Так, за аналгетичною активністю на фоні ЕОА+ЕГ+L-тироксин </w:t>
      </w:r>
      <w:r w:rsidRPr="00BE086B">
        <w:rPr>
          <w:sz w:val="28"/>
          <w:szCs w:val="28"/>
          <w:lang w:eastAsia="ru-RU"/>
        </w:rPr>
        <w:t xml:space="preserve">ЛЗ розташувались наступним чином: </w:t>
      </w:r>
      <w:r w:rsidRPr="00BE086B">
        <w:rPr>
          <w:rStyle w:val="Default20Paragraph20Font"/>
          <w:rFonts w:eastAsia="Calibri"/>
          <w:iCs/>
          <w:sz w:val="28"/>
          <w:szCs w:val="28"/>
        </w:rPr>
        <w:t xml:space="preserve">диклофенак натрію (+212%)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ібупрофен (+144%)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німесулід (+134%)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парацетамол (+116%)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мелоксикам (+104%)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целекоксиб (+93%) </w:t>
      </w:r>
      <w:r w:rsidRPr="00BE086B">
        <w:rPr>
          <w:rFonts w:eastAsia="Calibri"/>
          <w:sz w:val="28"/>
          <w:szCs w:val="28"/>
        </w:rPr>
        <w:t>(р</w:t>
      </w:r>
      <w:r w:rsidRPr="00BE086B">
        <w:rPr>
          <w:rFonts w:eastAsia="Calibri"/>
          <w:iCs/>
          <w:sz w:val="28"/>
          <w:szCs w:val="28"/>
        </w:rPr>
        <w:t>&lt;</w:t>
      </w:r>
      <w:r w:rsidRPr="00BE086B">
        <w:rPr>
          <w:rFonts w:eastAsia="Calibri"/>
          <w:sz w:val="28"/>
          <w:szCs w:val="28"/>
        </w:rPr>
        <w:t>0,001)</w:t>
      </w:r>
      <w:r w:rsidRPr="00BE086B">
        <w:rPr>
          <w:rStyle w:val="Default20Paragraph20Font"/>
          <w:rFonts w:eastAsia="Calibri"/>
          <w:iCs/>
          <w:sz w:val="28"/>
          <w:szCs w:val="28"/>
        </w:rPr>
        <w:t xml:space="preserve">. Даний результат є свідченням потенціювання знеболювального впливу зазначених НПЗЗ </w:t>
      </w:r>
      <w:r w:rsidRPr="00BE086B">
        <w:rPr>
          <w:rStyle w:val="Default20Paragraph20Font"/>
          <w:rFonts w:eastAsia="Calibri"/>
          <w:bCs/>
          <w:iCs/>
          <w:sz w:val="28"/>
          <w:szCs w:val="28"/>
        </w:rPr>
        <w:t>L-тироксином на тлі ОА, коморбідного з ГІТ, і</w:t>
      </w:r>
      <w:r w:rsidRPr="00BE086B">
        <w:rPr>
          <w:rStyle w:val="Default20Paragraph20Font"/>
          <w:rFonts w:eastAsia="Calibri"/>
          <w:iCs/>
          <w:sz w:val="28"/>
          <w:szCs w:val="28"/>
        </w:rPr>
        <w:t xml:space="preserve"> відображає найсуттєвіший знеболювальний ефект диклофенаку натрію. Фактично, </w:t>
      </w:r>
      <w:r w:rsidRPr="00BE086B">
        <w:rPr>
          <w:rStyle w:val="Default20Paragraph20Font"/>
          <w:rFonts w:eastAsia="Calibri"/>
          <w:bCs/>
          <w:iCs/>
          <w:sz w:val="28"/>
          <w:szCs w:val="28"/>
        </w:rPr>
        <w:t xml:space="preserve">L-тироксин </w:t>
      </w:r>
      <w:r w:rsidRPr="00BE086B">
        <w:rPr>
          <w:rFonts w:eastAsia="Calibri"/>
          <w:sz w:val="28"/>
          <w:szCs w:val="28"/>
        </w:rPr>
        <w:t>за комбінованого застосування з диклофенаком натрію призводить до зростання аналгетичної активності останнього на 48% (р</w:t>
      </w:r>
      <w:r w:rsidRPr="00BE086B">
        <w:rPr>
          <w:rFonts w:eastAsia="Calibri"/>
          <w:iCs/>
          <w:sz w:val="28"/>
          <w:szCs w:val="28"/>
        </w:rPr>
        <w:t>&lt;</w:t>
      </w:r>
      <w:r w:rsidRPr="00BE086B">
        <w:rPr>
          <w:rFonts w:eastAsia="Calibri"/>
          <w:sz w:val="28"/>
          <w:szCs w:val="28"/>
        </w:rPr>
        <w:t xml:space="preserve">0,001). Знеболювальна активність </w:t>
      </w:r>
      <w:r w:rsidRPr="00BE086B">
        <w:rPr>
          <w:rFonts w:eastAsia="Calibri"/>
          <w:iCs/>
          <w:sz w:val="28"/>
          <w:szCs w:val="28"/>
        </w:rPr>
        <w:t xml:space="preserve">парацетамолу на фоні призначення L-тироксину зросла у 1,8 рази </w:t>
      </w:r>
      <w:r w:rsidRPr="00BE086B">
        <w:rPr>
          <w:rFonts w:eastAsia="Calibri"/>
          <w:sz w:val="28"/>
          <w:szCs w:val="28"/>
        </w:rPr>
        <w:t>(р</w:t>
      </w:r>
      <w:r w:rsidRPr="00BE086B">
        <w:rPr>
          <w:rFonts w:eastAsia="Calibri"/>
          <w:iCs/>
          <w:sz w:val="28"/>
          <w:szCs w:val="28"/>
        </w:rPr>
        <w:t>&lt;</w:t>
      </w:r>
      <w:r w:rsidRPr="00BE086B">
        <w:rPr>
          <w:rFonts w:eastAsia="Calibri"/>
          <w:sz w:val="28"/>
          <w:szCs w:val="28"/>
        </w:rPr>
        <w:t>0,001)</w:t>
      </w:r>
      <w:r w:rsidRPr="00BE086B">
        <w:rPr>
          <w:rFonts w:eastAsia="Calibri"/>
          <w:iCs/>
          <w:sz w:val="28"/>
          <w:szCs w:val="28"/>
        </w:rPr>
        <w:t>, порівняно до даних за самостійного призначення антипіретика лише на тлі ОА.</w:t>
      </w:r>
    </w:p>
    <w:p w:rsidR="00F10868" w:rsidRPr="00BE086B" w:rsidRDefault="00F10868" w:rsidP="00F10868">
      <w:pPr>
        <w:spacing w:line="360" w:lineRule="auto"/>
        <w:ind w:firstLine="709"/>
        <w:jc w:val="both"/>
        <w:rPr>
          <w:sz w:val="28"/>
          <w:szCs w:val="28"/>
        </w:rPr>
      </w:pPr>
      <w:r w:rsidRPr="00BE086B">
        <w:rPr>
          <w:rStyle w:val="highlight"/>
          <w:sz w:val="28"/>
          <w:szCs w:val="28"/>
        </w:rPr>
        <w:t>На підставі вивчення</w:t>
      </w:r>
      <w:r w:rsidRPr="00BE086B">
        <w:rPr>
          <w:sz w:val="28"/>
          <w:szCs w:val="28"/>
        </w:rPr>
        <w:t xml:space="preserve"> аналгетичної дії</w:t>
      </w:r>
      <w:r w:rsidRPr="00BE086B">
        <w:rPr>
          <w:bCs/>
          <w:sz w:val="28"/>
          <w:szCs w:val="28"/>
        </w:rPr>
        <w:t xml:space="preserve"> НПЗЗ та парацетамолу при коморбідній патології нами було доведено, що </w:t>
      </w:r>
      <w:r w:rsidRPr="00BE086B">
        <w:rPr>
          <w:rStyle w:val="Default20Paragraph20Font"/>
          <w:rFonts w:eastAsia="Calibri"/>
          <w:iCs/>
          <w:sz w:val="28"/>
          <w:szCs w:val="28"/>
        </w:rPr>
        <w:t xml:space="preserve">за патології щитоподібної залози (гіпотиреоз) змінюються знеболювальні властивості НПЗЗ та парацетамолу. </w:t>
      </w:r>
      <w:r w:rsidRPr="00BE086B">
        <w:rPr>
          <w:rFonts w:eastAsia="Calibri"/>
          <w:sz w:val="28"/>
          <w:szCs w:val="28"/>
        </w:rPr>
        <w:t>За умов експериментального остеоартрозу та гіпотиреозу найбільш слабким анальгетиком показав себе парацетамол. Формування гіпотиреозу призвело до того, що селективні та переважні інгібітори ЦОГ-2 значно втратили свою знеболювальну активність порівняно до невибіркових інгібіторів ЦОГ – диклофенаку натрію. Призначення замісної гормональної терапії гіпотиреозу відновлює антиноцицептивну активність НПЗЗ та парацетамолу.</w:t>
      </w:r>
    </w:p>
    <w:p w:rsidR="00F10868" w:rsidRPr="00BE086B" w:rsidRDefault="00F10868" w:rsidP="00F10868">
      <w:pPr>
        <w:spacing w:line="360" w:lineRule="auto"/>
        <w:ind w:firstLine="709"/>
        <w:jc w:val="both"/>
        <w:rPr>
          <w:kern w:val="2"/>
          <w:sz w:val="28"/>
          <w:szCs w:val="28"/>
          <w:lang w:eastAsia="uk-UA" w:bidi="hi-IN"/>
        </w:rPr>
      </w:pPr>
      <w:r w:rsidRPr="00BE086B">
        <w:rPr>
          <w:bCs/>
          <w:sz w:val="28"/>
          <w:szCs w:val="28"/>
        </w:rPr>
        <w:t xml:space="preserve">Нами проведені дослідження впливу НПЗЗ, парацетамолу та </w:t>
      </w:r>
      <w:r w:rsidRPr="00BE086B">
        <w:rPr>
          <w:sz w:val="28"/>
          <w:szCs w:val="28"/>
        </w:rPr>
        <w:t>L-тироксину</w:t>
      </w:r>
      <w:r w:rsidRPr="00BE086B">
        <w:rPr>
          <w:bCs/>
          <w:sz w:val="28"/>
          <w:szCs w:val="28"/>
        </w:rPr>
        <w:t xml:space="preserve"> на руховий, дослідницький та емоційний статус щурів у тесті «відкрите поле» за умов експериментального гіпотиреозу та остеоартрозу</w:t>
      </w:r>
      <w:r w:rsidR="00E10792" w:rsidRPr="00BE086B">
        <w:rPr>
          <w:bCs/>
          <w:sz w:val="28"/>
          <w:szCs w:val="28"/>
        </w:rPr>
        <w:t xml:space="preserve"> </w:t>
      </w:r>
      <w:r w:rsidR="00E10792" w:rsidRPr="00BE086B">
        <w:rPr>
          <w:bCs/>
          <w:sz w:val="28"/>
          <w:szCs w:val="28"/>
          <w:lang w:val="uk-UA"/>
        </w:rPr>
        <w:t>[</w:t>
      </w:r>
      <w:r w:rsidR="00E10792" w:rsidRPr="00BE086B">
        <w:rPr>
          <w:bCs/>
          <w:sz w:val="28"/>
          <w:szCs w:val="28"/>
        </w:rPr>
        <w:t>360</w:t>
      </w:r>
      <w:r w:rsidR="00E10792" w:rsidRPr="00BE086B">
        <w:rPr>
          <w:bCs/>
          <w:sz w:val="28"/>
          <w:szCs w:val="28"/>
          <w:lang w:val="uk-UA"/>
        </w:rPr>
        <w:t>]</w:t>
      </w:r>
      <w:r w:rsidRPr="00BE086B">
        <w:rPr>
          <w:bCs/>
          <w:sz w:val="28"/>
          <w:szCs w:val="28"/>
        </w:rPr>
        <w:t>.</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Аналіз змін у тесті «відкрите поле» на 42 добу експерименту (завершення формування експериментальних моделей) виявив пригнічення спонтанної поведінкової активності та емоційної лабільності щурів на тлі наростання патологічних змін обумовлених експериментальним ОА та ГІТ у порівнянні з вихідним станом (ВС) (р</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0,05).</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Встановлено, що на 47 добу експерименту (завершення 5-ти добового призначення ЛЗ) у групі активного контролю наростало пригнічення спонтанної поведінкової активності та емоційної лабільності щурів на тлі наростання патологічних змін обумовлених експериментальним ОА та ГІТ та за умов відсутності «лікування» (р</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 xml:space="preserve">0,05). </w:t>
      </w:r>
      <w:r w:rsidRPr="00BE086B">
        <w:rPr>
          <w:rFonts w:ascii="Times New Roman" w:eastAsia="Calibri" w:hAnsi="Times New Roman" w:cs="Times New Roman"/>
          <w:color w:val="auto"/>
          <w:sz w:val="28"/>
          <w:szCs w:val="28"/>
          <w:lang w:val="uk-UA"/>
        </w:rPr>
        <w:t xml:space="preserve">Замісна гормональна </w:t>
      </w:r>
      <w:r w:rsidRPr="00BE086B">
        <w:rPr>
          <w:rFonts w:ascii="Times New Roman" w:hAnsi="Times New Roman" w:cs="Times New Roman"/>
          <w:color w:val="auto"/>
          <w:sz w:val="28"/>
          <w:szCs w:val="28"/>
          <w:lang w:val="uk-UA"/>
        </w:rPr>
        <w:t xml:space="preserve">терапія L-тироксином сприяла відновленню </w:t>
      </w:r>
      <w:r w:rsidRPr="00BE086B">
        <w:rPr>
          <w:rFonts w:ascii="Times New Roman" w:hAnsi="Times New Roman" w:cs="Times New Roman"/>
          <w:bCs/>
          <w:color w:val="auto"/>
          <w:sz w:val="28"/>
          <w:szCs w:val="28"/>
          <w:lang w:val="uk-UA"/>
        </w:rPr>
        <w:t>рухової та дослідницької активності</w:t>
      </w:r>
      <w:r w:rsidRPr="00BE086B">
        <w:rPr>
          <w:rFonts w:ascii="Times New Roman" w:hAnsi="Times New Roman" w:cs="Times New Roman"/>
          <w:color w:val="auto"/>
          <w:sz w:val="28"/>
          <w:szCs w:val="28"/>
          <w:lang w:val="uk-UA"/>
        </w:rPr>
        <w:t xml:space="preserve"> щурів за умов експериментального ОА та ГІТ (р</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0,05).</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Показано, що сумісне призначення НПЗЗ та парацетамолу із замісною гормональною терапією L-тироксином сприяє позитивним змінам </w:t>
      </w:r>
      <w:r w:rsidRPr="00BE086B">
        <w:rPr>
          <w:rFonts w:ascii="Times New Roman" w:hAnsi="Times New Roman" w:cs="Times New Roman"/>
          <w:bCs/>
          <w:color w:val="auto"/>
          <w:sz w:val="28"/>
          <w:szCs w:val="28"/>
          <w:lang w:val="uk-UA"/>
        </w:rPr>
        <w:t>рухової та дослідницької активності</w:t>
      </w:r>
      <w:r w:rsidRPr="00BE086B">
        <w:rPr>
          <w:rFonts w:ascii="Times New Roman" w:hAnsi="Times New Roman" w:cs="Times New Roman"/>
          <w:color w:val="auto"/>
          <w:sz w:val="28"/>
          <w:szCs w:val="28"/>
          <w:lang w:val="uk-UA"/>
        </w:rPr>
        <w:t xml:space="preserve"> щурів за умов експериментального ОА та ГІТ та має різний вплив на показники спонтанної поведінкової активності.</w:t>
      </w:r>
    </w:p>
    <w:p w:rsidR="00F10868" w:rsidRPr="00BE086B" w:rsidRDefault="00F10868" w:rsidP="00F10868">
      <w:pPr>
        <w:spacing w:line="360" w:lineRule="auto"/>
        <w:ind w:firstLine="709"/>
        <w:jc w:val="both"/>
        <w:rPr>
          <w:sz w:val="28"/>
          <w:szCs w:val="28"/>
        </w:rPr>
      </w:pPr>
      <w:r w:rsidRPr="00BE086B">
        <w:rPr>
          <w:kern w:val="2"/>
          <w:sz w:val="28"/>
          <w:szCs w:val="28"/>
          <w:lang w:val="uk-UA" w:eastAsia="uk-UA" w:bidi="hi-IN"/>
        </w:rPr>
        <w:t>Так, п</w:t>
      </w:r>
      <w:r w:rsidRPr="00BE086B">
        <w:rPr>
          <w:sz w:val="28"/>
          <w:szCs w:val="28"/>
          <w:lang w:val="uk-UA"/>
        </w:rPr>
        <w:t>ризначення диклофенаку натрію (</w:t>
      </w:r>
      <w:r w:rsidRPr="00BE086B">
        <w:rPr>
          <w:sz w:val="28"/>
          <w:szCs w:val="28"/>
        </w:rPr>
        <w:t>III</w:t>
      </w:r>
      <w:r w:rsidRPr="00BE086B">
        <w:rPr>
          <w:sz w:val="28"/>
          <w:szCs w:val="28"/>
          <w:lang w:val="uk-UA"/>
        </w:rPr>
        <w:t xml:space="preserve"> група) на 47 добу призвело до зниження кількості пересічених квадратів, стійок та заглядань у «нірки» на 30,3% (р</w:t>
      </w:r>
      <w:r w:rsidRPr="00BE086B">
        <w:rPr>
          <w:rFonts w:eastAsia="Calibri"/>
          <w:iCs/>
          <w:sz w:val="28"/>
          <w:szCs w:val="28"/>
          <w:lang w:val="uk-UA"/>
        </w:rPr>
        <w:t>&lt;</w:t>
      </w:r>
      <w:r w:rsidRPr="00BE086B">
        <w:rPr>
          <w:sz w:val="28"/>
          <w:szCs w:val="28"/>
          <w:lang w:val="uk-UA"/>
        </w:rPr>
        <w:t>0,05), 84,7% (р</w:t>
      </w:r>
      <w:r w:rsidRPr="00BE086B">
        <w:rPr>
          <w:rFonts w:eastAsia="Calibri"/>
          <w:iCs/>
          <w:sz w:val="28"/>
          <w:szCs w:val="28"/>
          <w:lang w:val="uk-UA"/>
        </w:rPr>
        <w:t>&lt;</w:t>
      </w:r>
      <w:r w:rsidRPr="00BE086B">
        <w:rPr>
          <w:sz w:val="28"/>
          <w:szCs w:val="28"/>
          <w:lang w:val="uk-UA"/>
        </w:rPr>
        <w:t>0,05) та 56,3% (р</w:t>
      </w:r>
      <w:r w:rsidRPr="00BE086B">
        <w:rPr>
          <w:rFonts w:eastAsia="Calibri"/>
          <w:iCs/>
          <w:sz w:val="28"/>
          <w:szCs w:val="28"/>
          <w:lang w:val="uk-UA"/>
        </w:rPr>
        <w:t>&lt;</w:t>
      </w:r>
      <w:r w:rsidRPr="00BE086B">
        <w:rPr>
          <w:sz w:val="28"/>
          <w:szCs w:val="28"/>
          <w:lang w:val="uk-UA"/>
        </w:rPr>
        <w:t>0,05) відповідно, а кількість актів грумінгу та болюсів знизились на 47,9% (р</w:t>
      </w:r>
      <w:r w:rsidRPr="00BE086B">
        <w:rPr>
          <w:rFonts w:eastAsia="Calibri"/>
          <w:iCs/>
          <w:sz w:val="28"/>
          <w:szCs w:val="28"/>
          <w:lang w:val="uk-UA"/>
        </w:rPr>
        <w:t>&lt;</w:t>
      </w:r>
      <w:r w:rsidRPr="00BE086B">
        <w:rPr>
          <w:sz w:val="28"/>
          <w:szCs w:val="28"/>
          <w:lang w:val="uk-UA"/>
        </w:rPr>
        <w:t>0,05) та 15,3% (р</w:t>
      </w:r>
      <w:r w:rsidRPr="00BE086B">
        <w:rPr>
          <w:rFonts w:eastAsia="Calibri"/>
          <w:iCs/>
          <w:sz w:val="28"/>
          <w:szCs w:val="28"/>
          <w:lang w:val="uk-UA"/>
        </w:rPr>
        <w:t>&gt;</w:t>
      </w:r>
      <w:r w:rsidRPr="00BE086B">
        <w:rPr>
          <w:sz w:val="28"/>
          <w:szCs w:val="28"/>
          <w:lang w:val="uk-UA"/>
        </w:rPr>
        <w:t xml:space="preserve">0,05) відповідно відносно ВС. </w:t>
      </w:r>
      <w:r w:rsidRPr="00BE086B">
        <w:rPr>
          <w:sz w:val="28"/>
          <w:szCs w:val="28"/>
        </w:rPr>
        <w:t>При призначенні диклофенаку натрію сумісно з L-тироксином (IV група) статистично достовірні результати отримані тільки за кількістю актів грумінгу, які зменшились на 38,7% (р</w:t>
      </w:r>
      <w:r w:rsidRPr="00BE086B">
        <w:rPr>
          <w:rFonts w:eastAsia="Calibri"/>
          <w:iCs/>
          <w:sz w:val="28"/>
          <w:szCs w:val="28"/>
        </w:rPr>
        <w:t>&lt;</w:t>
      </w:r>
      <w:r w:rsidRPr="00BE086B">
        <w:rPr>
          <w:sz w:val="28"/>
          <w:szCs w:val="28"/>
        </w:rPr>
        <w:t>0,05) відносно ВС.</w:t>
      </w:r>
    </w:p>
    <w:p w:rsidR="00F10868" w:rsidRPr="00BE086B" w:rsidRDefault="00F10868" w:rsidP="00F10868">
      <w:pPr>
        <w:spacing w:line="360" w:lineRule="auto"/>
        <w:ind w:firstLine="709"/>
        <w:jc w:val="both"/>
        <w:rPr>
          <w:sz w:val="28"/>
          <w:szCs w:val="28"/>
        </w:rPr>
      </w:pPr>
      <w:r w:rsidRPr="00BE086B">
        <w:rPr>
          <w:sz w:val="28"/>
          <w:szCs w:val="28"/>
        </w:rPr>
        <w:t>Встановлено, що призначення диклофенаку натрію сумісно з L-тироксином сприяє більш ефективному відновленню рухової та дослідницької активності у порівнянні з призначенням тільки L-тироксину, а вегетативний компонент емоційних реакцій у щурів III та IV груп на 47 добу характеризувався пригніченням емоційної лабільності (р</w:t>
      </w:r>
      <w:r w:rsidRPr="00BE086B">
        <w:rPr>
          <w:rFonts w:eastAsia="Calibri"/>
          <w:iCs/>
          <w:sz w:val="28"/>
          <w:szCs w:val="28"/>
        </w:rPr>
        <w:t>&lt;</w:t>
      </w:r>
      <w:r w:rsidRPr="00BE086B">
        <w:rPr>
          <w:sz w:val="28"/>
          <w:szCs w:val="28"/>
        </w:rPr>
        <w:t>0,05).</w:t>
      </w:r>
    </w:p>
    <w:p w:rsidR="00F10868" w:rsidRPr="00BE086B" w:rsidRDefault="00F10868" w:rsidP="00F10868">
      <w:pPr>
        <w:spacing w:line="360" w:lineRule="auto"/>
        <w:ind w:firstLine="709"/>
        <w:jc w:val="both"/>
        <w:rPr>
          <w:sz w:val="28"/>
          <w:szCs w:val="28"/>
        </w:rPr>
      </w:pPr>
      <w:r w:rsidRPr="00BE086B">
        <w:rPr>
          <w:bCs/>
          <w:sz w:val="28"/>
          <w:szCs w:val="28"/>
        </w:rPr>
        <w:t xml:space="preserve">Взагалі дослідження впливу НПЗЗ, парацетамолу та </w:t>
      </w:r>
      <w:r w:rsidRPr="00BE086B">
        <w:rPr>
          <w:sz w:val="28"/>
          <w:szCs w:val="28"/>
        </w:rPr>
        <w:t>L-тироксину</w:t>
      </w:r>
      <w:r w:rsidRPr="00BE086B">
        <w:rPr>
          <w:bCs/>
          <w:sz w:val="28"/>
          <w:szCs w:val="28"/>
        </w:rPr>
        <w:t xml:space="preserve"> на руховий, дослідницький та емоційний статус щурів у тесті «відкрите поле» за </w:t>
      </w:r>
      <w:r w:rsidRPr="00BE086B">
        <w:rPr>
          <w:bCs/>
          <w:sz w:val="28"/>
          <w:szCs w:val="28"/>
        </w:rPr>
        <w:lastRenderedPageBreak/>
        <w:t xml:space="preserve">умов експериментального гіпотиреозу та остеоартрозу </w:t>
      </w:r>
      <w:r w:rsidRPr="00BE086B">
        <w:rPr>
          <w:rFonts w:eastAsia="Calibri"/>
          <w:sz w:val="28"/>
          <w:szCs w:val="28"/>
        </w:rPr>
        <w:t xml:space="preserve">дозволили визначити препарат-лідер за знеболюючою дією та здатністю відновлювати рухову та </w:t>
      </w:r>
      <w:r w:rsidRPr="00BE086B">
        <w:rPr>
          <w:sz w:val="28"/>
          <w:szCs w:val="28"/>
        </w:rPr>
        <w:t>дослідницьку</w:t>
      </w:r>
      <w:r w:rsidRPr="00BE086B">
        <w:rPr>
          <w:rFonts w:eastAsia="Calibri"/>
          <w:sz w:val="28"/>
          <w:szCs w:val="28"/>
        </w:rPr>
        <w:t xml:space="preserve"> активність у щурів з ОА та супутнім ГІТ – диклофенак натрію.</w:t>
      </w:r>
    </w:p>
    <w:p w:rsidR="00F10868" w:rsidRPr="00BE086B" w:rsidRDefault="00F10868" w:rsidP="00F10868">
      <w:pPr>
        <w:spacing w:line="360" w:lineRule="auto"/>
        <w:ind w:firstLine="709"/>
        <w:jc w:val="both"/>
        <w:rPr>
          <w:kern w:val="2"/>
          <w:sz w:val="28"/>
          <w:szCs w:val="28"/>
          <w:lang w:eastAsia="uk-UA" w:bidi="hi-IN"/>
        </w:rPr>
      </w:pPr>
      <w:r w:rsidRPr="00BE086B">
        <w:rPr>
          <w:bCs/>
          <w:sz w:val="28"/>
          <w:szCs w:val="28"/>
        </w:rPr>
        <w:t>Нами проводилась оцінка біохімічних змін у сироватці крові щурів під впливом фармакотерапії НПЗЗ та парацетамолу за умов експериментального гіпотиреозу та остеоартрозу на фоні замісної гормональної терапії L-тироксином</w:t>
      </w:r>
      <w:r w:rsidR="00E10792" w:rsidRPr="00BE086B">
        <w:rPr>
          <w:bCs/>
          <w:sz w:val="28"/>
          <w:szCs w:val="28"/>
        </w:rPr>
        <w:t xml:space="preserve"> </w:t>
      </w:r>
      <w:r w:rsidR="00E10792" w:rsidRPr="00BE086B">
        <w:rPr>
          <w:bCs/>
          <w:sz w:val="28"/>
          <w:szCs w:val="28"/>
          <w:lang w:val="uk-UA"/>
        </w:rPr>
        <w:t>[</w:t>
      </w:r>
      <w:r w:rsidR="00E10792" w:rsidRPr="00BE086B">
        <w:rPr>
          <w:bCs/>
          <w:sz w:val="28"/>
          <w:szCs w:val="28"/>
        </w:rPr>
        <w:t>124-128</w:t>
      </w:r>
      <w:r w:rsidR="00E10792" w:rsidRPr="00BE086B">
        <w:rPr>
          <w:bCs/>
          <w:sz w:val="28"/>
          <w:szCs w:val="28"/>
          <w:lang w:val="uk-UA"/>
        </w:rPr>
        <w:t>]</w:t>
      </w:r>
      <w:r w:rsidRPr="00BE086B">
        <w:rPr>
          <w:bCs/>
          <w:sz w:val="28"/>
          <w:szCs w:val="28"/>
        </w:rPr>
        <w:t>.</w:t>
      </w:r>
    </w:p>
    <w:p w:rsidR="00F10868" w:rsidRPr="00BE086B" w:rsidRDefault="00F10868" w:rsidP="00F10868">
      <w:pPr>
        <w:spacing w:line="360" w:lineRule="auto"/>
        <w:ind w:firstLine="709"/>
        <w:jc w:val="both"/>
        <w:rPr>
          <w:sz w:val="28"/>
          <w:szCs w:val="28"/>
        </w:rPr>
      </w:pPr>
      <w:r w:rsidRPr="00BE086B">
        <w:rPr>
          <w:sz w:val="28"/>
          <w:szCs w:val="28"/>
        </w:rPr>
        <w:t>Аналіз отриманих результатів дозволив встановити, що за ступенем впливу на запальні процеси у суглобі, що характеризуються, зокрема, рівнями інтерлейкінів (IL 1, IL 6 та IL 8), матриксних металопротеїназ (ММП-3, ММП-9 та ММП-13), фактору некрозу пухлин (ФНП) та С-реактивного протеїну (СРП), досліджені препарати розташувались наступним чином: диклофенак натрію &gt; ібупрофен &gt; німесулід = мелоксикам &gt; целекоксиб &gt; парацетамол, що відображає різну ефективність зазначених препаратів на інтенсивність запалення за коморбідної патології (</w:t>
      </w:r>
      <w:r w:rsidRPr="00BE086B">
        <w:rPr>
          <w:rFonts w:eastAsia="Calibri"/>
          <w:iCs/>
          <w:sz w:val="28"/>
          <w:szCs w:val="28"/>
        </w:rPr>
        <w:t>р&lt;0,05</w:t>
      </w:r>
      <w:r w:rsidRPr="00BE086B">
        <w:rPr>
          <w:sz w:val="28"/>
          <w:szCs w:val="28"/>
        </w:rPr>
        <w:t>)</w:t>
      </w:r>
      <w:r w:rsidR="00E10792" w:rsidRPr="00BE086B">
        <w:rPr>
          <w:sz w:val="28"/>
          <w:szCs w:val="28"/>
        </w:rPr>
        <w:t xml:space="preserve"> </w:t>
      </w:r>
      <w:r w:rsidR="00E10792" w:rsidRPr="00BE086B">
        <w:rPr>
          <w:bCs/>
          <w:sz w:val="28"/>
          <w:szCs w:val="28"/>
          <w:lang w:val="uk-UA"/>
        </w:rPr>
        <w:t>[</w:t>
      </w:r>
      <w:r w:rsidR="00E10792" w:rsidRPr="00BE086B">
        <w:rPr>
          <w:bCs/>
          <w:sz w:val="28"/>
          <w:szCs w:val="28"/>
        </w:rPr>
        <w:t>126</w:t>
      </w:r>
      <w:r w:rsidR="00E10792" w:rsidRPr="00BE086B">
        <w:rPr>
          <w:bCs/>
          <w:sz w:val="28"/>
          <w:szCs w:val="28"/>
          <w:lang w:val="uk-UA"/>
        </w:rPr>
        <w:t>]</w:t>
      </w:r>
      <w:r w:rsidRPr="00BE086B">
        <w:rPr>
          <w:sz w:val="28"/>
          <w:szCs w:val="28"/>
        </w:rPr>
        <w:t>.</w:t>
      </w:r>
    </w:p>
    <w:p w:rsidR="00F10868" w:rsidRPr="00BE086B" w:rsidRDefault="00F10868" w:rsidP="00F1086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Проте, звертає на себе увагу парацетамол, який при монотерапії не впливав на рівень ММП-9 (</w:t>
      </w:r>
      <w:r w:rsidRPr="00BE086B">
        <w:rPr>
          <w:rFonts w:ascii="Times New Roman" w:eastAsia="Calibri" w:hAnsi="Times New Roman" w:cs="Times New Roman"/>
          <w:iCs/>
          <w:color w:val="auto"/>
          <w:sz w:val="28"/>
          <w:szCs w:val="28"/>
          <w:lang w:val="uk-UA"/>
        </w:rPr>
        <w:t>р&lt;0,05</w:t>
      </w:r>
      <w:r w:rsidRPr="00BE086B">
        <w:rPr>
          <w:rFonts w:ascii="Times New Roman" w:hAnsi="Times New Roman" w:cs="Times New Roman"/>
          <w:color w:val="auto"/>
          <w:sz w:val="28"/>
          <w:szCs w:val="28"/>
          <w:lang w:val="uk-UA"/>
        </w:rPr>
        <w:t xml:space="preserve">) на 47 добу експерименту (ІХ група), а при сумісному призначені з L-тироксином (Х група) визначено достовірне зниження рівнів ММП-3, ММП-9 та ММП-13 у 1,05; 1,12 та 1,03 рази відповідно (р&lt;0,05) при порівнянні відповідних показників у ІХ групі. Водночас, не визначено різниці між впливом парацетамолу на рівень </w:t>
      </w:r>
      <w:r w:rsidRPr="00BE086B">
        <w:rPr>
          <w:rFonts w:ascii="Times New Roman" w:hAnsi="Times New Roman" w:cs="Times New Roman"/>
          <w:bCs/>
          <w:color w:val="auto"/>
          <w:sz w:val="28"/>
          <w:szCs w:val="28"/>
          <w:lang w:val="uk-UA"/>
        </w:rPr>
        <w:t xml:space="preserve">СРП за самостійного застосування та комбінованого використання з </w:t>
      </w:r>
      <w:r w:rsidRPr="00BE086B">
        <w:rPr>
          <w:rStyle w:val="Default20Paragraph20Font"/>
          <w:rFonts w:ascii="Times New Roman" w:eastAsia="Calibri" w:hAnsi="Times New Roman" w:cs="Times New Roman"/>
          <w:bCs/>
          <w:iCs/>
          <w:color w:val="auto"/>
          <w:sz w:val="28"/>
          <w:szCs w:val="28"/>
          <w:lang w:val="uk-UA"/>
        </w:rPr>
        <w:t xml:space="preserve">L-тироксином </w:t>
      </w:r>
      <w:r w:rsidRPr="00BE086B">
        <w:rPr>
          <w:rFonts w:ascii="Times New Roman" w:hAnsi="Times New Roman" w:cs="Times New Roman"/>
          <w:color w:val="auto"/>
          <w:sz w:val="28"/>
          <w:szCs w:val="28"/>
          <w:lang w:val="uk-UA"/>
        </w:rPr>
        <w:t>(Х група) на тлі коморбідної патології</w:t>
      </w:r>
      <w:r w:rsidR="00E10792" w:rsidRPr="00BE086B">
        <w:rPr>
          <w:rFonts w:ascii="Times New Roman" w:hAnsi="Times New Roman" w:cs="Times New Roman"/>
          <w:color w:val="auto"/>
          <w:sz w:val="28"/>
          <w:szCs w:val="28"/>
        </w:rPr>
        <w:t xml:space="preserve"> </w:t>
      </w:r>
      <w:r w:rsidR="00E10792" w:rsidRPr="00BE086B">
        <w:rPr>
          <w:rFonts w:ascii="Times New Roman" w:hAnsi="Times New Roman" w:cs="Times New Roman"/>
          <w:bCs/>
          <w:color w:val="auto"/>
          <w:sz w:val="28"/>
          <w:szCs w:val="28"/>
          <w:lang w:val="uk-UA"/>
        </w:rPr>
        <w:t>[</w:t>
      </w:r>
      <w:r w:rsidR="00E10792" w:rsidRPr="00BE086B">
        <w:rPr>
          <w:rFonts w:ascii="Times New Roman" w:hAnsi="Times New Roman" w:cs="Times New Roman"/>
          <w:bCs/>
          <w:color w:val="auto"/>
          <w:sz w:val="28"/>
          <w:szCs w:val="28"/>
        </w:rPr>
        <w:t>127</w:t>
      </w:r>
      <w:r w:rsidR="00E10792" w:rsidRPr="00BE086B">
        <w:rPr>
          <w:rFonts w:ascii="Times New Roman" w:hAnsi="Times New Roman" w:cs="Times New Roman"/>
          <w:bCs/>
          <w:color w:val="auto"/>
          <w:sz w:val="28"/>
          <w:szCs w:val="28"/>
          <w:lang w:val="uk-UA"/>
        </w:rPr>
        <w:t>]</w:t>
      </w:r>
      <w:r w:rsidRPr="00BE086B">
        <w:rPr>
          <w:rFonts w:ascii="Times New Roman" w:hAnsi="Times New Roman" w:cs="Times New Roman"/>
          <w:color w:val="auto"/>
          <w:sz w:val="28"/>
          <w:szCs w:val="28"/>
          <w:lang w:val="uk-UA"/>
        </w:rPr>
        <w:t>.</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Встановлено, що з</w:t>
      </w:r>
      <w:r w:rsidRPr="00BE086B">
        <w:rPr>
          <w:rFonts w:ascii="Times New Roman" w:hAnsi="Times New Roman" w:cs="Times New Roman"/>
          <w:bCs/>
          <w:color w:val="auto"/>
          <w:sz w:val="28"/>
          <w:szCs w:val="28"/>
          <w:lang w:val="uk-UA"/>
        </w:rPr>
        <w:t xml:space="preserve">а інтенсивністю впливу на дегенеративно-дистрофічні процеси у кістковій тканині, що визначалася за рівнем маркеру розпаду колагену </w:t>
      </w:r>
      <w:r w:rsidRPr="00BE086B">
        <w:rPr>
          <w:rFonts w:ascii="Times New Roman" w:hAnsi="Times New Roman" w:cs="Times New Roman"/>
          <w:color w:val="auto"/>
          <w:sz w:val="28"/>
          <w:szCs w:val="28"/>
          <w:lang w:val="uk-UA"/>
        </w:rPr>
        <w:t>I</w:t>
      </w:r>
      <w:r w:rsidRPr="00BE086B">
        <w:rPr>
          <w:rFonts w:ascii="Times New Roman" w:hAnsi="Times New Roman" w:cs="Times New Roman"/>
          <w:bCs/>
          <w:color w:val="auto"/>
          <w:sz w:val="28"/>
          <w:szCs w:val="28"/>
          <w:lang w:val="uk-UA"/>
        </w:rPr>
        <w:t xml:space="preserve"> типу (</w:t>
      </w:r>
      <w:r w:rsidRPr="00BE086B">
        <w:rPr>
          <w:rFonts w:ascii="Times New Roman" w:hAnsi="Times New Roman" w:cs="Times New Roman"/>
          <w:color w:val="auto"/>
          <w:sz w:val="28"/>
          <w:szCs w:val="28"/>
          <w:lang w:val="uk-UA"/>
        </w:rPr>
        <w:t xml:space="preserve">СТХ I) у сироватці крові щурів, </w:t>
      </w:r>
      <w:r w:rsidRPr="00BE086B">
        <w:rPr>
          <w:rFonts w:ascii="Times New Roman" w:hAnsi="Times New Roman" w:cs="Times New Roman"/>
          <w:bCs/>
          <w:color w:val="auto"/>
          <w:sz w:val="28"/>
          <w:szCs w:val="28"/>
          <w:lang w:val="uk-UA"/>
        </w:rPr>
        <w:t xml:space="preserve">досліджені препарати </w:t>
      </w:r>
      <w:r w:rsidRPr="00BE086B">
        <w:rPr>
          <w:rFonts w:ascii="Times New Roman" w:hAnsi="Times New Roman" w:cs="Times New Roman"/>
          <w:color w:val="auto"/>
          <w:sz w:val="28"/>
          <w:szCs w:val="28"/>
          <w:lang w:val="uk-UA"/>
        </w:rPr>
        <w:t xml:space="preserve">розташувались </w:t>
      </w:r>
      <w:r w:rsidRPr="00BE086B">
        <w:rPr>
          <w:rFonts w:ascii="Times New Roman" w:hAnsi="Times New Roman" w:cs="Times New Roman"/>
          <w:bCs/>
          <w:color w:val="auto"/>
          <w:sz w:val="28"/>
          <w:szCs w:val="28"/>
          <w:lang w:val="uk-UA"/>
        </w:rPr>
        <w:t xml:space="preserve">наступним чином: диклофенак натрію &gt; ібупрофен &gt; німесулід = мелоксикам &gt; целекоксиб &gt; парацетамол </w:t>
      </w:r>
      <w:r w:rsidRPr="00BE086B">
        <w:rPr>
          <w:rFonts w:ascii="Times New Roman" w:hAnsi="Times New Roman" w:cs="Times New Roman"/>
          <w:color w:val="auto"/>
          <w:sz w:val="28"/>
          <w:szCs w:val="28"/>
          <w:lang w:val="uk-UA"/>
        </w:rPr>
        <w:t>(р&lt;0,05)</w:t>
      </w:r>
      <w:r w:rsidRPr="00BE086B">
        <w:rPr>
          <w:rFonts w:ascii="Times New Roman" w:hAnsi="Times New Roman" w:cs="Times New Roman"/>
          <w:bCs/>
          <w:color w:val="auto"/>
          <w:sz w:val="28"/>
          <w:szCs w:val="28"/>
          <w:lang w:val="uk-UA"/>
        </w:rPr>
        <w:t xml:space="preserve">, а за рівнем колагену </w:t>
      </w:r>
      <w:r w:rsidRPr="00BE086B">
        <w:rPr>
          <w:rFonts w:ascii="Times New Roman" w:hAnsi="Times New Roman" w:cs="Times New Roman"/>
          <w:color w:val="auto"/>
          <w:sz w:val="28"/>
          <w:szCs w:val="28"/>
          <w:lang w:val="uk-UA"/>
        </w:rPr>
        <w:t>IІ</w:t>
      </w:r>
      <w:r w:rsidRPr="00BE086B">
        <w:rPr>
          <w:rFonts w:ascii="Times New Roman" w:hAnsi="Times New Roman" w:cs="Times New Roman"/>
          <w:bCs/>
          <w:color w:val="auto"/>
          <w:sz w:val="28"/>
          <w:szCs w:val="28"/>
          <w:lang w:val="uk-UA"/>
        </w:rPr>
        <w:t xml:space="preserve"> типу (</w:t>
      </w:r>
      <w:r w:rsidRPr="00BE086B">
        <w:rPr>
          <w:rFonts w:ascii="Times New Roman" w:hAnsi="Times New Roman" w:cs="Times New Roman"/>
          <w:color w:val="auto"/>
          <w:sz w:val="28"/>
          <w:szCs w:val="28"/>
          <w:lang w:val="uk-UA"/>
        </w:rPr>
        <w:t>СТХ IІ) – німесулід &gt; целекоксиб &gt; мелоксикам &gt; ібупрофен &gt; диклофенак натрію &gt; парацетамол (р&lt;0,05)</w:t>
      </w:r>
      <w:r w:rsidR="00E10792" w:rsidRPr="00AF27FE">
        <w:rPr>
          <w:rFonts w:ascii="Times New Roman" w:hAnsi="Times New Roman" w:cs="Times New Roman"/>
          <w:color w:val="auto"/>
          <w:sz w:val="28"/>
          <w:szCs w:val="28"/>
          <w:lang w:val="uk-UA"/>
        </w:rPr>
        <w:t xml:space="preserve"> </w:t>
      </w:r>
      <w:r w:rsidR="00E10792" w:rsidRPr="00BE086B">
        <w:rPr>
          <w:rFonts w:ascii="Times New Roman" w:hAnsi="Times New Roman" w:cs="Times New Roman"/>
          <w:bCs/>
          <w:color w:val="auto"/>
          <w:sz w:val="28"/>
          <w:szCs w:val="28"/>
          <w:lang w:val="uk-UA"/>
        </w:rPr>
        <w:t>[</w:t>
      </w:r>
      <w:r w:rsidR="00E10792" w:rsidRPr="00AF27FE">
        <w:rPr>
          <w:rFonts w:ascii="Times New Roman" w:hAnsi="Times New Roman" w:cs="Times New Roman"/>
          <w:bCs/>
          <w:color w:val="auto"/>
          <w:sz w:val="28"/>
          <w:szCs w:val="28"/>
          <w:lang w:val="uk-UA"/>
        </w:rPr>
        <w:t>125</w:t>
      </w:r>
      <w:r w:rsidR="00E10792" w:rsidRPr="00BE086B">
        <w:rPr>
          <w:rFonts w:ascii="Times New Roman" w:hAnsi="Times New Roman" w:cs="Times New Roman"/>
          <w:bCs/>
          <w:color w:val="auto"/>
          <w:sz w:val="28"/>
          <w:szCs w:val="28"/>
          <w:lang w:val="uk-UA"/>
        </w:rPr>
        <w:t>]</w:t>
      </w:r>
      <w:r w:rsidRPr="00BE086B">
        <w:rPr>
          <w:rFonts w:ascii="Times New Roman" w:hAnsi="Times New Roman" w:cs="Times New Roman"/>
          <w:color w:val="auto"/>
          <w:sz w:val="28"/>
          <w:szCs w:val="28"/>
          <w:lang w:val="uk-UA"/>
        </w:rPr>
        <w:t>.</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Аналіз результатів щодо</w:t>
      </w:r>
      <w:r w:rsidRPr="00BE086B">
        <w:rPr>
          <w:rFonts w:ascii="Times New Roman" w:hAnsi="Times New Roman" w:cs="Times New Roman"/>
          <w:bCs/>
          <w:color w:val="auto"/>
          <w:sz w:val="28"/>
          <w:szCs w:val="28"/>
          <w:lang w:val="uk-UA"/>
        </w:rPr>
        <w:t xml:space="preserve"> ступеня впливу на активність остеобластів у кістковій тканині, що оцінені за рівнем кісткової лужної фосфатази (КЛФ)</w:t>
      </w:r>
      <w:r w:rsidRPr="00BE086B">
        <w:rPr>
          <w:rFonts w:ascii="Times New Roman" w:hAnsi="Times New Roman" w:cs="Times New Roman"/>
          <w:color w:val="auto"/>
          <w:sz w:val="28"/>
          <w:szCs w:val="28"/>
          <w:lang w:val="uk-UA"/>
        </w:rPr>
        <w:t xml:space="preserve"> у сироватці крові щурів, дозволив </w:t>
      </w:r>
      <w:r w:rsidRPr="00BE086B">
        <w:rPr>
          <w:rFonts w:ascii="Times New Roman" w:hAnsi="Times New Roman" w:cs="Times New Roman"/>
          <w:bCs/>
          <w:color w:val="auto"/>
          <w:sz w:val="28"/>
          <w:szCs w:val="28"/>
          <w:lang w:val="uk-UA"/>
        </w:rPr>
        <w:t xml:space="preserve">розташувати препарати наступним чином: диклофенак натрію &gt; ібупрофен &gt; мелоксикам &gt; німесулід &gt; целекоксиб &gt; парацетамол. </w:t>
      </w:r>
      <w:r w:rsidRPr="00BE086B">
        <w:rPr>
          <w:rFonts w:ascii="Times New Roman" w:hAnsi="Times New Roman" w:cs="Times New Roman"/>
          <w:color w:val="auto"/>
          <w:sz w:val="28"/>
          <w:szCs w:val="28"/>
          <w:lang w:val="uk-UA"/>
        </w:rPr>
        <w:t>Звертає увагу показник рівня КЛФ у ІХ (ЕГ + ЕОА + парацетамол) та Х групах (ЕГ + ЕОА + парацетамол + L-тироксин), де визначалося зниження рівня зазначеного показника у 1,02 рази (р&gt;0,05) та у 1,05 рази (р&gt;0,05) відповідно</w:t>
      </w:r>
      <w:r w:rsidR="00E10792" w:rsidRPr="00AF27FE">
        <w:rPr>
          <w:rFonts w:ascii="Times New Roman" w:hAnsi="Times New Roman" w:cs="Times New Roman"/>
          <w:color w:val="auto"/>
          <w:sz w:val="28"/>
          <w:szCs w:val="28"/>
          <w:lang w:val="uk-UA"/>
        </w:rPr>
        <w:t xml:space="preserve"> </w:t>
      </w:r>
      <w:r w:rsidR="00E10792" w:rsidRPr="00BE086B">
        <w:rPr>
          <w:rFonts w:ascii="Times New Roman" w:hAnsi="Times New Roman" w:cs="Times New Roman"/>
          <w:bCs/>
          <w:color w:val="auto"/>
          <w:sz w:val="28"/>
          <w:szCs w:val="28"/>
          <w:lang w:val="uk-UA"/>
        </w:rPr>
        <w:t>[</w:t>
      </w:r>
      <w:r w:rsidR="00E10792" w:rsidRPr="00AF27FE">
        <w:rPr>
          <w:rFonts w:ascii="Times New Roman" w:hAnsi="Times New Roman" w:cs="Times New Roman"/>
          <w:bCs/>
          <w:color w:val="auto"/>
          <w:sz w:val="28"/>
          <w:szCs w:val="28"/>
          <w:lang w:val="uk-UA"/>
        </w:rPr>
        <w:t>124-128</w:t>
      </w:r>
      <w:r w:rsidR="00E10792" w:rsidRPr="00BE086B">
        <w:rPr>
          <w:rFonts w:ascii="Times New Roman" w:hAnsi="Times New Roman" w:cs="Times New Roman"/>
          <w:bCs/>
          <w:color w:val="auto"/>
          <w:sz w:val="28"/>
          <w:szCs w:val="28"/>
          <w:lang w:val="uk-UA"/>
        </w:rPr>
        <w:t>]</w:t>
      </w:r>
      <w:r w:rsidRPr="00BE086B">
        <w:rPr>
          <w:rFonts w:ascii="Times New Roman" w:hAnsi="Times New Roman" w:cs="Times New Roman"/>
          <w:color w:val="auto"/>
          <w:sz w:val="28"/>
          <w:szCs w:val="28"/>
          <w:lang w:val="uk-UA"/>
        </w:rPr>
        <w:t>.</w:t>
      </w:r>
    </w:p>
    <w:p w:rsidR="00F10868" w:rsidRPr="00BE086B" w:rsidRDefault="00F10868" w:rsidP="00F10868">
      <w:pPr>
        <w:spacing w:line="360" w:lineRule="auto"/>
        <w:ind w:firstLine="709"/>
        <w:jc w:val="both"/>
        <w:rPr>
          <w:kern w:val="2"/>
          <w:sz w:val="28"/>
          <w:szCs w:val="28"/>
          <w:lang w:val="uk-UA" w:eastAsia="uk-UA" w:bidi="hi-IN"/>
        </w:rPr>
      </w:pPr>
      <w:r w:rsidRPr="00BE086B">
        <w:rPr>
          <w:kern w:val="2"/>
          <w:sz w:val="28"/>
          <w:szCs w:val="28"/>
          <w:lang w:val="uk-UA" w:eastAsia="uk-UA" w:bidi="hi-IN"/>
        </w:rPr>
        <w:t>Таким чином, проведені дослідження дозволили нам оцінити НПЗЗ та парацетамол за рівнем протизапальної активності і впливом на дегенеративно-дистрофічні процеси у кістковій та хрящовій тканині та визначити препарат-лідер – диклофенак натрію.</w:t>
      </w:r>
    </w:p>
    <w:p w:rsidR="00F10868" w:rsidRPr="00BE086B" w:rsidRDefault="00F10868" w:rsidP="00F10868">
      <w:pPr>
        <w:spacing w:line="360" w:lineRule="auto"/>
        <w:ind w:firstLine="709"/>
        <w:jc w:val="both"/>
        <w:rPr>
          <w:sz w:val="28"/>
          <w:szCs w:val="28"/>
        </w:rPr>
      </w:pPr>
      <w:r w:rsidRPr="00BE086B">
        <w:rPr>
          <w:bCs/>
          <w:sz w:val="28"/>
          <w:szCs w:val="28"/>
          <w:lang w:val="uk-UA"/>
        </w:rPr>
        <w:t>Нами вивчався вплив НПЗЗ та парацетамолу на функціональний стан щитоподібної залози внаслідок того, що в</w:t>
      </w:r>
      <w:r w:rsidRPr="00BE086B">
        <w:rPr>
          <w:sz w:val="28"/>
          <w:szCs w:val="28"/>
          <w:lang w:val="uk-UA"/>
        </w:rPr>
        <w:t xml:space="preserve">ідомий вплив ЛЗ на гормональну активність ЩЗ через безпосередній вплив на синтез та </w:t>
      </w:r>
      <w:r w:rsidRPr="00BE086B">
        <w:rPr>
          <w:kern w:val="28"/>
          <w:sz w:val="28"/>
          <w:szCs w:val="28"/>
          <w:lang w:val="uk-UA"/>
        </w:rPr>
        <w:t xml:space="preserve">виділення гормонів, їх метаболізм, кліренс та поглинання тканинами. </w:t>
      </w:r>
      <w:r w:rsidRPr="00BE086B">
        <w:rPr>
          <w:kern w:val="28"/>
          <w:sz w:val="28"/>
          <w:szCs w:val="28"/>
        </w:rPr>
        <w:t>Дане</w:t>
      </w:r>
      <w:r w:rsidRPr="00BE086B">
        <w:rPr>
          <w:sz w:val="28"/>
          <w:szCs w:val="28"/>
        </w:rPr>
        <w:t xml:space="preserve"> питання виникло внаслідок існування суперечливих досліджень про різний вплив ЛЗ, зокрема НПЗЗ, на концентрацію гормонів ЩЗ у сироватці крові</w:t>
      </w:r>
      <w:r w:rsidR="00E10792" w:rsidRPr="00BE086B">
        <w:rPr>
          <w:sz w:val="28"/>
          <w:szCs w:val="28"/>
        </w:rPr>
        <w:t xml:space="preserve"> [</w:t>
      </w:r>
      <w:r w:rsidR="00E10792" w:rsidRPr="00BE086B">
        <w:rPr>
          <w:iCs/>
          <w:sz w:val="28"/>
          <w:szCs w:val="28"/>
          <w:lang w:val="uk-UA"/>
        </w:rPr>
        <w:t>421-</w:t>
      </w:r>
      <w:r w:rsidR="00E10792" w:rsidRPr="00BE086B">
        <w:rPr>
          <w:iCs/>
          <w:sz w:val="28"/>
          <w:szCs w:val="28"/>
        </w:rPr>
        <w:t>42</w:t>
      </w:r>
      <w:r w:rsidR="00E10792" w:rsidRPr="00BE086B">
        <w:rPr>
          <w:iCs/>
          <w:sz w:val="28"/>
          <w:szCs w:val="28"/>
          <w:lang w:val="uk-UA"/>
        </w:rPr>
        <w:t>5</w:t>
      </w:r>
      <w:r w:rsidR="00E10792" w:rsidRPr="00BE086B">
        <w:rPr>
          <w:iCs/>
          <w:sz w:val="28"/>
          <w:szCs w:val="28"/>
        </w:rPr>
        <w:t>]</w:t>
      </w:r>
      <w:r w:rsidRPr="00BE086B">
        <w:rPr>
          <w:sz w:val="28"/>
          <w:szCs w:val="28"/>
        </w:rPr>
        <w:t>.</w:t>
      </w:r>
    </w:p>
    <w:p w:rsidR="00F10868" w:rsidRPr="00BE086B" w:rsidRDefault="00F10868" w:rsidP="00F10868">
      <w:pPr>
        <w:spacing w:line="360" w:lineRule="auto"/>
        <w:ind w:firstLine="709"/>
        <w:jc w:val="both"/>
        <w:rPr>
          <w:sz w:val="28"/>
          <w:szCs w:val="28"/>
        </w:rPr>
      </w:pPr>
      <w:r w:rsidRPr="00BE086B">
        <w:rPr>
          <w:sz w:val="28"/>
          <w:szCs w:val="28"/>
        </w:rPr>
        <w:t>Для всебічного вирішення зазначених суперечностей щодо впливу НПЗЗ та парацетамолу на функціональний стан ЩЗ, який визначали за рівнем гормонів ТТГ, Т3 та Т4, кожний з досліджуваних препаратів вводили у двох дозах. Перша група доз – такі, що були використані на попередніх етапах дослідження та відповідали середнім ефективним дозам за аналгетичною активністю, і були запозичені з літератури та неодноразово використовувались при проведенні доклінічних досліджень. Друга група доз була визначена шляхом екстраполяції доз людини на щурів із використанням коефіцієнту видової чутливості</w:t>
      </w:r>
      <w:r w:rsidR="00E10792" w:rsidRPr="00BE086B">
        <w:rPr>
          <w:sz w:val="28"/>
          <w:szCs w:val="28"/>
        </w:rPr>
        <w:t xml:space="preserve"> </w:t>
      </w:r>
      <w:r w:rsidR="00E10792" w:rsidRPr="00BE086B">
        <w:rPr>
          <w:bCs/>
          <w:sz w:val="28"/>
          <w:szCs w:val="28"/>
          <w:lang w:val="uk-UA"/>
        </w:rPr>
        <w:t>[</w:t>
      </w:r>
      <w:r w:rsidR="00AB7103" w:rsidRPr="00BE086B">
        <w:rPr>
          <w:iCs/>
          <w:sz w:val="28"/>
          <w:szCs w:val="28"/>
          <w:lang w:val="uk-UA"/>
        </w:rPr>
        <w:t xml:space="preserve">427, </w:t>
      </w:r>
      <w:r w:rsidR="00AB7103" w:rsidRPr="00BE086B">
        <w:rPr>
          <w:iCs/>
          <w:sz w:val="28"/>
          <w:szCs w:val="28"/>
        </w:rPr>
        <w:t>432</w:t>
      </w:r>
      <w:r w:rsidR="00E10792" w:rsidRPr="00BE086B">
        <w:rPr>
          <w:bCs/>
          <w:sz w:val="28"/>
          <w:szCs w:val="28"/>
          <w:lang w:val="uk-UA"/>
        </w:rPr>
        <w:t>]</w:t>
      </w:r>
      <w:r w:rsidRPr="00BE086B">
        <w:rPr>
          <w:sz w:val="28"/>
          <w:szCs w:val="28"/>
        </w:rPr>
        <w:t>.</w:t>
      </w:r>
    </w:p>
    <w:p w:rsidR="00F10868" w:rsidRPr="00BE086B" w:rsidRDefault="00F10868" w:rsidP="00F1086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Як показали дослідження, після 5-добового введення ЛЗ (диклофенаку натрію, ібупрофену, мелоксикаму, парацетамолу, німесуліду та целекоксибу) (47 доба) у </w:t>
      </w:r>
      <w:r w:rsidR="00AB7103" w:rsidRPr="00BE086B">
        <w:rPr>
          <w:rFonts w:ascii="Times New Roman" w:hAnsi="Times New Roman" w:cs="Times New Roman"/>
          <w:color w:val="auto"/>
          <w:sz w:val="28"/>
          <w:szCs w:val="28"/>
          <w:lang w:val="uk-UA"/>
        </w:rPr>
        <w:t xml:space="preserve">середньо ефективних </w:t>
      </w:r>
      <w:r w:rsidRPr="00BE086B">
        <w:rPr>
          <w:rFonts w:ascii="Times New Roman" w:hAnsi="Times New Roman" w:cs="Times New Roman"/>
          <w:color w:val="auto"/>
          <w:sz w:val="28"/>
          <w:szCs w:val="28"/>
          <w:lang w:val="uk-UA"/>
        </w:rPr>
        <w:t xml:space="preserve">дозах на фоні сформованих </w:t>
      </w:r>
      <w:r w:rsidRPr="00BE086B">
        <w:rPr>
          <w:rFonts w:ascii="Times New Roman" w:hAnsi="Times New Roman" w:cs="Times New Roman"/>
          <w:color w:val="auto"/>
          <w:sz w:val="28"/>
          <w:szCs w:val="28"/>
          <w:lang w:val="uk-UA"/>
        </w:rPr>
        <w:lastRenderedPageBreak/>
        <w:t>експериментальних патологічних станів достовірно значимих відмінностей за впливом на рівень гормонів ЩЗ у сироватці крові щурів не спостерігалось (р&gt;0,05). На цих дозах визначена лише тенденція до зниження рівня гормонів ЩЗ (Т3 та Т4) та ТТГ, у сироватці крові щурів при внутрішньошлунковому введенні досліджуваних препаратів (р&gt;0,05).</w:t>
      </w:r>
    </w:p>
    <w:p w:rsidR="00F10868" w:rsidRPr="00BE086B" w:rsidRDefault="00F10868" w:rsidP="00F1086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Наступні дослідження показали, що </w:t>
      </w:r>
      <w:r w:rsidR="00AB7103" w:rsidRPr="00BE086B">
        <w:rPr>
          <w:rFonts w:ascii="Times New Roman" w:hAnsi="Times New Roman" w:cs="Times New Roman"/>
          <w:color w:val="auto"/>
          <w:sz w:val="28"/>
          <w:szCs w:val="28"/>
          <w:lang w:val="uk-UA"/>
        </w:rPr>
        <w:t>при підвищенні середньо ефективних доз, у межах терапевтичного діапазону</w:t>
      </w:r>
      <w:r w:rsidRPr="00BE086B">
        <w:rPr>
          <w:rFonts w:ascii="Times New Roman" w:hAnsi="Times New Roman" w:cs="Times New Roman"/>
          <w:color w:val="auto"/>
          <w:sz w:val="28"/>
          <w:szCs w:val="28"/>
          <w:lang w:val="uk-UA"/>
        </w:rPr>
        <w:t>, отримані різноманітні дані за рівнем впливу на концентрацію ТТГ, Т3 та Т4 у сироватці крові щурів. Так, парацетамол (ІХ група) не впливав на концентрацію гормонів ЩЗ та ТТГ, а диклофенак натрію і целекоксиб достовірно знижували рівень ТТГ у 1,16 та 1,17 рази (р</w:t>
      </w:r>
      <w:r w:rsidRPr="00BE086B">
        <w:rPr>
          <w:rFonts w:ascii="Times New Roman" w:eastAsia="Calibri" w:hAnsi="Times New Roman" w:cs="Times New Roman"/>
          <w:iCs/>
          <w:color w:val="auto"/>
          <w:sz w:val="28"/>
          <w:szCs w:val="28"/>
          <w:lang w:val="uk-UA" w:eastAsia="en-US"/>
        </w:rPr>
        <w:t>&lt;</w:t>
      </w:r>
      <w:r w:rsidRPr="00BE086B">
        <w:rPr>
          <w:rFonts w:ascii="Times New Roman" w:hAnsi="Times New Roman" w:cs="Times New Roman"/>
          <w:color w:val="auto"/>
          <w:sz w:val="28"/>
          <w:szCs w:val="28"/>
          <w:lang w:val="uk-UA"/>
        </w:rPr>
        <w:t>0,05) відповідно та проявили тенденцію до підвищення рівня Т4 у 1,1 та 1,05 рази (р&gt;0,05) відповідно у сироватці крові щурів при внутрішньошлунковому введенні досліджуваних препаратів, але ці дані не мали достовірного характеру.</w:t>
      </w:r>
    </w:p>
    <w:p w:rsidR="00F10868" w:rsidRPr="00BE086B" w:rsidRDefault="00F10868" w:rsidP="00F1086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На підставі аналізу отриманих даних були визначені препарати, які змінювали гормональний фон. Такі препарати, як ібупрофен (V група), мелоксикам (VІІ група) та німесулід (ХІ група) знижували рівень ТТГ у сироватці крові щурів у 1,47; 1,29 та 1,40 рази (</w:t>
      </w:r>
      <w:r w:rsidRPr="00BE086B">
        <w:rPr>
          <w:rFonts w:ascii="Times New Roman" w:eastAsia="Calibri" w:hAnsi="Times New Roman" w:cs="Times New Roman"/>
          <w:iCs/>
          <w:color w:val="auto"/>
          <w:sz w:val="28"/>
          <w:szCs w:val="28"/>
          <w:lang w:val="uk-UA"/>
        </w:rPr>
        <w:t>р&lt;0,05</w:t>
      </w:r>
      <w:r w:rsidRPr="00BE086B">
        <w:rPr>
          <w:rFonts w:ascii="Times New Roman" w:hAnsi="Times New Roman" w:cs="Times New Roman"/>
          <w:color w:val="auto"/>
          <w:sz w:val="28"/>
          <w:szCs w:val="28"/>
          <w:lang w:val="uk-UA"/>
        </w:rPr>
        <w:t>) відповідно. Водночас, за їхнього застосування спостерігалося підвищення рівня Т4 у 1,23; 1,27 та 1,26 разів (</w:t>
      </w:r>
      <w:r w:rsidRPr="00BE086B">
        <w:rPr>
          <w:rFonts w:ascii="Times New Roman" w:eastAsia="Calibri" w:hAnsi="Times New Roman" w:cs="Times New Roman"/>
          <w:iCs/>
          <w:color w:val="auto"/>
          <w:sz w:val="28"/>
          <w:szCs w:val="28"/>
          <w:lang w:val="uk-UA"/>
        </w:rPr>
        <w:t>р&lt;0,05</w:t>
      </w:r>
      <w:r w:rsidRPr="00BE086B">
        <w:rPr>
          <w:rFonts w:ascii="Times New Roman" w:hAnsi="Times New Roman" w:cs="Times New Roman"/>
          <w:color w:val="auto"/>
          <w:sz w:val="28"/>
          <w:szCs w:val="28"/>
          <w:lang w:val="uk-UA"/>
        </w:rPr>
        <w:t>) відповідно.</w:t>
      </w:r>
    </w:p>
    <w:p w:rsidR="00F10868" w:rsidRPr="00BE086B" w:rsidRDefault="00F10868" w:rsidP="00F1086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Результати проведеного дослідження дозволили встановити, що на </w:t>
      </w:r>
      <w:r w:rsidR="00AB7103" w:rsidRPr="00BE086B">
        <w:rPr>
          <w:rFonts w:ascii="Times New Roman" w:hAnsi="Times New Roman" w:cs="Times New Roman"/>
          <w:color w:val="auto"/>
          <w:sz w:val="28"/>
          <w:szCs w:val="28"/>
          <w:lang w:val="uk-UA"/>
        </w:rPr>
        <w:t>середньо ефективних</w:t>
      </w:r>
      <w:r w:rsidRPr="00BE086B">
        <w:rPr>
          <w:rFonts w:ascii="Times New Roman" w:hAnsi="Times New Roman" w:cs="Times New Roman"/>
          <w:color w:val="auto"/>
          <w:sz w:val="28"/>
          <w:szCs w:val="28"/>
          <w:lang w:val="uk-UA"/>
        </w:rPr>
        <w:t xml:space="preserve"> дозах визначена лише тенденція до зниження рівня гормонів ЩЗ (Т3 та Т4) та ТТГ, у сироватці крові щурів при внутрішньошлунковому введенні досліджуваних препаратів (р&gt;0,05), а при </w:t>
      </w:r>
      <w:r w:rsidR="00AB7103" w:rsidRPr="00BE086B">
        <w:rPr>
          <w:rFonts w:ascii="Times New Roman" w:hAnsi="Times New Roman" w:cs="Times New Roman"/>
          <w:color w:val="auto"/>
          <w:sz w:val="28"/>
          <w:szCs w:val="28"/>
          <w:lang w:val="uk-UA"/>
        </w:rPr>
        <w:t xml:space="preserve">при підвищенні середньо ефективних доз, у межах терапевтичного діапазону </w:t>
      </w:r>
      <w:r w:rsidRPr="00BE086B">
        <w:rPr>
          <w:rFonts w:ascii="Times New Roman" w:hAnsi="Times New Roman" w:cs="Times New Roman"/>
          <w:color w:val="auto"/>
          <w:sz w:val="28"/>
          <w:szCs w:val="28"/>
          <w:lang w:val="uk-UA"/>
        </w:rPr>
        <w:t>отримані різноманітні дані за рівнем впливу на концентрацію ТТГ, Т3 та Т4 у сироватці крові щурів.</w:t>
      </w:r>
    </w:p>
    <w:p w:rsidR="00F10868" w:rsidRPr="00BE086B" w:rsidRDefault="00F10868" w:rsidP="00F10868">
      <w:pPr>
        <w:spacing w:line="360" w:lineRule="auto"/>
        <w:ind w:firstLine="709"/>
        <w:jc w:val="both"/>
        <w:rPr>
          <w:bCs/>
          <w:sz w:val="28"/>
          <w:szCs w:val="28"/>
          <w:lang w:val="uk-UA"/>
        </w:rPr>
      </w:pPr>
      <w:r w:rsidRPr="00BE086B">
        <w:rPr>
          <w:bCs/>
          <w:sz w:val="28"/>
          <w:szCs w:val="28"/>
          <w:lang w:val="uk-UA"/>
        </w:rPr>
        <w:t xml:space="preserve">Нами досліджена фармакологічна ефективність хондроїтину сульфату при коморбідній патології внаслідок того, що ефективність і доцільність використання препаратів хондроїтину сульфату (ХС) у клінічній практиці є </w:t>
      </w:r>
      <w:r w:rsidRPr="00BE086B">
        <w:rPr>
          <w:bCs/>
          <w:sz w:val="28"/>
          <w:szCs w:val="28"/>
          <w:lang w:val="uk-UA"/>
        </w:rPr>
        <w:lastRenderedPageBreak/>
        <w:t>предметом постійних дискусій. Різноманітні клінічні настанови з лікування ОА мають різний ступінь доказовості рекомендацій до застосування ХС. Тому нашим завданням було дослідити ефективність та доцільність призначення ХС при коморбідній патології – ОА та ГІТ</w:t>
      </w:r>
      <w:r w:rsidR="00AB7103" w:rsidRPr="00BE086B">
        <w:rPr>
          <w:bCs/>
          <w:sz w:val="28"/>
          <w:szCs w:val="28"/>
          <w:lang w:val="uk-UA"/>
        </w:rPr>
        <w:t xml:space="preserve"> </w:t>
      </w:r>
      <w:r w:rsidR="00AB7103" w:rsidRPr="00BE086B">
        <w:rPr>
          <w:bCs/>
          <w:sz w:val="28"/>
          <w:szCs w:val="28"/>
        </w:rPr>
        <w:t>[</w:t>
      </w:r>
      <w:r w:rsidR="00085069" w:rsidRPr="00BE086B">
        <w:rPr>
          <w:bCs/>
          <w:sz w:val="28"/>
          <w:szCs w:val="28"/>
          <w:lang w:val="uk-UA"/>
        </w:rPr>
        <w:t>347, 355, 356, 360</w:t>
      </w:r>
      <w:r w:rsidR="00AB7103" w:rsidRPr="00BE086B">
        <w:rPr>
          <w:bCs/>
          <w:sz w:val="28"/>
          <w:szCs w:val="28"/>
        </w:rPr>
        <w:t>]</w:t>
      </w:r>
      <w:r w:rsidRPr="00BE086B">
        <w:rPr>
          <w:bCs/>
          <w:sz w:val="28"/>
          <w:szCs w:val="28"/>
          <w:lang w:val="uk-UA"/>
        </w:rPr>
        <w:t>.</w:t>
      </w:r>
    </w:p>
    <w:p w:rsidR="00F10868" w:rsidRPr="00BE086B" w:rsidRDefault="00F10868" w:rsidP="00F10868">
      <w:pPr>
        <w:spacing w:line="360" w:lineRule="auto"/>
        <w:ind w:firstLine="709"/>
        <w:jc w:val="both"/>
        <w:rPr>
          <w:sz w:val="28"/>
          <w:szCs w:val="28"/>
        </w:rPr>
      </w:pPr>
      <w:r w:rsidRPr="00BE086B">
        <w:rPr>
          <w:bCs/>
          <w:sz w:val="28"/>
          <w:szCs w:val="28"/>
        </w:rPr>
        <w:t xml:space="preserve">Для оцінки ступеня запального процесу у колінних суглобах щурів була проведена морфометрична оцінка передньо-задніх розмірів колінних суглобів у ВС та на фоні експериментальних моделей коморбідної патології. </w:t>
      </w:r>
      <w:r w:rsidRPr="00BE086B">
        <w:rPr>
          <w:sz w:val="28"/>
          <w:szCs w:val="28"/>
        </w:rPr>
        <w:t xml:space="preserve">Встановлено, що на 42 добу з моменту моделювання експериментального ОА та ГІТ відзначалося виражене збільшення розмірів уражених суглобів, що свідчило про розвиток запальної реакції у відповідь на експериментальні моделі. На 70 добу експерименту у групі тварин, які отримували ХС відзначено достовірне зменшення розмірів суглобів на 26,1% </w:t>
      </w:r>
      <w:r w:rsidRPr="00BE086B">
        <w:rPr>
          <w:rFonts w:eastAsia="Microsoft YaHei"/>
          <w:iCs/>
          <w:sz w:val="28"/>
          <w:szCs w:val="28"/>
          <w:lang w:eastAsia="ru-RU"/>
        </w:rPr>
        <w:t>(р&lt;0,001)</w:t>
      </w:r>
      <w:r w:rsidRPr="00BE086B">
        <w:rPr>
          <w:sz w:val="28"/>
          <w:szCs w:val="28"/>
        </w:rPr>
        <w:t xml:space="preserve"> у порівнянні з групою активного контролю (ЕОА + ЕГ). У групі активного контролю (ЕОА + ЕГ) спостерігалося подальше наростання запальних явищ на 70 добу експерименту</w:t>
      </w:r>
      <w:r w:rsidR="00085069" w:rsidRPr="00BE086B">
        <w:rPr>
          <w:sz w:val="28"/>
          <w:szCs w:val="28"/>
          <w:lang w:val="uk-UA"/>
        </w:rPr>
        <w:t xml:space="preserve"> </w:t>
      </w:r>
      <w:r w:rsidR="00085069" w:rsidRPr="00BE086B">
        <w:rPr>
          <w:bCs/>
          <w:sz w:val="28"/>
          <w:szCs w:val="28"/>
        </w:rPr>
        <w:t>[</w:t>
      </w:r>
      <w:r w:rsidR="00085069" w:rsidRPr="00BE086B">
        <w:rPr>
          <w:bCs/>
          <w:sz w:val="28"/>
          <w:szCs w:val="28"/>
          <w:lang w:val="uk-UA"/>
        </w:rPr>
        <w:t>360, 440</w:t>
      </w:r>
      <w:r w:rsidR="00085069" w:rsidRPr="00BE086B">
        <w:rPr>
          <w:bCs/>
          <w:sz w:val="28"/>
          <w:szCs w:val="28"/>
        </w:rPr>
        <w:t>]</w:t>
      </w:r>
      <w:r w:rsidRPr="00BE086B">
        <w:rPr>
          <w:sz w:val="28"/>
          <w:szCs w:val="28"/>
        </w:rPr>
        <w:t>.</w:t>
      </w:r>
    </w:p>
    <w:p w:rsidR="00F10868" w:rsidRPr="00BE086B" w:rsidRDefault="00F10868" w:rsidP="00F10868">
      <w:pPr>
        <w:spacing w:line="360" w:lineRule="auto"/>
        <w:ind w:firstLine="709"/>
        <w:jc w:val="both"/>
        <w:rPr>
          <w:sz w:val="28"/>
          <w:szCs w:val="28"/>
        </w:rPr>
      </w:pPr>
      <w:r w:rsidRPr="00BE086B">
        <w:rPr>
          <w:sz w:val="28"/>
          <w:szCs w:val="28"/>
        </w:rPr>
        <w:t xml:space="preserve">Аналіз отриманих даних встановив, що введення ХС упродовж 28 діб надає позитивний терапевтичний ефект за критерієм зменшення розміру колінних суглобів щурів на 19,8% </w:t>
      </w:r>
      <w:r w:rsidRPr="00BE086B">
        <w:rPr>
          <w:rFonts w:eastAsia="Microsoft YaHei"/>
          <w:iCs/>
          <w:sz w:val="28"/>
          <w:szCs w:val="28"/>
          <w:lang w:eastAsia="ru-RU"/>
        </w:rPr>
        <w:t xml:space="preserve">(р&lt;0,001) </w:t>
      </w:r>
      <w:r w:rsidRPr="00BE086B">
        <w:rPr>
          <w:sz w:val="28"/>
          <w:szCs w:val="28"/>
        </w:rPr>
        <w:t>порівняно з відповідним показником у групі на початку введення препарату (ВС).</w:t>
      </w:r>
    </w:p>
    <w:p w:rsidR="00F10868" w:rsidRPr="00AF27FE" w:rsidRDefault="00F10868" w:rsidP="00F10868">
      <w:pPr>
        <w:spacing w:line="360" w:lineRule="auto"/>
        <w:ind w:firstLine="709"/>
        <w:jc w:val="both"/>
        <w:rPr>
          <w:sz w:val="28"/>
          <w:szCs w:val="28"/>
          <w:lang w:val="uk-UA"/>
        </w:rPr>
      </w:pPr>
      <w:r w:rsidRPr="00BE086B">
        <w:rPr>
          <w:sz w:val="28"/>
          <w:szCs w:val="28"/>
        </w:rPr>
        <w:t xml:space="preserve">Дослідження у тесті «відкрите поле» встановило, що на 42 добу дослідження спостерігалось пригнічення рухової, дослідницької та вегетативної активності щурів на фоні наростання патологічних змін на тлі ОА та ГІТ відносно групи інтактних щурів. Проте, призначення ХС сприяло відновленню рухової та дослідницької активності щурів у порівнянні з групою активного контролю (ЕОА + ЕГ), що свідчило про позитивний вплив ХС на перебіг коморбідного стану. За призначення ХС достовірно збільшилася кількість досліджених квадратів у 2,13 рази </w:t>
      </w:r>
      <w:r w:rsidRPr="00BE086B">
        <w:rPr>
          <w:rFonts w:eastAsia="Microsoft YaHei"/>
          <w:iCs/>
          <w:sz w:val="28"/>
          <w:szCs w:val="28"/>
          <w:lang w:eastAsia="ru-RU"/>
        </w:rPr>
        <w:t xml:space="preserve">(р&lt;0,001) </w:t>
      </w:r>
      <w:r w:rsidRPr="00BE086B">
        <w:rPr>
          <w:sz w:val="28"/>
          <w:szCs w:val="28"/>
        </w:rPr>
        <w:t xml:space="preserve">у порівнянні з групою активного контролю (ЕОА + ЕГ). Кількість стійок та досліджених нірок при призначені ХС достовірно збільшились у 5,67 та 3,46 рази </w:t>
      </w:r>
      <w:r w:rsidRPr="00BE086B">
        <w:rPr>
          <w:rFonts w:eastAsia="Microsoft YaHei"/>
          <w:iCs/>
          <w:sz w:val="28"/>
          <w:szCs w:val="28"/>
          <w:lang w:eastAsia="ru-RU"/>
        </w:rPr>
        <w:t xml:space="preserve">(р&lt;0,001) відповідно </w:t>
      </w:r>
      <w:r w:rsidRPr="00BE086B">
        <w:rPr>
          <w:sz w:val="28"/>
          <w:szCs w:val="28"/>
        </w:rPr>
        <w:t xml:space="preserve">у порівнянні з групою активного контролю (ЕОА + ЕГ). Тривожний стан </w:t>
      </w:r>
      <w:r w:rsidRPr="00BE086B">
        <w:rPr>
          <w:sz w:val="28"/>
          <w:szCs w:val="28"/>
        </w:rPr>
        <w:lastRenderedPageBreak/>
        <w:t>тварин при призначені ХС характеризувався тенденцією до вирівнювання емоціонального фону відносно групи активного контролю</w:t>
      </w:r>
      <w:r w:rsidR="00085069" w:rsidRPr="00BE086B">
        <w:rPr>
          <w:sz w:val="28"/>
          <w:szCs w:val="28"/>
          <w:lang w:val="uk-UA"/>
        </w:rPr>
        <w:t xml:space="preserve"> </w:t>
      </w:r>
      <w:r w:rsidR="00085069" w:rsidRPr="00AF27FE">
        <w:rPr>
          <w:bCs/>
          <w:sz w:val="28"/>
          <w:szCs w:val="28"/>
          <w:lang w:val="uk-UA"/>
        </w:rPr>
        <w:t>[</w:t>
      </w:r>
      <w:r w:rsidR="00085069" w:rsidRPr="00BE086B">
        <w:rPr>
          <w:bCs/>
          <w:sz w:val="28"/>
          <w:szCs w:val="28"/>
          <w:lang w:val="uk-UA"/>
        </w:rPr>
        <w:t>360</w:t>
      </w:r>
      <w:r w:rsidR="00085069" w:rsidRPr="00AF27FE">
        <w:rPr>
          <w:bCs/>
          <w:sz w:val="28"/>
          <w:szCs w:val="28"/>
          <w:lang w:val="uk-UA"/>
        </w:rPr>
        <w:t>]</w:t>
      </w:r>
      <w:r w:rsidRPr="00AF27FE">
        <w:rPr>
          <w:sz w:val="28"/>
          <w:szCs w:val="28"/>
          <w:lang w:val="uk-UA"/>
        </w:rPr>
        <w:t>.</w:t>
      </w:r>
    </w:p>
    <w:p w:rsidR="00F10868" w:rsidRPr="00BE086B" w:rsidRDefault="00F10868" w:rsidP="00F10868">
      <w:pPr>
        <w:spacing w:line="360" w:lineRule="auto"/>
        <w:ind w:firstLine="709"/>
        <w:jc w:val="both"/>
        <w:rPr>
          <w:sz w:val="28"/>
          <w:szCs w:val="28"/>
        </w:rPr>
      </w:pPr>
      <w:r w:rsidRPr="00AF27FE">
        <w:rPr>
          <w:sz w:val="28"/>
          <w:szCs w:val="28"/>
          <w:lang w:val="uk-UA"/>
        </w:rPr>
        <w:t xml:space="preserve">Досліджено, що на 42 добу експерименту відносно групи інтактних тварин, ОА та ГІТ призводили до достовірного підвищення рівня серомукоїдів у 4,67 рази </w:t>
      </w:r>
      <w:r w:rsidRPr="00AF27FE">
        <w:rPr>
          <w:rFonts w:eastAsia="Microsoft YaHei"/>
          <w:iCs/>
          <w:sz w:val="28"/>
          <w:szCs w:val="28"/>
          <w:lang w:val="uk-UA" w:eastAsia="ru-RU"/>
        </w:rPr>
        <w:t xml:space="preserve">(р&lt;0,001), сіалових кислот у 3,05 рази (р&lt;0,001), глікозаміногліканів (ГАГ) у 1,36 рази (р&lt;0,05), оксипроліну у 4,01 рази (р&lt;0,001) та кальцію у 1,29 рази (р&lt;0,05). </w:t>
      </w:r>
      <w:r w:rsidRPr="00BE086B">
        <w:rPr>
          <w:rFonts w:eastAsia="Microsoft YaHei"/>
          <w:iCs/>
          <w:sz w:val="28"/>
          <w:szCs w:val="28"/>
          <w:lang w:eastAsia="ru-RU"/>
        </w:rPr>
        <w:t>За рівнем маркеру С-телопептиду колагену II типу (СТХ II) відзначається його визначення у сироватки крові щурів, що за відсутності патології не відбувається. Проте</w:t>
      </w:r>
      <w:r w:rsidRPr="00BE086B">
        <w:rPr>
          <w:sz w:val="28"/>
          <w:szCs w:val="28"/>
        </w:rPr>
        <w:t xml:space="preserve">, на фоні 28-добового введення ХС (70 доба експерименту) відносно </w:t>
      </w:r>
      <w:r w:rsidRPr="00BE086B">
        <w:rPr>
          <w:rFonts w:eastAsia="Microsoft YaHei"/>
          <w:iCs/>
          <w:sz w:val="28"/>
          <w:szCs w:val="28"/>
          <w:lang w:eastAsia="ru-RU"/>
        </w:rPr>
        <w:t>групи активного контролю (</w:t>
      </w:r>
      <w:r w:rsidRPr="00BE086B">
        <w:rPr>
          <w:rFonts w:eastAsia="Microsoft YaHei"/>
          <w:sz w:val="28"/>
          <w:szCs w:val="28"/>
        </w:rPr>
        <w:t xml:space="preserve">ЕОА + ЕГ) </w:t>
      </w:r>
      <w:r w:rsidRPr="00BE086B">
        <w:rPr>
          <w:sz w:val="28"/>
          <w:szCs w:val="28"/>
        </w:rPr>
        <w:t xml:space="preserve">відмічалося достовірне зниження </w:t>
      </w:r>
      <w:r w:rsidRPr="00BE086B">
        <w:rPr>
          <w:rFonts w:eastAsia="Microsoft YaHei"/>
          <w:iCs/>
          <w:sz w:val="28"/>
          <w:szCs w:val="28"/>
          <w:lang w:eastAsia="ru-RU"/>
        </w:rPr>
        <w:t xml:space="preserve">(р&lt;0,001) </w:t>
      </w:r>
      <w:r w:rsidRPr="00BE086B">
        <w:rPr>
          <w:sz w:val="28"/>
          <w:szCs w:val="28"/>
        </w:rPr>
        <w:t>рівня серомукоїдів у 1,55 рази (на 35,4%)</w:t>
      </w:r>
      <w:r w:rsidRPr="00BE086B">
        <w:rPr>
          <w:rFonts w:eastAsia="Microsoft YaHei"/>
          <w:iCs/>
          <w:sz w:val="28"/>
          <w:szCs w:val="28"/>
          <w:lang w:eastAsia="ru-RU"/>
        </w:rPr>
        <w:t xml:space="preserve">, сіалових кислот у 1,56 рази (на 36,1%), ГАГ у 1,43 рази (на 30,3%), оксипроліну у 1,98 рази (на 49,5%) та кальцію у 1,65 рази (на 39,3%). </w:t>
      </w:r>
      <w:r w:rsidRPr="00BE086B">
        <w:rPr>
          <w:sz w:val="28"/>
          <w:szCs w:val="28"/>
        </w:rPr>
        <w:t xml:space="preserve">Звертає увагу зниження рівня маркеру СТХ II у 1,35 рази </w:t>
      </w:r>
      <w:r w:rsidRPr="00BE086B">
        <w:rPr>
          <w:rFonts w:eastAsia="Microsoft YaHei"/>
          <w:iCs/>
          <w:sz w:val="28"/>
          <w:szCs w:val="28"/>
          <w:lang w:eastAsia="ru-RU"/>
        </w:rPr>
        <w:t xml:space="preserve">(р&lt;0,001) </w:t>
      </w:r>
      <w:r w:rsidRPr="00BE086B">
        <w:rPr>
          <w:sz w:val="28"/>
          <w:szCs w:val="28"/>
        </w:rPr>
        <w:t xml:space="preserve">відносно </w:t>
      </w:r>
      <w:r w:rsidRPr="00BE086B">
        <w:rPr>
          <w:rFonts w:eastAsia="Microsoft YaHei"/>
          <w:iCs/>
          <w:sz w:val="28"/>
          <w:szCs w:val="28"/>
          <w:lang w:eastAsia="ru-RU"/>
        </w:rPr>
        <w:t>групи активного контролю (</w:t>
      </w:r>
      <w:r w:rsidRPr="00BE086B">
        <w:rPr>
          <w:rFonts w:eastAsia="Microsoft YaHei"/>
          <w:sz w:val="28"/>
          <w:szCs w:val="28"/>
        </w:rPr>
        <w:t>ЕОА + ЕГ)</w:t>
      </w:r>
      <w:r w:rsidRPr="00BE086B">
        <w:rPr>
          <w:sz w:val="28"/>
          <w:szCs w:val="28"/>
        </w:rPr>
        <w:t>, що відображає процес деструкції хрящової тканини, зокрема колагену II типу.</w:t>
      </w:r>
    </w:p>
    <w:p w:rsidR="00F10868" w:rsidRPr="00BE086B" w:rsidRDefault="00F10868" w:rsidP="00F10868">
      <w:pPr>
        <w:spacing w:line="360" w:lineRule="auto"/>
        <w:ind w:firstLine="709"/>
        <w:jc w:val="both"/>
        <w:rPr>
          <w:sz w:val="28"/>
          <w:szCs w:val="28"/>
        </w:rPr>
      </w:pPr>
      <w:r w:rsidRPr="00BE086B">
        <w:rPr>
          <w:bCs/>
          <w:sz w:val="28"/>
          <w:szCs w:val="28"/>
        </w:rPr>
        <w:t xml:space="preserve">Аналіз результатів щодо впливу ХС на прояви ОА на фоні ГІТ встановив, що </w:t>
      </w:r>
      <w:r w:rsidRPr="00BE086B">
        <w:rPr>
          <w:sz w:val="28"/>
          <w:szCs w:val="28"/>
        </w:rPr>
        <w:t>ОА та ГІТ призводять до збільшення морфометричних розмірів уражених суглобів, пригнічення показників рухової, дослідницької та вегетативної активності щурів та змін біохімічних показників у сироватці крові на фоні запалення та дегенеративно-дистрофічного процесу (за рівнем серомукоїдів, сіалових кислот, глікозаміногліканів, оксипроліну, сивороткового кальцію та маркеру СТХ ІІ). Призначення ХС сприяло позитивному впливу на протікання патологічних змін внаслідок коморбідного стану, що характеризувався відновленням морфометричних розмірів уражених суглобів, показників рухової, дослідницької та вегетативної активності щурів та біохімічних показників (за рівнем серомукоїдів, сіалових кислот, глікозаміногліканів, оксипроліну, сивороткового кальцію та маркеру СТХ ІІ)</w:t>
      </w:r>
      <w:r w:rsidR="00085069" w:rsidRPr="00BE086B">
        <w:rPr>
          <w:sz w:val="28"/>
          <w:szCs w:val="28"/>
          <w:lang w:val="uk-UA"/>
        </w:rPr>
        <w:t xml:space="preserve"> </w:t>
      </w:r>
      <w:r w:rsidR="00085069" w:rsidRPr="00BE086B">
        <w:rPr>
          <w:bCs/>
          <w:sz w:val="28"/>
          <w:szCs w:val="28"/>
        </w:rPr>
        <w:t>[</w:t>
      </w:r>
      <w:r w:rsidR="00085069" w:rsidRPr="00BE086B">
        <w:rPr>
          <w:bCs/>
          <w:sz w:val="28"/>
          <w:szCs w:val="28"/>
          <w:lang w:val="uk-UA"/>
        </w:rPr>
        <w:t>124, 125, 360</w:t>
      </w:r>
      <w:r w:rsidR="00085069" w:rsidRPr="00BE086B">
        <w:rPr>
          <w:bCs/>
          <w:sz w:val="28"/>
          <w:szCs w:val="28"/>
        </w:rPr>
        <w:t>]</w:t>
      </w:r>
      <w:r w:rsidRPr="00BE086B">
        <w:rPr>
          <w:sz w:val="28"/>
          <w:szCs w:val="28"/>
        </w:rPr>
        <w:t>.</w:t>
      </w:r>
    </w:p>
    <w:p w:rsidR="00F10868" w:rsidRPr="00BE086B" w:rsidRDefault="00F10868" w:rsidP="00F10868">
      <w:pPr>
        <w:spacing w:line="360" w:lineRule="auto"/>
        <w:ind w:firstLine="709"/>
        <w:jc w:val="both"/>
        <w:rPr>
          <w:sz w:val="28"/>
          <w:szCs w:val="28"/>
        </w:rPr>
      </w:pPr>
      <w:r w:rsidRPr="00BE086B">
        <w:rPr>
          <w:sz w:val="28"/>
          <w:szCs w:val="28"/>
        </w:rPr>
        <w:lastRenderedPageBreak/>
        <w:t xml:space="preserve">На підставі </w:t>
      </w:r>
      <w:r w:rsidRPr="00BE086B">
        <w:rPr>
          <w:bCs/>
          <w:sz w:val="28"/>
          <w:szCs w:val="28"/>
        </w:rPr>
        <w:t xml:space="preserve">дослідження фармакологічної ефективності хондроїтину сульфату при коморбідній патології </w:t>
      </w:r>
      <w:r w:rsidRPr="00BE086B">
        <w:rPr>
          <w:sz w:val="28"/>
          <w:szCs w:val="28"/>
        </w:rPr>
        <w:t>обґрунтована доцільність призначення ХС, як компоненту фармакотерапії при ОА та ГІТ</w:t>
      </w:r>
      <w:r w:rsidR="00085069" w:rsidRPr="00BE086B">
        <w:rPr>
          <w:sz w:val="28"/>
          <w:szCs w:val="28"/>
          <w:lang w:val="uk-UA"/>
        </w:rPr>
        <w:t xml:space="preserve"> </w:t>
      </w:r>
      <w:r w:rsidR="00085069" w:rsidRPr="00BE086B">
        <w:rPr>
          <w:bCs/>
          <w:sz w:val="28"/>
          <w:szCs w:val="28"/>
        </w:rPr>
        <w:t>[</w:t>
      </w:r>
      <w:r w:rsidR="00085069" w:rsidRPr="00BE086B">
        <w:rPr>
          <w:bCs/>
          <w:sz w:val="28"/>
          <w:szCs w:val="28"/>
          <w:lang w:val="uk-UA"/>
        </w:rPr>
        <w:t>360</w:t>
      </w:r>
      <w:r w:rsidR="00085069" w:rsidRPr="00BE086B">
        <w:rPr>
          <w:bCs/>
          <w:sz w:val="28"/>
          <w:szCs w:val="28"/>
        </w:rPr>
        <w:t>]</w:t>
      </w:r>
      <w:r w:rsidRPr="00BE086B">
        <w:rPr>
          <w:sz w:val="28"/>
          <w:szCs w:val="28"/>
        </w:rPr>
        <w:t>.</w:t>
      </w:r>
    </w:p>
    <w:p w:rsidR="00F10868" w:rsidRPr="00BE086B" w:rsidRDefault="00F10868" w:rsidP="00F10868">
      <w:pPr>
        <w:pStyle w:val="12"/>
        <w:spacing w:before="0" w:after="0" w:line="360" w:lineRule="auto"/>
        <w:ind w:firstLine="709"/>
        <w:jc w:val="both"/>
        <w:rPr>
          <w:rFonts w:cs="Times New Roman"/>
          <w:i w:val="0"/>
          <w:sz w:val="28"/>
          <w:szCs w:val="28"/>
          <w:lang w:eastAsia="ru-RU"/>
        </w:rPr>
      </w:pPr>
      <w:r w:rsidRPr="00BE086B">
        <w:rPr>
          <w:rFonts w:cs="Times New Roman"/>
          <w:i w:val="0"/>
          <w:sz w:val="28"/>
          <w:szCs w:val="28"/>
          <w:lang w:val="uk-UA" w:eastAsia="uk-UA"/>
        </w:rPr>
        <w:t>Нами проведено визначення в</w:t>
      </w:r>
      <w:r w:rsidRPr="00BE086B">
        <w:rPr>
          <w:rFonts w:cs="Times New Roman"/>
          <w:i w:val="0"/>
          <w:sz w:val="28"/>
          <w:szCs w:val="28"/>
          <w:lang w:val="uk-UA"/>
        </w:rPr>
        <w:t>пливу комбінації L–тироксину, диклофенаку натрію та х</w:t>
      </w:r>
      <w:r w:rsidRPr="00BE086B">
        <w:rPr>
          <w:rFonts w:cs="Times New Roman"/>
          <w:bCs/>
          <w:i w:val="0"/>
          <w:sz w:val="28"/>
          <w:szCs w:val="28"/>
          <w:lang w:val="uk-UA"/>
        </w:rPr>
        <w:t xml:space="preserve">ондроїтину сульфату </w:t>
      </w:r>
      <w:r w:rsidRPr="00BE086B">
        <w:rPr>
          <w:rFonts w:cs="Times New Roman"/>
          <w:i w:val="0"/>
          <w:sz w:val="28"/>
          <w:szCs w:val="28"/>
          <w:lang w:val="uk-UA"/>
        </w:rPr>
        <w:t xml:space="preserve">на біль за умов експериментальної коморбідної патології </w:t>
      </w:r>
      <w:r w:rsidRPr="00BE086B">
        <w:rPr>
          <w:rStyle w:val="Default20Paragraph20Font"/>
          <w:rFonts w:cs="Times New Roman"/>
          <w:bCs/>
          <w:i w:val="0"/>
          <w:iCs w:val="0"/>
          <w:sz w:val="28"/>
          <w:szCs w:val="28"/>
          <w:lang w:val="uk-UA"/>
        </w:rPr>
        <w:t xml:space="preserve">на моделі електрошкірного подразнення хвоста щура. </w:t>
      </w:r>
      <w:r w:rsidRPr="00BE086B">
        <w:rPr>
          <w:rFonts w:cs="Times New Roman"/>
          <w:i w:val="0"/>
          <w:sz w:val="28"/>
          <w:szCs w:val="28"/>
          <w:lang w:eastAsia="ru-RU"/>
        </w:rPr>
        <w:t>Результати дослідження показали, що через півгодини (30 хв) після введення ЛЗ тваринам, диклофенак натрію підвищував поріг болю у тварин з ОА та ГІТ у 1,67 рази (р&lt;0,05), на 60 хвилині – у 1,31 рази (р&lt;0,05), на 90 хвилині у 1,5 рази; больовий поріг в подальшому знижувався. Встановлено, що ХС притаманний знеболювальний ефект, що набуло прояву у підвищені порогу болю у щурів на 60 хвилині експерименту у 1,25 рази (р&lt;0,05), а на 90 хвилині у 1,17 рази (р&lt;0,05)</w:t>
      </w:r>
      <w:r w:rsidR="00085069" w:rsidRPr="00BE086B">
        <w:rPr>
          <w:rFonts w:cs="Times New Roman"/>
          <w:i w:val="0"/>
          <w:sz w:val="28"/>
          <w:szCs w:val="28"/>
          <w:lang w:val="uk-UA" w:eastAsia="ru-RU"/>
        </w:rPr>
        <w:t xml:space="preserve"> </w:t>
      </w:r>
      <w:r w:rsidR="00085069" w:rsidRPr="00BE086B">
        <w:rPr>
          <w:bCs/>
          <w:i w:val="0"/>
          <w:sz w:val="28"/>
          <w:szCs w:val="28"/>
        </w:rPr>
        <w:t>[</w:t>
      </w:r>
      <w:r w:rsidR="00085069" w:rsidRPr="00BE086B">
        <w:rPr>
          <w:bCs/>
          <w:i w:val="0"/>
          <w:sz w:val="28"/>
          <w:szCs w:val="28"/>
          <w:lang w:val="uk-UA"/>
        </w:rPr>
        <w:t>360</w:t>
      </w:r>
      <w:r w:rsidR="00085069" w:rsidRPr="00BE086B">
        <w:rPr>
          <w:bCs/>
          <w:i w:val="0"/>
          <w:sz w:val="28"/>
          <w:szCs w:val="28"/>
        </w:rPr>
        <w:t>]</w:t>
      </w:r>
      <w:r w:rsidRPr="00BE086B">
        <w:rPr>
          <w:rFonts w:cs="Times New Roman"/>
          <w:i w:val="0"/>
          <w:sz w:val="28"/>
          <w:szCs w:val="28"/>
          <w:lang w:eastAsia="ru-RU"/>
        </w:rPr>
        <w:t>.</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eastAsia="Times New Roman" w:hAnsi="Times New Roman" w:cs="Times New Roman"/>
          <w:color w:val="auto"/>
          <w:sz w:val="28"/>
          <w:szCs w:val="28"/>
          <w:lang w:val="uk-UA" w:eastAsia="ru-RU"/>
        </w:rPr>
        <w:t xml:space="preserve">Аналіз отриманих результатів встановив, що антиноцицептивна дія за комбінованого застосування </w:t>
      </w:r>
      <w:r w:rsidRPr="00BE086B">
        <w:rPr>
          <w:rFonts w:ascii="Times New Roman" w:hAnsi="Times New Roman" w:cs="Times New Roman"/>
          <w:color w:val="auto"/>
          <w:sz w:val="28"/>
          <w:szCs w:val="28"/>
          <w:lang w:val="uk-UA"/>
        </w:rPr>
        <w:t xml:space="preserve">диклофенаку натрію + хондроїтину сульфату + L-тироксину </w:t>
      </w:r>
      <w:r w:rsidRPr="00BE086B">
        <w:rPr>
          <w:rFonts w:ascii="Times New Roman" w:eastAsia="Times New Roman" w:hAnsi="Times New Roman" w:cs="Times New Roman"/>
          <w:color w:val="auto"/>
          <w:sz w:val="28"/>
          <w:szCs w:val="28"/>
          <w:lang w:val="uk-UA" w:eastAsia="ru-RU"/>
        </w:rPr>
        <w:t>проявлялась більш виражено. Так, через 30 хвилин після введення даної комбінації ЛЗ, поріг болю у тварин знизився у 1,7 рази (р&lt;0,05), на 60-й хвилині він зменшився у 2,21 рази (р&lt;0,05). Проте, найбільш виражено дана комбінація препаратів проявляла знеболювальну активність на 90 хвилині експерименту, пригнічуючи ноцицептивну чутливість щурів у 2,72 рази (р&lt;0,05)</w:t>
      </w:r>
      <w:r w:rsidR="00085069" w:rsidRPr="00BE086B">
        <w:rPr>
          <w:rFonts w:ascii="Times New Roman" w:eastAsia="Times New Roman" w:hAnsi="Times New Roman" w:cs="Times New Roman"/>
          <w:color w:val="auto"/>
          <w:sz w:val="28"/>
          <w:szCs w:val="28"/>
          <w:lang w:val="uk-UA" w:eastAsia="ru-RU"/>
        </w:rPr>
        <w:t xml:space="preserve"> </w:t>
      </w:r>
      <w:r w:rsidR="00085069" w:rsidRPr="00BE086B">
        <w:rPr>
          <w:rFonts w:ascii="Times New Roman" w:hAnsi="Times New Roman" w:cs="Times New Roman"/>
          <w:bCs/>
          <w:color w:val="auto"/>
          <w:sz w:val="28"/>
          <w:szCs w:val="28"/>
        </w:rPr>
        <w:t>[</w:t>
      </w:r>
      <w:r w:rsidR="00085069" w:rsidRPr="00BE086B">
        <w:rPr>
          <w:rFonts w:ascii="Times New Roman" w:hAnsi="Times New Roman" w:cs="Times New Roman"/>
          <w:bCs/>
          <w:color w:val="auto"/>
          <w:sz w:val="28"/>
          <w:szCs w:val="28"/>
          <w:lang w:val="uk-UA"/>
        </w:rPr>
        <w:t>360</w:t>
      </w:r>
      <w:r w:rsidR="00085069" w:rsidRPr="00BE086B">
        <w:rPr>
          <w:rFonts w:ascii="Times New Roman" w:hAnsi="Times New Roman" w:cs="Times New Roman"/>
          <w:bCs/>
          <w:color w:val="auto"/>
          <w:sz w:val="28"/>
          <w:szCs w:val="28"/>
        </w:rPr>
        <w:t>]</w:t>
      </w:r>
      <w:r w:rsidRPr="00BE086B">
        <w:rPr>
          <w:rFonts w:ascii="Times New Roman" w:eastAsia="Times New Roman" w:hAnsi="Times New Roman" w:cs="Times New Roman"/>
          <w:color w:val="auto"/>
          <w:sz w:val="28"/>
          <w:szCs w:val="28"/>
          <w:lang w:val="uk-UA" w:eastAsia="ru-RU"/>
        </w:rPr>
        <w:t>.</w:t>
      </w:r>
    </w:p>
    <w:p w:rsidR="00F10868" w:rsidRPr="00BE086B" w:rsidRDefault="00F10868" w:rsidP="00F10868">
      <w:pPr>
        <w:spacing w:line="360" w:lineRule="auto"/>
        <w:ind w:firstLine="709"/>
        <w:jc w:val="both"/>
        <w:rPr>
          <w:sz w:val="28"/>
          <w:szCs w:val="28"/>
          <w:lang w:eastAsia="ru-RU"/>
        </w:rPr>
      </w:pPr>
      <w:r w:rsidRPr="00BE086B">
        <w:rPr>
          <w:bCs/>
          <w:sz w:val="28"/>
          <w:szCs w:val="28"/>
          <w:lang w:eastAsia="ru-RU"/>
        </w:rPr>
        <w:t xml:space="preserve">При оцінці аналгетичної активності досліджуваних препаратів методом термоподразнення хвоста у щурів встановлено, що </w:t>
      </w:r>
      <w:r w:rsidRPr="00BE086B">
        <w:rPr>
          <w:sz w:val="28"/>
          <w:szCs w:val="28"/>
        </w:rPr>
        <w:t xml:space="preserve">препарат диклофенак натрію </w:t>
      </w:r>
      <w:r w:rsidRPr="00BE086B">
        <w:rPr>
          <w:sz w:val="28"/>
          <w:szCs w:val="28"/>
          <w:lang w:eastAsia="ru-RU"/>
        </w:rPr>
        <w:t>при внутрішньошлунковому одноразовому введенні у дозі 10 мг/кг показав максимальну знеболювальну активність на 90 хвилині експерименту, що проявлялося у зменшенні імерсії хвоста у 1,67 рази (р&lt;0,05).</w:t>
      </w:r>
    </w:p>
    <w:p w:rsidR="00F10868" w:rsidRPr="00BE086B" w:rsidRDefault="00F10868" w:rsidP="00F10868">
      <w:pPr>
        <w:tabs>
          <w:tab w:val="left" w:pos="2251"/>
        </w:tabs>
        <w:spacing w:line="360" w:lineRule="auto"/>
        <w:ind w:firstLine="709"/>
        <w:jc w:val="both"/>
        <w:rPr>
          <w:sz w:val="28"/>
          <w:szCs w:val="28"/>
        </w:rPr>
      </w:pPr>
      <w:r w:rsidRPr="00BE086B">
        <w:rPr>
          <w:sz w:val="28"/>
          <w:szCs w:val="28"/>
          <w:lang w:eastAsia="ru-RU"/>
        </w:rPr>
        <w:t>Встановлено, що ХС в тесті</w:t>
      </w:r>
      <w:r w:rsidRPr="00BE086B">
        <w:rPr>
          <w:bCs/>
          <w:sz w:val="28"/>
          <w:szCs w:val="28"/>
          <w:lang w:eastAsia="ru-RU"/>
        </w:rPr>
        <w:t xml:space="preserve"> термоподразнення хвоста у щурів</w:t>
      </w:r>
      <w:r w:rsidRPr="00BE086B">
        <w:rPr>
          <w:sz w:val="28"/>
          <w:szCs w:val="28"/>
          <w:lang w:eastAsia="ru-RU"/>
        </w:rPr>
        <w:t xml:space="preserve"> показав себе більш слабким аналгетиком. Спостерігалось статистично значиме підвищення порогу болю у 1,19 рази (р&lt;0,05) після його одноразового введення та спостерігалося воно тільки на 60 хвилині після введення</w:t>
      </w:r>
      <w:r w:rsidR="00085069" w:rsidRPr="00BE086B">
        <w:rPr>
          <w:sz w:val="28"/>
          <w:szCs w:val="28"/>
          <w:lang w:val="uk-UA" w:eastAsia="ru-RU"/>
        </w:rPr>
        <w:t xml:space="preserve"> </w:t>
      </w:r>
      <w:r w:rsidR="00085069" w:rsidRPr="00BE086B">
        <w:rPr>
          <w:bCs/>
          <w:sz w:val="28"/>
          <w:szCs w:val="28"/>
        </w:rPr>
        <w:t>[</w:t>
      </w:r>
      <w:r w:rsidR="00085069" w:rsidRPr="00BE086B">
        <w:rPr>
          <w:bCs/>
          <w:sz w:val="28"/>
          <w:szCs w:val="28"/>
          <w:lang w:val="uk-UA"/>
        </w:rPr>
        <w:t>360</w:t>
      </w:r>
      <w:r w:rsidR="00085069" w:rsidRPr="00BE086B">
        <w:rPr>
          <w:bCs/>
          <w:sz w:val="28"/>
          <w:szCs w:val="28"/>
        </w:rPr>
        <w:t>]</w:t>
      </w:r>
      <w:r w:rsidRPr="00BE086B">
        <w:rPr>
          <w:sz w:val="28"/>
          <w:szCs w:val="28"/>
          <w:lang w:eastAsia="ru-RU"/>
        </w:rPr>
        <w:t>.</w:t>
      </w:r>
    </w:p>
    <w:p w:rsidR="00F10868" w:rsidRPr="00BE086B" w:rsidRDefault="00F10868" w:rsidP="00F10868">
      <w:pPr>
        <w:spacing w:line="360" w:lineRule="auto"/>
        <w:ind w:firstLine="709"/>
        <w:jc w:val="both"/>
        <w:rPr>
          <w:sz w:val="28"/>
          <w:szCs w:val="28"/>
        </w:rPr>
      </w:pPr>
      <w:r w:rsidRPr="00BE086B">
        <w:rPr>
          <w:sz w:val="28"/>
          <w:szCs w:val="28"/>
          <w:lang w:eastAsia="ru-RU"/>
        </w:rPr>
        <w:lastRenderedPageBreak/>
        <w:t>Проте, комбінація зазначених препаратів в досліджуваних дозах виявляла більш виражену, у порівнянні з диклофенаком натрію, знеболювальну дію. Так, больовий поріг на фоні введення комбінації препаратів підвищувався на 60 хвилині у 1,73 рази (р&lt;0,05), досягаючи максимуму на 90 хвилині після введення</w:t>
      </w:r>
      <w:r w:rsidR="00085069" w:rsidRPr="00BE086B">
        <w:rPr>
          <w:sz w:val="28"/>
          <w:szCs w:val="28"/>
          <w:lang w:val="uk-UA" w:eastAsia="ru-RU"/>
        </w:rPr>
        <w:t xml:space="preserve"> </w:t>
      </w:r>
      <w:r w:rsidR="00085069" w:rsidRPr="00BE086B">
        <w:rPr>
          <w:bCs/>
          <w:sz w:val="28"/>
          <w:szCs w:val="28"/>
        </w:rPr>
        <w:t>[</w:t>
      </w:r>
      <w:r w:rsidR="00085069" w:rsidRPr="00BE086B">
        <w:rPr>
          <w:bCs/>
          <w:sz w:val="28"/>
          <w:szCs w:val="28"/>
          <w:lang w:val="uk-UA"/>
        </w:rPr>
        <w:t>360</w:t>
      </w:r>
      <w:r w:rsidR="00085069" w:rsidRPr="00BE086B">
        <w:rPr>
          <w:bCs/>
          <w:sz w:val="28"/>
          <w:szCs w:val="28"/>
        </w:rPr>
        <w:t>]</w:t>
      </w:r>
      <w:r w:rsidRPr="00BE086B">
        <w:rPr>
          <w:sz w:val="28"/>
          <w:szCs w:val="28"/>
          <w:lang w:eastAsia="ru-RU"/>
        </w:rPr>
        <w:t>.</w:t>
      </w:r>
    </w:p>
    <w:p w:rsidR="00F10868" w:rsidRPr="00BE086B" w:rsidRDefault="00F10868" w:rsidP="00F10868">
      <w:pPr>
        <w:spacing w:line="360" w:lineRule="auto"/>
        <w:ind w:firstLine="709"/>
        <w:jc w:val="both"/>
        <w:rPr>
          <w:sz w:val="28"/>
          <w:szCs w:val="28"/>
        </w:rPr>
      </w:pPr>
      <w:r w:rsidRPr="00BE086B">
        <w:rPr>
          <w:sz w:val="28"/>
          <w:szCs w:val="28"/>
          <w:lang w:eastAsia="ru-RU"/>
        </w:rPr>
        <w:t>Проведене дослідження дозволило встановити, що за комбінованого застосування диклофенаку натрію, хондроїтину сульфату та L-тироксину виявлявся більш виражений знеболювальний ефект, ніж за застосування окремих препаратів</w:t>
      </w:r>
      <w:r w:rsidR="00085069" w:rsidRPr="00BE086B">
        <w:rPr>
          <w:sz w:val="28"/>
          <w:szCs w:val="28"/>
          <w:lang w:val="uk-UA" w:eastAsia="ru-RU"/>
        </w:rPr>
        <w:t xml:space="preserve"> </w:t>
      </w:r>
      <w:r w:rsidR="00085069" w:rsidRPr="00BE086B">
        <w:rPr>
          <w:bCs/>
          <w:sz w:val="28"/>
          <w:szCs w:val="28"/>
        </w:rPr>
        <w:t>[</w:t>
      </w:r>
      <w:r w:rsidR="00085069" w:rsidRPr="00BE086B">
        <w:rPr>
          <w:bCs/>
          <w:sz w:val="28"/>
          <w:szCs w:val="28"/>
          <w:lang w:val="uk-UA"/>
        </w:rPr>
        <w:t>360</w:t>
      </w:r>
      <w:r w:rsidR="00085069" w:rsidRPr="00BE086B">
        <w:rPr>
          <w:bCs/>
          <w:sz w:val="28"/>
          <w:szCs w:val="28"/>
        </w:rPr>
        <w:t>]</w:t>
      </w:r>
      <w:r w:rsidRPr="00BE086B">
        <w:rPr>
          <w:sz w:val="28"/>
          <w:szCs w:val="28"/>
          <w:lang w:eastAsia="ru-RU"/>
        </w:rPr>
        <w:t>.</w:t>
      </w:r>
    </w:p>
    <w:p w:rsidR="00F10868" w:rsidRPr="00BE086B" w:rsidRDefault="00F10868" w:rsidP="00F10868">
      <w:pPr>
        <w:pStyle w:val="WW-"/>
        <w:spacing w:after="0" w:line="360" w:lineRule="auto"/>
        <w:ind w:firstLine="709"/>
        <w:jc w:val="both"/>
        <w:rPr>
          <w:rFonts w:ascii="Times New Roman" w:eastAsia="Times New Roman" w:hAnsi="Times New Roman" w:cs="Times New Roman"/>
          <w:color w:val="auto"/>
          <w:sz w:val="28"/>
          <w:szCs w:val="28"/>
          <w:lang w:val="uk-UA" w:eastAsia="ru-RU"/>
        </w:rPr>
      </w:pPr>
      <w:r w:rsidRPr="00BE086B">
        <w:rPr>
          <w:rFonts w:ascii="Times New Roman" w:eastAsia="Times New Roman" w:hAnsi="Times New Roman" w:cs="Times New Roman"/>
          <w:bCs/>
          <w:color w:val="auto"/>
          <w:sz w:val="28"/>
          <w:szCs w:val="28"/>
          <w:lang w:val="uk-UA" w:eastAsia="ru-RU"/>
        </w:rPr>
        <w:t>Дослідження аналгетичної активності за комбінованого застосування ЛЗ (</w:t>
      </w:r>
      <w:r w:rsidRPr="00BE086B">
        <w:rPr>
          <w:rFonts w:ascii="Times New Roman" w:eastAsia="Times New Roman" w:hAnsi="Times New Roman" w:cs="Times New Roman"/>
          <w:color w:val="auto"/>
          <w:sz w:val="28"/>
          <w:szCs w:val="28"/>
          <w:lang w:val="uk-UA" w:eastAsia="ru-RU"/>
        </w:rPr>
        <w:t>диклофенак натрію + хондроїтину сульфат + L-тироксин)</w:t>
      </w:r>
      <w:r w:rsidRPr="00BE086B">
        <w:rPr>
          <w:rFonts w:ascii="Times New Roman" w:eastAsia="Times New Roman" w:hAnsi="Times New Roman" w:cs="Times New Roman"/>
          <w:bCs/>
          <w:color w:val="auto"/>
          <w:sz w:val="28"/>
          <w:szCs w:val="28"/>
          <w:lang w:val="uk-UA" w:eastAsia="ru-RU"/>
        </w:rPr>
        <w:t xml:space="preserve"> на моделі «оцтовокислих корчів» встановило, що </w:t>
      </w:r>
      <w:r w:rsidRPr="00BE086B">
        <w:rPr>
          <w:rFonts w:ascii="Times New Roman" w:eastAsia="Times New Roman" w:hAnsi="Times New Roman" w:cs="Times New Roman"/>
          <w:color w:val="auto"/>
          <w:sz w:val="28"/>
          <w:szCs w:val="28"/>
          <w:lang w:val="uk-UA" w:eastAsia="ru-RU"/>
        </w:rPr>
        <w:t>введення д</w:t>
      </w:r>
      <w:r w:rsidRPr="00BE086B">
        <w:rPr>
          <w:rFonts w:ascii="Times New Roman" w:hAnsi="Times New Roman" w:cs="Times New Roman"/>
          <w:color w:val="auto"/>
          <w:sz w:val="28"/>
          <w:szCs w:val="28"/>
          <w:lang w:val="uk-UA"/>
        </w:rPr>
        <w:t xml:space="preserve">иклофенаку натрію </w:t>
      </w:r>
      <w:r w:rsidRPr="00BE086B">
        <w:rPr>
          <w:rFonts w:ascii="Times New Roman" w:eastAsia="Times New Roman" w:hAnsi="Times New Roman" w:cs="Times New Roman"/>
          <w:color w:val="auto"/>
          <w:sz w:val="28"/>
          <w:szCs w:val="28"/>
          <w:lang w:val="uk-UA" w:eastAsia="ru-RU"/>
        </w:rPr>
        <w:t xml:space="preserve">призводить до істотного зниження кількості «оцтовокислих корчів» у 2,96 рази </w:t>
      </w:r>
      <w:r w:rsidRPr="00BE086B">
        <w:rPr>
          <w:rFonts w:ascii="Times New Roman" w:eastAsia="Times New Roman" w:hAnsi="Times New Roman" w:cs="Times New Roman"/>
          <w:color w:val="auto"/>
          <w:sz w:val="28"/>
          <w:szCs w:val="28"/>
          <w:lang w:eastAsia="ru-RU"/>
        </w:rPr>
        <w:t>(р&lt;0,001)</w:t>
      </w:r>
      <w:r w:rsidRPr="00BE086B">
        <w:rPr>
          <w:rFonts w:ascii="Times New Roman" w:eastAsia="Times New Roman" w:hAnsi="Times New Roman" w:cs="Times New Roman"/>
          <w:color w:val="auto"/>
          <w:sz w:val="28"/>
          <w:szCs w:val="28"/>
          <w:lang w:val="uk-UA" w:eastAsia="ru-RU"/>
        </w:rPr>
        <w:t>. У меншій мірі досліджуваний показник знижувався на тлі введення ХС, де редукція корчів склала 1,47 рази (</w:t>
      </w:r>
      <w:r w:rsidRPr="00BE086B">
        <w:rPr>
          <w:rFonts w:ascii="Times New Roman" w:eastAsia="Times New Roman" w:hAnsi="Times New Roman" w:cs="Times New Roman"/>
          <w:color w:val="auto"/>
          <w:sz w:val="28"/>
          <w:szCs w:val="28"/>
          <w:lang w:eastAsia="ru-RU"/>
        </w:rPr>
        <w:t>р&lt;0,001</w:t>
      </w:r>
      <w:r w:rsidRPr="00BE086B">
        <w:rPr>
          <w:rFonts w:ascii="Times New Roman" w:eastAsia="Times New Roman" w:hAnsi="Times New Roman" w:cs="Times New Roman"/>
          <w:color w:val="auto"/>
          <w:sz w:val="28"/>
          <w:szCs w:val="28"/>
          <w:lang w:val="uk-UA" w:eastAsia="ru-RU"/>
        </w:rPr>
        <w:t>)</w:t>
      </w:r>
      <w:r w:rsidR="00085069" w:rsidRPr="00BE086B">
        <w:rPr>
          <w:rFonts w:ascii="Times New Roman" w:eastAsia="Times New Roman" w:hAnsi="Times New Roman" w:cs="Times New Roman"/>
          <w:color w:val="auto"/>
          <w:sz w:val="28"/>
          <w:szCs w:val="28"/>
          <w:lang w:val="uk-UA" w:eastAsia="ru-RU"/>
        </w:rPr>
        <w:t xml:space="preserve"> </w:t>
      </w:r>
      <w:r w:rsidR="00085069" w:rsidRPr="00BE086B">
        <w:rPr>
          <w:rFonts w:ascii="Times New Roman" w:hAnsi="Times New Roman" w:cs="Times New Roman"/>
          <w:bCs/>
          <w:color w:val="auto"/>
          <w:sz w:val="28"/>
          <w:szCs w:val="28"/>
        </w:rPr>
        <w:t>[</w:t>
      </w:r>
      <w:r w:rsidR="00085069" w:rsidRPr="00BE086B">
        <w:rPr>
          <w:rFonts w:ascii="Times New Roman" w:hAnsi="Times New Roman" w:cs="Times New Roman"/>
          <w:bCs/>
          <w:color w:val="auto"/>
          <w:sz w:val="28"/>
          <w:szCs w:val="28"/>
          <w:lang w:val="uk-UA"/>
        </w:rPr>
        <w:t>360</w:t>
      </w:r>
      <w:r w:rsidR="00085069" w:rsidRPr="00BE086B">
        <w:rPr>
          <w:rFonts w:ascii="Times New Roman" w:hAnsi="Times New Roman" w:cs="Times New Roman"/>
          <w:bCs/>
          <w:color w:val="auto"/>
          <w:sz w:val="28"/>
          <w:szCs w:val="28"/>
        </w:rPr>
        <w:t>]</w:t>
      </w:r>
      <w:r w:rsidRPr="00BE086B">
        <w:rPr>
          <w:rFonts w:ascii="Times New Roman" w:eastAsia="Times New Roman" w:hAnsi="Times New Roman" w:cs="Times New Roman"/>
          <w:color w:val="auto"/>
          <w:sz w:val="28"/>
          <w:szCs w:val="28"/>
          <w:lang w:val="uk-UA" w:eastAsia="ru-RU"/>
        </w:rPr>
        <w:t>.</w:t>
      </w:r>
    </w:p>
    <w:p w:rsidR="00F10868" w:rsidRPr="00BE086B" w:rsidRDefault="00F10868" w:rsidP="00F10868">
      <w:pPr>
        <w:pStyle w:val="WW-"/>
        <w:spacing w:after="0" w:line="360" w:lineRule="auto"/>
        <w:ind w:firstLine="709"/>
        <w:jc w:val="both"/>
        <w:rPr>
          <w:rFonts w:ascii="Times New Roman" w:eastAsia="Times New Roman" w:hAnsi="Times New Roman" w:cs="Times New Roman"/>
          <w:color w:val="auto"/>
          <w:sz w:val="28"/>
          <w:szCs w:val="28"/>
          <w:lang w:val="uk-UA" w:eastAsia="ru-RU"/>
        </w:rPr>
      </w:pPr>
      <w:r w:rsidRPr="00BE086B">
        <w:rPr>
          <w:rFonts w:ascii="Times New Roman" w:eastAsia="Times New Roman" w:hAnsi="Times New Roman" w:cs="Times New Roman"/>
          <w:color w:val="auto"/>
          <w:sz w:val="28"/>
          <w:szCs w:val="28"/>
          <w:lang w:val="uk-UA" w:eastAsia="ru-RU"/>
        </w:rPr>
        <w:t>Аналіз результатів встановив, що введення комбінації препаратів, як і в попередніх серіях спостережень, показала найбільш сильний знеболювальний ефект. При одноразовому внутрішньошлунковому введенні д</w:t>
      </w:r>
      <w:r w:rsidRPr="00BE086B">
        <w:rPr>
          <w:rFonts w:ascii="Times New Roman" w:hAnsi="Times New Roman" w:cs="Times New Roman"/>
          <w:color w:val="auto"/>
          <w:sz w:val="28"/>
          <w:szCs w:val="28"/>
          <w:lang w:val="uk-UA"/>
        </w:rPr>
        <w:t xml:space="preserve">иклофенаку натрію + хондроїтину сульфату + L-тироксину, </w:t>
      </w:r>
      <w:r w:rsidRPr="00BE086B">
        <w:rPr>
          <w:rFonts w:ascii="Times New Roman" w:eastAsia="Times New Roman" w:hAnsi="Times New Roman" w:cs="Times New Roman"/>
          <w:color w:val="auto"/>
          <w:sz w:val="28"/>
          <w:szCs w:val="28"/>
          <w:lang w:val="uk-UA" w:eastAsia="ru-RU"/>
        </w:rPr>
        <w:t xml:space="preserve">у 7,7 разів (р&lt;0,001) зменшилася ймовірність появи «корчів» у тварин за застосування 0,6% оцтової кислоти відносно </w:t>
      </w:r>
      <w:r w:rsidRPr="00BE086B">
        <w:rPr>
          <w:rFonts w:ascii="Times New Roman" w:eastAsia="Calibri" w:hAnsi="Times New Roman" w:cs="Times New Roman"/>
          <w:iCs/>
          <w:color w:val="auto"/>
          <w:sz w:val="28"/>
          <w:szCs w:val="28"/>
          <w:lang w:val="uk-UA" w:eastAsia="en-US"/>
        </w:rPr>
        <w:t>групи активного контролю (ЕОА+ЕГ</w:t>
      </w:r>
      <w:r w:rsidRPr="00BE086B">
        <w:rPr>
          <w:rFonts w:ascii="Times New Roman" w:hAnsi="Times New Roman" w:cs="Times New Roman"/>
          <w:color w:val="auto"/>
          <w:sz w:val="28"/>
          <w:szCs w:val="28"/>
          <w:lang w:val="uk-UA"/>
        </w:rPr>
        <w:t>).</w:t>
      </w:r>
    </w:p>
    <w:p w:rsidR="00F10868" w:rsidRPr="00BE086B" w:rsidRDefault="00F10868" w:rsidP="00F10868">
      <w:pPr>
        <w:pStyle w:val="WW-"/>
        <w:spacing w:after="0" w:line="360" w:lineRule="auto"/>
        <w:ind w:firstLine="709"/>
        <w:jc w:val="both"/>
        <w:rPr>
          <w:rFonts w:ascii="Times New Roman" w:eastAsia="Times New Roman" w:hAnsi="Times New Roman" w:cs="Times New Roman"/>
          <w:color w:val="auto"/>
          <w:sz w:val="28"/>
          <w:szCs w:val="28"/>
          <w:lang w:val="uk-UA" w:eastAsia="ru-RU"/>
        </w:rPr>
      </w:pPr>
      <w:r w:rsidRPr="00BE086B">
        <w:rPr>
          <w:rFonts w:ascii="Times New Roman" w:eastAsia="Times New Roman" w:hAnsi="Times New Roman" w:cs="Times New Roman"/>
          <w:color w:val="auto"/>
          <w:sz w:val="28"/>
          <w:szCs w:val="28"/>
          <w:lang w:val="uk-UA" w:eastAsia="ru-RU"/>
        </w:rPr>
        <w:t>Таким чином, аналіз результатів проведених досліджень за комбінованого застосування д</w:t>
      </w:r>
      <w:r w:rsidRPr="00BE086B">
        <w:rPr>
          <w:rFonts w:ascii="Times New Roman" w:hAnsi="Times New Roman" w:cs="Times New Roman"/>
          <w:color w:val="auto"/>
          <w:sz w:val="28"/>
          <w:szCs w:val="28"/>
          <w:lang w:val="uk-UA"/>
        </w:rPr>
        <w:t xml:space="preserve">иклофенаку натрію, ХС та L-тироксину </w:t>
      </w:r>
      <w:r w:rsidRPr="00BE086B">
        <w:rPr>
          <w:rStyle w:val="Default20Paragraph20Font"/>
          <w:rFonts w:ascii="Times New Roman" w:hAnsi="Times New Roman" w:cs="Times New Roman"/>
          <w:bCs/>
          <w:iCs/>
          <w:color w:val="auto"/>
          <w:sz w:val="28"/>
          <w:szCs w:val="28"/>
          <w:lang w:val="uk-UA"/>
        </w:rPr>
        <w:t xml:space="preserve">на моделях електрошкірного подразнення хвоста щура, </w:t>
      </w:r>
      <w:r w:rsidRPr="00BE086B">
        <w:rPr>
          <w:rFonts w:ascii="Times New Roman" w:eastAsia="Times New Roman" w:hAnsi="Times New Roman" w:cs="Times New Roman"/>
          <w:bCs/>
          <w:color w:val="auto"/>
          <w:sz w:val="28"/>
          <w:szCs w:val="28"/>
          <w:lang w:val="uk-UA" w:eastAsia="ru-RU"/>
        </w:rPr>
        <w:t xml:space="preserve">термоподразнення хвоста щура та «оцтовокислих корчів» </w:t>
      </w:r>
      <w:r w:rsidRPr="00BE086B">
        <w:rPr>
          <w:rFonts w:ascii="Times New Roman" w:eastAsia="Times New Roman" w:hAnsi="Times New Roman" w:cs="Times New Roman"/>
          <w:color w:val="auto"/>
          <w:sz w:val="28"/>
          <w:szCs w:val="28"/>
          <w:lang w:val="uk-UA" w:eastAsia="ru-RU"/>
        </w:rPr>
        <w:t>при одноразовому внутрішньошлунковому введені визначив виражений аналгетичний ефект, що за силою дії перевищував дію окремих препаратів.</w:t>
      </w:r>
    </w:p>
    <w:p w:rsidR="00F10868" w:rsidRPr="00BE086B" w:rsidRDefault="00F10868" w:rsidP="00F10868">
      <w:pPr>
        <w:pStyle w:val="WW-"/>
        <w:spacing w:after="0" w:line="360" w:lineRule="auto"/>
        <w:ind w:firstLine="709"/>
        <w:jc w:val="both"/>
        <w:rPr>
          <w:rStyle w:val="translation-chunk"/>
          <w:rFonts w:ascii="Times New Roman" w:hAnsi="Times New Roman" w:cs="Times New Roman"/>
          <w:bCs/>
          <w:color w:val="auto"/>
          <w:sz w:val="28"/>
          <w:szCs w:val="28"/>
          <w:lang w:val="uk-UA"/>
        </w:rPr>
      </w:pPr>
      <w:r w:rsidRPr="00BE086B">
        <w:rPr>
          <w:rStyle w:val="translation-chunk"/>
          <w:rFonts w:ascii="Times New Roman" w:hAnsi="Times New Roman" w:cs="Times New Roman"/>
          <w:bCs/>
          <w:color w:val="auto"/>
          <w:sz w:val="28"/>
          <w:szCs w:val="28"/>
          <w:lang w:val="uk-UA"/>
        </w:rPr>
        <w:t xml:space="preserve">Нами проведений біофармацевтичний аналіз взаємодії </w:t>
      </w:r>
      <w:r w:rsidRPr="00BE086B">
        <w:rPr>
          <w:rFonts w:ascii="Times New Roman" w:hAnsi="Times New Roman" w:cs="Times New Roman"/>
          <w:bCs/>
          <w:color w:val="auto"/>
          <w:sz w:val="28"/>
          <w:szCs w:val="28"/>
          <w:lang w:val="uk-UA"/>
        </w:rPr>
        <w:t xml:space="preserve">L-тироксину, диклофенаку натрія та хондроїтину сульфату, як компонентів </w:t>
      </w:r>
      <w:r w:rsidRPr="00BE086B">
        <w:rPr>
          <w:rStyle w:val="translation-chunk"/>
          <w:rFonts w:ascii="Times New Roman" w:hAnsi="Times New Roman" w:cs="Times New Roman"/>
          <w:bCs/>
          <w:color w:val="auto"/>
          <w:sz w:val="28"/>
          <w:szCs w:val="28"/>
          <w:lang w:val="uk-UA"/>
        </w:rPr>
        <w:t>фармакотерапії больового синдрому, запалення та гормональної дисфункції ЩЗ</w:t>
      </w:r>
      <w:r w:rsidR="00085069" w:rsidRPr="00BE086B">
        <w:rPr>
          <w:rStyle w:val="translation-chunk"/>
          <w:rFonts w:ascii="Times New Roman" w:hAnsi="Times New Roman" w:cs="Times New Roman"/>
          <w:bCs/>
          <w:color w:val="auto"/>
          <w:sz w:val="28"/>
          <w:szCs w:val="28"/>
          <w:lang w:val="uk-UA"/>
        </w:rPr>
        <w:t xml:space="preserve"> </w:t>
      </w:r>
      <w:r w:rsidR="00085069" w:rsidRPr="00BE086B">
        <w:rPr>
          <w:rFonts w:ascii="Times New Roman" w:hAnsi="Times New Roman" w:cs="Times New Roman"/>
          <w:color w:val="auto"/>
          <w:sz w:val="28"/>
          <w:szCs w:val="28"/>
          <w:lang w:val="uk-UA"/>
        </w:rPr>
        <w:t>[462]</w:t>
      </w:r>
      <w:r w:rsidRPr="00BE086B">
        <w:rPr>
          <w:rStyle w:val="translation-chunk"/>
          <w:rFonts w:ascii="Times New Roman" w:hAnsi="Times New Roman" w:cs="Times New Roman"/>
          <w:bCs/>
          <w:color w:val="auto"/>
          <w:sz w:val="28"/>
          <w:szCs w:val="28"/>
          <w:lang w:val="uk-UA"/>
        </w:rPr>
        <w:t>.</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lastRenderedPageBreak/>
        <w:t>На підставі аналізу отриманих даних встановлено, що виходячи з фізико-хімічних та хімічних властивостей L-тироксину, диклофенаку натрію та ХС можливі тільки зворотні кислотно-лужні взаємодії. Ймовірність інших, сильних та незворотних реакцій є дуже низькою та за звичайних умов фізичні суміші цих сполук очікувано не піддаватимуться взаємодіям, які призводитимуть до глибоких деструктивних змін.</w:t>
      </w:r>
    </w:p>
    <w:p w:rsidR="00F10868" w:rsidRPr="00BE086B" w:rsidRDefault="00F10868" w:rsidP="00F10868">
      <w:pPr>
        <w:widowControl w:val="0"/>
        <w:spacing w:line="360" w:lineRule="auto"/>
        <w:ind w:firstLine="709"/>
        <w:jc w:val="both"/>
        <w:rPr>
          <w:sz w:val="28"/>
          <w:szCs w:val="28"/>
          <w:lang w:val="uk-UA"/>
        </w:rPr>
      </w:pPr>
      <w:r w:rsidRPr="00BE086B">
        <w:rPr>
          <w:sz w:val="28"/>
          <w:szCs w:val="28"/>
          <w:lang w:val="uk-UA"/>
        </w:rPr>
        <w:t xml:space="preserve">Встановлено, що </w:t>
      </w:r>
      <w:r w:rsidRPr="00BE086B">
        <w:rPr>
          <w:sz w:val="28"/>
          <w:szCs w:val="28"/>
        </w:rPr>
        <w:t>L</w:t>
      </w:r>
      <w:r w:rsidRPr="00BE086B">
        <w:rPr>
          <w:sz w:val="28"/>
          <w:szCs w:val="28"/>
          <w:lang w:val="uk-UA"/>
        </w:rPr>
        <w:t>-тироксин, диклофенак натрію та ХС абсорбуються шляхом простої дифузії, мають різні механізми транспорту крізь біологічні мембрани, різний ступінь зв’язування з білками плазми крові та різні ферментні системи, що залучені до їх метаболізму й екскреції, тому біофармацевтична взаємодія між ними виключена.</w:t>
      </w:r>
    </w:p>
    <w:p w:rsidR="00F10868" w:rsidRPr="00BE086B" w:rsidRDefault="00F10868" w:rsidP="00F10868">
      <w:pPr>
        <w:widowControl w:val="0"/>
        <w:spacing w:line="360" w:lineRule="auto"/>
        <w:ind w:firstLine="709"/>
        <w:jc w:val="both"/>
        <w:rPr>
          <w:sz w:val="28"/>
          <w:szCs w:val="28"/>
          <w:lang w:val="uk-UA"/>
        </w:rPr>
      </w:pPr>
      <w:r w:rsidRPr="00BE086B">
        <w:rPr>
          <w:sz w:val="28"/>
          <w:szCs w:val="28"/>
          <w:lang w:val="uk-UA"/>
        </w:rPr>
        <w:t xml:space="preserve">Аналіз результатів показав, що на рівні фармакологічної взаємодії можна очікувати поєднаного та односпрямованого впливу комбінації активних речовин </w:t>
      </w:r>
      <w:r w:rsidRPr="00BE086B">
        <w:rPr>
          <w:sz w:val="28"/>
          <w:szCs w:val="28"/>
        </w:rPr>
        <w:t>L</w:t>
      </w:r>
      <w:r w:rsidRPr="00BE086B">
        <w:rPr>
          <w:sz w:val="28"/>
          <w:szCs w:val="28"/>
          <w:lang w:val="uk-UA"/>
        </w:rPr>
        <w:t>-тироксину, диклофенаку натрію та ХС при дегенеративно-дистрофічних порушеннях внаслідок функціональної недостатності ЩЗ, для відновлення структури хрящової тканини та для комплексного етіологічного та симптоматичного лікування ОА та пов’язаних з ним станів.</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Взагалі, проведене дослідження </w:t>
      </w:r>
      <w:r w:rsidRPr="00BE086B">
        <w:rPr>
          <w:rStyle w:val="translation-chunk"/>
          <w:rFonts w:ascii="Times New Roman" w:hAnsi="Times New Roman" w:cs="Times New Roman"/>
          <w:bCs/>
          <w:color w:val="auto"/>
          <w:sz w:val="28"/>
          <w:szCs w:val="28"/>
          <w:lang w:val="uk-UA"/>
        </w:rPr>
        <w:t xml:space="preserve">біофармацевтичної взаємодії </w:t>
      </w:r>
      <w:r w:rsidRPr="00BE086B">
        <w:rPr>
          <w:rFonts w:ascii="Times New Roman" w:hAnsi="Times New Roman" w:cs="Times New Roman"/>
          <w:bCs/>
          <w:color w:val="auto"/>
          <w:sz w:val="28"/>
          <w:szCs w:val="28"/>
          <w:lang w:val="uk-UA"/>
        </w:rPr>
        <w:t xml:space="preserve">L-тироксину, диклофенаку натрію та хондроїтину сульфату, як компонентів </w:t>
      </w:r>
      <w:r w:rsidRPr="00BE086B">
        <w:rPr>
          <w:rStyle w:val="translation-chunk"/>
          <w:rFonts w:ascii="Times New Roman" w:hAnsi="Times New Roman" w:cs="Times New Roman"/>
          <w:bCs/>
          <w:color w:val="auto"/>
          <w:sz w:val="28"/>
          <w:szCs w:val="28"/>
          <w:lang w:val="uk-UA"/>
        </w:rPr>
        <w:t xml:space="preserve">фармакотерапії больового синдрому, запалення та гормональної дисфункції ЩЗ </w:t>
      </w:r>
      <w:r w:rsidRPr="00BE086B">
        <w:rPr>
          <w:rFonts w:ascii="Times New Roman" w:hAnsi="Times New Roman" w:cs="Times New Roman"/>
          <w:color w:val="auto"/>
          <w:sz w:val="28"/>
          <w:szCs w:val="28"/>
          <w:lang w:val="uk-UA"/>
        </w:rPr>
        <w:t xml:space="preserve">дозволило встановити, що використання комбінації </w:t>
      </w:r>
      <w:r w:rsidRPr="00BE086B">
        <w:rPr>
          <w:rFonts w:ascii="Times New Roman" w:hAnsi="Times New Roman" w:cs="Times New Roman"/>
          <w:color w:val="auto"/>
          <w:sz w:val="28"/>
          <w:szCs w:val="28"/>
        </w:rPr>
        <w:t>L</w:t>
      </w:r>
      <w:r w:rsidRPr="00BE086B">
        <w:rPr>
          <w:rFonts w:ascii="Times New Roman" w:hAnsi="Times New Roman" w:cs="Times New Roman"/>
          <w:color w:val="auto"/>
          <w:sz w:val="28"/>
          <w:szCs w:val="28"/>
          <w:lang w:val="uk-UA"/>
        </w:rPr>
        <w:t xml:space="preserve">-тироксину, диклофенаку натрію та ХС на фоні ОА та ГІТ доцільно, як з боку фармакологічної активності - спостерігається більш потужний знеболювальний ефект – позитивна фармакодинаміка, так і з боку відсутності біофармацевтичної взаємодії між препаратами - компонентами комбінації - позитивна фармакокінетика. Призначення ХС сприяє позитивному впливу на перебіг патологічних змін за коморбідного стану, що характеризується відновленням морфометричних розмірів уражених суглобів, показників </w:t>
      </w:r>
      <w:r w:rsidRPr="00BE086B">
        <w:rPr>
          <w:rFonts w:ascii="Times New Roman" w:hAnsi="Times New Roman" w:cs="Times New Roman"/>
          <w:color w:val="auto"/>
          <w:sz w:val="28"/>
          <w:szCs w:val="28"/>
          <w:lang w:val="uk-UA"/>
        </w:rPr>
        <w:lastRenderedPageBreak/>
        <w:t>рухової, дослідницької та вегетативної активності щурів та біохімічних показників.</w:t>
      </w:r>
    </w:p>
    <w:p w:rsidR="00F10868" w:rsidRPr="00BE086B" w:rsidRDefault="00F10868" w:rsidP="00F10868">
      <w:pPr>
        <w:spacing w:line="360" w:lineRule="auto"/>
        <w:ind w:firstLine="709"/>
        <w:jc w:val="both"/>
        <w:rPr>
          <w:bCs/>
          <w:sz w:val="28"/>
          <w:szCs w:val="28"/>
          <w:lang w:val="uk-UA"/>
        </w:rPr>
      </w:pPr>
      <w:r w:rsidRPr="00BE086B">
        <w:rPr>
          <w:bCs/>
          <w:sz w:val="28"/>
          <w:szCs w:val="28"/>
          <w:lang w:val="uk-UA"/>
        </w:rPr>
        <w:t>Нами проведена оцінка гістоморфологічних показників хрящової тканини щурів з експериментальним гіпотиреозом та остеоартрозом внаслідок того</w:t>
      </w:r>
      <w:r w:rsidRPr="00BE086B">
        <w:rPr>
          <w:sz w:val="28"/>
          <w:szCs w:val="28"/>
          <w:lang w:val="uk-UA" w:eastAsia="ru-RU"/>
        </w:rPr>
        <w:t>, що метаболічні порушення при ГІТ негативно впливають на стан кісткової та хрящової тканини і обумовлюють розвиток ряду патологічних станів серед яких безумовно важливими є ОА та остеопороз</w:t>
      </w:r>
      <w:r w:rsidR="000F74A9" w:rsidRPr="00BE086B">
        <w:rPr>
          <w:sz w:val="28"/>
          <w:szCs w:val="28"/>
          <w:lang w:val="uk-UA" w:eastAsia="ru-RU"/>
        </w:rPr>
        <w:t xml:space="preserve"> </w:t>
      </w:r>
      <w:r w:rsidR="000F74A9" w:rsidRPr="00BE086B">
        <w:rPr>
          <w:sz w:val="28"/>
          <w:szCs w:val="28"/>
          <w:lang w:val="uk-UA"/>
        </w:rPr>
        <w:t>[257, 412, 413]</w:t>
      </w:r>
      <w:r w:rsidRPr="00BE086B">
        <w:rPr>
          <w:sz w:val="28"/>
          <w:szCs w:val="28"/>
          <w:lang w:val="uk-UA" w:eastAsia="ru-RU"/>
        </w:rPr>
        <w:t>.</w:t>
      </w:r>
    </w:p>
    <w:p w:rsidR="00F10868" w:rsidRPr="00BE086B" w:rsidRDefault="00F10868" w:rsidP="00F10868">
      <w:pPr>
        <w:spacing w:line="360" w:lineRule="auto"/>
        <w:ind w:firstLine="709"/>
        <w:jc w:val="both"/>
        <w:rPr>
          <w:sz w:val="28"/>
          <w:szCs w:val="28"/>
          <w:lang w:val="uk-UA"/>
        </w:rPr>
      </w:pPr>
      <w:r w:rsidRPr="00BE086B">
        <w:rPr>
          <w:bCs/>
          <w:sz w:val="28"/>
          <w:szCs w:val="28"/>
          <w:lang w:val="uk-UA"/>
        </w:rPr>
        <w:t>Так, гістологічні дослідження хряща при ГІТ показали запалення синовіальної оболонки, порушення структури надхряща з явищами набухання, порушення трофіки глибоких шарів хряща, деструкція хондроцитів, зміни гістохімічних властивостей аморфної речовини</w:t>
      </w:r>
      <w:r w:rsidR="000F74A9" w:rsidRPr="00BE086B">
        <w:rPr>
          <w:bCs/>
          <w:sz w:val="28"/>
          <w:szCs w:val="28"/>
          <w:lang w:val="uk-UA"/>
        </w:rPr>
        <w:t xml:space="preserve"> </w:t>
      </w:r>
      <w:r w:rsidR="000F74A9" w:rsidRPr="00BE086B">
        <w:rPr>
          <w:sz w:val="28"/>
          <w:szCs w:val="28"/>
          <w:lang w:val="uk-UA"/>
        </w:rPr>
        <w:t>[412]</w:t>
      </w:r>
      <w:r w:rsidRPr="00BE086B">
        <w:rPr>
          <w:sz w:val="28"/>
          <w:szCs w:val="28"/>
          <w:lang w:val="uk-UA"/>
        </w:rPr>
        <w:t>.</w:t>
      </w:r>
    </w:p>
    <w:p w:rsidR="00F10868" w:rsidRPr="00BE086B" w:rsidRDefault="00F10868" w:rsidP="00F10868">
      <w:pPr>
        <w:spacing w:line="360" w:lineRule="auto"/>
        <w:ind w:firstLine="709"/>
        <w:jc w:val="both"/>
        <w:rPr>
          <w:bCs/>
          <w:sz w:val="28"/>
          <w:szCs w:val="28"/>
          <w:lang w:val="uk-UA"/>
        </w:rPr>
      </w:pPr>
      <w:r w:rsidRPr="00BE086B">
        <w:rPr>
          <w:bCs/>
          <w:sz w:val="28"/>
          <w:szCs w:val="28"/>
          <w:lang w:val="uk-UA"/>
        </w:rPr>
        <w:t>Аналіз результатів проведеного дослідження дозволив виявити структурні зміни кістково-хрящової тканини на тлі гіпофункції ЩЗ, які свідчать про вплив гормональної недостатності на хрящову тканину та висвітлюють необхідність медикаментозної корекції виниклих порушень</w:t>
      </w:r>
      <w:r w:rsidR="000F74A9" w:rsidRPr="00BE086B">
        <w:rPr>
          <w:bCs/>
          <w:sz w:val="28"/>
          <w:szCs w:val="28"/>
          <w:lang w:val="uk-UA"/>
        </w:rPr>
        <w:t xml:space="preserve"> </w:t>
      </w:r>
      <w:r w:rsidR="000F74A9" w:rsidRPr="00BE086B">
        <w:rPr>
          <w:sz w:val="28"/>
          <w:szCs w:val="28"/>
          <w:lang w:val="uk-UA"/>
        </w:rPr>
        <w:t>[413]</w:t>
      </w:r>
      <w:r w:rsidRPr="00BE086B">
        <w:rPr>
          <w:bCs/>
          <w:sz w:val="28"/>
          <w:szCs w:val="28"/>
          <w:lang w:val="uk-UA"/>
        </w:rPr>
        <w:t>.</w:t>
      </w:r>
    </w:p>
    <w:p w:rsidR="00F10868" w:rsidRPr="00BE086B" w:rsidRDefault="00F10868" w:rsidP="00F10868">
      <w:pPr>
        <w:spacing w:line="360" w:lineRule="auto"/>
        <w:ind w:firstLine="709"/>
        <w:jc w:val="both"/>
        <w:rPr>
          <w:sz w:val="28"/>
          <w:szCs w:val="28"/>
          <w:lang w:eastAsia="ru-RU"/>
        </w:rPr>
      </w:pPr>
      <w:r w:rsidRPr="00BE086B">
        <w:rPr>
          <w:sz w:val="28"/>
          <w:szCs w:val="28"/>
          <w:lang w:val="uk-UA"/>
        </w:rPr>
        <w:t>При аналізі результатів встановлено, що г</w:t>
      </w:r>
      <w:r w:rsidRPr="00BE086B">
        <w:rPr>
          <w:sz w:val="28"/>
          <w:szCs w:val="28"/>
          <w:lang w:val="uk-UA" w:eastAsia="ru-RU"/>
        </w:rPr>
        <w:t xml:space="preserve">істоархітектура суглобів щурів контрольної групи була типовою та відповідала сучасним уявленням про будову синовіальних суглобів. Гістологічний аналіз складових колінного суглобу щурів з експериментальним ОА та ГІТ виявив значні дегенеративні зміни гіалінового хряща та субхондральної кістки з елементами реактивного запалення, гіпертрофії та гіперплазії у складі синовіальної оболонки. </w:t>
      </w:r>
      <w:r w:rsidRPr="00BE086B">
        <w:rPr>
          <w:sz w:val="28"/>
          <w:szCs w:val="28"/>
          <w:lang w:eastAsia="ru-RU"/>
        </w:rPr>
        <w:t>З боку суглобового хряща спостерігалось його виразне стоншення та деформація у порівнянні з контрольною групою. Поверхня хряща була нерівною та нерідко дотикалась до тканинного детриту, візуалізувались множинні тріщини (фібриляції) та великі осередки ерозій, аж до зони кальцифікованого хрящу. Окрім того відзначалась значна редукція хондроцитів поверхневої, транзиторної та радіальної зон хрящ</w:t>
      </w:r>
      <w:r w:rsidR="000F74A9" w:rsidRPr="00BE086B">
        <w:rPr>
          <w:sz w:val="28"/>
          <w:szCs w:val="28"/>
          <w:lang w:val="uk-UA" w:eastAsia="ru-RU"/>
        </w:rPr>
        <w:t xml:space="preserve">а </w:t>
      </w:r>
      <w:r w:rsidR="000F74A9" w:rsidRPr="00BE086B">
        <w:rPr>
          <w:sz w:val="28"/>
          <w:szCs w:val="28"/>
          <w:lang w:val="uk-UA"/>
        </w:rPr>
        <w:t>[257, 412, 413]</w:t>
      </w:r>
      <w:r w:rsidRPr="00BE086B">
        <w:rPr>
          <w:sz w:val="28"/>
          <w:szCs w:val="28"/>
          <w:lang w:eastAsia="ru-RU"/>
        </w:rPr>
        <w:t>.</w:t>
      </w:r>
    </w:p>
    <w:p w:rsidR="00F10868" w:rsidRPr="00BE086B" w:rsidRDefault="00F10868" w:rsidP="00F10868">
      <w:pPr>
        <w:spacing w:line="360" w:lineRule="auto"/>
        <w:ind w:firstLine="709"/>
        <w:jc w:val="both"/>
        <w:rPr>
          <w:kern w:val="2"/>
          <w:sz w:val="28"/>
          <w:szCs w:val="28"/>
          <w:lang w:eastAsia="uk-UA" w:bidi="hi-IN"/>
        </w:rPr>
      </w:pPr>
      <w:r w:rsidRPr="00BE086B">
        <w:rPr>
          <w:sz w:val="28"/>
          <w:szCs w:val="28"/>
          <w:lang w:eastAsia="ru-RU"/>
        </w:rPr>
        <w:t xml:space="preserve">Водночас, на краю суглоба (поблизу синовіальної оболонки) в певних зразках групи дослідження відзначалось збереження товщини гіалінового </w:t>
      </w:r>
      <w:r w:rsidRPr="00BE086B">
        <w:rPr>
          <w:sz w:val="28"/>
          <w:szCs w:val="28"/>
          <w:lang w:eastAsia="ru-RU"/>
        </w:rPr>
        <w:lastRenderedPageBreak/>
        <w:t>хряща, що мало ознаки метахромазії та у товщі якого візуалізувались хондроцити. Проте загальна гістоархітектура цієї ділянки хряща мала ознаки дезорганізації. Окрім того місцями відзначалося зникнення лінії розмежування звапнованого та незвапнованого хряща.</w:t>
      </w:r>
    </w:p>
    <w:p w:rsidR="00F10868" w:rsidRPr="00BE086B" w:rsidRDefault="00F10868" w:rsidP="00F10868">
      <w:pPr>
        <w:spacing w:line="360" w:lineRule="auto"/>
        <w:ind w:firstLine="709"/>
        <w:jc w:val="both"/>
        <w:rPr>
          <w:sz w:val="28"/>
          <w:szCs w:val="28"/>
          <w:lang w:eastAsia="ru-RU"/>
        </w:rPr>
      </w:pPr>
      <w:r w:rsidRPr="00BE086B">
        <w:rPr>
          <w:sz w:val="28"/>
          <w:szCs w:val="28"/>
          <w:lang w:eastAsia="ru-RU"/>
        </w:rPr>
        <w:t>На підставі проведеного дослідження встановлено, що при ОА та ГІТ екстрацелюлярний матрикс хряща мав ознаки мукоїдного набухання та фіброзу, визначався виразний субхондральний склероз, крововиливи, зменшення обсягу кісткового мозку, осередки некрозу та інкапсуляція тканинного детриту.</w:t>
      </w:r>
    </w:p>
    <w:p w:rsidR="00F10868" w:rsidRPr="00BE086B" w:rsidRDefault="00F10868" w:rsidP="00F10868">
      <w:pPr>
        <w:spacing w:line="360" w:lineRule="auto"/>
        <w:ind w:firstLine="709"/>
        <w:jc w:val="both"/>
        <w:rPr>
          <w:sz w:val="28"/>
          <w:szCs w:val="28"/>
        </w:rPr>
      </w:pPr>
      <w:r w:rsidRPr="00BE086B">
        <w:rPr>
          <w:bCs/>
          <w:sz w:val="28"/>
          <w:szCs w:val="28"/>
          <w:lang w:eastAsia="ru-RU"/>
        </w:rPr>
        <w:t>Взагалі, порівняльний морфологічний аналіз дистального епіфізу стегнової кістки щурів групи контролю та тварин зі змодельованими патологічними станами ОА та ГІТ виявив виразні реактивні зміни з боку синовіальної оболонки, суттєве стоншення суглобового хряща та редукцію числа хондроцитів у його складі, а також значний субхондральний склероз</w:t>
      </w:r>
      <w:r w:rsidR="000F74A9" w:rsidRPr="00BE086B">
        <w:rPr>
          <w:bCs/>
          <w:sz w:val="28"/>
          <w:szCs w:val="28"/>
          <w:lang w:val="uk-UA" w:eastAsia="ru-RU"/>
        </w:rPr>
        <w:t xml:space="preserve"> </w:t>
      </w:r>
      <w:r w:rsidR="000F74A9" w:rsidRPr="00BE086B">
        <w:rPr>
          <w:sz w:val="28"/>
          <w:szCs w:val="28"/>
          <w:lang w:val="uk-UA"/>
        </w:rPr>
        <w:t>[257, 412, 413]</w:t>
      </w:r>
      <w:r w:rsidRPr="00BE086B">
        <w:rPr>
          <w:bCs/>
          <w:sz w:val="28"/>
          <w:szCs w:val="28"/>
          <w:lang w:eastAsia="ru-RU"/>
        </w:rPr>
        <w:t>.</w:t>
      </w:r>
    </w:p>
    <w:p w:rsidR="00F10868" w:rsidRPr="00BE086B" w:rsidRDefault="00F10868" w:rsidP="00F10868">
      <w:pPr>
        <w:spacing w:line="360" w:lineRule="auto"/>
        <w:ind w:firstLine="709"/>
        <w:jc w:val="both"/>
        <w:rPr>
          <w:kern w:val="2"/>
          <w:sz w:val="28"/>
          <w:szCs w:val="28"/>
          <w:lang w:eastAsia="uk-UA" w:bidi="hi-IN"/>
        </w:rPr>
      </w:pPr>
      <w:r w:rsidRPr="00BE086B">
        <w:rPr>
          <w:kern w:val="2"/>
          <w:sz w:val="28"/>
          <w:szCs w:val="28"/>
          <w:lang w:eastAsia="uk-UA" w:bidi="hi-IN"/>
        </w:rPr>
        <w:t>Нами визначений в</w:t>
      </w:r>
      <w:r w:rsidRPr="00BE086B">
        <w:rPr>
          <w:bCs/>
          <w:sz w:val="28"/>
          <w:szCs w:val="28"/>
        </w:rPr>
        <w:t>плив призначення L-тироксину на стан хрящової та кісткової тканини за умов експериментального ОА та ГІТ.</w:t>
      </w:r>
    </w:p>
    <w:p w:rsidR="00F10868" w:rsidRPr="00BE086B" w:rsidRDefault="00F10868" w:rsidP="00F10868">
      <w:pPr>
        <w:spacing w:line="360" w:lineRule="auto"/>
        <w:ind w:firstLine="709"/>
        <w:jc w:val="both"/>
        <w:rPr>
          <w:sz w:val="28"/>
          <w:szCs w:val="28"/>
          <w:lang w:eastAsia="ru-RU"/>
        </w:rPr>
      </w:pPr>
      <w:r w:rsidRPr="00BE086B">
        <w:rPr>
          <w:kern w:val="2"/>
          <w:sz w:val="28"/>
          <w:szCs w:val="28"/>
          <w:lang w:eastAsia="uk-UA" w:bidi="hi-IN"/>
        </w:rPr>
        <w:t>Так, аналіз результатів встановив, що н</w:t>
      </w:r>
      <w:r w:rsidRPr="00BE086B">
        <w:rPr>
          <w:sz w:val="28"/>
          <w:szCs w:val="28"/>
          <w:lang w:eastAsia="ru-RU"/>
        </w:rPr>
        <w:t xml:space="preserve">а тлі фармакологічної корекції ЕОА та ЕГ призначенням </w:t>
      </w:r>
      <w:r w:rsidRPr="00BE086B">
        <w:rPr>
          <w:sz w:val="28"/>
          <w:szCs w:val="28"/>
        </w:rPr>
        <w:t xml:space="preserve">L-тироксину </w:t>
      </w:r>
      <w:r w:rsidRPr="00BE086B">
        <w:rPr>
          <w:sz w:val="28"/>
          <w:szCs w:val="28"/>
          <w:lang w:eastAsia="ru-RU"/>
        </w:rPr>
        <w:t xml:space="preserve">з боку синовіальної оболонки колінного суглобу щурів спостерігалося помірне зменшення лімфо-плазмоцитарної інфільтрації у порівнянні з щурами групи активного контролю (без «лікування»), у структурах колінного суглобу щурів зберігалися ознаки гіпертрофії та фіброзу синовіальної оболонки. Синовіоцити були гіперплазовані, а власне синовіум добре васкуляризований. В окремих зразках візуалізувалася киста, яка була заповнена муцинозним вмістом. Визначено, що фармакологічна корекція </w:t>
      </w:r>
      <w:r w:rsidRPr="00BE086B">
        <w:rPr>
          <w:sz w:val="28"/>
          <w:szCs w:val="28"/>
        </w:rPr>
        <w:t xml:space="preserve">L-тироксином </w:t>
      </w:r>
      <w:r w:rsidRPr="00BE086B">
        <w:rPr>
          <w:sz w:val="28"/>
          <w:szCs w:val="28"/>
          <w:lang w:eastAsia="ru-RU"/>
        </w:rPr>
        <w:t>стимулювала регенераторні можливості гіалінового хрящу епіфізу стегнової кістки, п</w:t>
      </w:r>
      <w:r w:rsidRPr="00BE086B">
        <w:rPr>
          <w:sz w:val="28"/>
          <w:szCs w:val="28"/>
          <w:lang w:eastAsia="uk-UA"/>
        </w:rPr>
        <w:t xml:space="preserve">роте виразність гіпертрофії та ступінь васкуляризації синовіальної оболонки залишались значними по відношенню до контрольної групи тварин, що свідчило про </w:t>
      </w:r>
      <w:r w:rsidRPr="00BE086B">
        <w:rPr>
          <w:sz w:val="28"/>
          <w:szCs w:val="28"/>
          <w:lang w:eastAsia="uk-UA"/>
        </w:rPr>
        <w:lastRenderedPageBreak/>
        <w:t>збереження дегенеративно-дистрофічних та запальних явищ кістково-хрящової тканини</w:t>
      </w:r>
      <w:r w:rsidR="000F74A9" w:rsidRPr="00BE086B">
        <w:rPr>
          <w:sz w:val="28"/>
          <w:szCs w:val="28"/>
          <w:lang w:val="uk-UA" w:eastAsia="uk-UA"/>
        </w:rPr>
        <w:t xml:space="preserve"> </w:t>
      </w:r>
      <w:r w:rsidR="000F74A9" w:rsidRPr="00BE086B">
        <w:rPr>
          <w:sz w:val="28"/>
          <w:szCs w:val="28"/>
          <w:lang w:val="uk-UA"/>
        </w:rPr>
        <w:t>[257, 412, 413]</w:t>
      </w:r>
      <w:r w:rsidRPr="00BE086B">
        <w:rPr>
          <w:sz w:val="28"/>
          <w:szCs w:val="28"/>
          <w:lang w:eastAsia="ru-RU"/>
        </w:rPr>
        <w:t>.</w:t>
      </w:r>
    </w:p>
    <w:p w:rsidR="00F10868" w:rsidRPr="00BE086B" w:rsidRDefault="00F10868" w:rsidP="00F10868">
      <w:pPr>
        <w:shd w:val="clear" w:color="auto" w:fill="FFFFFF"/>
        <w:spacing w:line="360" w:lineRule="auto"/>
        <w:ind w:firstLine="709"/>
        <w:jc w:val="both"/>
        <w:rPr>
          <w:sz w:val="28"/>
          <w:szCs w:val="28"/>
        </w:rPr>
      </w:pPr>
      <w:r w:rsidRPr="00BE086B">
        <w:rPr>
          <w:sz w:val="28"/>
          <w:szCs w:val="28"/>
          <w:lang w:eastAsia="uk-UA"/>
        </w:rPr>
        <w:t>П</w:t>
      </w:r>
      <w:r w:rsidRPr="00BE086B">
        <w:rPr>
          <w:bCs/>
          <w:sz w:val="28"/>
          <w:szCs w:val="28"/>
        </w:rPr>
        <w:t xml:space="preserve">роведене дослідження дозволило встановити, що </w:t>
      </w:r>
      <w:r w:rsidRPr="00BE086B">
        <w:rPr>
          <w:sz w:val="28"/>
          <w:szCs w:val="28"/>
          <w:lang w:eastAsia="uk-UA"/>
        </w:rPr>
        <w:t xml:space="preserve">при порівнянні результатів групи тварин, що отримували </w:t>
      </w:r>
      <w:r w:rsidRPr="00BE086B">
        <w:rPr>
          <w:sz w:val="28"/>
          <w:szCs w:val="28"/>
        </w:rPr>
        <w:t>L-тироксин</w:t>
      </w:r>
      <w:r w:rsidRPr="00BE086B">
        <w:rPr>
          <w:sz w:val="28"/>
          <w:szCs w:val="28"/>
          <w:lang w:eastAsia="uk-UA"/>
        </w:rPr>
        <w:t xml:space="preserve"> з групою, що не отримували лікування, відзначалося помірне зменшення запальної реакції та явищ гіпертрофії з боку синовіальної оболонки, регенерація суглобового хряща та кісткової тканини трабекул епіфізу. Морфологічні зміни дистального епіфізу стегнової кістки щурів при порівнянні з контрольною групою свідчили про збереження значної гіпертрофії та гіперплазії синовіальної оболонки з ознаками запалення, неповну регенерацію суглобового хряща та його недостатнє дозрівання у ділянках, товщина яких була наближеною до контролю, а також про виразний субхондральний склероз епіфізу, що свідчило про недостатність та неадекватність призначення тільки </w:t>
      </w:r>
      <w:r w:rsidRPr="00BE086B">
        <w:rPr>
          <w:sz w:val="28"/>
          <w:szCs w:val="28"/>
        </w:rPr>
        <w:t>L-тироксину при коморбідній патології</w:t>
      </w:r>
      <w:r w:rsidRPr="00BE086B">
        <w:rPr>
          <w:sz w:val="28"/>
          <w:szCs w:val="28"/>
          <w:lang w:eastAsia="uk-UA"/>
        </w:rPr>
        <w:t>.</w:t>
      </w:r>
    </w:p>
    <w:p w:rsidR="00F10868" w:rsidRPr="00BE086B" w:rsidRDefault="00F10868" w:rsidP="00F10868">
      <w:pPr>
        <w:spacing w:line="360" w:lineRule="auto"/>
        <w:ind w:firstLine="709"/>
        <w:jc w:val="both"/>
        <w:rPr>
          <w:sz w:val="28"/>
          <w:szCs w:val="28"/>
        </w:rPr>
      </w:pPr>
      <w:r w:rsidRPr="00BE086B">
        <w:rPr>
          <w:bCs/>
          <w:sz w:val="28"/>
          <w:szCs w:val="28"/>
        </w:rPr>
        <w:t>Тому у дослідженні були визначені гістоморфологічні зміни хрящової тканини при призначені диклофенаку натрію та ХС на фоні замісної гормональної терапії L-тироксином при експериментальних патологіях.</w:t>
      </w:r>
    </w:p>
    <w:p w:rsidR="00F10868" w:rsidRPr="00BE086B" w:rsidRDefault="00F10868" w:rsidP="00F10868">
      <w:pPr>
        <w:spacing w:line="360" w:lineRule="auto"/>
        <w:ind w:firstLine="709"/>
        <w:jc w:val="both"/>
        <w:rPr>
          <w:sz w:val="28"/>
          <w:szCs w:val="28"/>
        </w:rPr>
      </w:pPr>
      <w:r w:rsidRPr="00BE086B">
        <w:rPr>
          <w:sz w:val="28"/>
          <w:szCs w:val="28"/>
        </w:rPr>
        <w:t xml:space="preserve">Аналіз гістологічної структури хрящової тканини колінних суглобів щурів, які отримували </w:t>
      </w:r>
      <w:r w:rsidRPr="00BE086B">
        <w:rPr>
          <w:bCs/>
          <w:sz w:val="28"/>
          <w:szCs w:val="28"/>
        </w:rPr>
        <w:t>диклофенак натрію, ХС</w:t>
      </w:r>
      <w:r w:rsidRPr="00BE086B">
        <w:rPr>
          <w:sz w:val="28"/>
          <w:szCs w:val="28"/>
        </w:rPr>
        <w:t xml:space="preserve"> та L-тироксин показав, що у зразках тканин добре візуалізуються надхряща, основна речовина хряща та субхондральна кістка. При призначені </w:t>
      </w:r>
      <w:r w:rsidRPr="00BE086B">
        <w:rPr>
          <w:bCs/>
          <w:sz w:val="28"/>
          <w:szCs w:val="28"/>
        </w:rPr>
        <w:t>диклофенаку натрію, хондроїтину сульфату</w:t>
      </w:r>
      <w:r w:rsidRPr="00BE086B">
        <w:rPr>
          <w:sz w:val="28"/>
          <w:szCs w:val="28"/>
        </w:rPr>
        <w:t xml:space="preserve"> та L-тироксину визначена активна регенерація хрящової і кісткової тканини з ділянками неоваскулогенезу, зменшення ознак реактивного запалення та фіброзу синовіальної оболонки, виражена протяжність та товщина молодого хряща. Хрящова і кісткова тканина колінного суглоба щурів за основними параметрами була практично однакова з інтактними тваринами з тією лише різницею, що мала місце активна регенерація як хрящової, так і кісткової тканини з ділянками неоваскулогенезу.</w:t>
      </w:r>
    </w:p>
    <w:p w:rsidR="00F10868" w:rsidRPr="00BE086B" w:rsidRDefault="00F10868" w:rsidP="00F10868">
      <w:pPr>
        <w:pStyle w:val="1f"/>
        <w:spacing w:after="0" w:line="360" w:lineRule="auto"/>
        <w:ind w:left="0" w:firstLine="709"/>
        <w:contextualSpacing w:val="0"/>
        <w:jc w:val="both"/>
        <w:rPr>
          <w:rFonts w:ascii="Times New Roman" w:hAnsi="Times New Roman" w:cs="Times New Roman"/>
          <w:sz w:val="28"/>
          <w:szCs w:val="28"/>
        </w:rPr>
      </w:pPr>
      <w:r w:rsidRPr="00BE086B">
        <w:rPr>
          <w:rFonts w:ascii="Times New Roman" w:hAnsi="Times New Roman" w:cs="Times New Roman"/>
          <w:sz w:val="28"/>
          <w:szCs w:val="28"/>
          <w:lang w:eastAsia="uk-UA"/>
        </w:rPr>
        <w:t xml:space="preserve">На підставі проведених гістоморфологічних досліджень нами встановлено, що </w:t>
      </w:r>
      <w:r w:rsidRPr="00BE086B">
        <w:rPr>
          <w:rFonts w:ascii="Times New Roman" w:hAnsi="Times New Roman" w:cs="Times New Roman"/>
          <w:sz w:val="28"/>
          <w:szCs w:val="28"/>
        </w:rPr>
        <w:t xml:space="preserve">комбіноване застосування </w:t>
      </w:r>
      <w:r w:rsidRPr="00BE086B">
        <w:rPr>
          <w:rFonts w:ascii="Times New Roman" w:eastAsia="Times New Roman" w:hAnsi="Times New Roman" w:cs="Times New Roman"/>
          <w:sz w:val="28"/>
          <w:szCs w:val="28"/>
        </w:rPr>
        <w:t>диклофенаку натрію, ХС та L-</w:t>
      </w:r>
      <w:r w:rsidRPr="00BE086B">
        <w:rPr>
          <w:rFonts w:ascii="Times New Roman" w:eastAsia="Times New Roman" w:hAnsi="Times New Roman" w:cs="Times New Roman"/>
          <w:sz w:val="28"/>
          <w:szCs w:val="28"/>
        </w:rPr>
        <w:lastRenderedPageBreak/>
        <w:t>тироксину сприяє активній регенерації хрящової і кісткової тканини з ділянками неоваскулогенезу, зменшенню ознак реактивного запалення та фіброзу синовіальної оболонки та формуванню молодого хряща, і комбіноване застосування цих препаратів можна рекомендувати до клінічної апробації при ОА та ГІТ</w:t>
      </w:r>
      <w:r w:rsidR="000F74A9" w:rsidRPr="00BE086B">
        <w:rPr>
          <w:rFonts w:ascii="Times New Roman" w:eastAsia="Times New Roman" w:hAnsi="Times New Roman" w:cs="Times New Roman"/>
          <w:sz w:val="28"/>
          <w:szCs w:val="28"/>
        </w:rPr>
        <w:t xml:space="preserve"> </w:t>
      </w:r>
      <w:r w:rsidR="000F74A9" w:rsidRPr="00BE086B">
        <w:rPr>
          <w:rFonts w:ascii="Times New Roman" w:hAnsi="Times New Roman" w:cs="Times New Roman"/>
          <w:sz w:val="28"/>
          <w:szCs w:val="28"/>
        </w:rPr>
        <w:t>[257, 412, 413]</w:t>
      </w:r>
      <w:r w:rsidRPr="00BE086B">
        <w:rPr>
          <w:rFonts w:ascii="Times New Roman" w:eastAsia="Times New Roman" w:hAnsi="Times New Roman" w:cs="Times New Roman"/>
          <w:sz w:val="28"/>
          <w:szCs w:val="28"/>
        </w:rPr>
        <w:t>.</w:t>
      </w:r>
    </w:p>
    <w:p w:rsidR="00F10868" w:rsidRPr="00BE086B" w:rsidRDefault="00F10868" w:rsidP="00F10868">
      <w:pPr>
        <w:pStyle w:val="af0"/>
        <w:ind w:firstLine="709"/>
        <w:jc w:val="both"/>
        <w:rPr>
          <w:sz w:val="28"/>
          <w:szCs w:val="28"/>
          <w:lang w:val="uk-UA"/>
        </w:rPr>
      </w:pPr>
      <w:r w:rsidRPr="00BE086B">
        <w:rPr>
          <w:kern w:val="2"/>
          <w:sz w:val="28"/>
          <w:szCs w:val="28"/>
          <w:lang w:val="uk-UA" w:eastAsia="uk-UA" w:bidi="hi-IN"/>
        </w:rPr>
        <w:t>Взагалі д</w:t>
      </w:r>
      <w:r w:rsidRPr="00BE086B">
        <w:rPr>
          <w:sz w:val="28"/>
          <w:szCs w:val="28"/>
          <w:lang w:val="uk-UA"/>
        </w:rPr>
        <w:t xml:space="preserve">исертаційна робота присвячена вирішенню проблеми болетамуючої та хондропротекторної терапії за комбінованого застосування НПЗЗ, парацетамолу, хондроїтину сульфату та </w:t>
      </w:r>
      <w:r w:rsidRPr="00BE086B">
        <w:rPr>
          <w:rStyle w:val="Default20Paragraph20Font"/>
          <w:rFonts w:eastAsia="Calibri"/>
          <w:bCs/>
          <w:iCs/>
          <w:sz w:val="28"/>
          <w:szCs w:val="28"/>
        </w:rPr>
        <w:t>L</w:t>
      </w:r>
      <w:r w:rsidRPr="00BE086B">
        <w:rPr>
          <w:rStyle w:val="Default20Paragraph20Font"/>
          <w:rFonts w:eastAsia="Calibri"/>
          <w:bCs/>
          <w:iCs/>
          <w:sz w:val="28"/>
          <w:szCs w:val="28"/>
          <w:lang w:val="uk-UA"/>
        </w:rPr>
        <w:t xml:space="preserve">-тироксину </w:t>
      </w:r>
      <w:r w:rsidRPr="00BE086B">
        <w:rPr>
          <w:sz w:val="28"/>
          <w:szCs w:val="28"/>
          <w:lang w:val="uk-UA"/>
        </w:rPr>
        <w:t>за умов експериментального остеоартрозу на тлі гіпотиреозу.</w:t>
      </w:r>
      <w:r w:rsidRPr="00BE086B">
        <w:rPr>
          <w:iCs/>
          <w:sz w:val="28"/>
          <w:szCs w:val="28"/>
          <w:lang w:val="uk-UA"/>
        </w:rPr>
        <w:t xml:space="preserve"> В експерименті вперше проведені системні порівняльні дослідження аналгетичної, протизапальної (диклофенак натрію, ібупрофен, мелоксикам, німесулід, целекоксиб, парацетамол) та хондропротекторної (хондроїтину сульфат) терапії за умов призначення засобу замісної гормональної терапії (</w:t>
      </w:r>
      <w:r w:rsidRPr="00BE086B">
        <w:rPr>
          <w:sz w:val="28"/>
          <w:szCs w:val="28"/>
        </w:rPr>
        <w:t>L</w:t>
      </w:r>
      <w:r w:rsidRPr="00BE086B">
        <w:rPr>
          <w:sz w:val="28"/>
          <w:szCs w:val="28"/>
          <w:lang w:val="uk-UA"/>
        </w:rPr>
        <w:t xml:space="preserve">-тироксину) </w:t>
      </w:r>
      <w:r w:rsidRPr="00BE086B">
        <w:rPr>
          <w:iCs/>
          <w:sz w:val="28"/>
          <w:szCs w:val="28"/>
          <w:lang w:val="uk-UA"/>
        </w:rPr>
        <w:t>на тлі коморбідної патології – ОА</w:t>
      </w:r>
      <w:r w:rsidRPr="00BE086B">
        <w:rPr>
          <w:sz w:val="28"/>
          <w:szCs w:val="28"/>
          <w:lang w:val="uk-UA"/>
        </w:rPr>
        <w:t xml:space="preserve"> та ГІТ</w:t>
      </w:r>
      <w:r w:rsidRPr="00BE086B">
        <w:rPr>
          <w:iCs/>
          <w:sz w:val="28"/>
          <w:szCs w:val="28"/>
          <w:lang w:val="uk-UA"/>
        </w:rPr>
        <w:t>.</w:t>
      </w:r>
    </w:p>
    <w:p w:rsidR="00F10868" w:rsidRPr="00BE086B" w:rsidRDefault="00F10868" w:rsidP="00F10868">
      <w:pPr>
        <w:spacing w:line="360" w:lineRule="auto"/>
        <w:ind w:firstLine="709"/>
        <w:jc w:val="both"/>
        <w:rPr>
          <w:sz w:val="28"/>
          <w:szCs w:val="28"/>
          <w:lang w:val="uk-UA"/>
        </w:rPr>
      </w:pPr>
      <w:r w:rsidRPr="00BE086B">
        <w:rPr>
          <w:sz w:val="28"/>
          <w:szCs w:val="28"/>
          <w:lang w:val="uk-UA"/>
        </w:rPr>
        <w:t xml:space="preserve">Проведені нами дослідження </w:t>
      </w:r>
      <w:r w:rsidRPr="00BE086B">
        <w:rPr>
          <w:bCs/>
          <w:sz w:val="28"/>
          <w:szCs w:val="28"/>
          <w:lang w:val="uk-UA"/>
        </w:rPr>
        <w:t>структурних змін кістково-хрящової тканини на тлі гіпофункції ЩЗ</w:t>
      </w:r>
      <w:r w:rsidRPr="00BE086B">
        <w:rPr>
          <w:sz w:val="28"/>
          <w:szCs w:val="28"/>
          <w:lang w:val="uk-UA"/>
        </w:rPr>
        <w:t xml:space="preserve"> дозволили виявити </w:t>
      </w:r>
      <w:r w:rsidRPr="00BE086B">
        <w:rPr>
          <w:bCs/>
          <w:sz w:val="28"/>
          <w:szCs w:val="28"/>
          <w:lang w:val="uk-UA"/>
        </w:rPr>
        <w:t>вплив гормональної недостатності на хрящову тканину, що висвітлило необхідність медикаментозної корекції патологічних порушень</w:t>
      </w:r>
      <w:r w:rsidR="000F74A9" w:rsidRPr="00BE086B">
        <w:rPr>
          <w:bCs/>
          <w:sz w:val="28"/>
          <w:szCs w:val="28"/>
          <w:lang w:val="uk-UA"/>
        </w:rPr>
        <w:t xml:space="preserve"> </w:t>
      </w:r>
      <w:r w:rsidR="000F74A9" w:rsidRPr="00BE086B">
        <w:rPr>
          <w:sz w:val="28"/>
          <w:szCs w:val="28"/>
          <w:lang w:val="uk-UA"/>
        </w:rPr>
        <w:t>[257, 412, 413]</w:t>
      </w:r>
      <w:r w:rsidRPr="00BE086B">
        <w:rPr>
          <w:bCs/>
          <w:sz w:val="28"/>
          <w:szCs w:val="28"/>
          <w:lang w:val="uk-UA"/>
        </w:rPr>
        <w:t>.</w:t>
      </w:r>
    </w:p>
    <w:p w:rsidR="00F10868" w:rsidRPr="00BE086B" w:rsidRDefault="00F10868" w:rsidP="00F10868">
      <w:pPr>
        <w:shd w:val="clear" w:color="auto" w:fill="FFFFFF"/>
        <w:spacing w:line="360" w:lineRule="auto"/>
        <w:ind w:firstLine="709"/>
        <w:jc w:val="both"/>
        <w:rPr>
          <w:rFonts w:eastAsia="Calibri"/>
          <w:iCs/>
          <w:sz w:val="28"/>
          <w:szCs w:val="28"/>
        </w:rPr>
      </w:pPr>
      <w:r w:rsidRPr="00BE086B">
        <w:rPr>
          <w:bCs/>
          <w:sz w:val="28"/>
          <w:szCs w:val="28"/>
        </w:rPr>
        <w:t xml:space="preserve">Були доповнені дані щодо особливостей </w:t>
      </w:r>
      <w:r w:rsidRPr="00BE086B">
        <w:rPr>
          <w:sz w:val="28"/>
          <w:szCs w:val="28"/>
        </w:rPr>
        <w:t>больової перцепції</w:t>
      </w:r>
      <w:r w:rsidRPr="00BE086B">
        <w:rPr>
          <w:bCs/>
          <w:sz w:val="28"/>
          <w:szCs w:val="28"/>
        </w:rPr>
        <w:t xml:space="preserve"> за експериментальних патологічних станів та під впливом НПЗЗ та парацетамолу</w:t>
      </w:r>
      <w:r w:rsidR="000F74A9" w:rsidRPr="00BE086B">
        <w:rPr>
          <w:bCs/>
          <w:sz w:val="28"/>
          <w:szCs w:val="28"/>
          <w:lang w:val="uk-UA"/>
        </w:rPr>
        <w:t xml:space="preserve"> </w:t>
      </w:r>
      <w:r w:rsidR="000F74A9" w:rsidRPr="00BE086B">
        <w:rPr>
          <w:sz w:val="28"/>
          <w:szCs w:val="28"/>
          <w:lang w:val="uk-UA"/>
        </w:rPr>
        <w:t>[7, 355, 356]</w:t>
      </w:r>
      <w:r w:rsidRPr="00BE086B">
        <w:rPr>
          <w:bCs/>
          <w:sz w:val="28"/>
          <w:szCs w:val="28"/>
        </w:rPr>
        <w:t>.</w:t>
      </w:r>
    </w:p>
    <w:p w:rsidR="00F10868" w:rsidRPr="00BE086B" w:rsidRDefault="00F10868" w:rsidP="00F10868">
      <w:pPr>
        <w:pStyle w:val="WW-"/>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Показано, що сумісне призначення НПЗЗ та парацетамолу з препаратом замісної гормональної терапії L-тироксином сприяє позитивним змінам </w:t>
      </w:r>
      <w:r w:rsidRPr="00BE086B">
        <w:rPr>
          <w:rFonts w:ascii="Times New Roman" w:hAnsi="Times New Roman" w:cs="Times New Roman"/>
          <w:bCs/>
          <w:color w:val="auto"/>
          <w:sz w:val="28"/>
          <w:szCs w:val="28"/>
          <w:lang w:val="uk-UA"/>
        </w:rPr>
        <w:t>рухової та дослідницької активності</w:t>
      </w:r>
      <w:r w:rsidRPr="00BE086B">
        <w:rPr>
          <w:rFonts w:ascii="Times New Roman" w:hAnsi="Times New Roman" w:cs="Times New Roman"/>
          <w:color w:val="auto"/>
          <w:sz w:val="28"/>
          <w:szCs w:val="28"/>
          <w:lang w:val="uk-UA"/>
        </w:rPr>
        <w:t xml:space="preserve"> щурів за умов експериментального ОА та ГІТ та чинить різний вплив на показники спонтанної поведінкової активності</w:t>
      </w:r>
      <w:r w:rsidR="000F74A9" w:rsidRPr="00BE086B">
        <w:rPr>
          <w:rFonts w:ascii="Times New Roman" w:hAnsi="Times New Roman" w:cs="Times New Roman"/>
          <w:color w:val="auto"/>
          <w:sz w:val="28"/>
          <w:szCs w:val="28"/>
          <w:lang w:val="uk-UA"/>
        </w:rPr>
        <w:t xml:space="preserve"> [360]</w:t>
      </w:r>
      <w:r w:rsidRPr="00BE086B">
        <w:rPr>
          <w:rFonts w:ascii="Times New Roman" w:hAnsi="Times New Roman" w:cs="Times New Roman"/>
          <w:color w:val="auto"/>
          <w:sz w:val="28"/>
          <w:szCs w:val="28"/>
          <w:lang w:val="uk-UA"/>
        </w:rPr>
        <w:t>.</w:t>
      </w:r>
    </w:p>
    <w:p w:rsidR="00F10868" w:rsidRPr="00BE086B" w:rsidRDefault="00F10868" w:rsidP="00F10868">
      <w:pPr>
        <w:spacing w:line="360" w:lineRule="auto"/>
        <w:ind w:firstLine="709"/>
        <w:jc w:val="both"/>
        <w:rPr>
          <w:sz w:val="28"/>
          <w:szCs w:val="28"/>
          <w:lang w:val="uk-UA"/>
        </w:rPr>
      </w:pPr>
      <w:r w:rsidRPr="00BE086B">
        <w:rPr>
          <w:sz w:val="28"/>
          <w:szCs w:val="28"/>
          <w:lang w:val="uk-UA"/>
        </w:rPr>
        <w:t xml:space="preserve">Була вперше оцінена протизапальна та хондропротекторна активність НПЗЗ та парацетамолу за рівнем маркерів </w:t>
      </w:r>
      <w:r w:rsidRPr="00BE086B">
        <w:rPr>
          <w:sz w:val="28"/>
          <w:szCs w:val="28"/>
        </w:rPr>
        <w:t>IL</w:t>
      </w:r>
      <w:r w:rsidRPr="00BE086B">
        <w:rPr>
          <w:sz w:val="28"/>
          <w:szCs w:val="28"/>
          <w:lang w:val="uk-UA"/>
        </w:rPr>
        <w:t xml:space="preserve"> 1, </w:t>
      </w:r>
      <w:r w:rsidRPr="00BE086B">
        <w:rPr>
          <w:sz w:val="28"/>
          <w:szCs w:val="28"/>
        </w:rPr>
        <w:t>IL</w:t>
      </w:r>
      <w:r w:rsidRPr="00BE086B">
        <w:rPr>
          <w:sz w:val="28"/>
          <w:szCs w:val="28"/>
          <w:lang w:val="uk-UA"/>
        </w:rPr>
        <w:t xml:space="preserve"> 6, </w:t>
      </w:r>
      <w:r w:rsidRPr="00BE086B">
        <w:rPr>
          <w:sz w:val="28"/>
          <w:szCs w:val="28"/>
        </w:rPr>
        <w:t>IL</w:t>
      </w:r>
      <w:r w:rsidRPr="00BE086B">
        <w:rPr>
          <w:sz w:val="28"/>
          <w:szCs w:val="28"/>
          <w:lang w:val="uk-UA"/>
        </w:rPr>
        <w:t xml:space="preserve"> 8, ММП-3, ММП-9, ММП-13, ФНП, СРП, </w:t>
      </w:r>
      <w:r w:rsidRPr="00BE086B">
        <w:rPr>
          <w:bCs/>
          <w:sz w:val="28"/>
          <w:szCs w:val="28"/>
          <w:lang w:val="uk-UA"/>
        </w:rPr>
        <w:t>КЛФ,</w:t>
      </w:r>
      <w:r w:rsidRPr="00BE086B">
        <w:rPr>
          <w:sz w:val="28"/>
          <w:szCs w:val="28"/>
          <w:lang w:val="uk-UA"/>
        </w:rPr>
        <w:t xml:space="preserve"> СТХ </w:t>
      </w:r>
      <w:r w:rsidRPr="00BE086B">
        <w:rPr>
          <w:sz w:val="28"/>
          <w:szCs w:val="28"/>
        </w:rPr>
        <w:t>I</w:t>
      </w:r>
      <w:r w:rsidRPr="00BE086B">
        <w:rPr>
          <w:sz w:val="28"/>
          <w:szCs w:val="28"/>
          <w:lang w:val="uk-UA"/>
        </w:rPr>
        <w:t xml:space="preserve">, СТХ </w:t>
      </w:r>
      <w:r w:rsidRPr="00BE086B">
        <w:rPr>
          <w:sz w:val="28"/>
          <w:szCs w:val="28"/>
        </w:rPr>
        <w:t>I</w:t>
      </w:r>
      <w:r w:rsidRPr="00BE086B">
        <w:rPr>
          <w:sz w:val="28"/>
          <w:szCs w:val="28"/>
          <w:lang w:val="uk-UA"/>
        </w:rPr>
        <w:t>І та встановлена спроможність досліджуваних препаратів до впливу на запальні та дегенеративно-</w:t>
      </w:r>
      <w:r w:rsidRPr="00BE086B">
        <w:rPr>
          <w:sz w:val="28"/>
          <w:szCs w:val="28"/>
          <w:lang w:val="uk-UA"/>
        </w:rPr>
        <w:lastRenderedPageBreak/>
        <w:t>дистрофічні процеси у хрящовій тканині та тканині суглобу за коморбідного стану</w:t>
      </w:r>
      <w:r w:rsidR="000F74A9" w:rsidRPr="00BE086B">
        <w:rPr>
          <w:sz w:val="28"/>
          <w:szCs w:val="28"/>
          <w:lang w:val="uk-UA"/>
        </w:rPr>
        <w:t xml:space="preserve"> [124-128]</w:t>
      </w:r>
      <w:r w:rsidRPr="00BE086B">
        <w:rPr>
          <w:sz w:val="28"/>
          <w:szCs w:val="28"/>
          <w:lang w:val="uk-UA"/>
        </w:rPr>
        <w:t>.</w:t>
      </w:r>
    </w:p>
    <w:p w:rsidR="00F10868" w:rsidRPr="00BE086B" w:rsidRDefault="00F10868" w:rsidP="00F10868">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Були визначені препарати групи НПЗЗ, що впливають на концентрацію ТТГ, Т3 та Т4 у сироватці крові при ОА та ГІТ.</w:t>
      </w:r>
    </w:p>
    <w:p w:rsidR="00F10868" w:rsidRPr="00BE086B" w:rsidRDefault="00F10868" w:rsidP="00F10868">
      <w:pPr>
        <w:spacing w:line="360" w:lineRule="auto"/>
        <w:ind w:firstLine="709"/>
        <w:jc w:val="both"/>
        <w:rPr>
          <w:sz w:val="28"/>
          <w:szCs w:val="28"/>
          <w:lang w:val="uk-UA"/>
        </w:rPr>
      </w:pPr>
      <w:r w:rsidRPr="00BE086B">
        <w:rPr>
          <w:sz w:val="28"/>
          <w:szCs w:val="28"/>
          <w:lang w:val="uk-UA"/>
        </w:rPr>
        <w:t>Встановлена здатність хондроїтину сульфату відновлювати морфометричні розміри уражених суглобів, показники рухової, дослідницької та вегетативної активності у щурів, проявляти помірну знеболювальну дію та позитивно впливати на біохімічні показники (рівні серомукоїдів, сіалових кислот, глікозаміногліканів, оксипроліну, сивороткового кальцію та маркеру СТХ ІІ) за коморбідного стану – ОА та ГІТ</w:t>
      </w:r>
      <w:r w:rsidR="000F74A9" w:rsidRPr="00BE086B">
        <w:rPr>
          <w:sz w:val="28"/>
          <w:szCs w:val="28"/>
          <w:lang w:val="uk-UA"/>
        </w:rPr>
        <w:t xml:space="preserve"> [360]</w:t>
      </w:r>
      <w:r w:rsidRPr="00BE086B">
        <w:rPr>
          <w:sz w:val="28"/>
          <w:szCs w:val="28"/>
          <w:lang w:val="uk-UA"/>
        </w:rPr>
        <w:t>.</w:t>
      </w:r>
    </w:p>
    <w:p w:rsidR="00F10868" w:rsidRPr="00BE086B" w:rsidRDefault="00F10868" w:rsidP="00F10868">
      <w:pPr>
        <w:spacing w:line="360" w:lineRule="auto"/>
        <w:ind w:firstLine="709"/>
        <w:jc w:val="both"/>
        <w:rPr>
          <w:sz w:val="28"/>
          <w:szCs w:val="28"/>
          <w:lang w:eastAsia="ru-RU"/>
        </w:rPr>
      </w:pPr>
      <w:r w:rsidRPr="00BE086B">
        <w:rPr>
          <w:iCs/>
          <w:sz w:val="28"/>
          <w:szCs w:val="28"/>
        </w:rPr>
        <w:t xml:space="preserve">Також вперше при ОА, коморбідного з ГІТ обґрунтовано комбіноване застосування </w:t>
      </w:r>
      <w:r w:rsidRPr="00BE086B">
        <w:rPr>
          <w:sz w:val="28"/>
          <w:szCs w:val="28"/>
        </w:rPr>
        <w:t>L-тироксину, диклофенаку натрію та хондроїтину сульфату. Саме за комбінованого застосування цих препаратів виявлені знеболювальні та протизапальні ефекти, а також активна регенерація як хрящової, так і кісткової тканини з формуванням ділянок неоваскулогенезу у пошкодженому суглобі.</w:t>
      </w:r>
      <w:r w:rsidRPr="00BE086B">
        <w:rPr>
          <w:iCs/>
          <w:sz w:val="28"/>
          <w:szCs w:val="28"/>
        </w:rPr>
        <w:t xml:space="preserve"> Доведено, що</w:t>
      </w:r>
      <w:r w:rsidRPr="00BE086B">
        <w:rPr>
          <w:sz w:val="28"/>
          <w:szCs w:val="28"/>
          <w:lang w:eastAsia="ru-RU"/>
        </w:rPr>
        <w:t xml:space="preserve"> аналгетична активність за комбінованого застосування д</w:t>
      </w:r>
      <w:r w:rsidRPr="00BE086B">
        <w:rPr>
          <w:sz w:val="28"/>
          <w:szCs w:val="28"/>
        </w:rPr>
        <w:t>иклофенаку натрію з хондроїтином сульфатом та L-тироксином</w:t>
      </w:r>
      <w:r w:rsidRPr="00BE086B">
        <w:rPr>
          <w:sz w:val="28"/>
          <w:szCs w:val="28"/>
          <w:lang w:eastAsia="ru-RU"/>
        </w:rPr>
        <w:t xml:space="preserve"> при одноразовому внутрішньошлунковому введені</w:t>
      </w:r>
      <w:r w:rsidRPr="00BE086B">
        <w:rPr>
          <w:rStyle w:val="Default20Paragraph20Font"/>
          <w:bCs/>
          <w:iCs/>
          <w:sz w:val="28"/>
          <w:szCs w:val="28"/>
        </w:rPr>
        <w:t xml:space="preserve"> на різних моделях больової перцепції </w:t>
      </w:r>
      <w:r w:rsidRPr="00BE086B">
        <w:rPr>
          <w:sz w:val="28"/>
          <w:szCs w:val="28"/>
          <w:lang w:eastAsia="ru-RU"/>
        </w:rPr>
        <w:t>вища за знеболювальну дію окремих препаратів</w:t>
      </w:r>
      <w:r w:rsidR="000F74A9" w:rsidRPr="00BE086B">
        <w:rPr>
          <w:sz w:val="28"/>
          <w:szCs w:val="28"/>
          <w:lang w:val="uk-UA" w:eastAsia="ru-RU"/>
        </w:rPr>
        <w:t xml:space="preserve"> </w:t>
      </w:r>
      <w:r w:rsidR="000F74A9" w:rsidRPr="00BE086B">
        <w:rPr>
          <w:sz w:val="28"/>
          <w:szCs w:val="28"/>
          <w:lang w:val="uk-UA"/>
        </w:rPr>
        <w:t>[7, 360]</w:t>
      </w:r>
      <w:r w:rsidRPr="00BE086B">
        <w:rPr>
          <w:sz w:val="28"/>
          <w:szCs w:val="28"/>
          <w:lang w:eastAsia="ru-RU"/>
        </w:rPr>
        <w:t>.</w:t>
      </w:r>
    </w:p>
    <w:p w:rsidR="00F10868" w:rsidRPr="00BE086B" w:rsidRDefault="00F10868" w:rsidP="00F10868">
      <w:pPr>
        <w:spacing w:line="360" w:lineRule="auto"/>
        <w:ind w:firstLine="709"/>
        <w:jc w:val="both"/>
        <w:rPr>
          <w:sz w:val="28"/>
          <w:szCs w:val="28"/>
        </w:rPr>
      </w:pPr>
      <w:r w:rsidRPr="00BE086B">
        <w:rPr>
          <w:sz w:val="28"/>
          <w:szCs w:val="28"/>
        </w:rPr>
        <w:t>Встановлена відсутність біофармацевтичної взаємодії між препаратами, що використовувалися для знеболення та зменшення запальних симптомів, на тлі ОА, асоційованого з ГІТ.</w:t>
      </w:r>
    </w:p>
    <w:p w:rsidR="00F10868" w:rsidRPr="00BE086B" w:rsidRDefault="00F10868" w:rsidP="00F10868">
      <w:pPr>
        <w:spacing w:line="360" w:lineRule="auto"/>
        <w:ind w:firstLine="709"/>
        <w:jc w:val="both"/>
        <w:rPr>
          <w:sz w:val="28"/>
          <w:szCs w:val="28"/>
        </w:rPr>
      </w:pPr>
      <w:r w:rsidRPr="00BE086B">
        <w:rPr>
          <w:sz w:val="28"/>
          <w:szCs w:val="28"/>
        </w:rPr>
        <w:t>Проведене дослідження є передумовою для обґрунтування раціональних підходів до фармакотерапії болю і запалення та забезпечення адекватної хондропротекції у хворих на ОА при супутньому ГІТ.</w:t>
      </w:r>
    </w:p>
    <w:p w:rsidR="00F10868" w:rsidRPr="00BE086B" w:rsidRDefault="00F10868" w:rsidP="00F10868">
      <w:pPr>
        <w:spacing w:line="360" w:lineRule="auto"/>
        <w:ind w:firstLine="709"/>
        <w:jc w:val="both"/>
        <w:rPr>
          <w:rStyle w:val="Default20Paragraph20Font"/>
          <w:rFonts w:eastAsia="Arial Unicode MS"/>
          <w:sz w:val="28"/>
          <w:szCs w:val="28"/>
        </w:rPr>
      </w:pPr>
      <w:r w:rsidRPr="00BE086B">
        <w:rPr>
          <w:rFonts w:eastAsia="Calibri"/>
          <w:sz w:val="28"/>
          <w:szCs w:val="28"/>
        </w:rPr>
        <w:t xml:space="preserve">На підставі того, що селективні НПЗЗ і переважні інгібітори ЦОГ-2 значно втрачають знеболювальну активність у порівнянні з невибірковими інгібіторами ЦОГ, а призначення замісної гормональної терапії гіпотиреозу відновлює антиноцицептивну активність на тлі остеоартрозу, коморбідного з </w:t>
      </w:r>
      <w:r w:rsidRPr="00BE086B">
        <w:rPr>
          <w:rFonts w:eastAsia="Calibri"/>
          <w:sz w:val="28"/>
          <w:szCs w:val="28"/>
        </w:rPr>
        <w:lastRenderedPageBreak/>
        <w:t xml:space="preserve">гіпотиреозом обґрунтовується доцільність комбінованого застосування диклофенаку натрію, хондроїтину сульфату та </w:t>
      </w:r>
      <w:r w:rsidRPr="00BE086B">
        <w:rPr>
          <w:sz w:val="28"/>
          <w:szCs w:val="28"/>
        </w:rPr>
        <w:t>L-тироксину</w:t>
      </w:r>
      <w:r w:rsidR="000F74A9" w:rsidRPr="00BE086B">
        <w:rPr>
          <w:sz w:val="28"/>
          <w:szCs w:val="28"/>
          <w:lang w:val="uk-UA"/>
        </w:rPr>
        <w:t xml:space="preserve"> [360]</w:t>
      </w:r>
      <w:r w:rsidRPr="00BE086B">
        <w:rPr>
          <w:rFonts w:eastAsia="Calibri"/>
          <w:sz w:val="28"/>
          <w:szCs w:val="28"/>
        </w:rPr>
        <w:t>.</w:t>
      </w:r>
    </w:p>
    <w:p w:rsidR="00F10868" w:rsidRPr="00BE086B" w:rsidRDefault="00F10868" w:rsidP="00F10868">
      <w:pPr>
        <w:spacing w:line="360" w:lineRule="auto"/>
        <w:ind w:firstLine="709"/>
        <w:jc w:val="both"/>
        <w:rPr>
          <w:sz w:val="28"/>
          <w:szCs w:val="28"/>
        </w:rPr>
      </w:pPr>
      <w:r w:rsidRPr="00BE086B">
        <w:rPr>
          <w:kern w:val="2"/>
          <w:sz w:val="28"/>
          <w:szCs w:val="28"/>
          <w:lang w:eastAsia="uk-UA" w:bidi="hi-IN"/>
        </w:rPr>
        <w:t>Виявлений різний вплив досліджених НПЗЗ та парацетамолу на запалення та дегенеративно-дистрофічні процеси у кістковій та хрящовій тканині дозволять у клінічних умовах обирати відповідний засіб у залежності від клінічних проявів остеоартрозу.</w:t>
      </w:r>
    </w:p>
    <w:p w:rsidR="00F10868" w:rsidRPr="00BE086B" w:rsidRDefault="00F10868" w:rsidP="00F10868">
      <w:pPr>
        <w:spacing w:line="360" w:lineRule="auto"/>
        <w:ind w:firstLine="709"/>
        <w:jc w:val="both"/>
        <w:rPr>
          <w:sz w:val="28"/>
          <w:szCs w:val="28"/>
        </w:rPr>
      </w:pPr>
      <w:r w:rsidRPr="00BE086B">
        <w:rPr>
          <w:sz w:val="28"/>
          <w:szCs w:val="28"/>
        </w:rPr>
        <w:t>Також при фармакотерапії остеоартрозу на тлі гіпотиреозу необхідно враховувати вплив різних аналгетиків на рівень гормонів ТТГ, Т3 та Т4 з метою раціональної корекції функціональної активності щитоподібної залози.</w:t>
      </w:r>
    </w:p>
    <w:p w:rsidR="00F10868" w:rsidRPr="00BE086B" w:rsidRDefault="00F10868" w:rsidP="00F10868">
      <w:pPr>
        <w:numPr>
          <w:ilvl w:val="0"/>
          <w:numId w:val="13"/>
        </w:numPr>
        <w:suppressAutoHyphens w:val="0"/>
        <w:spacing w:line="360" w:lineRule="auto"/>
        <w:ind w:firstLine="709"/>
        <w:jc w:val="both"/>
        <w:rPr>
          <w:sz w:val="28"/>
          <w:szCs w:val="28"/>
        </w:rPr>
      </w:pPr>
      <w:r w:rsidRPr="00BE086B">
        <w:rPr>
          <w:sz w:val="28"/>
          <w:szCs w:val="28"/>
        </w:rPr>
        <w:t>Взагалі використання комбінованої терапії, заснованої на поєднанні диклофенаку натрію, хондроїтину сульфату та L-тироксину є доцільним і здатним підвищувати ефективність знеболювальної, протизапальної та хондропротекторної терапії при коморбідній патології остеоартрозу та гіпотиреозу.</w:t>
      </w:r>
    </w:p>
    <w:p w:rsidR="00F10868" w:rsidRPr="00BE086B" w:rsidRDefault="00F10868"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Default="00337D23" w:rsidP="009D0803">
      <w:pPr>
        <w:pStyle w:val="af0"/>
        <w:ind w:firstLine="709"/>
        <w:jc w:val="both"/>
        <w:rPr>
          <w:sz w:val="28"/>
          <w:szCs w:val="28"/>
        </w:rPr>
      </w:pPr>
    </w:p>
    <w:p w:rsidR="00125A5A" w:rsidRDefault="00125A5A" w:rsidP="009D0803">
      <w:pPr>
        <w:pStyle w:val="af0"/>
        <w:ind w:firstLine="709"/>
        <w:jc w:val="both"/>
        <w:rPr>
          <w:sz w:val="28"/>
          <w:szCs w:val="28"/>
        </w:rPr>
      </w:pPr>
    </w:p>
    <w:p w:rsidR="00125A5A" w:rsidRDefault="00125A5A" w:rsidP="009D0803">
      <w:pPr>
        <w:pStyle w:val="af0"/>
        <w:ind w:firstLine="709"/>
        <w:jc w:val="both"/>
        <w:rPr>
          <w:sz w:val="28"/>
          <w:szCs w:val="28"/>
        </w:rPr>
      </w:pPr>
    </w:p>
    <w:p w:rsidR="00125A5A" w:rsidRDefault="00125A5A" w:rsidP="009D0803">
      <w:pPr>
        <w:pStyle w:val="af0"/>
        <w:ind w:firstLine="709"/>
        <w:jc w:val="both"/>
        <w:rPr>
          <w:sz w:val="28"/>
          <w:szCs w:val="28"/>
        </w:rPr>
      </w:pPr>
    </w:p>
    <w:p w:rsidR="00125A5A" w:rsidRDefault="00125A5A" w:rsidP="009D0803">
      <w:pPr>
        <w:pStyle w:val="af0"/>
        <w:ind w:firstLine="709"/>
        <w:jc w:val="both"/>
        <w:rPr>
          <w:sz w:val="28"/>
          <w:szCs w:val="28"/>
        </w:rPr>
      </w:pPr>
    </w:p>
    <w:p w:rsidR="00125A5A" w:rsidRPr="00BE086B" w:rsidRDefault="00125A5A"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Pr="00BE086B" w:rsidRDefault="00337D23" w:rsidP="009D0803">
      <w:pPr>
        <w:pStyle w:val="af0"/>
        <w:ind w:firstLine="709"/>
        <w:jc w:val="both"/>
        <w:rPr>
          <w:sz w:val="28"/>
          <w:szCs w:val="28"/>
        </w:rPr>
      </w:pPr>
    </w:p>
    <w:p w:rsidR="00337D23" w:rsidRPr="00BE086B" w:rsidRDefault="00337D23" w:rsidP="00337D23">
      <w:pPr>
        <w:spacing w:line="360" w:lineRule="auto"/>
        <w:ind w:firstLine="709"/>
        <w:jc w:val="center"/>
        <w:rPr>
          <w:b/>
          <w:bCs/>
          <w:sz w:val="28"/>
          <w:szCs w:val="28"/>
          <w:lang w:val="uk-UA"/>
        </w:rPr>
      </w:pPr>
      <w:r w:rsidRPr="00BE086B">
        <w:rPr>
          <w:b/>
          <w:bCs/>
          <w:sz w:val="28"/>
          <w:szCs w:val="28"/>
          <w:lang w:val="uk-UA"/>
        </w:rPr>
        <w:lastRenderedPageBreak/>
        <w:t>ВИСНОВКИ</w:t>
      </w:r>
    </w:p>
    <w:p w:rsidR="00337D23" w:rsidRPr="00BE086B" w:rsidRDefault="00337D23" w:rsidP="00337D23">
      <w:pPr>
        <w:spacing w:line="360" w:lineRule="auto"/>
        <w:ind w:firstLine="709"/>
        <w:jc w:val="center"/>
        <w:rPr>
          <w:lang w:val="uk-UA"/>
        </w:rPr>
      </w:pPr>
    </w:p>
    <w:p w:rsidR="00337D23" w:rsidRPr="00BE086B" w:rsidRDefault="00337D23" w:rsidP="00337D23">
      <w:pPr>
        <w:spacing w:line="360" w:lineRule="auto"/>
        <w:ind w:firstLine="709"/>
        <w:jc w:val="both"/>
        <w:rPr>
          <w:sz w:val="28"/>
          <w:szCs w:val="28"/>
          <w:lang w:val="uk-UA"/>
        </w:rPr>
      </w:pPr>
      <w:r w:rsidRPr="00BE086B">
        <w:rPr>
          <w:sz w:val="28"/>
          <w:szCs w:val="28"/>
          <w:lang w:val="uk-UA"/>
        </w:rPr>
        <w:t xml:space="preserve">Дисертаційна робота присвячена вирішенню проблеми болетамуючої та хондропротекторної терапії за комбінованого застосування НПЗЗ, парацетамолу, хондроїтину сульфату та </w:t>
      </w:r>
      <w:r w:rsidRPr="00BE086B">
        <w:rPr>
          <w:rStyle w:val="Default20Paragraph20Font"/>
          <w:rFonts w:eastAsia="Calibri"/>
          <w:bCs/>
          <w:iCs/>
          <w:sz w:val="28"/>
          <w:szCs w:val="28"/>
        </w:rPr>
        <w:t>L</w:t>
      </w:r>
      <w:r w:rsidRPr="00BE086B">
        <w:rPr>
          <w:rStyle w:val="Default20Paragraph20Font"/>
          <w:rFonts w:eastAsia="Calibri"/>
          <w:bCs/>
          <w:iCs/>
          <w:sz w:val="28"/>
          <w:szCs w:val="28"/>
          <w:lang w:val="uk-UA"/>
        </w:rPr>
        <w:t xml:space="preserve">-тироксину </w:t>
      </w:r>
      <w:r w:rsidRPr="00BE086B">
        <w:rPr>
          <w:sz w:val="28"/>
          <w:szCs w:val="28"/>
          <w:lang w:val="uk-UA"/>
        </w:rPr>
        <w:t>за умов експериментального остеоартрозу на тлі гіпотиреозу.</w:t>
      </w:r>
    </w:p>
    <w:p w:rsidR="00337D23" w:rsidRPr="00BE086B" w:rsidRDefault="00337D23" w:rsidP="00337D23">
      <w:pPr>
        <w:spacing w:line="360" w:lineRule="auto"/>
        <w:ind w:firstLine="709"/>
        <w:jc w:val="both"/>
        <w:rPr>
          <w:sz w:val="28"/>
          <w:szCs w:val="28"/>
          <w:lang w:val="uk-UA"/>
        </w:rPr>
      </w:pPr>
    </w:p>
    <w:p w:rsidR="00337D23" w:rsidRPr="00BE086B" w:rsidRDefault="00337D23" w:rsidP="00337D23">
      <w:pPr>
        <w:spacing w:line="360" w:lineRule="auto"/>
        <w:ind w:firstLine="709"/>
        <w:jc w:val="both"/>
        <w:rPr>
          <w:rFonts w:eastAsia="Calibri"/>
          <w:iCs/>
          <w:sz w:val="28"/>
          <w:szCs w:val="28"/>
        </w:rPr>
      </w:pPr>
      <w:r w:rsidRPr="00BE086B">
        <w:rPr>
          <w:rFonts w:eastAsia="Calibri"/>
          <w:iCs/>
          <w:sz w:val="28"/>
          <w:szCs w:val="28"/>
        </w:rPr>
        <w:t>1. Гіпотиреоз призводить до гіпоалгезії на тлі остеоартрозу, про що свідчить зменшення порогу больової чутливості на 17% (р&lt;0,05) за коморбідного стану проти 24% (р&lt;0,05) за остеоартрозу.</w:t>
      </w:r>
    </w:p>
    <w:p w:rsidR="00337D23" w:rsidRPr="00BE086B" w:rsidRDefault="00337D23" w:rsidP="00337D23">
      <w:pPr>
        <w:spacing w:line="360" w:lineRule="auto"/>
        <w:ind w:firstLine="709"/>
        <w:jc w:val="both"/>
        <w:rPr>
          <w:rStyle w:val="Default20Paragraph20Font"/>
          <w:bCs/>
          <w:sz w:val="28"/>
          <w:szCs w:val="28"/>
        </w:rPr>
      </w:pPr>
      <w:r w:rsidRPr="00BE086B">
        <w:rPr>
          <w:rFonts w:eastAsia="Calibri"/>
          <w:iCs/>
          <w:sz w:val="28"/>
          <w:szCs w:val="28"/>
        </w:rPr>
        <w:t xml:space="preserve">2. </w:t>
      </w:r>
      <w:r w:rsidRPr="00BE086B">
        <w:rPr>
          <w:rStyle w:val="Default20Paragraph20Font"/>
          <w:rFonts w:eastAsia="Calibri"/>
          <w:iCs/>
          <w:sz w:val="28"/>
          <w:szCs w:val="28"/>
        </w:rPr>
        <w:t>Експериментальні патологічні стани – остеоартроз та гіпотиреоз значно змінюють антиноцицептивну активність лікарських засобів.</w:t>
      </w:r>
      <w:r w:rsidRPr="00BE086B">
        <w:rPr>
          <w:rFonts w:eastAsia="Calibri"/>
          <w:sz w:val="28"/>
          <w:szCs w:val="28"/>
        </w:rPr>
        <w:t xml:space="preserve"> З</w:t>
      </w:r>
      <w:r w:rsidRPr="00BE086B">
        <w:rPr>
          <w:rStyle w:val="Default20Paragraph20Font"/>
          <w:rFonts w:eastAsia="Calibri"/>
          <w:sz w:val="28"/>
          <w:szCs w:val="28"/>
        </w:rPr>
        <w:t>а</w:t>
      </w:r>
      <w:r w:rsidRPr="00BE086B">
        <w:rPr>
          <w:rStyle w:val="Default20Paragraph20Font"/>
          <w:rFonts w:eastAsia="Calibri"/>
          <w:bCs/>
          <w:iCs/>
          <w:sz w:val="28"/>
          <w:szCs w:val="28"/>
        </w:rPr>
        <w:t xml:space="preserve"> умов остеоартрозу та гіпотиреозу на фоні замісної гормональної терапії L-тироксином</w:t>
      </w:r>
      <w:r w:rsidRPr="00BE086B">
        <w:rPr>
          <w:rStyle w:val="Default20Paragraph20Font"/>
          <w:rFonts w:eastAsia="Calibri"/>
          <w:sz w:val="28"/>
          <w:szCs w:val="28"/>
        </w:rPr>
        <w:t xml:space="preserve"> встановлено, що </w:t>
      </w:r>
      <w:r w:rsidRPr="00BE086B">
        <w:rPr>
          <w:sz w:val="28"/>
          <w:szCs w:val="28"/>
          <w:lang w:eastAsia="ru-RU"/>
        </w:rPr>
        <w:t xml:space="preserve">за інтенсивністю антиноцицептивної дії дані препарати розташовуються наступним чином: </w:t>
      </w:r>
      <w:r w:rsidRPr="00BE086B">
        <w:rPr>
          <w:rStyle w:val="Default20Paragraph20Font"/>
          <w:rFonts w:eastAsia="Calibri"/>
          <w:iCs/>
          <w:sz w:val="28"/>
          <w:szCs w:val="28"/>
        </w:rPr>
        <w:t xml:space="preserve">диклофенак натрію (+212%)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ібупрофен (+144%)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німесулід (+134%)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парацетамол (+116%)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мелоксикам (+104%) </w:t>
      </w:r>
      <w:r w:rsidRPr="00BE086B">
        <w:rPr>
          <w:rFonts w:eastAsia="Calibri"/>
          <w:sz w:val="28"/>
          <w:szCs w:val="28"/>
        </w:rPr>
        <w:t>(р</w:t>
      </w:r>
      <w:r w:rsidRPr="00BE086B">
        <w:rPr>
          <w:rFonts w:eastAsia="Calibri"/>
          <w:iCs/>
          <w:sz w:val="28"/>
          <w:szCs w:val="28"/>
        </w:rPr>
        <w:t>&lt;</w:t>
      </w:r>
      <w:r w:rsidRPr="00BE086B">
        <w:rPr>
          <w:rFonts w:eastAsia="Calibri"/>
          <w:sz w:val="28"/>
          <w:szCs w:val="28"/>
        </w:rPr>
        <w:t xml:space="preserve">0,001) </w:t>
      </w:r>
      <w:r w:rsidRPr="00BE086B">
        <w:rPr>
          <w:rStyle w:val="Default20Paragraph20Font"/>
          <w:rFonts w:eastAsia="Calibri"/>
          <w:iCs/>
          <w:sz w:val="28"/>
          <w:szCs w:val="28"/>
        </w:rPr>
        <w:t xml:space="preserve">≥ целекоксиб (+93%) </w:t>
      </w:r>
      <w:r w:rsidRPr="00BE086B">
        <w:rPr>
          <w:rFonts w:eastAsia="Calibri"/>
          <w:sz w:val="28"/>
          <w:szCs w:val="28"/>
        </w:rPr>
        <w:t>(р</w:t>
      </w:r>
      <w:r w:rsidRPr="00BE086B">
        <w:rPr>
          <w:rFonts w:eastAsia="Calibri"/>
          <w:iCs/>
          <w:sz w:val="28"/>
          <w:szCs w:val="28"/>
        </w:rPr>
        <w:t>&lt;</w:t>
      </w:r>
      <w:r w:rsidRPr="00BE086B">
        <w:rPr>
          <w:rFonts w:eastAsia="Calibri"/>
          <w:sz w:val="28"/>
          <w:szCs w:val="28"/>
        </w:rPr>
        <w:t>0,001)</w:t>
      </w:r>
      <w:r w:rsidRPr="00BE086B">
        <w:rPr>
          <w:rStyle w:val="Default20Paragraph20Font"/>
          <w:rFonts w:eastAsia="Calibri"/>
          <w:iCs/>
          <w:sz w:val="28"/>
          <w:szCs w:val="28"/>
        </w:rPr>
        <w:t>, що відображає найвищу антиноцицептивну активність диклофенаку натрію.</w:t>
      </w:r>
    </w:p>
    <w:p w:rsidR="00337D23" w:rsidRPr="00BE086B" w:rsidRDefault="00337D23" w:rsidP="00337D23">
      <w:pPr>
        <w:spacing w:line="360" w:lineRule="auto"/>
        <w:ind w:firstLine="709"/>
        <w:jc w:val="both"/>
        <w:rPr>
          <w:sz w:val="28"/>
          <w:szCs w:val="28"/>
        </w:rPr>
      </w:pPr>
      <w:r w:rsidRPr="00BE086B">
        <w:rPr>
          <w:sz w:val="28"/>
          <w:szCs w:val="28"/>
        </w:rPr>
        <w:t>3. О</w:t>
      </w:r>
      <w:r w:rsidRPr="00BE086B">
        <w:rPr>
          <w:bCs/>
          <w:sz w:val="28"/>
          <w:szCs w:val="28"/>
        </w:rPr>
        <w:t xml:space="preserve">стеоартроз та гіпотиреоз </w:t>
      </w:r>
      <w:r w:rsidRPr="00BE086B">
        <w:rPr>
          <w:sz w:val="28"/>
          <w:szCs w:val="28"/>
        </w:rPr>
        <w:t xml:space="preserve">сприяють погіршенню </w:t>
      </w:r>
      <w:r w:rsidRPr="00BE086B">
        <w:rPr>
          <w:bCs/>
          <w:sz w:val="28"/>
          <w:szCs w:val="28"/>
        </w:rPr>
        <w:t>рухової та дослідницької активності</w:t>
      </w:r>
      <w:r w:rsidRPr="00BE086B">
        <w:rPr>
          <w:sz w:val="28"/>
          <w:szCs w:val="28"/>
        </w:rPr>
        <w:t xml:space="preserve"> у щурів, а замісна гормональна фармакотерапія L-тироксином сприяє її відновленню (</w:t>
      </w:r>
      <w:r w:rsidRPr="00BE086B">
        <w:rPr>
          <w:rFonts w:eastAsia="Calibri"/>
          <w:iCs/>
          <w:sz w:val="28"/>
          <w:szCs w:val="28"/>
        </w:rPr>
        <w:t>р&lt;0,05</w:t>
      </w:r>
      <w:r w:rsidRPr="00BE086B">
        <w:rPr>
          <w:sz w:val="28"/>
          <w:szCs w:val="28"/>
        </w:rPr>
        <w:t>). Призначення диклофенаку натрію сумісно з L-тироксином призводить до потенціювання позитивного впливу L-тироксину на рухову та дослідницьку активність порівняно до монотерапії L-тироксином (</w:t>
      </w:r>
      <w:r w:rsidRPr="00BE086B">
        <w:rPr>
          <w:rFonts w:eastAsia="Calibri"/>
          <w:iCs/>
          <w:sz w:val="28"/>
          <w:szCs w:val="28"/>
        </w:rPr>
        <w:t>р&lt;0,05</w:t>
      </w:r>
      <w:r w:rsidRPr="00BE086B">
        <w:rPr>
          <w:sz w:val="28"/>
          <w:szCs w:val="28"/>
        </w:rPr>
        <w:t>).</w:t>
      </w:r>
    </w:p>
    <w:p w:rsidR="00337D23" w:rsidRPr="00BE086B" w:rsidRDefault="00337D23" w:rsidP="00337D23">
      <w:pPr>
        <w:spacing w:line="360" w:lineRule="auto"/>
        <w:ind w:firstLine="709"/>
        <w:jc w:val="both"/>
        <w:rPr>
          <w:sz w:val="28"/>
          <w:szCs w:val="28"/>
        </w:rPr>
      </w:pPr>
      <w:r w:rsidRPr="00BE086B">
        <w:rPr>
          <w:sz w:val="28"/>
          <w:szCs w:val="28"/>
        </w:rPr>
        <w:t xml:space="preserve">4. За ступенем впливу на запальні процеси у суглобі за показниками рівнів інтерлейкінів (IL 1, IL 6 та IL 8), матриксних металопротеїназ (ММП-3, ММП-9 та ММП-13), фактору некрозу пухлин (ФНП) та С-реактивного протеїну (СРП) та за </w:t>
      </w:r>
      <w:r w:rsidRPr="00BE086B">
        <w:rPr>
          <w:bCs/>
          <w:sz w:val="28"/>
          <w:szCs w:val="28"/>
        </w:rPr>
        <w:t xml:space="preserve">інтенсивністю впливу на дегенеративно-дистрофічні процеси у кістковій тканині (за рівнем маркеру розпаду колагену </w:t>
      </w:r>
      <w:r w:rsidRPr="00BE086B">
        <w:rPr>
          <w:sz w:val="28"/>
          <w:szCs w:val="28"/>
        </w:rPr>
        <w:t>I</w:t>
      </w:r>
      <w:r w:rsidRPr="00BE086B">
        <w:rPr>
          <w:bCs/>
          <w:sz w:val="28"/>
          <w:szCs w:val="28"/>
        </w:rPr>
        <w:t xml:space="preserve"> типу (</w:t>
      </w:r>
      <w:r w:rsidRPr="00BE086B">
        <w:rPr>
          <w:sz w:val="28"/>
          <w:szCs w:val="28"/>
        </w:rPr>
        <w:t xml:space="preserve">СТХ </w:t>
      </w:r>
      <w:r w:rsidRPr="00BE086B">
        <w:rPr>
          <w:sz w:val="28"/>
          <w:szCs w:val="28"/>
        </w:rPr>
        <w:lastRenderedPageBreak/>
        <w:t>I) у сироватці крові щурів) досліджені препарати розташувались наступним чином: диклофенак натрію &gt; ібупрофен &gt; німесулід = мелоксикам &gt; целекоксиб &gt; парацетамол, що відображає різну ефективність зазначених препаратів на патологічні прояви коморбідної патології.</w:t>
      </w:r>
    </w:p>
    <w:p w:rsidR="00337D23" w:rsidRPr="00BE086B" w:rsidRDefault="00337D23" w:rsidP="00337D23">
      <w:pPr>
        <w:pStyle w:val="WW-1"/>
        <w:spacing w:after="0" w:line="360" w:lineRule="auto"/>
        <w:ind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kern w:val="28"/>
          <w:sz w:val="28"/>
          <w:szCs w:val="28"/>
          <w:lang w:val="uk-UA"/>
        </w:rPr>
        <w:t>З</w:t>
      </w:r>
      <w:r w:rsidRPr="00BE086B">
        <w:rPr>
          <w:rFonts w:ascii="Times New Roman" w:hAnsi="Times New Roman" w:cs="Times New Roman"/>
          <w:color w:val="auto"/>
          <w:sz w:val="28"/>
          <w:szCs w:val="28"/>
          <w:lang w:val="uk-UA"/>
        </w:rPr>
        <w:t>а ступенем впливу на дегенеративно-дистрофічні процеси у хрящовій тканині,</w:t>
      </w:r>
      <w:r w:rsidRPr="00BE086B">
        <w:rPr>
          <w:rFonts w:ascii="Times New Roman" w:hAnsi="Times New Roman" w:cs="Times New Roman"/>
          <w:bCs/>
          <w:color w:val="auto"/>
          <w:sz w:val="28"/>
          <w:szCs w:val="28"/>
          <w:lang w:val="uk-UA"/>
        </w:rPr>
        <w:t xml:space="preserve"> що оцінені за рівнем маркеру розпаду колагену </w:t>
      </w:r>
      <w:r w:rsidRPr="00BE086B">
        <w:rPr>
          <w:rFonts w:ascii="Times New Roman" w:hAnsi="Times New Roman" w:cs="Times New Roman"/>
          <w:color w:val="auto"/>
          <w:sz w:val="28"/>
          <w:szCs w:val="28"/>
          <w:lang w:val="uk-UA"/>
        </w:rPr>
        <w:t>IІ</w:t>
      </w:r>
      <w:r w:rsidRPr="00BE086B">
        <w:rPr>
          <w:rFonts w:ascii="Times New Roman" w:hAnsi="Times New Roman" w:cs="Times New Roman"/>
          <w:bCs/>
          <w:color w:val="auto"/>
          <w:sz w:val="28"/>
          <w:szCs w:val="28"/>
          <w:lang w:val="uk-UA"/>
        </w:rPr>
        <w:t xml:space="preserve"> типу (</w:t>
      </w:r>
      <w:r w:rsidRPr="00BE086B">
        <w:rPr>
          <w:rFonts w:ascii="Times New Roman" w:hAnsi="Times New Roman" w:cs="Times New Roman"/>
          <w:color w:val="auto"/>
          <w:sz w:val="28"/>
          <w:szCs w:val="28"/>
          <w:lang w:val="uk-UA"/>
        </w:rPr>
        <w:t>СТХ IІ) у сироватці крові щурів, досліджені препарати розташувались наступним чином: німесулід &gt; целекоксиб &gt; мелоксикам &gt; ібупрофен &gt; диклофенак натрію &gt; парацетамол.</w:t>
      </w:r>
    </w:p>
    <w:p w:rsidR="00337D23" w:rsidRPr="00BE086B" w:rsidRDefault="00337D23" w:rsidP="00337D23">
      <w:pPr>
        <w:pStyle w:val="afc"/>
        <w:spacing w:line="360" w:lineRule="auto"/>
        <w:ind w:left="0" w:right="0" w:firstLine="709"/>
        <w:rPr>
          <w:color w:val="auto"/>
          <w:sz w:val="28"/>
          <w:szCs w:val="28"/>
        </w:rPr>
      </w:pPr>
      <w:r w:rsidRPr="00BE086B">
        <w:rPr>
          <w:color w:val="auto"/>
          <w:sz w:val="28"/>
          <w:szCs w:val="28"/>
        </w:rPr>
        <w:t>З</w:t>
      </w:r>
      <w:r w:rsidRPr="00BE086B">
        <w:rPr>
          <w:bCs/>
          <w:color w:val="auto"/>
          <w:sz w:val="28"/>
          <w:szCs w:val="28"/>
        </w:rPr>
        <w:t>а ступенем впливу на активність остеобластів у кістковій тканині, які оцінені за рівнем кісткової лужної фосфатази (КЛФ)</w:t>
      </w:r>
      <w:r w:rsidRPr="00BE086B">
        <w:rPr>
          <w:color w:val="auto"/>
          <w:sz w:val="28"/>
          <w:szCs w:val="28"/>
        </w:rPr>
        <w:t xml:space="preserve"> у сироватці крові щурів </w:t>
      </w:r>
      <w:r w:rsidRPr="00BE086B">
        <w:rPr>
          <w:bCs/>
          <w:color w:val="auto"/>
          <w:sz w:val="28"/>
          <w:szCs w:val="28"/>
        </w:rPr>
        <w:t>досліджені препарати розташувались наступним чином: диклофенак натрію &gt; ібупрофен &gt; мелоксикам &gt; німесулід &gt; целекоксиб &gt; парацетамол.</w:t>
      </w:r>
    </w:p>
    <w:p w:rsidR="00337D23" w:rsidRPr="00BE086B" w:rsidRDefault="00337D23" w:rsidP="00337D23">
      <w:pPr>
        <w:spacing w:line="360" w:lineRule="auto"/>
        <w:ind w:firstLine="709"/>
        <w:jc w:val="both"/>
        <w:rPr>
          <w:bCs/>
          <w:sz w:val="28"/>
          <w:szCs w:val="28"/>
          <w:lang w:val="uk-UA"/>
        </w:rPr>
      </w:pPr>
      <w:r w:rsidRPr="00BE086B">
        <w:rPr>
          <w:sz w:val="28"/>
          <w:szCs w:val="28"/>
          <w:lang w:val="uk-UA"/>
        </w:rPr>
        <w:t>5. На фоні остеоартрозу та гіпотиреозу у щурів при внутрішньошлунковому введенні досліджуваних препаратів у середньо ефективних дозах визначена лише тенденція до зниження рівня гормонів Т3, Т4 та ТТГ у сироватці крові щурів (р&gt;0,05). При підвищенні середньо ефективних доз, у межах терапевтичного діапазону, ібупрофен, мелоксикам та німесулід істотно знижують рівень ТТГ у сироватці крові щурів у 1,47; 1,29 та 1,40 рази (</w:t>
      </w:r>
      <w:r w:rsidRPr="00BE086B">
        <w:rPr>
          <w:rFonts w:eastAsia="Calibri"/>
          <w:iCs/>
          <w:sz w:val="28"/>
          <w:szCs w:val="28"/>
          <w:lang w:val="uk-UA"/>
        </w:rPr>
        <w:t>р&lt;0,05</w:t>
      </w:r>
      <w:r w:rsidRPr="00BE086B">
        <w:rPr>
          <w:sz w:val="28"/>
          <w:szCs w:val="28"/>
          <w:lang w:val="uk-UA"/>
        </w:rPr>
        <w:t>) відповідно та підвищують рівень Т4 у 1,23; 1,27 та 1,26 рази (</w:t>
      </w:r>
      <w:r w:rsidRPr="00BE086B">
        <w:rPr>
          <w:rFonts w:eastAsia="Calibri"/>
          <w:iCs/>
          <w:sz w:val="28"/>
          <w:szCs w:val="28"/>
          <w:lang w:val="uk-UA"/>
        </w:rPr>
        <w:t>р&lt;0,05</w:t>
      </w:r>
      <w:r w:rsidRPr="00BE086B">
        <w:rPr>
          <w:sz w:val="28"/>
          <w:szCs w:val="28"/>
          <w:lang w:val="uk-UA"/>
        </w:rPr>
        <w:t>) відповідно, а диклофенак натрію та целекоксиб знижують рівень ТТГ лише у 1,16 та 1,15 рази (р</w:t>
      </w:r>
      <w:r w:rsidRPr="00BE086B">
        <w:rPr>
          <w:rFonts w:eastAsia="Calibri"/>
          <w:iCs/>
          <w:sz w:val="28"/>
          <w:szCs w:val="28"/>
          <w:lang w:val="uk-UA"/>
        </w:rPr>
        <w:t>&lt;</w:t>
      </w:r>
      <w:r w:rsidRPr="00BE086B">
        <w:rPr>
          <w:sz w:val="28"/>
          <w:szCs w:val="28"/>
          <w:lang w:val="uk-UA"/>
        </w:rPr>
        <w:t>0,05) відповідно.</w:t>
      </w:r>
    </w:p>
    <w:p w:rsidR="00337D23" w:rsidRPr="00BE086B" w:rsidRDefault="00337D23" w:rsidP="00337D23">
      <w:pPr>
        <w:spacing w:line="360" w:lineRule="auto"/>
        <w:ind w:firstLine="709"/>
        <w:jc w:val="both"/>
        <w:rPr>
          <w:bCs/>
          <w:sz w:val="28"/>
          <w:szCs w:val="28"/>
          <w:lang w:val="uk-UA"/>
        </w:rPr>
      </w:pPr>
      <w:r w:rsidRPr="00BE086B">
        <w:rPr>
          <w:bCs/>
          <w:sz w:val="28"/>
          <w:szCs w:val="28"/>
          <w:lang w:val="uk-UA"/>
        </w:rPr>
        <w:t>6. На тлі коморбідного стану – остеоартрозу з гіпотиреозом доцільне комбіноване застосування</w:t>
      </w:r>
      <w:r w:rsidRPr="00BE086B">
        <w:rPr>
          <w:sz w:val="28"/>
          <w:szCs w:val="28"/>
          <w:lang w:val="uk-UA"/>
        </w:rPr>
        <w:t xml:space="preserve"> </w:t>
      </w:r>
      <w:r w:rsidRPr="00BE086B">
        <w:rPr>
          <w:sz w:val="28"/>
          <w:szCs w:val="28"/>
        </w:rPr>
        <w:t>L</w:t>
      </w:r>
      <w:r w:rsidRPr="00BE086B">
        <w:rPr>
          <w:sz w:val="28"/>
          <w:szCs w:val="28"/>
          <w:lang w:val="uk-UA"/>
        </w:rPr>
        <w:t>-тироксину, диклофенаку натрію та хондроїтину сульфату з метою посилення знеболювального ефекту окремих препаратів, відновлення морфометричних розмірів уражених суглобів, рухової, дослідницької та вегетативної активності щурів і біохімічних маркерів запального процесу. Встановлена відсутність біофармацевтичної взаємодії між зазначеними препаратами.</w:t>
      </w:r>
    </w:p>
    <w:p w:rsidR="00337D23" w:rsidRPr="00BE086B" w:rsidRDefault="00337D23" w:rsidP="00337D23">
      <w:pPr>
        <w:spacing w:line="360" w:lineRule="auto"/>
        <w:ind w:firstLine="709"/>
        <w:jc w:val="both"/>
        <w:rPr>
          <w:sz w:val="28"/>
          <w:szCs w:val="28"/>
          <w:lang w:val="uk-UA"/>
        </w:rPr>
      </w:pPr>
      <w:r w:rsidRPr="00BE086B">
        <w:rPr>
          <w:iCs/>
          <w:sz w:val="28"/>
          <w:szCs w:val="28"/>
          <w:lang w:val="uk-UA"/>
        </w:rPr>
        <w:lastRenderedPageBreak/>
        <w:t>7. К</w:t>
      </w:r>
      <w:r w:rsidRPr="00BE086B">
        <w:rPr>
          <w:sz w:val="28"/>
          <w:szCs w:val="28"/>
          <w:lang w:val="uk-UA"/>
        </w:rPr>
        <w:t>омбіноване застосування диклофенаку натрію, хондроїтину сульфату та L-тироксину сприяє активній регенерації як хрящової, так і кісткової тканини з формуванням ділянок неоваскулогенезу, а комбіноване застосування L-тироксину, диклофенаку натрію та хондроїтину сульфату можна рекомендувати до використання за клінічного дослідження на тлі остеоартрозу, коморбідного з гіпотиреозом.</w:t>
      </w:r>
    </w:p>
    <w:p w:rsidR="00337D23" w:rsidRPr="00BE086B" w:rsidRDefault="00337D23" w:rsidP="009D0803">
      <w:pPr>
        <w:pStyle w:val="af0"/>
        <w:ind w:firstLine="709"/>
        <w:jc w:val="both"/>
        <w:rPr>
          <w:sz w:val="28"/>
          <w:szCs w:val="28"/>
          <w:lang w:val="uk-UA"/>
        </w:rPr>
      </w:pPr>
    </w:p>
    <w:p w:rsidR="00337D23" w:rsidRPr="00BE086B" w:rsidRDefault="00337D2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1E2E53" w:rsidRPr="00BE086B" w:rsidRDefault="001E2E53" w:rsidP="009D0803">
      <w:pPr>
        <w:pStyle w:val="af0"/>
        <w:ind w:firstLine="709"/>
        <w:jc w:val="both"/>
        <w:rPr>
          <w:sz w:val="28"/>
          <w:szCs w:val="28"/>
          <w:lang w:val="uk-UA"/>
        </w:rPr>
      </w:pPr>
    </w:p>
    <w:p w:rsidR="008B13C0" w:rsidRPr="00BE086B" w:rsidRDefault="008B13C0" w:rsidP="008B13C0">
      <w:pPr>
        <w:widowControl w:val="0"/>
        <w:suppressAutoHyphens w:val="0"/>
        <w:spacing w:line="360" w:lineRule="auto"/>
        <w:ind w:firstLine="709"/>
        <w:jc w:val="center"/>
        <w:rPr>
          <w:sz w:val="28"/>
          <w:szCs w:val="28"/>
        </w:rPr>
      </w:pPr>
      <w:r w:rsidRPr="00BE086B">
        <w:rPr>
          <w:b/>
          <w:bCs/>
          <w:sz w:val="28"/>
          <w:szCs w:val="28"/>
          <w:lang w:val="uk-UA"/>
        </w:rPr>
        <w:lastRenderedPageBreak/>
        <w:t>СПИСОК ВИКОРИСТАНИХ ДЖЕРЕЛ</w:t>
      </w:r>
    </w:p>
    <w:p w:rsidR="008B13C0" w:rsidRPr="00BE086B" w:rsidRDefault="008B13C0" w:rsidP="00611AFB">
      <w:pPr>
        <w:pStyle w:val="Default"/>
        <w:widowControl w:val="0"/>
        <w:numPr>
          <w:ilvl w:val="0"/>
          <w:numId w:val="19"/>
        </w:numPr>
        <w:spacing w:line="360" w:lineRule="auto"/>
        <w:ind w:left="0" w:firstLine="709"/>
        <w:jc w:val="both"/>
        <w:rPr>
          <w:rFonts w:ascii="Times New Roman" w:hAnsi="Times New Roman" w:cs="Times New Roman"/>
          <w:color w:val="auto"/>
          <w:sz w:val="28"/>
          <w:szCs w:val="28"/>
          <w:shd w:val="clear" w:color="auto" w:fill="FFFFFF"/>
        </w:rPr>
      </w:pPr>
      <w:r w:rsidRPr="00BE086B">
        <w:rPr>
          <w:rFonts w:ascii="Times New Roman" w:hAnsi="Times New Roman" w:cs="Times New Roman"/>
          <w:color w:val="auto"/>
          <w:sz w:val="28"/>
          <w:szCs w:val="28"/>
        </w:rPr>
        <w:t xml:space="preserve">Дмитрієв Д.В., Волощук Н.І., Вжецон Є.Є. </w:t>
      </w:r>
      <w:r w:rsidRPr="00BE086B">
        <w:rPr>
          <w:rFonts w:ascii="Times New Roman" w:hAnsi="Times New Roman" w:cs="Times New Roman"/>
          <w:bCs/>
          <w:color w:val="auto"/>
          <w:sz w:val="28"/>
          <w:szCs w:val="28"/>
        </w:rPr>
        <w:t>Больовий синдром у дітей різного віку. Погляд на проблему</w:t>
      </w:r>
      <w:r w:rsidRPr="00BE086B">
        <w:rPr>
          <w:rFonts w:ascii="Times New Roman" w:hAnsi="Times New Roman" w:cs="Times New Roman"/>
          <w:bCs/>
          <w:color w:val="auto"/>
          <w:sz w:val="28"/>
          <w:szCs w:val="28"/>
          <w:lang w:val="uk-UA"/>
        </w:rPr>
        <w:t>.</w:t>
      </w:r>
      <w:r w:rsidRPr="00BE086B">
        <w:rPr>
          <w:rFonts w:ascii="Times New Roman" w:hAnsi="Times New Roman" w:cs="Times New Roman"/>
          <w:color w:val="auto"/>
          <w:sz w:val="28"/>
          <w:szCs w:val="28"/>
        </w:rPr>
        <w:t xml:space="preserve"> Укр</w:t>
      </w:r>
      <w:r w:rsidRPr="00BE086B">
        <w:rPr>
          <w:rFonts w:ascii="Times New Roman" w:hAnsi="Times New Roman" w:cs="Times New Roman"/>
          <w:color w:val="auto"/>
          <w:sz w:val="28"/>
          <w:szCs w:val="28"/>
          <w:lang w:val="uk-UA"/>
        </w:rPr>
        <w:t>.</w:t>
      </w:r>
      <w:r w:rsidRPr="00BE086B">
        <w:rPr>
          <w:rFonts w:ascii="Times New Roman" w:hAnsi="Times New Roman" w:cs="Times New Roman"/>
          <w:color w:val="auto"/>
          <w:sz w:val="28"/>
          <w:szCs w:val="28"/>
        </w:rPr>
        <w:t xml:space="preserve"> журн</w:t>
      </w:r>
      <w:r w:rsidRPr="00BE086B">
        <w:rPr>
          <w:rFonts w:ascii="Times New Roman" w:hAnsi="Times New Roman" w:cs="Times New Roman"/>
          <w:color w:val="auto"/>
          <w:sz w:val="28"/>
          <w:szCs w:val="28"/>
          <w:lang w:val="uk-UA"/>
        </w:rPr>
        <w:t>.</w:t>
      </w:r>
      <w:r w:rsidRPr="00BE086B">
        <w:rPr>
          <w:rFonts w:ascii="Times New Roman" w:hAnsi="Times New Roman" w:cs="Times New Roman"/>
          <w:color w:val="auto"/>
          <w:sz w:val="28"/>
          <w:szCs w:val="28"/>
        </w:rPr>
        <w:t xml:space="preserve"> боли</w:t>
      </w:r>
      <w:r w:rsidRPr="00BE086B">
        <w:rPr>
          <w:rFonts w:ascii="Times New Roman" w:hAnsi="Times New Roman" w:cs="Times New Roman"/>
          <w:color w:val="auto"/>
          <w:sz w:val="28"/>
          <w:szCs w:val="28"/>
          <w:lang w:val="uk-UA"/>
        </w:rPr>
        <w:t xml:space="preserve">. 2013; </w:t>
      </w:r>
      <w:r w:rsidRPr="00BE086B">
        <w:rPr>
          <w:rFonts w:ascii="Times New Roman" w:hAnsi="Times New Roman" w:cs="Times New Roman"/>
          <w:iCs/>
          <w:color w:val="auto"/>
          <w:sz w:val="28"/>
          <w:szCs w:val="28"/>
        </w:rPr>
        <w:t>2(4)</w:t>
      </w:r>
      <w:r w:rsidRPr="00BE086B">
        <w:rPr>
          <w:rFonts w:ascii="Times New Roman" w:hAnsi="Times New Roman" w:cs="Times New Roman"/>
          <w:iCs/>
          <w:color w:val="auto"/>
          <w:sz w:val="28"/>
          <w:szCs w:val="28"/>
          <w:lang w:val="uk-UA"/>
        </w:rPr>
        <w:t>:14-24.</w:t>
      </w:r>
    </w:p>
    <w:p w:rsidR="008B13C0" w:rsidRPr="00BE086B" w:rsidRDefault="008B13C0" w:rsidP="00611AFB">
      <w:pPr>
        <w:pStyle w:val="Default"/>
        <w:widowControl w:val="0"/>
        <w:numPr>
          <w:ilvl w:val="0"/>
          <w:numId w:val="19"/>
        </w:numPr>
        <w:spacing w:line="360" w:lineRule="auto"/>
        <w:ind w:left="0" w:firstLine="709"/>
        <w:jc w:val="both"/>
        <w:rPr>
          <w:rFonts w:ascii="Times New Roman" w:hAnsi="Times New Roman" w:cs="Times New Roman"/>
          <w:color w:val="auto"/>
          <w:sz w:val="28"/>
          <w:szCs w:val="28"/>
          <w:shd w:val="clear" w:color="auto" w:fill="FFFFFF"/>
        </w:rPr>
      </w:pPr>
      <w:r w:rsidRPr="001142BF">
        <w:rPr>
          <w:rFonts w:ascii="Times New Roman" w:hAnsi="Times New Roman" w:cs="Times New Roman"/>
          <w:bCs/>
          <w:iCs/>
          <w:color w:val="auto"/>
          <w:sz w:val="28"/>
          <w:szCs w:val="28"/>
          <w:lang w:val="en-US"/>
        </w:rPr>
        <w:t>Grygorieva N.V., Povoroznyuk V.V., Nemerska</w:t>
      </w:r>
      <w:r w:rsidRPr="00BE086B">
        <w:rPr>
          <w:rFonts w:ascii="Times New Roman" w:hAnsi="Times New Roman" w:cs="Times New Roman"/>
          <w:bCs/>
          <w:iCs/>
          <w:color w:val="auto"/>
          <w:sz w:val="28"/>
          <w:szCs w:val="28"/>
          <w:lang w:val="uk-UA"/>
        </w:rPr>
        <w:t xml:space="preserve"> </w:t>
      </w:r>
      <w:r w:rsidRPr="001142BF">
        <w:rPr>
          <w:rFonts w:ascii="Times New Roman" w:hAnsi="Times New Roman" w:cs="Times New Roman"/>
          <w:bCs/>
          <w:iCs/>
          <w:color w:val="auto"/>
          <w:sz w:val="28"/>
          <w:szCs w:val="28"/>
          <w:lang w:val="en-US"/>
        </w:rPr>
        <w:t xml:space="preserve">S.V. </w:t>
      </w:r>
      <w:r w:rsidRPr="00BE086B">
        <w:rPr>
          <w:rFonts w:ascii="Times New Roman" w:hAnsi="Times New Roman" w:cs="Times New Roman"/>
          <w:color w:val="auto"/>
          <w:sz w:val="28"/>
          <w:szCs w:val="28"/>
          <w:lang w:val="en-US"/>
        </w:rPr>
        <w:t>Neck pain: modern approaches</w:t>
      </w:r>
      <w:r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en-US"/>
        </w:rPr>
        <w:t>to the non-pharmacological treatment.</w:t>
      </w:r>
      <w:r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rPr>
        <w:t>Part I</w:t>
      </w:r>
      <w:r w:rsidRPr="00BE086B">
        <w:rPr>
          <w:rFonts w:ascii="Times New Roman" w:hAnsi="Times New Roman" w:cs="Times New Roman"/>
          <w:color w:val="auto"/>
          <w:sz w:val="28"/>
          <w:szCs w:val="28"/>
          <w:lang w:val="uk-UA"/>
        </w:rPr>
        <w:t xml:space="preserve">. </w:t>
      </w:r>
      <w:r w:rsidRPr="00BE086B">
        <w:rPr>
          <w:rFonts w:ascii="Times New Roman" w:hAnsi="Times New Roman" w:cs="Times New Roman"/>
          <w:iCs/>
          <w:color w:val="auto"/>
          <w:sz w:val="28"/>
          <w:szCs w:val="28"/>
        </w:rPr>
        <w:t>Bol', sustavy, pozvonočnik.</w:t>
      </w:r>
      <w:r w:rsidRPr="00BE086B">
        <w:rPr>
          <w:rFonts w:ascii="Times New Roman" w:hAnsi="Times New Roman" w:cs="Times New Roman"/>
          <w:iCs/>
          <w:color w:val="auto"/>
          <w:sz w:val="28"/>
          <w:szCs w:val="28"/>
          <w:lang w:val="uk-UA"/>
        </w:rPr>
        <w:t xml:space="preserve"> </w:t>
      </w:r>
      <w:r w:rsidRPr="00BE086B">
        <w:rPr>
          <w:rFonts w:ascii="Times New Roman" w:hAnsi="Times New Roman" w:cs="Times New Roman"/>
          <w:iCs/>
          <w:color w:val="auto"/>
          <w:sz w:val="28"/>
          <w:szCs w:val="28"/>
        </w:rPr>
        <w:t>2020;10(2):90-100.</w:t>
      </w:r>
    </w:p>
    <w:p w:rsidR="008B13C0" w:rsidRPr="00BE086B" w:rsidRDefault="008B13C0" w:rsidP="00611AFB">
      <w:pPr>
        <w:pStyle w:val="Default"/>
        <w:widowControl w:val="0"/>
        <w:numPr>
          <w:ilvl w:val="0"/>
          <w:numId w:val="19"/>
        </w:numPr>
        <w:spacing w:line="360" w:lineRule="auto"/>
        <w:ind w:left="0" w:firstLine="709"/>
        <w:jc w:val="both"/>
        <w:rPr>
          <w:rFonts w:ascii="Times New Roman" w:hAnsi="Times New Roman" w:cs="Times New Roman"/>
          <w:color w:val="auto"/>
          <w:sz w:val="28"/>
          <w:szCs w:val="28"/>
          <w:shd w:val="clear" w:color="auto" w:fill="FFFFFF"/>
        </w:rPr>
      </w:pPr>
      <w:r w:rsidRPr="00BE086B">
        <w:rPr>
          <w:rFonts w:ascii="Times New Roman" w:hAnsi="Times New Roman" w:cs="Times New Roman"/>
          <w:color w:val="auto"/>
          <w:sz w:val="28"/>
          <w:szCs w:val="28"/>
          <w:lang w:val="en-US"/>
        </w:rPr>
        <w:t>McMahon S.B., Dargan P., Lanas A., Wiffe P. The burden of musculoskeletal pain and the role of topical non-steroidal anti-inflammatory drugs (NSAIDs) in its treatment. Ten underpinning statements from a global pain faculty. Current Medical Research and Opinion. 2021</w:t>
      </w:r>
      <w:r w:rsidRPr="00BE086B">
        <w:rPr>
          <w:rFonts w:ascii="Times New Roman" w:hAnsi="Times New Roman" w:cs="Times New Roman"/>
          <w:color w:val="auto"/>
          <w:sz w:val="28"/>
          <w:szCs w:val="28"/>
          <w:lang w:val="uk-UA"/>
        </w:rPr>
        <w:t xml:space="preserve">; </w:t>
      </w:r>
      <w:r w:rsidRPr="00BE086B">
        <w:rPr>
          <w:rFonts w:ascii="Times New Roman" w:hAnsi="Times New Roman" w:cs="Times New Roman"/>
          <w:color w:val="auto"/>
          <w:sz w:val="28"/>
          <w:szCs w:val="28"/>
          <w:lang w:val="en-US"/>
        </w:rPr>
        <w:t>37</w:t>
      </w:r>
      <w:r w:rsidRPr="00BE086B">
        <w:rPr>
          <w:rFonts w:ascii="Times New Roman" w:hAnsi="Times New Roman" w:cs="Times New Roman"/>
          <w:color w:val="auto"/>
          <w:sz w:val="28"/>
          <w:szCs w:val="28"/>
          <w:lang w:val="uk-UA"/>
        </w:rPr>
        <w:t>(</w:t>
      </w:r>
      <w:r w:rsidRPr="00BE086B">
        <w:rPr>
          <w:rFonts w:ascii="Times New Roman" w:hAnsi="Times New Roman" w:cs="Times New Roman"/>
          <w:color w:val="auto"/>
          <w:sz w:val="28"/>
          <w:szCs w:val="28"/>
          <w:lang w:val="en-US"/>
        </w:rPr>
        <w:t>2</w:t>
      </w:r>
      <w:r w:rsidRPr="00BE086B">
        <w:rPr>
          <w:rFonts w:ascii="Times New Roman" w:hAnsi="Times New Roman" w:cs="Times New Roman"/>
          <w:color w:val="auto"/>
          <w:sz w:val="28"/>
          <w:szCs w:val="28"/>
          <w:lang w:val="uk-UA"/>
        </w:rPr>
        <w:t>):</w:t>
      </w:r>
      <w:r w:rsidRPr="00BE086B">
        <w:rPr>
          <w:rFonts w:ascii="Times New Roman" w:hAnsi="Times New Roman" w:cs="Times New Roman"/>
          <w:color w:val="auto"/>
          <w:sz w:val="28"/>
          <w:szCs w:val="28"/>
          <w:lang w:val="en-US"/>
        </w:rPr>
        <w:t>287-292</w:t>
      </w:r>
      <w:r w:rsidRPr="00BE086B">
        <w:rPr>
          <w:rFonts w:ascii="Times New Roman" w:hAnsi="Times New Roman" w:cs="Times New Roman"/>
          <w:color w:val="auto"/>
          <w:sz w:val="28"/>
          <w:szCs w:val="28"/>
          <w:lang w:val="uk-UA"/>
        </w:rPr>
        <w:t>.</w:t>
      </w:r>
    </w:p>
    <w:p w:rsidR="008B13C0" w:rsidRPr="00BE086B" w:rsidRDefault="008B13C0" w:rsidP="00611AFB">
      <w:pPr>
        <w:widowControl w:val="0"/>
        <w:numPr>
          <w:ilvl w:val="0"/>
          <w:numId w:val="19"/>
        </w:numPr>
        <w:suppressAutoHyphens w:val="0"/>
        <w:autoSpaceDN w:val="0"/>
        <w:adjustRightInd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1142BF">
        <w:rPr>
          <w:sz w:val="28"/>
          <w:szCs w:val="28"/>
          <w:shd w:val="clear" w:color="auto" w:fill="FFFFFF"/>
          <w:lang w:val="en-US"/>
        </w:rPr>
        <w:t>Kim K</w:t>
      </w:r>
      <w:r w:rsidRPr="00BE086B">
        <w:rPr>
          <w:sz w:val="28"/>
          <w:szCs w:val="28"/>
          <w:shd w:val="clear" w:color="auto" w:fill="FFFFFF"/>
          <w:lang w:val="uk-UA"/>
        </w:rPr>
        <w:t>.</w:t>
      </w:r>
      <w:r w:rsidRPr="001142BF">
        <w:rPr>
          <w:sz w:val="28"/>
          <w:szCs w:val="28"/>
          <w:shd w:val="clear" w:color="auto" w:fill="FFFFFF"/>
          <w:lang w:val="en-US"/>
        </w:rPr>
        <w:t>H</w:t>
      </w:r>
      <w:r w:rsidRPr="00BE086B">
        <w:rPr>
          <w:sz w:val="28"/>
          <w:szCs w:val="28"/>
          <w:shd w:val="clear" w:color="auto" w:fill="FFFFFF"/>
          <w:lang w:val="uk-UA"/>
        </w:rPr>
        <w:t>.</w:t>
      </w:r>
      <w:r w:rsidRPr="001142BF">
        <w:rPr>
          <w:sz w:val="28"/>
          <w:szCs w:val="28"/>
          <w:shd w:val="clear" w:color="auto" w:fill="FFFFFF"/>
          <w:lang w:val="en-US"/>
        </w:rPr>
        <w:t>, Seo H</w:t>
      </w:r>
      <w:r w:rsidRPr="00BE086B">
        <w:rPr>
          <w:sz w:val="28"/>
          <w:szCs w:val="28"/>
          <w:shd w:val="clear" w:color="auto" w:fill="FFFFFF"/>
          <w:lang w:val="uk-UA"/>
        </w:rPr>
        <w:t>.</w:t>
      </w:r>
      <w:r w:rsidRPr="001142BF">
        <w:rPr>
          <w:sz w:val="28"/>
          <w:szCs w:val="28"/>
          <w:shd w:val="clear" w:color="auto" w:fill="FFFFFF"/>
          <w:lang w:val="en-US"/>
        </w:rPr>
        <w:t>J</w:t>
      </w:r>
      <w:r w:rsidRPr="00BE086B">
        <w:rPr>
          <w:sz w:val="28"/>
          <w:szCs w:val="28"/>
          <w:shd w:val="clear" w:color="auto" w:fill="FFFFFF"/>
          <w:lang w:val="uk-UA"/>
        </w:rPr>
        <w:t>.</w:t>
      </w:r>
      <w:r w:rsidRPr="001142BF">
        <w:rPr>
          <w:sz w:val="28"/>
          <w:szCs w:val="28"/>
          <w:shd w:val="clear" w:color="auto" w:fill="FFFFFF"/>
          <w:lang w:val="en-US"/>
        </w:rPr>
        <w:t>, Abdi S</w:t>
      </w:r>
      <w:r w:rsidRPr="00BE086B">
        <w:rPr>
          <w:sz w:val="28"/>
          <w:szCs w:val="28"/>
          <w:shd w:val="clear" w:color="auto" w:fill="FFFFFF"/>
          <w:lang w:val="uk-UA"/>
        </w:rPr>
        <w:t>.</w:t>
      </w:r>
      <w:r w:rsidRPr="001142BF">
        <w:rPr>
          <w:sz w:val="28"/>
          <w:szCs w:val="28"/>
          <w:shd w:val="clear" w:color="auto" w:fill="FFFFFF"/>
          <w:lang w:val="en-US"/>
        </w:rPr>
        <w:t xml:space="preserve">, Huh B. All about pain pharmacology: what pain physicians should know. </w:t>
      </w:r>
      <w:r w:rsidRPr="00BE086B">
        <w:rPr>
          <w:sz w:val="28"/>
          <w:szCs w:val="28"/>
          <w:shd w:val="clear" w:color="auto" w:fill="FFFFFF"/>
        </w:rPr>
        <w:t>Korean J Pain. 2020</w:t>
      </w:r>
      <w:r w:rsidRPr="00BE086B">
        <w:rPr>
          <w:sz w:val="28"/>
          <w:szCs w:val="28"/>
          <w:shd w:val="clear" w:color="auto" w:fill="FFFFFF"/>
          <w:lang w:val="uk-UA"/>
        </w:rPr>
        <w:t>;</w:t>
      </w:r>
      <w:r w:rsidRPr="00BE086B">
        <w:rPr>
          <w:sz w:val="28"/>
          <w:szCs w:val="28"/>
          <w:shd w:val="clear" w:color="auto" w:fill="FFFFFF"/>
        </w:rPr>
        <w:t>1;33(2):108-120.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shd w:val="clear" w:color="auto" w:fill="FFFFFF"/>
          <w:lang w:val="en-US"/>
        </w:rPr>
        <w:t>Qaseem A</w:t>
      </w:r>
      <w:r w:rsidRPr="00BE086B">
        <w:rPr>
          <w:sz w:val="28"/>
          <w:szCs w:val="28"/>
          <w:shd w:val="clear" w:color="auto" w:fill="FFFFFF"/>
          <w:lang w:val="uk-UA"/>
        </w:rPr>
        <w:t>.</w:t>
      </w:r>
      <w:r w:rsidRPr="00BE086B">
        <w:rPr>
          <w:sz w:val="28"/>
          <w:szCs w:val="28"/>
          <w:shd w:val="clear" w:color="auto" w:fill="FFFFFF"/>
          <w:lang w:val="en-US"/>
        </w:rPr>
        <w:t>, McLean R</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O'Gurek D</w:t>
      </w:r>
      <w:r w:rsidRPr="00BE086B">
        <w:rPr>
          <w:sz w:val="28"/>
          <w:szCs w:val="28"/>
          <w:shd w:val="clear" w:color="auto" w:fill="FFFFFF"/>
          <w:lang w:val="uk-UA"/>
        </w:rPr>
        <w:t>.</w:t>
      </w:r>
      <w:r w:rsidRPr="00BE086B">
        <w:rPr>
          <w:sz w:val="28"/>
          <w:szCs w:val="28"/>
          <w:shd w:val="clear" w:color="auto" w:fill="FFFFFF"/>
          <w:lang w:val="en-US"/>
        </w:rPr>
        <w:t>, Batur P</w:t>
      </w:r>
      <w:r w:rsidRPr="00BE086B">
        <w:rPr>
          <w:sz w:val="28"/>
          <w:szCs w:val="28"/>
          <w:shd w:val="clear" w:color="auto" w:fill="FFFFFF"/>
          <w:lang w:val="uk-UA"/>
        </w:rPr>
        <w:t>.</w:t>
      </w:r>
      <w:r w:rsidRPr="00BE086B">
        <w:rPr>
          <w:sz w:val="28"/>
          <w:szCs w:val="28"/>
          <w:shd w:val="clear" w:color="auto" w:fill="FFFFFF"/>
          <w:lang w:val="en-US"/>
        </w:rPr>
        <w:t>, Lin K</w:t>
      </w:r>
      <w:r w:rsidRPr="00BE086B">
        <w:rPr>
          <w:sz w:val="28"/>
          <w:szCs w:val="28"/>
          <w:shd w:val="clear" w:color="auto" w:fill="FFFFFF"/>
          <w:lang w:val="uk-UA"/>
        </w:rPr>
        <w:t>.</w:t>
      </w:r>
      <w:r w:rsidRPr="00BE086B">
        <w:rPr>
          <w:sz w:val="28"/>
          <w:szCs w:val="28"/>
          <w:shd w:val="clear" w:color="auto" w:fill="FFFFFF"/>
          <w:lang w:val="en-US"/>
        </w:rPr>
        <w:t>, Kansagara D</w:t>
      </w:r>
      <w:r w:rsidRPr="00BE086B">
        <w:rPr>
          <w:sz w:val="28"/>
          <w:szCs w:val="28"/>
          <w:shd w:val="clear" w:color="auto" w:fill="FFFFFF"/>
          <w:lang w:val="uk-UA"/>
        </w:rPr>
        <w:t>.</w:t>
      </w:r>
      <w:r w:rsidRPr="00BE086B">
        <w:rPr>
          <w:sz w:val="28"/>
          <w:szCs w:val="28"/>
          <w:shd w:val="clear" w:color="auto" w:fill="FFFFFF"/>
          <w:lang w:val="en-US"/>
        </w:rPr>
        <w:t>L. Nonpharmacologic and pharmacologic management of acute pain from non-low back, musculoskeletal injuries in adults: a clinical guideline from the american college of physicians and american academy of family physicians. Ann Intern Med. 2020</w:t>
      </w:r>
      <w:r w:rsidRPr="00BE086B">
        <w:rPr>
          <w:sz w:val="28"/>
          <w:szCs w:val="28"/>
          <w:shd w:val="clear" w:color="auto" w:fill="FFFFFF"/>
          <w:lang w:val="uk-UA"/>
        </w:rPr>
        <w:t>; 3</w:t>
      </w:r>
      <w:r w:rsidRPr="00BE086B">
        <w:rPr>
          <w:sz w:val="28"/>
          <w:szCs w:val="28"/>
          <w:shd w:val="clear" w:color="auto" w:fill="FFFFFF"/>
          <w:lang w:val="en-US"/>
        </w:rPr>
        <w:t>;173(9):739-748.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bCs/>
          <w:iCs/>
          <w:sz w:val="28"/>
          <w:szCs w:val="28"/>
          <w:lang w:eastAsia="ru-RU"/>
        </w:rPr>
        <w:t>Кузнєцова Л.П., Богослав Т.В., Решетілов Ю.І., Бондар М.В.</w:t>
      </w:r>
      <w:r w:rsidRPr="00BE086B">
        <w:rPr>
          <w:bCs/>
          <w:iCs/>
          <w:sz w:val="28"/>
          <w:szCs w:val="28"/>
          <w:lang w:val="uk-UA" w:eastAsia="ru-RU"/>
        </w:rPr>
        <w:t xml:space="preserve"> </w:t>
      </w:r>
      <w:r w:rsidRPr="00BE086B">
        <w:rPr>
          <w:bCs/>
          <w:sz w:val="28"/>
          <w:szCs w:val="28"/>
          <w:lang w:eastAsia="ru-RU"/>
        </w:rPr>
        <w:t>Особливості ведення хворих із коморбідною патологією у клініці внутрішніх хвороб</w:t>
      </w:r>
      <w:r w:rsidRPr="00BE086B">
        <w:rPr>
          <w:bCs/>
          <w:sz w:val="28"/>
          <w:szCs w:val="28"/>
          <w:lang w:val="uk-UA" w:eastAsia="ru-RU"/>
        </w:rPr>
        <w:t xml:space="preserve">. </w:t>
      </w:r>
      <w:r w:rsidRPr="00BE086B">
        <w:rPr>
          <w:bCs/>
          <w:iCs/>
          <w:sz w:val="28"/>
          <w:szCs w:val="28"/>
          <w:lang w:eastAsia="ru-RU"/>
        </w:rPr>
        <w:t>Запорожский мед</w:t>
      </w:r>
      <w:r w:rsidRPr="00BE086B">
        <w:rPr>
          <w:bCs/>
          <w:iCs/>
          <w:sz w:val="28"/>
          <w:szCs w:val="28"/>
          <w:lang w:val="uk-UA" w:eastAsia="ru-RU"/>
        </w:rPr>
        <w:t>.</w:t>
      </w:r>
      <w:r w:rsidRPr="00BE086B">
        <w:rPr>
          <w:bCs/>
          <w:iCs/>
          <w:sz w:val="28"/>
          <w:szCs w:val="28"/>
          <w:lang w:eastAsia="ru-RU"/>
        </w:rPr>
        <w:t xml:space="preserve"> журн.</w:t>
      </w:r>
      <w:r w:rsidRPr="00BE086B">
        <w:rPr>
          <w:bCs/>
          <w:iCs/>
          <w:sz w:val="28"/>
          <w:szCs w:val="28"/>
          <w:lang w:val="uk-UA" w:eastAsia="ru-RU"/>
        </w:rPr>
        <w:t xml:space="preserve"> </w:t>
      </w:r>
      <w:r w:rsidRPr="00BE086B">
        <w:rPr>
          <w:bCs/>
          <w:iCs/>
          <w:sz w:val="28"/>
          <w:szCs w:val="28"/>
          <w:lang w:eastAsia="ru-RU"/>
        </w:rPr>
        <w:t>2015</w:t>
      </w:r>
      <w:r w:rsidRPr="00BE086B">
        <w:rPr>
          <w:bCs/>
          <w:iCs/>
          <w:sz w:val="28"/>
          <w:szCs w:val="28"/>
          <w:lang w:val="uk-UA" w:eastAsia="ru-RU"/>
        </w:rPr>
        <w:t xml:space="preserve">; </w:t>
      </w:r>
      <w:r w:rsidRPr="00BE086B">
        <w:rPr>
          <w:bCs/>
          <w:iCs/>
          <w:sz w:val="28"/>
          <w:szCs w:val="28"/>
          <w:lang w:eastAsia="ru-RU"/>
        </w:rPr>
        <w:t>5(92)</w:t>
      </w:r>
      <w:r w:rsidRPr="00BE086B">
        <w:rPr>
          <w:bCs/>
          <w:iCs/>
          <w:sz w:val="28"/>
          <w:szCs w:val="28"/>
          <w:lang w:val="uk-UA" w:eastAsia="ru-RU"/>
        </w:rPr>
        <w:t>:</w:t>
      </w:r>
      <w:r w:rsidRPr="00BE086B">
        <w:rPr>
          <w:bCs/>
          <w:iCs/>
          <w:sz w:val="28"/>
          <w:szCs w:val="28"/>
          <w:lang w:eastAsia="ru-RU"/>
        </w:rPr>
        <w:t>69</w:t>
      </w:r>
      <w:r w:rsidRPr="00BE086B">
        <w:rPr>
          <w:bCs/>
          <w:iCs/>
          <w:sz w:val="28"/>
          <w:szCs w:val="28"/>
          <w:lang w:val="uk-UA" w:eastAsia="ru-RU"/>
        </w:rPr>
        <w:t>-</w:t>
      </w:r>
      <w:r w:rsidRPr="00BE086B">
        <w:rPr>
          <w:bCs/>
          <w:iCs/>
          <w:sz w:val="28"/>
          <w:szCs w:val="28"/>
          <w:lang w:eastAsia="ru-RU"/>
        </w:rPr>
        <w:t>73</w:t>
      </w:r>
      <w:r w:rsidRPr="00BE086B">
        <w:rPr>
          <w:bCs/>
          <w:iCs/>
          <w:sz w:val="28"/>
          <w:szCs w:val="28"/>
          <w:lang w:val="uk-UA" w:eastAsia="ru-RU"/>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Мамчур В.И., Носивец Д.С., Налетов С.В., Гурьянов В.Г., Паламарчук В.И., Оголь А.Ж. Рациональная фармакотерапия болевого синдрома</w:t>
      </w:r>
      <w:r w:rsidRPr="00BE086B">
        <w:rPr>
          <w:sz w:val="28"/>
          <w:szCs w:val="28"/>
          <w:shd w:val="clear" w:color="auto" w:fill="FFFFFF"/>
        </w:rPr>
        <w:t xml:space="preserve"> различного генеза комбинированными нестероидными противовоспалительными средствами. Монография. К</w:t>
      </w:r>
      <w:r w:rsidRPr="00BE086B">
        <w:rPr>
          <w:sz w:val="28"/>
          <w:szCs w:val="28"/>
          <w:shd w:val="clear" w:color="auto" w:fill="FFFFFF"/>
          <w:lang w:val="uk-UA"/>
        </w:rPr>
        <w:t>иев</w:t>
      </w:r>
      <w:r w:rsidRPr="00BE086B">
        <w:rPr>
          <w:sz w:val="28"/>
          <w:szCs w:val="28"/>
          <w:shd w:val="clear" w:color="auto" w:fill="FFFFFF"/>
        </w:rPr>
        <w:t>: ЧАО “Випол”, 2017, 48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Супрун Э.В. Коморбидность при остеоартрозе у пожилых пациентов: выбор тактики лечения</w:t>
      </w:r>
      <w:r w:rsidRPr="00BE086B">
        <w:rPr>
          <w:sz w:val="28"/>
          <w:szCs w:val="28"/>
          <w:lang w:val="uk-UA"/>
        </w:rPr>
        <w:t>. Р</w:t>
      </w:r>
      <w:r w:rsidRPr="00BE086B">
        <w:rPr>
          <w:sz w:val="28"/>
          <w:szCs w:val="28"/>
        </w:rPr>
        <w:t>ациональная фармакотерапия</w:t>
      </w:r>
      <w:r w:rsidRPr="00BE086B">
        <w:rPr>
          <w:sz w:val="28"/>
          <w:szCs w:val="28"/>
          <w:lang w:val="uk-UA"/>
        </w:rPr>
        <w:t xml:space="preserve">. 2013; </w:t>
      </w:r>
      <w:r w:rsidRPr="00BE086B">
        <w:rPr>
          <w:sz w:val="28"/>
          <w:szCs w:val="28"/>
        </w:rPr>
        <w:t>3(28)</w:t>
      </w:r>
      <w:r w:rsidRPr="00BE086B">
        <w:rPr>
          <w:sz w:val="28"/>
          <w:szCs w:val="28"/>
          <w:lang w:val="uk-UA"/>
        </w:rPr>
        <w:t>:47-52.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rPr>
        <w:t>Мороз А.В.</w:t>
      </w:r>
      <w:r w:rsidRPr="00BE086B">
        <w:rPr>
          <w:sz w:val="28"/>
          <w:szCs w:val="28"/>
          <w:lang w:val="uk-UA"/>
        </w:rPr>
        <w:t xml:space="preserve"> </w:t>
      </w:r>
      <w:r w:rsidRPr="00BE086B">
        <w:rPr>
          <w:sz w:val="28"/>
          <w:szCs w:val="28"/>
        </w:rPr>
        <w:t>Проблема коморбідності у хворих на остеоартроз</w:t>
      </w:r>
      <w:r w:rsidRPr="00BE086B">
        <w:rPr>
          <w:sz w:val="28"/>
          <w:szCs w:val="28"/>
          <w:lang w:val="uk-UA"/>
        </w:rPr>
        <w:t>.</w:t>
      </w:r>
      <w:r w:rsidRPr="00BE086B">
        <w:rPr>
          <w:sz w:val="28"/>
          <w:szCs w:val="28"/>
        </w:rPr>
        <w:t xml:space="preserve"> Кримський терапевтичний журнал</w:t>
      </w:r>
      <w:r w:rsidRPr="00BE086B">
        <w:rPr>
          <w:sz w:val="28"/>
          <w:szCs w:val="28"/>
          <w:lang w:val="uk-UA"/>
        </w:rPr>
        <w:t>. 2013;2:149-156.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bCs/>
          <w:sz w:val="28"/>
          <w:szCs w:val="28"/>
          <w:lang w:eastAsia="ru-RU"/>
        </w:rPr>
      </w:pPr>
      <w:r w:rsidRPr="00BE086B">
        <w:rPr>
          <w:sz w:val="28"/>
          <w:szCs w:val="28"/>
          <w:lang w:val="uk-UA"/>
        </w:rPr>
        <w:lastRenderedPageBreak/>
        <w:t>Лукьянчук Е. К</w:t>
      </w:r>
      <w:r w:rsidRPr="00BE086B">
        <w:rPr>
          <w:sz w:val="28"/>
          <w:szCs w:val="28"/>
        </w:rPr>
        <w:t>оморбидность при остеоартрозе: рациональный подход к выбору нестероидного противовоспалительного препарата</w:t>
      </w:r>
      <w:r w:rsidRPr="00BE086B">
        <w:rPr>
          <w:sz w:val="28"/>
          <w:szCs w:val="28"/>
          <w:lang w:val="uk-UA"/>
        </w:rPr>
        <w:t>. У</w:t>
      </w:r>
      <w:r w:rsidRPr="00BE086B">
        <w:rPr>
          <w:sz w:val="28"/>
          <w:szCs w:val="28"/>
        </w:rPr>
        <w:t>кр</w:t>
      </w:r>
      <w:r w:rsidRPr="00BE086B">
        <w:rPr>
          <w:sz w:val="28"/>
          <w:szCs w:val="28"/>
          <w:lang w:val="uk-UA"/>
        </w:rPr>
        <w:t>.</w:t>
      </w:r>
      <w:r w:rsidRPr="00BE086B">
        <w:rPr>
          <w:sz w:val="28"/>
          <w:szCs w:val="28"/>
        </w:rPr>
        <w:t xml:space="preserve"> ревматологічний журн</w:t>
      </w:r>
      <w:r w:rsidRPr="00BE086B">
        <w:rPr>
          <w:sz w:val="28"/>
          <w:szCs w:val="28"/>
          <w:lang w:val="uk-UA"/>
        </w:rPr>
        <w:t xml:space="preserve">. 2014; </w:t>
      </w:r>
      <w:r w:rsidRPr="00BE086B">
        <w:rPr>
          <w:sz w:val="28"/>
          <w:szCs w:val="28"/>
        </w:rPr>
        <w:t>4(58)</w:t>
      </w:r>
      <w:r w:rsidRPr="00BE086B">
        <w:rPr>
          <w:sz w:val="28"/>
          <w:szCs w:val="28"/>
          <w:lang w:val="uk-UA"/>
        </w:rPr>
        <w:t>:67-71.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lang w:eastAsia="ru-RU"/>
        </w:rPr>
        <w:t>Проценко Г.О., Іванова</w:t>
      </w:r>
      <w:r w:rsidRPr="00BE086B">
        <w:rPr>
          <w:bCs/>
          <w:sz w:val="28"/>
          <w:szCs w:val="28"/>
          <w:lang w:eastAsia="ru-RU"/>
        </w:rPr>
        <w:t xml:space="preserve"> </w:t>
      </w:r>
      <w:r w:rsidRPr="00BE086B">
        <w:rPr>
          <w:sz w:val="28"/>
          <w:szCs w:val="28"/>
          <w:lang w:eastAsia="ru-RU"/>
        </w:rPr>
        <w:t xml:space="preserve">К.А. </w:t>
      </w:r>
      <w:r w:rsidRPr="00BE086B">
        <w:rPr>
          <w:bCs/>
          <w:sz w:val="28"/>
          <w:szCs w:val="28"/>
          <w:lang w:eastAsia="ru-RU"/>
        </w:rPr>
        <w:t>Альтернативний підхід до лікування остеоартрозу</w:t>
      </w:r>
      <w:r w:rsidRPr="00BE086B">
        <w:rPr>
          <w:bCs/>
          <w:sz w:val="28"/>
          <w:szCs w:val="28"/>
          <w:lang w:val="uk-UA" w:eastAsia="ru-RU"/>
        </w:rPr>
        <w:t xml:space="preserve"> </w:t>
      </w:r>
      <w:r w:rsidRPr="00BE086B">
        <w:rPr>
          <w:bCs/>
          <w:sz w:val="28"/>
          <w:szCs w:val="28"/>
          <w:lang w:eastAsia="ru-RU"/>
        </w:rPr>
        <w:t>з коморбідними станами</w:t>
      </w:r>
      <w:r w:rsidRPr="00BE086B">
        <w:rPr>
          <w:bCs/>
          <w:sz w:val="28"/>
          <w:szCs w:val="28"/>
          <w:lang w:val="uk-UA" w:eastAsia="ru-RU"/>
        </w:rPr>
        <w:t>. Ліки України. 2013; 1(167):84-88.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shd w:val="clear" w:color="auto" w:fill="FFFFFF"/>
        </w:rPr>
        <w:t xml:space="preserve">Поворознюк В.В., Шинкаренко Т.Є., Приймич У.І. </w:t>
      </w:r>
      <w:r w:rsidRPr="00BE086B">
        <w:rPr>
          <w:sz w:val="28"/>
          <w:szCs w:val="28"/>
          <w:shd w:val="clear" w:color="auto" w:fill="FFFFFF"/>
          <w:lang w:val="uk-UA"/>
        </w:rPr>
        <w:t>Н</w:t>
      </w:r>
      <w:r w:rsidRPr="00BE086B">
        <w:rPr>
          <w:sz w:val="28"/>
          <w:szCs w:val="28"/>
          <w:shd w:val="clear" w:color="auto" w:fill="FFFFFF"/>
        </w:rPr>
        <w:t>ейропатичний компонент болю при захворюваннях кістково-м’язової системи: огляд літератури та результати власних досліджень. Ч</w:t>
      </w:r>
      <w:r w:rsidRPr="00BE086B">
        <w:rPr>
          <w:sz w:val="28"/>
          <w:szCs w:val="28"/>
          <w:shd w:val="clear" w:color="auto" w:fill="FFFFFF"/>
          <w:lang w:val="uk-UA"/>
        </w:rPr>
        <w:t>. І. Боль. Сустав</w:t>
      </w:r>
      <w:r w:rsidRPr="00BE086B">
        <w:rPr>
          <w:sz w:val="28"/>
          <w:szCs w:val="28"/>
          <w:shd w:val="clear" w:color="auto" w:fill="FFFFFF"/>
        </w:rPr>
        <w:t>ы. Позвоночник. 2014; 4(16):5-13.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bCs/>
          <w:iCs/>
          <w:sz w:val="28"/>
          <w:szCs w:val="28"/>
          <w:lang w:eastAsia="ru-RU"/>
        </w:rPr>
        <w:t xml:space="preserve">Палій І.Г., Ткачук І.В. </w:t>
      </w:r>
      <w:r w:rsidRPr="00BE086B">
        <w:rPr>
          <w:sz w:val="28"/>
          <w:szCs w:val="28"/>
          <w:lang w:eastAsia="ru-RU"/>
        </w:rPr>
        <w:t xml:space="preserve">Тактика безпечного ведення коморбідних хворих на остеоартрит у практиці сімейного лікаря: який вибір? </w:t>
      </w:r>
      <w:r w:rsidRPr="00BE086B">
        <w:rPr>
          <w:rFonts w:eastAsia="PetersburgC"/>
          <w:sz w:val="28"/>
          <w:szCs w:val="28"/>
          <w:lang w:eastAsia="ru-RU"/>
        </w:rPr>
        <w:t>Семейная медицина. 2019; 1(81):25-33.</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shd w:val="clear" w:color="auto" w:fill="FFFFFF"/>
          <w:lang w:eastAsia="ru-RU"/>
        </w:rPr>
      </w:pPr>
      <w:r w:rsidRPr="00BE086B">
        <w:rPr>
          <w:kern w:val="2"/>
          <w:sz w:val="28"/>
          <w:szCs w:val="28"/>
        </w:rPr>
        <w:t>Валеева Ф.В., Киселева Т.А., Ахунова, Г.Р. Проблемы взаимосвязи патологии щитовидной железы и ревматологических заболеваний. Сибирский журнал клинической и экспериментальной медицины. 2011; 26 (4-2): 22-28.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b/>
          <w:sz w:val="28"/>
          <w:szCs w:val="28"/>
          <w:shd w:val="clear" w:color="auto" w:fill="FFFFFF"/>
          <w:lang w:eastAsia="ru-RU"/>
        </w:rPr>
      </w:pPr>
      <w:r w:rsidRPr="00BE086B">
        <w:rPr>
          <w:sz w:val="28"/>
          <w:szCs w:val="28"/>
          <w:lang w:val="uk-UA"/>
        </w:rPr>
        <w:t xml:space="preserve">Приходько В.Ю. Остеоартроз и проблема хронической боли в терапевтической практике. </w:t>
      </w:r>
      <w:r w:rsidRPr="00BE086B">
        <w:rPr>
          <w:kern w:val="28"/>
          <w:sz w:val="28"/>
          <w:szCs w:val="28"/>
        </w:rPr>
        <w:t>Український медичний часопис. 201</w:t>
      </w:r>
      <w:r w:rsidRPr="00BE086B">
        <w:rPr>
          <w:kern w:val="28"/>
          <w:sz w:val="28"/>
          <w:szCs w:val="28"/>
          <w:lang w:val="uk-UA"/>
        </w:rPr>
        <w:t>2;</w:t>
      </w:r>
      <w:r w:rsidRPr="00BE086B">
        <w:rPr>
          <w:kern w:val="28"/>
          <w:sz w:val="28"/>
          <w:szCs w:val="28"/>
        </w:rPr>
        <w:t xml:space="preserve"> </w:t>
      </w:r>
      <w:r w:rsidRPr="00BE086B">
        <w:rPr>
          <w:kern w:val="28"/>
          <w:sz w:val="28"/>
          <w:szCs w:val="28"/>
          <w:lang w:val="uk-UA"/>
        </w:rPr>
        <w:t>2(88):64</w:t>
      </w:r>
      <w:r w:rsidRPr="00BE086B">
        <w:rPr>
          <w:kern w:val="28"/>
          <w:sz w:val="28"/>
          <w:szCs w:val="28"/>
        </w:rPr>
        <w:t>-70.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shd w:val="clear" w:color="auto" w:fill="FFFFFF"/>
          <w:lang w:val="en-US"/>
        </w:rPr>
        <w:t>Abramoff B</w:t>
      </w:r>
      <w:r w:rsidRPr="00BE086B">
        <w:rPr>
          <w:sz w:val="28"/>
          <w:szCs w:val="28"/>
          <w:shd w:val="clear" w:color="auto" w:fill="FFFFFF"/>
          <w:lang w:val="uk-UA"/>
        </w:rPr>
        <w:t>.</w:t>
      </w:r>
      <w:r w:rsidRPr="00BE086B">
        <w:rPr>
          <w:sz w:val="28"/>
          <w:szCs w:val="28"/>
          <w:shd w:val="clear" w:color="auto" w:fill="FFFFFF"/>
          <w:lang w:val="en-US"/>
        </w:rPr>
        <w:t>, Caldera F</w:t>
      </w:r>
      <w:r w:rsidRPr="00BE086B">
        <w:rPr>
          <w:sz w:val="28"/>
          <w:szCs w:val="28"/>
          <w:shd w:val="clear" w:color="auto" w:fill="FFFFFF"/>
          <w:lang w:val="uk-UA"/>
        </w:rPr>
        <w:t>.</w:t>
      </w:r>
      <w:r w:rsidRPr="00BE086B">
        <w:rPr>
          <w:sz w:val="28"/>
          <w:szCs w:val="28"/>
          <w:shd w:val="clear" w:color="auto" w:fill="FFFFFF"/>
          <w:lang w:val="en-US"/>
        </w:rPr>
        <w:t>E. Osteoarthritis: pathology, diagnosis, and treatment options. Med Clin North Am. 2020;104(2):293-311.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shd w:val="clear" w:color="auto" w:fill="FFFFFF"/>
          <w:lang w:val="en-US"/>
        </w:rPr>
        <w:t>Sharma L. Osteoarthritis of the knee. N Engl J Med. 2021</w:t>
      </w:r>
      <w:r w:rsidRPr="00BE086B">
        <w:rPr>
          <w:sz w:val="28"/>
          <w:szCs w:val="28"/>
          <w:shd w:val="clear" w:color="auto" w:fill="FFFFFF"/>
          <w:lang w:val="uk-UA"/>
        </w:rPr>
        <w:t>;</w:t>
      </w:r>
      <w:r w:rsidRPr="00BE086B">
        <w:rPr>
          <w:sz w:val="28"/>
          <w:szCs w:val="28"/>
          <w:shd w:val="clear" w:color="auto" w:fill="FFFFFF"/>
          <w:lang w:val="en-US"/>
        </w:rPr>
        <w:t xml:space="preserve"> 7;384(1):51-59.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rFonts w:eastAsia="TimesNewRomanPSMT"/>
          <w:sz w:val="28"/>
          <w:szCs w:val="28"/>
          <w:lang w:eastAsia="ru-RU"/>
        </w:rPr>
        <w:t>Поворознюк В.В. Остеоартроз</w:t>
      </w:r>
      <w:r w:rsidRPr="00BE086B">
        <w:rPr>
          <w:rFonts w:eastAsia="TimesNewRomanPSMT"/>
          <w:sz w:val="28"/>
          <w:szCs w:val="28"/>
          <w:lang w:val="uk-UA" w:eastAsia="ru-RU"/>
        </w:rPr>
        <w:t>.</w:t>
      </w:r>
      <w:r w:rsidRPr="00BE086B">
        <w:rPr>
          <w:rFonts w:eastAsia="TimesNewRomanPSMT"/>
          <w:sz w:val="28"/>
          <w:szCs w:val="28"/>
          <w:lang w:eastAsia="ru-RU"/>
        </w:rPr>
        <w:t xml:space="preserve"> Мистецтво лікування. 2004</w:t>
      </w:r>
      <w:r w:rsidRPr="00BE086B">
        <w:rPr>
          <w:rFonts w:eastAsia="TimesNewRomanPSMT"/>
          <w:sz w:val="28"/>
          <w:szCs w:val="28"/>
          <w:lang w:val="uk-UA" w:eastAsia="ru-RU"/>
        </w:rPr>
        <w:t xml:space="preserve">; </w:t>
      </w:r>
      <w:r w:rsidRPr="00BE086B">
        <w:rPr>
          <w:rFonts w:eastAsia="TimesNewRomanPSMT"/>
          <w:sz w:val="28"/>
          <w:szCs w:val="28"/>
          <w:lang w:eastAsia="ru-RU"/>
        </w:rPr>
        <w:t>3</w:t>
      </w:r>
      <w:r w:rsidRPr="00BE086B">
        <w:rPr>
          <w:rFonts w:eastAsia="TimesNewRomanPSMT"/>
          <w:sz w:val="28"/>
          <w:szCs w:val="28"/>
          <w:lang w:val="uk-UA" w:eastAsia="ru-RU"/>
        </w:rPr>
        <w:t>(9):</w:t>
      </w:r>
      <w:r w:rsidRPr="00BE086B">
        <w:rPr>
          <w:rFonts w:eastAsia="TimesNewRomanPSMT"/>
          <w:sz w:val="28"/>
          <w:szCs w:val="28"/>
          <w:lang w:eastAsia="ru-RU"/>
        </w:rPr>
        <w:t>1</w:t>
      </w:r>
      <w:r w:rsidRPr="00BE086B">
        <w:rPr>
          <w:rFonts w:eastAsia="TimesNewRomanPSMT"/>
          <w:sz w:val="28"/>
          <w:szCs w:val="28"/>
          <w:lang w:val="uk-UA" w:eastAsia="ru-RU"/>
        </w:rPr>
        <w:t>6-</w:t>
      </w:r>
      <w:r w:rsidRPr="00BE086B">
        <w:rPr>
          <w:rFonts w:eastAsia="TimesNewRomanPSMT"/>
          <w:sz w:val="28"/>
          <w:szCs w:val="28"/>
          <w:lang w:eastAsia="ru-RU"/>
        </w:rPr>
        <w:t>2</w:t>
      </w:r>
      <w:r w:rsidRPr="00BE086B">
        <w:rPr>
          <w:rFonts w:eastAsia="TimesNewRomanPSMT"/>
          <w:sz w:val="28"/>
          <w:szCs w:val="28"/>
          <w:lang w:val="uk-UA" w:eastAsia="ru-RU"/>
        </w:rPr>
        <w:t>1</w:t>
      </w:r>
      <w:r w:rsidRPr="00BE086B">
        <w:rPr>
          <w:rFonts w:eastAsia="TimesNewRomanPSMT"/>
          <w:sz w:val="28"/>
          <w:szCs w:val="28"/>
          <w:lang w:eastAsia="ru-RU"/>
        </w:rPr>
        <w:t>.</w:t>
      </w:r>
    </w:p>
    <w:p w:rsidR="008B13C0" w:rsidRPr="001142BF"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val="en-US" w:eastAsia="ru-RU"/>
        </w:rPr>
      </w:pPr>
      <w:r w:rsidRPr="00BE086B">
        <w:rPr>
          <w:sz w:val="28"/>
          <w:szCs w:val="28"/>
          <w:shd w:val="clear" w:color="auto" w:fill="FFFFFF"/>
          <w:lang w:val="en-US"/>
        </w:rPr>
        <w:t>McDermott MT. Hypothyroidism. Ann Intern Med. 2020</w:t>
      </w:r>
      <w:r w:rsidRPr="00BE086B">
        <w:rPr>
          <w:sz w:val="28"/>
          <w:szCs w:val="28"/>
          <w:shd w:val="clear" w:color="auto" w:fill="FFFFFF"/>
          <w:lang w:val="uk-UA"/>
        </w:rPr>
        <w:t>;</w:t>
      </w:r>
      <w:r w:rsidRPr="00BE086B">
        <w:rPr>
          <w:sz w:val="28"/>
          <w:szCs w:val="28"/>
          <w:shd w:val="clear" w:color="auto" w:fill="FFFFFF"/>
          <w:lang w:val="en-US"/>
        </w:rPr>
        <w:t>7;173(1):1-16.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val="en-US" w:eastAsia="ru-RU"/>
        </w:rPr>
      </w:pPr>
      <w:r w:rsidRPr="001142BF">
        <w:rPr>
          <w:sz w:val="28"/>
          <w:szCs w:val="28"/>
          <w:shd w:val="clear" w:color="auto" w:fill="FFFFFF"/>
          <w:lang w:val="en-US"/>
        </w:rPr>
        <w:t>Patil N</w:t>
      </w:r>
      <w:r w:rsidRPr="00BE086B">
        <w:rPr>
          <w:sz w:val="28"/>
          <w:szCs w:val="28"/>
          <w:shd w:val="clear" w:color="auto" w:fill="FFFFFF"/>
          <w:lang w:val="uk-UA"/>
        </w:rPr>
        <w:t>.</w:t>
      </w:r>
      <w:r w:rsidRPr="001142BF">
        <w:rPr>
          <w:sz w:val="28"/>
          <w:szCs w:val="28"/>
          <w:shd w:val="clear" w:color="auto" w:fill="FFFFFF"/>
          <w:lang w:val="en-US"/>
        </w:rPr>
        <w:t>, Rehman A</w:t>
      </w:r>
      <w:r w:rsidRPr="00BE086B">
        <w:rPr>
          <w:sz w:val="28"/>
          <w:szCs w:val="28"/>
          <w:shd w:val="clear" w:color="auto" w:fill="FFFFFF"/>
          <w:lang w:val="uk-UA"/>
        </w:rPr>
        <w:t>.</w:t>
      </w:r>
      <w:r w:rsidRPr="001142BF">
        <w:rPr>
          <w:sz w:val="28"/>
          <w:szCs w:val="28"/>
          <w:shd w:val="clear" w:color="auto" w:fill="FFFFFF"/>
          <w:lang w:val="en-US"/>
        </w:rPr>
        <w:t>, Jialal I. Hypothyroidism. 2021</w:t>
      </w:r>
      <w:r w:rsidRPr="00BE086B">
        <w:rPr>
          <w:sz w:val="28"/>
          <w:szCs w:val="28"/>
          <w:shd w:val="clear" w:color="auto" w:fill="FFFFFF"/>
          <w:lang w:val="uk-UA"/>
        </w:rPr>
        <w:t>;</w:t>
      </w:r>
      <w:r w:rsidRPr="001142BF">
        <w:rPr>
          <w:sz w:val="28"/>
          <w:szCs w:val="28"/>
          <w:shd w:val="clear" w:color="auto" w:fill="FFFFFF"/>
          <w:lang w:val="en-US"/>
        </w:rPr>
        <w:t xml:space="preserve"> 6. In: StatPearls [Internet]. Treasure Island (FL): StatPearls Publishing; 2021 Jan. </w:t>
      </w:r>
      <w:r w:rsidRPr="00BE086B">
        <w:rPr>
          <w:sz w:val="28"/>
          <w:szCs w:val="28"/>
          <w:shd w:val="clear" w:color="auto" w:fill="FFFFFF"/>
        </w:rPr>
        <w:t>PMID: 30137821.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Calibri-Italic"/>
          <w:iCs/>
          <w:sz w:val="28"/>
          <w:szCs w:val="28"/>
          <w:lang w:val="uk-UA" w:eastAsia="ru-RU"/>
        </w:rPr>
      </w:pPr>
      <w:r w:rsidRPr="00BE086B">
        <w:rPr>
          <w:rFonts w:eastAsia="Calibri-Italic"/>
          <w:iCs/>
          <w:sz w:val="28"/>
          <w:szCs w:val="28"/>
          <w:lang w:val="uk-UA" w:eastAsia="ru-RU"/>
        </w:rPr>
        <w:t>Бур’янов О.А., Омельченко Т.М., Міхневич О.Е. Остеоартроз: генезис, діагностика, лікування. Київ: Ленвіт, 2009, 203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rPr>
        <w:t xml:space="preserve">Макушин В.Д., Чегуров О.К. Гонартроз (вопросы патогенеза и </w:t>
      </w:r>
      <w:r w:rsidRPr="00BE086B">
        <w:rPr>
          <w:sz w:val="28"/>
          <w:szCs w:val="28"/>
        </w:rPr>
        <w:lastRenderedPageBreak/>
        <w:t>классификации). Гений ортопедии</w:t>
      </w:r>
      <w:r w:rsidRPr="00BE086B">
        <w:rPr>
          <w:sz w:val="28"/>
          <w:szCs w:val="28"/>
          <w:lang w:val="uk-UA"/>
        </w:rPr>
        <w:t xml:space="preserve">. </w:t>
      </w:r>
      <w:r w:rsidRPr="00BE086B">
        <w:rPr>
          <w:sz w:val="28"/>
          <w:szCs w:val="28"/>
        </w:rPr>
        <w:t>2005</w:t>
      </w:r>
      <w:r w:rsidRPr="00BE086B">
        <w:rPr>
          <w:sz w:val="28"/>
          <w:szCs w:val="28"/>
          <w:lang w:val="uk-UA"/>
        </w:rPr>
        <w:t xml:space="preserve">; </w:t>
      </w:r>
      <w:r w:rsidRPr="00BE086B">
        <w:rPr>
          <w:sz w:val="28"/>
          <w:szCs w:val="28"/>
        </w:rPr>
        <w:t>2</w:t>
      </w:r>
      <w:r w:rsidRPr="00BE086B">
        <w:rPr>
          <w:sz w:val="28"/>
          <w:szCs w:val="28"/>
          <w:lang w:val="uk-UA"/>
        </w:rPr>
        <w:t>:</w:t>
      </w:r>
      <w:r w:rsidRPr="00BE086B">
        <w:rPr>
          <w:sz w:val="28"/>
          <w:szCs w:val="28"/>
        </w:rPr>
        <w:t>19-22.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kern w:val="28"/>
          <w:sz w:val="28"/>
          <w:szCs w:val="28"/>
        </w:rPr>
        <w:t>Ленг О., Разви С. Гипотиреоз у пожилых людей. Эндокринология: Новости. Мнения. Обучение. 2019;2 (27):118-129.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rPr>
        <w:t>Хеннесси Дж.В., Эспаиллат Р. Диагностика и лечение субклинической формы гипотиреоза у пожилых пациентов. Эндокринология: Новости. Мнения. Обучение. 2016;1 (14):11-25.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shd w:val="clear" w:color="auto" w:fill="FFFFFF"/>
          <w:lang w:val="en-US"/>
        </w:rPr>
        <w:t>Simon C</w:t>
      </w:r>
      <w:r w:rsidRPr="00BE086B">
        <w:rPr>
          <w:sz w:val="28"/>
          <w:szCs w:val="28"/>
          <w:shd w:val="clear" w:color="auto" w:fill="FFFFFF"/>
          <w:lang w:val="uk-UA"/>
        </w:rPr>
        <w:t>.</w:t>
      </w:r>
      <w:r w:rsidRPr="00BE086B">
        <w:rPr>
          <w:sz w:val="28"/>
          <w:szCs w:val="28"/>
          <w:shd w:val="clear" w:color="auto" w:fill="FFFFFF"/>
          <w:lang w:val="en-US"/>
        </w:rPr>
        <w:t>, Weidman-Evans E</w:t>
      </w:r>
      <w:r w:rsidRPr="00BE086B">
        <w:rPr>
          <w:sz w:val="28"/>
          <w:szCs w:val="28"/>
          <w:shd w:val="clear" w:color="auto" w:fill="FFFFFF"/>
          <w:lang w:val="uk-UA"/>
        </w:rPr>
        <w:t>.</w:t>
      </w:r>
      <w:r w:rsidRPr="00BE086B">
        <w:rPr>
          <w:sz w:val="28"/>
          <w:szCs w:val="28"/>
          <w:shd w:val="clear" w:color="auto" w:fill="FFFFFF"/>
          <w:lang w:val="en-US"/>
        </w:rPr>
        <w:t>, Allen S. Subclinical hypothyroidism: To treat or not to treat? JAAPA. 2020;33(5):21-26.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1142BF">
        <w:rPr>
          <w:sz w:val="28"/>
          <w:szCs w:val="28"/>
          <w:shd w:val="clear" w:color="auto" w:fill="FFFFFF"/>
          <w:lang w:val="en-US"/>
        </w:rPr>
        <w:t>Borzì A.M., Biondi A., Basile F., Vacante M. Diagnosis and treatment of hypothyroidism in old people: A</w:t>
      </w:r>
      <w:r w:rsidRPr="00BE086B">
        <w:rPr>
          <w:sz w:val="28"/>
          <w:szCs w:val="28"/>
          <w:shd w:val="clear" w:color="auto" w:fill="FFFFFF"/>
          <w:lang w:val="en-US"/>
        </w:rPr>
        <w:t xml:space="preserve"> </w:t>
      </w:r>
      <w:r w:rsidRPr="001142BF">
        <w:rPr>
          <w:sz w:val="28"/>
          <w:szCs w:val="28"/>
          <w:shd w:val="clear" w:color="auto" w:fill="FFFFFF"/>
          <w:lang w:val="en-US"/>
        </w:rPr>
        <w:t xml:space="preserve">new old challenge. </w:t>
      </w:r>
      <w:r w:rsidRPr="00BE086B">
        <w:rPr>
          <w:sz w:val="28"/>
          <w:szCs w:val="28"/>
          <w:shd w:val="clear" w:color="auto" w:fill="FFFFFF"/>
        </w:rPr>
        <w:t>Wien Klin Wochenschr. 2020;132(5-6):161-167.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
          <w:sz w:val="28"/>
          <w:szCs w:val="28"/>
          <w:lang w:val="uk-UA" w:eastAsia="ru-RU"/>
        </w:rPr>
      </w:pPr>
      <w:r w:rsidRPr="00BE086B">
        <w:rPr>
          <w:kern w:val="2"/>
          <w:sz w:val="28"/>
          <w:szCs w:val="28"/>
        </w:rPr>
        <w:t>Моргунова Т.Б., Фадеев В.В. Гипотиреоз: современные принципы диагностики и лечения. Медицинский совет</w:t>
      </w:r>
      <w:r w:rsidRPr="00BE086B">
        <w:rPr>
          <w:kern w:val="2"/>
          <w:sz w:val="28"/>
          <w:szCs w:val="28"/>
          <w:lang w:val="uk-UA"/>
        </w:rPr>
        <w:t xml:space="preserve">. 2016; </w:t>
      </w:r>
      <w:r w:rsidRPr="00BE086B">
        <w:rPr>
          <w:kern w:val="2"/>
          <w:sz w:val="28"/>
          <w:szCs w:val="28"/>
        </w:rPr>
        <w:t>3</w:t>
      </w:r>
      <w:r w:rsidRPr="00BE086B">
        <w:rPr>
          <w:kern w:val="2"/>
          <w:sz w:val="28"/>
          <w:szCs w:val="28"/>
          <w:lang w:val="uk-UA"/>
        </w:rPr>
        <w:t>:</w:t>
      </w:r>
      <w:r w:rsidRPr="00BE086B">
        <w:rPr>
          <w:kern w:val="2"/>
          <w:sz w:val="28"/>
          <w:szCs w:val="28"/>
        </w:rPr>
        <w:t>79-81.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shd w:val="clear" w:color="auto" w:fill="FFFFFF"/>
        </w:rPr>
        <w:t>Дудинская Е.Н., Ткачева О.Н. Гипотиреоз в пожилом и старческом возрасте. РМЖ. Медицинское обозрение. 2018;8(I):14-18.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rPr>
        <w:t>Абдулхабирова Ф.М.</w:t>
      </w:r>
      <w:r w:rsidRPr="00BE086B">
        <w:rPr>
          <w:sz w:val="28"/>
          <w:szCs w:val="28"/>
          <w:lang w:val="uk-UA"/>
        </w:rPr>
        <w:t xml:space="preserve"> </w:t>
      </w:r>
      <w:r w:rsidRPr="00BE086B">
        <w:rPr>
          <w:sz w:val="28"/>
          <w:szCs w:val="28"/>
        </w:rPr>
        <w:t>Гипотиреоз: принципы современной диагностики и лечения</w:t>
      </w:r>
      <w:r w:rsidRPr="00BE086B">
        <w:rPr>
          <w:sz w:val="28"/>
          <w:szCs w:val="28"/>
          <w:lang w:val="uk-UA"/>
        </w:rPr>
        <w:t xml:space="preserve">. </w:t>
      </w:r>
      <w:r w:rsidRPr="00BE086B">
        <w:rPr>
          <w:sz w:val="28"/>
          <w:szCs w:val="28"/>
        </w:rPr>
        <w:t>Эндокринология. 2010; 5:68-89.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shd w:val="clear" w:color="auto" w:fill="FFFFFF"/>
          <w:lang w:val="en-US"/>
        </w:rPr>
        <w:t xml:space="preserve">Hügle T. Update </w:t>
      </w:r>
      <w:r w:rsidRPr="00BE086B">
        <w:rPr>
          <w:sz w:val="28"/>
          <w:szCs w:val="28"/>
          <w:shd w:val="clear" w:color="auto" w:fill="FFFFFF"/>
        </w:rPr>
        <w:t>о</w:t>
      </w:r>
      <w:r w:rsidRPr="00BE086B">
        <w:rPr>
          <w:sz w:val="28"/>
          <w:szCs w:val="28"/>
          <w:shd w:val="clear" w:color="auto" w:fill="FFFFFF"/>
          <w:lang w:val="en-US"/>
        </w:rPr>
        <w:t>steoarthritis. Rev Med Suisse. 2020</w:t>
      </w:r>
      <w:r w:rsidRPr="00BE086B">
        <w:rPr>
          <w:sz w:val="28"/>
          <w:szCs w:val="28"/>
          <w:shd w:val="clear" w:color="auto" w:fill="FFFFFF"/>
          <w:lang w:val="uk-UA"/>
        </w:rPr>
        <w:t>;</w:t>
      </w:r>
      <w:r w:rsidRPr="00BE086B">
        <w:rPr>
          <w:sz w:val="28"/>
          <w:szCs w:val="28"/>
          <w:shd w:val="clear" w:color="auto" w:fill="FFFFFF"/>
          <w:lang w:val="en-US"/>
        </w:rPr>
        <w:t xml:space="preserve"> 11;16(685):500-502.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kern w:val="2"/>
          <w:sz w:val="28"/>
          <w:szCs w:val="28"/>
        </w:rPr>
      </w:pPr>
      <w:r w:rsidRPr="001142BF">
        <w:rPr>
          <w:sz w:val="28"/>
          <w:szCs w:val="28"/>
          <w:shd w:val="clear" w:color="auto" w:fill="FFFFFF"/>
          <w:lang w:val="en-US"/>
        </w:rPr>
        <w:t>Hunter D</w:t>
      </w:r>
      <w:r w:rsidRPr="00BE086B">
        <w:rPr>
          <w:sz w:val="28"/>
          <w:szCs w:val="28"/>
          <w:shd w:val="clear" w:color="auto" w:fill="FFFFFF"/>
          <w:lang w:val="uk-UA"/>
        </w:rPr>
        <w:t>.</w:t>
      </w:r>
      <w:r w:rsidRPr="001142BF">
        <w:rPr>
          <w:sz w:val="28"/>
          <w:szCs w:val="28"/>
          <w:shd w:val="clear" w:color="auto" w:fill="FFFFFF"/>
          <w:lang w:val="en-US"/>
        </w:rPr>
        <w:t>J</w:t>
      </w:r>
      <w:r w:rsidRPr="00BE086B">
        <w:rPr>
          <w:sz w:val="28"/>
          <w:szCs w:val="28"/>
          <w:shd w:val="clear" w:color="auto" w:fill="FFFFFF"/>
          <w:lang w:val="uk-UA"/>
        </w:rPr>
        <w:t>.</w:t>
      </w:r>
      <w:r w:rsidRPr="001142BF">
        <w:rPr>
          <w:sz w:val="28"/>
          <w:szCs w:val="28"/>
          <w:shd w:val="clear" w:color="auto" w:fill="FFFFFF"/>
          <w:lang w:val="en-US"/>
        </w:rPr>
        <w:t>, March L</w:t>
      </w:r>
      <w:r w:rsidRPr="00BE086B">
        <w:rPr>
          <w:sz w:val="28"/>
          <w:szCs w:val="28"/>
          <w:shd w:val="clear" w:color="auto" w:fill="FFFFFF"/>
          <w:lang w:val="uk-UA"/>
        </w:rPr>
        <w:t>.</w:t>
      </w:r>
      <w:r w:rsidRPr="001142BF">
        <w:rPr>
          <w:sz w:val="28"/>
          <w:szCs w:val="28"/>
          <w:shd w:val="clear" w:color="auto" w:fill="FFFFFF"/>
          <w:lang w:val="en-US"/>
        </w:rPr>
        <w:t xml:space="preserve">, Chew M. Osteoarthritis in 2020 and beyond: a Lancet </w:t>
      </w:r>
      <w:r w:rsidRPr="00BE086B">
        <w:rPr>
          <w:sz w:val="28"/>
          <w:szCs w:val="28"/>
          <w:shd w:val="clear" w:color="auto" w:fill="FFFFFF"/>
        </w:rPr>
        <w:t>с</w:t>
      </w:r>
      <w:r w:rsidRPr="001142BF">
        <w:rPr>
          <w:sz w:val="28"/>
          <w:szCs w:val="28"/>
          <w:shd w:val="clear" w:color="auto" w:fill="FFFFFF"/>
          <w:lang w:val="en-US"/>
        </w:rPr>
        <w:t xml:space="preserve">ommission. </w:t>
      </w:r>
      <w:r w:rsidRPr="00BE086B">
        <w:rPr>
          <w:sz w:val="28"/>
          <w:szCs w:val="28"/>
          <w:shd w:val="clear" w:color="auto" w:fill="FFFFFF"/>
        </w:rPr>
        <w:t>Lancet. 2020</w:t>
      </w:r>
      <w:r w:rsidRPr="00BE086B">
        <w:rPr>
          <w:sz w:val="28"/>
          <w:szCs w:val="28"/>
          <w:shd w:val="clear" w:color="auto" w:fill="FFFFFF"/>
          <w:lang w:val="uk-UA"/>
        </w:rPr>
        <w:t>;</w:t>
      </w:r>
      <w:r w:rsidRPr="00BE086B">
        <w:rPr>
          <w:sz w:val="28"/>
          <w:szCs w:val="28"/>
          <w:shd w:val="clear" w:color="auto" w:fill="FFFFFF"/>
        </w:rPr>
        <w:t>28;396(10264):1711-1712.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18"/>
          <w:sz w:val="28"/>
          <w:szCs w:val="28"/>
          <w:lang w:eastAsia="ru-RU"/>
        </w:rPr>
      </w:pPr>
      <w:r w:rsidRPr="00BE086B">
        <w:rPr>
          <w:kern w:val="18"/>
          <w:sz w:val="28"/>
          <w:szCs w:val="28"/>
        </w:rPr>
        <w:t>Дедух Н.В. Артроз. Боль. Суставы. Позвоночник. 2012; 2 (6):37-41.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lang w:val="uk-UA"/>
        </w:rPr>
        <w:t xml:space="preserve">Денисюк В.І., Денисюк О.В. </w:t>
      </w:r>
      <w:r w:rsidRPr="00BE086B">
        <w:rPr>
          <w:sz w:val="28"/>
          <w:szCs w:val="28"/>
        </w:rPr>
        <w:t>Остеоартроз: стандарти діагностики та лікування за результатами доказової медицини</w:t>
      </w:r>
      <w:r w:rsidRPr="00BE086B">
        <w:rPr>
          <w:sz w:val="28"/>
          <w:szCs w:val="28"/>
          <w:lang w:val="uk-UA"/>
        </w:rPr>
        <w:t xml:space="preserve">. </w:t>
      </w:r>
      <w:r w:rsidRPr="00BE086B">
        <w:rPr>
          <w:kern w:val="28"/>
          <w:sz w:val="28"/>
          <w:szCs w:val="28"/>
        </w:rPr>
        <w:t>Український медичний часопис. 201</w:t>
      </w:r>
      <w:r w:rsidRPr="00BE086B">
        <w:rPr>
          <w:kern w:val="28"/>
          <w:sz w:val="28"/>
          <w:szCs w:val="28"/>
          <w:lang w:val="uk-UA"/>
        </w:rPr>
        <w:t>2;</w:t>
      </w:r>
      <w:r w:rsidRPr="00BE086B">
        <w:rPr>
          <w:kern w:val="28"/>
          <w:sz w:val="28"/>
          <w:szCs w:val="28"/>
        </w:rPr>
        <w:t xml:space="preserve"> </w:t>
      </w:r>
      <w:r w:rsidRPr="00BE086B">
        <w:rPr>
          <w:kern w:val="28"/>
          <w:sz w:val="28"/>
          <w:szCs w:val="28"/>
          <w:lang w:val="uk-UA"/>
        </w:rPr>
        <w:t>1(87):91</w:t>
      </w:r>
      <w:r w:rsidRPr="00BE086B">
        <w:rPr>
          <w:kern w:val="28"/>
          <w:sz w:val="28"/>
          <w:szCs w:val="28"/>
        </w:rPr>
        <w:t>-</w:t>
      </w:r>
      <w:r w:rsidRPr="00BE086B">
        <w:rPr>
          <w:kern w:val="28"/>
          <w:sz w:val="28"/>
          <w:szCs w:val="28"/>
          <w:lang w:val="uk-UA"/>
        </w:rPr>
        <w:t>9</w:t>
      </w:r>
      <w:r w:rsidRPr="00BE086B">
        <w:rPr>
          <w:kern w:val="28"/>
          <w:sz w:val="28"/>
          <w:szCs w:val="28"/>
        </w:rPr>
        <w:t>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rFonts w:eastAsia="Calibri-Italic"/>
          <w:iCs/>
          <w:sz w:val="28"/>
          <w:szCs w:val="28"/>
          <w:lang w:eastAsia="ru-RU"/>
        </w:rPr>
        <w:t>Ревматология: Клинические рекомендации под ред. Е.Л. Насонова. М.: ГЭОТАР-Медиа, 2010</w:t>
      </w:r>
      <w:r w:rsidRPr="00BE086B">
        <w:rPr>
          <w:rFonts w:eastAsia="Calibri-Italic"/>
          <w:iCs/>
          <w:sz w:val="28"/>
          <w:szCs w:val="28"/>
          <w:lang w:val="uk-UA" w:eastAsia="ru-RU"/>
        </w:rPr>
        <w:t>,</w:t>
      </w:r>
      <w:r w:rsidRPr="00BE086B">
        <w:rPr>
          <w:rFonts w:eastAsia="Calibri-Italic"/>
          <w:iCs/>
          <w:sz w:val="28"/>
          <w:szCs w:val="28"/>
          <w:lang w:eastAsia="ru-RU"/>
        </w:rPr>
        <w:t xml:space="preserve"> 752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kern w:val="2"/>
          <w:sz w:val="28"/>
          <w:szCs w:val="28"/>
        </w:rPr>
      </w:pPr>
      <w:r w:rsidRPr="00BE086B">
        <w:rPr>
          <w:sz w:val="28"/>
          <w:szCs w:val="28"/>
          <w:shd w:val="clear" w:color="auto" w:fill="FFFFFF"/>
          <w:lang w:val="en-US"/>
        </w:rPr>
        <w:t>Devecerski G., Tomasević S., Teofilovski M., Lazović M., Konstantinović L., Vuleković P. The frequency of metabolic and endocrine diseases in patients with various types of osteoarthritis. Med Pregl. 2006;</w:t>
      </w:r>
      <w:r w:rsidRPr="00BE086B">
        <w:rPr>
          <w:sz w:val="28"/>
          <w:szCs w:val="28"/>
          <w:shd w:val="clear" w:color="auto" w:fill="FFFFFF"/>
          <w:lang w:val="uk-UA"/>
        </w:rPr>
        <w:t xml:space="preserve"> </w:t>
      </w:r>
      <w:r w:rsidRPr="00BE086B">
        <w:rPr>
          <w:sz w:val="28"/>
          <w:szCs w:val="28"/>
          <w:shd w:val="clear" w:color="auto" w:fill="FFFFFF"/>
          <w:lang w:val="en-US"/>
        </w:rPr>
        <w:t>59</w:t>
      </w:r>
      <w:r w:rsidRPr="00BE086B">
        <w:rPr>
          <w:sz w:val="28"/>
          <w:szCs w:val="28"/>
          <w:shd w:val="clear" w:color="auto" w:fill="FFFFFF"/>
          <w:lang w:val="uk-UA"/>
        </w:rPr>
        <w:t>,</w:t>
      </w:r>
      <w:r w:rsidRPr="00BE086B">
        <w:rPr>
          <w:sz w:val="28"/>
          <w:szCs w:val="28"/>
          <w:shd w:val="clear" w:color="auto" w:fill="FFFFFF"/>
          <w:lang w:val="en-US"/>
        </w:rPr>
        <w:t>1:41-45.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kern w:val="2"/>
          <w:sz w:val="28"/>
          <w:szCs w:val="28"/>
        </w:rPr>
      </w:pPr>
      <w:r w:rsidRPr="00BE086B">
        <w:rPr>
          <w:sz w:val="28"/>
          <w:szCs w:val="28"/>
          <w:shd w:val="clear" w:color="auto" w:fill="FFFFFF"/>
          <w:lang w:val="en-US"/>
        </w:rPr>
        <w:lastRenderedPageBreak/>
        <w:t>Bay-Jensen A.C., Slagboom E., Chen-An P., Alexandersen P., Qvist P., Christiansen C., Meulenbelt I., Karsdal M.A. Role of hormones in cartilage and joint metabolism: understanding an unhealthy metabolic phenotype in osteoarthritis. Menopause. 2013;20(5):578-</w:t>
      </w:r>
      <w:r w:rsidRPr="00BE086B">
        <w:rPr>
          <w:sz w:val="28"/>
          <w:szCs w:val="28"/>
          <w:shd w:val="clear" w:color="auto" w:fill="FFFFFF"/>
        </w:rPr>
        <w:t>5</w:t>
      </w:r>
      <w:r w:rsidRPr="00BE086B">
        <w:rPr>
          <w:sz w:val="28"/>
          <w:szCs w:val="28"/>
          <w:shd w:val="clear" w:color="auto" w:fill="FFFFFF"/>
          <w:lang w:val="en-US"/>
        </w:rPr>
        <w:t>86.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kern w:val="2"/>
          <w:sz w:val="28"/>
          <w:szCs w:val="28"/>
        </w:rPr>
      </w:pPr>
      <w:r w:rsidRPr="00BE086B">
        <w:rPr>
          <w:sz w:val="28"/>
          <w:szCs w:val="28"/>
          <w:shd w:val="clear" w:color="auto" w:fill="FFFFFF"/>
          <w:lang w:val="en-US"/>
        </w:rPr>
        <w:t>Taylor A.M. Metabolic and endocrine diseases, cartilage calcification and arthritis. Curr Opin Rheumatol. 2013;25(2):198-203.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bCs/>
          <w:iCs/>
          <w:sz w:val="28"/>
          <w:szCs w:val="28"/>
          <w:lang w:val="uk-UA" w:eastAsia="ru-RU"/>
        </w:rPr>
        <w:t>Іванова К.А. Клініко-інструментальний аналіз перебігу та лікування коморбідності остеоартрозу та дисліпідемії. Дис. на здобуття наук. ст. канд. мед. наук: 14.01.12 – ревматологія. Київ, 2015; 182.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kern w:val="2"/>
          <w:sz w:val="28"/>
          <w:szCs w:val="28"/>
        </w:rPr>
      </w:pPr>
      <w:r w:rsidRPr="00BE086B">
        <w:rPr>
          <w:sz w:val="28"/>
          <w:szCs w:val="28"/>
          <w:shd w:val="clear" w:color="auto" w:fill="FFFFFF"/>
          <w:lang w:val="en-US"/>
        </w:rPr>
        <w:t>Pavelka K. Osteoarthritis as part of metabolic syndrome? Vnitr Lek. 2017;63(10):707-711.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kern w:val="2"/>
          <w:sz w:val="28"/>
          <w:szCs w:val="28"/>
        </w:rPr>
      </w:pPr>
      <w:r w:rsidRPr="001142BF">
        <w:rPr>
          <w:rFonts w:eastAsia="BlinkMacSystemFont"/>
          <w:sz w:val="28"/>
          <w:szCs w:val="28"/>
          <w:lang w:val="en-US" w:eastAsia="en-US"/>
        </w:rPr>
        <w:t>Voloshyna L</w:t>
      </w:r>
      <w:r w:rsidRPr="00BE086B">
        <w:rPr>
          <w:rFonts w:eastAsia="BlinkMacSystemFont"/>
          <w:sz w:val="28"/>
          <w:szCs w:val="28"/>
          <w:lang w:val="uk-UA" w:eastAsia="en-US"/>
        </w:rPr>
        <w:t>.</w:t>
      </w:r>
      <w:r w:rsidRPr="001142BF">
        <w:rPr>
          <w:rFonts w:eastAsia="BlinkMacSystemFont"/>
          <w:sz w:val="28"/>
          <w:szCs w:val="28"/>
          <w:lang w:val="en-US" w:eastAsia="en-US"/>
        </w:rPr>
        <w:t xml:space="preserve">, Doholich </w:t>
      </w:r>
      <w:r w:rsidRPr="00BE086B">
        <w:rPr>
          <w:rFonts w:eastAsia="BlinkMacSystemFont"/>
          <w:sz w:val="28"/>
          <w:szCs w:val="28"/>
          <w:lang w:eastAsia="en-US"/>
        </w:rPr>
        <w:t>О</w:t>
      </w:r>
      <w:r w:rsidRPr="00BE086B">
        <w:rPr>
          <w:rFonts w:eastAsia="BlinkMacSystemFont"/>
          <w:sz w:val="28"/>
          <w:szCs w:val="28"/>
          <w:lang w:val="uk-UA" w:eastAsia="en-US"/>
        </w:rPr>
        <w:t>.</w:t>
      </w:r>
      <w:r w:rsidRPr="001142BF">
        <w:rPr>
          <w:rFonts w:eastAsia="BlinkMacSystemFont"/>
          <w:sz w:val="28"/>
          <w:szCs w:val="28"/>
          <w:lang w:val="en-US" w:eastAsia="en-US"/>
        </w:rPr>
        <w:t xml:space="preserve">, Sithinska I. Hypothyroidism - a special comorbidity factor in patients with osteoarthrosis: clinical, pathophysiological and prognostic aspects. </w:t>
      </w:r>
      <w:r w:rsidRPr="00BE086B">
        <w:rPr>
          <w:rFonts w:eastAsia="BlinkMacSystemFont"/>
          <w:sz w:val="28"/>
          <w:szCs w:val="28"/>
          <w:lang w:eastAsia="en-US"/>
        </w:rPr>
        <w:t>Georgian Med News. 2017;272:53-59.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shd w:val="clear" w:color="auto" w:fill="FFFFFF"/>
          <w:lang w:val="en-US"/>
        </w:rPr>
        <w:t>Swain S</w:t>
      </w:r>
      <w:r w:rsidRPr="00BE086B">
        <w:rPr>
          <w:sz w:val="28"/>
          <w:szCs w:val="28"/>
          <w:shd w:val="clear" w:color="auto" w:fill="FFFFFF"/>
          <w:lang w:val="uk-UA"/>
        </w:rPr>
        <w:t>.</w:t>
      </w:r>
      <w:r w:rsidRPr="00BE086B">
        <w:rPr>
          <w:sz w:val="28"/>
          <w:szCs w:val="28"/>
          <w:shd w:val="clear" w:color="auto" w:fill="FFFFFF"/>
          <w:lang w:val="en-US"/>
        </w:rPr>
        <w:t>, Sarmanova A</w:t>
      </w:r>
      <w:r w:rsidRPr="00BE086B">
        <w:rPr>
          <w:sz w:val="28"/>
          <w:szCs w:val="28"/>
          <w:shd w:val="clear" w:color="auto" w:fill="FFFFFF"/>
          <w:lang w:val="uk-UA"/>
        </w:rPr>
        <w:t>.</w:t>
      </w:r>
      <w:r w:rsidRPr="00BE086B">
        <w:rPr>
          <w:sz w:val="28"/>
          <w:szCs w:val="28"/>
          <w:shd w:val="clear" w:color="auto" w:fill="FFFFFF"/>
          <w:lang w:val="en-US"/>
        </w:rPr>
        <w:t>, Coupland C</w:t>
      </w:r>
      <w:r w:rsidRPr="00BE086B">
        <w:rPr>
          <w:sz w:val="28"/>
          <w:szCs w:val="28"/>
          <w:shd w:val="clear" w:color="auto" w:fill="FFFFFF"/>
          <w:lang w:val="uk-UA"/>
        </w:rPr>
        <w:t>.</w:t>
      </w:r>
      <w:r w:rsidRPr="00BE086B">
        <w:rPr>
          <w:sz w:val="28"/>
          <w:szCs w:val="28"/>
          <w:shd w:val="clear" w:color="auto" w:fill="FFFFFF"/>
          <w:lang w:val="en-US"/>
        </w:rPr>
        <w:t>, Doherty M</w:t>
      </w:r>
      <w:r w:rsidRPr="00BE086B">
        <w:rPr>
          <w:sz w:val="28"/>
          <w:szCs w:val="28"/>
          <w:shd w:val="clear" w:color="auto" w:fill="FFFFFF"/>
          <w:lang w:val="uk-UA"/>
        </w:rPr>
        <w:t>.</w:t>
      </w:r>
      <w:r w:rsidRPr="00BE086B">
        <w:rPr>
          <w:sz w:val="28"/>
          <w:szCs w:val="28"/>
          <w:shd w:val="clear" w:color="auto" w:fill="FFFFFF"/>
          <w:lang w:val="en-US"/>
        </w:rPr>
        <w:t>, Zhang W. Comorbidities in osteoarthritis: a systematic review and meta-analysis of observational studies. Arthritis Care Res (Hoboken). 2020;72(7):991-1000.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shd w:val="clear" w:color="auto" w:fill="FFFFFF"/>
          <w:lang w:val="en-US"/>
        </w:rPr>
        <w:t>Marshall D</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Liu X</w:t>
      </w:r>
      <w:r w:rsidRPr="00BE086B">
        <w:rPr>
          <w:sz w:val="28"/>
          <w:szCs w:val="28"/>
          <w:shd w:val="clear" w:color="auto" w:fill="FFFFFF"/>
          <w:lang w:val="uk-UA"/>
        </w:rPr>
        <w:t>.</w:t>
      </w:r>
      <w:r w:rsidRPr="00BE086B">
        <w:rPr>
          <w:sz w:val="28"/>
          <w:szCs w:val="28"/>
          <w:shd w:val="clear" w:color="auto" w:fill="FFFFFF"/>
          <w:lang w:val="en-US"/>
        </w:rPr>
        <w:t>, Barnabe C</w:t>
      </w:r>
      <w:r w:rsidRPr="00BE086B">
        <w:rPr>
          <w:sz w:val="28"/>
          <w:szCs w:val="28"/>
          <w:shd w:val="clear" w:color="auto" w:fill="FFFFFF"/>
          <w:lang w:val="uk-UA"/>
        </w:rPr>
        <w:t>.</w:t>
      </w:r>
      <w:r w:rsidRPr="00BE086B">
        <w:rPr>
          <w:sz w:val="28"/>
          <w:szCs w:val="28"/>
          <w:shd w:val="clear" w:color="auto" w:fill="FFFFFF"/>
          <w:lang w:val="en-US"/>
        </w:rPr>
        <w:t>, Yee K</w:t>
      </w:r>
      <w:r w:rsidRPr="00BE086B">
        <w:rPr>
          <w:sz w:val="28"/>
          <w:szCs w:val="28"/>
          <w:shd w:val="clear" w:color="auto" w:fill="FFFFFF"/>
          <w:lang w:val="uk-UA"/>
        </w:rPr>
        <w:t>.</w:t>
      </w:r>
      <w:r w:rsidRPr="00BE086B">
        <w:rPr>
          <w:sz w:val="28"/>
          <w:szCs w:val="28"/>
          <w:shd w:val="clear" w:color="auto" w:fill="FFFFFF"/>
          <w:lang w:val="en-US"/>
        </w:rPr>
        <w:t>, Faris P</w:t>
      </w:r>
      <w:r w:rsidRPr="00BE086B">
        <w:rPr>
          <w:sz w:val="28"/>
          <w:szCs w:val="28"/>
          <w:shd w:val="clear" w:color="auto" w:fill="FFFFFF"/>
          <w:lang w:val="uk-UA"/>
        </w:rPr>
        <w:t>.</w:t>
      </w:r>
      <w:r w:rsidRPr="00BE086B">
        <w:rPr>
          <w:sz w:val="28"/>
          <w:szCs w:val="28"/>
          <w:shd w:val="clear" w:color="auto" w:fill="FFFFFF"/>
          <w:lang w:val="en-US"/>
        </w:rPr>
        <w:t>D</w:t>
      </w:r>
      <w:r w:rsidRPr="00BE086B">
        <w:rPr>
          <w:sz w:val="28"/>
          <w:szCs w:val="28"/>
          <w:shd w:val="clear" w:color="auto" w:fill="FFFFFF"/>
          <w:lang w:val="uk-UA"/>
        </w:rPr>
        <w:t>.</w:t>
      </w:r>
      <w:r w:rsidRPr="00BE086B">
        <w:rPr>
          <w:sz w:val="28"/>
          <w:szCs w:val="28"/>
          <w:shd w:val="clear" w:color="auto" w:fill="FFFFFF"/>
          <w:lang w:val="en-US"/>
        </w:rPr>
        <w:t>, Barber C</w:t>
      </w:r>
      <w:r w:rsidRPr="00BE086B">
        <w:rPr>
          <w:sz w:val="28"/>
          <w:szCs w:val="28"/>
          <w:shd w:val="clear" w:color="auto" w:fill="FFFFFF"/>
          <w:lang w:val="uk-UA"/>
        </w:rPr>
        <w:t>.</w:t>
      </w:r>
      <w:r w:rsidRPr="00BE086B">
        <w:rPr>
          <w:sz w:val="28"/>
          <w:szCs w:val="28"/>
          <w:shd w:val="clear" w:color="auto" w:fill="FFFFFF"/>
          <w:lang w:val="en-US"/>
        </w:rPr>
        <w:t>, Mosher D</w:t>
      </w:r>
      <w:r w:rsidRPr="00BE086B">
        <w:rPr>
          <w:sz w:val="28"/>
          <w:szCs w:val="28"/>
          <w:shd w:val="clear" w:color="auto" w:fill="FFFFFF"/>
          <w:lang w:val="uk-UA"/>
        </w:rPr>
        <w:t>.</w:t>
      </w:r>
      <w:r w:rsidRPr="00BE086B">
        <w:rPr>
          <w:sz w:val="28"/>
          <w:szCs w:val="28"/>
          <w:shd w:val="clear" w:color="auto" w:fill="FFFFFF"/>
          <w:lang w:val="en-US"/>
        </w:rPr>
        <w:t>, Noseworthy T</w:t>
      </w:r>
      <w:r w:rsidRPr="00BE086B">
        <w:rPr>
          <w:sz w:val="28"/>
          <w:szCs w:val="28"/>
          <w:shd w:val="clear" w:color="auto" w:fill="FFFFFF"/>
          <w:lang w:val="uk-UA"/>
        </w:rPr>
        <w:t>.</w:t>
      </w:r>
      <w:r w:rsidRPr="00BE086B">
        <w:rPr>
          <w:sz w:val="28"/>
          <w:szCs w:val="28"/>
          <w:shd w:val="clear" w:color="auto" w:fill="FFFFFF"/>
          <w:lang w:val="en-US"/>
        </w:rPr>
        <w:t>, Werle J</w:t>
      </w:r>
      <w:r w:rsidRPr="00BE086B">
        <w:rPr>
          <w:sz w:val="28"/>
          <w:szCs w:val="28"/>
          <w:shd w:val="clear" w:color="auto" w:fill="FFFFFF"/>
          <w:lang w:val="uk-UA"/>
        </w:rPr>
        <w:t>.</w:t>
      </w:r>
      <w:r w:rsidRPr="00BE086B">
        <w:rPr>
          <w:sz w:val="28"/>
          <w:szCs w:val="28"/>
          <w:shd w:val="clear" w:color="auto" w:fill="FFFFFF"/>
          <w:lang w:val="en-US"/>
        </w:rPr>
        <w:t>, Lix L. Existing comorbidities in people with osteoarthritis: a retrospective analysis of a population-based cohort in Alberta, Canada. BMJ Open. 2019</w:t>
      </w:r>
      <w:r w:rsidRPr="00BE086B">
        <w:rPr>
          <w:sz w:val="28"/>
          <w:szCs w:val="28"/>
          <w:shd w:val="clear" w:color="auto" w:fill="FFFFFF"/>
          <w:lang w:val="uk-UA"/>
        </w:rPr>
        <w:t>;</w:t>
      </w:r>
      <w:r w:rsidRPr="00BE086B">
        <w:rPr>
          <w:sz w:val="28"/>
          <w:szCs w:val="28"/>
          <w:shd w:val="clear" w:color="auto" w:fill="FFFFFF"/>
          <w:lang w:val="en-US"/>
        </w:rPr>
        <w:t xml:space="preserve"> 21;9(11):333</w:t>
      </w:r>
      <w:r w:rsidRPr="00BE086B">
        <w:rPr>
          <w:sz w:val="28"/>
          <w:szCs w:val="28"/>
          <w:shd w:val="clear" w:color="auto" w:fill="FFFFFF"/>
          <w:lang w:val="uk-UA"/>
        </w:rPr>
        <w:t>-3</w:t>
      </w:r>
      <w:r w:rsidRPr="00BE086B">
        <w:rPr>
          <w:sz w:val="28"/>
          <w:szCs w:val="28"/>
          <w:shd w:val="clear" w:color="auto" w:fill="FFFFFF"/>
          <w:lang w:val="en-US"/>
        </w:rPr>
        <w:t>34.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shd w:val="clear" w:color="auto" w:fill="FFFFFF"/>
          <w:lang w:val="en-US"/>
        </w:rPr>
        <w:t>Constantino de Campos G</w:t>
      </w:r>
      <w:r w:rsidRPr="00BE086B">
        <w:rPr>
          <w:sz w:val="28"/>
          <w:szCs w:val="28"/>
          <w:shd w:val="clear" w:color="auto" w:fill="FFFFFF"/>
          <w:lang w:val="uk-UA"/>
        </w:rPr>
        <w:t>.</w:t>
      </w:r>
      <w:r w:rsidRPr="00BE086B">
        <w:rPr>
          <w:sz w:val="28"/>
          <w:szCs w:val="28"/>
          <w:shd w:val="clear" w:color="auto" w:fill="FFFFFF"/>
          <w:lang w:val="en-US"/>
        </w:rPr>
        <w:t>, Mundi R</w:t>
      </w:r>
      <w:r w:rsidRPr="00BE086B">
        <w:rPr>
          <w:sz w:val="28"/>
          <w:szCs w:val="28"/>
          <w:shd w:val="clear" w:color="auto" w:fill="FFFFFF"/>
          <w:lang w:val="uk-UA"/>
        </w:rPr>
        <w:t>.</w:t>
      </w:r>
      <w:r w:rsidRPr="00BE086B">
        <w:rPr>
          <w:sz w:val="28"/>
          <w:szCs w:val="28"/>
          <w:shd w:val="clear" w:color="auto" w:fill="FFFFFF"/>
          <w:lang w:val="en-US"/>
        </w:rPr>
        <w:t>, Whittington C</w:t>
      </w:r>
      <w:r w:rsidRPr="00BE086B">
        <w:rPr>
          <w:sz w:val="28"/>
          <w:szCs w:val="28"/>
          <w:shd w:val="clear" w:color="auto" w:fill="FFFFFF"/>
          <w:lang w:val="uk-UA"/>
        </w:rPr>
        <w:t>.</w:t>
      </w:r>
      <w:r w:rsidRPr="00BE086B">
        <w:rPr>
          <w:sz w:val="28"/>
          <w:szCs w:val="28"/>
          <w:shd w:val="clear" w:color="auto" w:fill="FFFFFF"/>
          <w:lang w:val="en-US"/>
        </w:rPr>
        <w:t>, Toutounji M</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Ngai W</w:t>
      </w:r>
      <w:r w:rsidRPr="00BE086B">
        <w:rPr>
          <w:sz w:val="28"/>
          <w:szCs w:val="28"/>
          <w:shd w:val="clear" w:color="auto" w:fill="FFFFFF"/>
          <w:lang w:val="uk-UA"/>
        </w:rPr>
        <w:t>.</w:t>
      </w:r>
      <w:r w:rsidRPr="00BE086B">
        <w:rPr>
          <w:sz w:val="28"/>
          <w:szCs w:val="28"/>
          <w:shd w:val="clear" w:color="auto" w:fill="FFFFFF"/>
          <w:lang w:val="en-US"/>
        </w:rPr>
        <w:t>, Sheehan B. Osteoarthritis, mobility-related comorbidities and mortality: an overview of meta-analyses. Ther Adv Musculoskelet Dis. 2020</w:t>
      </w:r>
      <w:r w:rsidRPr="00BE086B">
        <w:rPr>
          <w:sz w:val="28"/>
          <w:szCs w:val="28"/>
          <w:shd w:val="clear" w:color="auto" w:fill="FFFFFF"/>
          <w:lang w:val="uk-UA"/>
        </w:rPr>
        <w:t>;</w:t>
      </w:r>
      <w:r w:rsidRPr="00BE086B">
        <w:rPr>
          <w:sz w:val="28"/>
          <w:szCs w:val="28"/>
          <w:shd w:val="clear" w:color="auto" w:fill="FFFFFF"/>
          <w:lang w:val="en-US"/>
        </w:rPr>
        <w:t xml:space="preserve"> 25;12:17</w:t>
      </w:r>
      <w:r w:rsidRPr="00BE086B">
        <w:rPr>
          <w:sz w:val="28"/>
          <w:szCs w:val="28"/>
          <w:shd w:val="clear" w:color="auto" w:fill="FFFFFF"/>
          <w:lang w:val="uk-UA"/>
        </w:rPr>
        <w:t>-</w:t>
      </w:r>
      <w:r w:rsidRPr="00BE086B">
        <w:rPr>
          <w:sz w:val="28"/>
          <w:szCs w:val="28"/>
          <w:shd w:val="clear" w:color="auto" w:fill="FFFFFF"/>
          <w:lang w:val="en-US"/>
        </w:rPr>
        <w:t>59.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1142BF">
        <w:rPr>
          <w:sz w:val="28"/>
          <w:szCs w:val="28"/>
          <w:shd w:val="clear" w:color="auto" w:fill="FFFFFF"/>
          <w:lang w:val="en-US"/>
        </w:rPr>
        <w:t>Suri P</w:t>
      </w:r>
      <w:r w:rsidRPr="00BE086B">
        <w:rPr>
          <w:sz w:val="28"/>
          <w:szCs w:val="28"/>
          <w:shd w:val="clear" w:color="auto" w:fill="FFFFFF"/>
          <w:lang w:val="uk-UA"/>
        </w:rPr>
        <w:t>.</w:t>
      </w:r>
      <w:r w:rsidRPr="001142BF">
        <w:rPr>
          <w:sz w:val="28"/>
          <w:szCs w:val="28"/>
          <w:shd w:val="clear" w:color="auto" w:fill="FFFFFF"/>
          <w:lang w:val="en-US"/>
        </w:rPr>
        <w:t>, Morgenroth D</w:t>
      </w:r>
      <w:r w:rsidRPr="00BE086B">
        <w:rPr>
          <w:sz w:val="28"/>
          <w:szCs w:val="28"/>
          <w:shd w:val="clear" w:color="auto" w:fill="FFFFFF"/>
          <w:lang w:val="uk-UA"/>
        </w:rPr>
        <w:t>.</w:t>
      </w:r>
      <w:r w:rsidRPr="001142BF">
        <w:rPr>
          <w:sz w:val="28"/>
          <w:szCs w:val="28"/>
          <w:shd w:val="clear" w:color="auto" w:fill="FFFFFF"/>
          <w:lang w:val="en-US"/>
        </w:rPr>
        <w:t>C</w:t>
      </w:r>
      <w:r w:rsidRPr="00BE086B">
        <w:rPr>
          <w:sz w:val="28"/>
          <w:szCs w:val="28"/>
          <w:shd w:val="clear" w:color="auto" w:fill="FFFFFF"/>
          <w:lang w:val="uk-UA"/>
        </w:rPr>
        <w:t>.</w:t>
      </w:r>
      <w:r w:rsidRPr="001142BF">
        <w:rPr>
          <w:sz w:val="28"/>
          <w:szCs w:val="28"/>
          <w:shd w:val="clear" w:color="auto" w:fill="FFFFFF"/>
          <w:lang w:val="en-US"/>
        </w:rPr>
        <w:t>, Hunter D</w:t>
      </w:r>
      <w:r w:rsidRPr="00BE086B">
        <w:rPr>
          <w:sz w:val="28"/>
          <w:szCs w:val="28"/>
          <w:shd w:val="clear" w:color="auto" w:fill="FFFFFF"/>
          <w:lang w:val="uk-UA"/>
        </w:rPr>
        <w:t>.</w:t>
      </w:r>
      <w:r w:rsidRPr="001142BF">
        <w:rPr>
          <w:sz w:val="28"/>
          <w:szCs w:val="28"/>
          <w:shd w:val="clear" w:color="auto" w:fill="FFFFFF"/>
          <w:lang w:val="en-US"/>
        </w:rPr>
        <w:t xml:space="preserve">J. Epidemiology of osteoarthritis and associated comorbidities. </w:t>
      </w:r>
      <w:r w:rsidRPr="00BE086B">
        <w:rPr>
          <w:sz w:val="28"/>
          <w:szCs w:val="28"/>
          <w:shd w:val="clear" w:color="auto" w:fill="FFFFFF"/>
        </w:rPr>
        <w:t>PMR. 2012;4(5):10-</w:t>
      </w:r>
      <w:r w:rsidRPr="00BE086B">
        <w:rPr>
          <w:sz w:val="28"/>
          <w:szCs w:val="28"/>
          <w:shd w:val="clear" w:color="auto" w:fill="FFFFFF"/>
          <w:lang w:val="uk-UA"/>
        </w:rPr>
        <w:t>1</w:t>
      </w:r>
      <w:r w:rsidRPr="00BE086B">
        <w:rPr>
          <w:sz w:val="28"/>
          <w:szCs w:val="28"/>
          <w:shd w:val="clear" w:color="auto" w:fill="FFFFFF"/>
        </w:rPr>
        <w:t>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18"/>
          <w:sz w:val="28"/>
          <w:szCs w:val="28"/>
          <w:lang w:eastAsia="ru-RU"/>
        </w:rPr>
      </w:pPr>
      <w:r w:rsidRPr="00BE086B">
        <w:rPr>
          <w:sz w:val="28"/>
          <w:szCs w:val="28"/>
        </w:rPr>
        <w:t>Моисеев В.С., Шелепин А.А. Проблемы остеоартроза и его лечения. Медицинский совет. 2007; 3:54-59.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rPr>
        <w:t>Шостак Н.А. Остеоартроз: современные подходы к диагностике и лечению. Лечебное</w:t>
      </w:r>
      <w:r w:rsidRPr="00BE086B">
        <w:rPr>
          <w:sz w:val="28"/>
          <w:szCs w:val="28"/>
          <w:lang w:val="en-US"/>
        </w:rPr>
        <w:t xml:space="preserve"> </w:t>
      </w:r>
      <w:r w:rsidRPr="00BE086B">
        <w:rPr>
          <w:sz w:val="28"/>
          <w:szCs w:val="28"/>
        </w:rPr>
        <w:t>дело</w:t>
      </w:r>
      <w:r w:rsidRPr="00BE086B">
        <w:rPr>
          <w:sz w:val="28"/>
          <w:szCs w:val="28"/>
          <w:lang w:val="en-US"/>
        </w:rPr>
        <w:t>. 2004; 2: 3-9.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rPr>
        <w:lastRenderedPageBreak/>
        <w:t>Урясьев О.М., Заигрова Н.К. Остеоартрит: патогенез, диагностика, лечение. Земский врач. 2016;1-2 (29-30): 27-35.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rFonts w:eastAsia="Calibri-Italic"/>
          <w:iCs/>
          <w:sz w:val="28"/>
          <w:szCs w:val="28"/>
          <w:lang w:eastAsia="ru-RU"/>
        </w:rPr>
        <w:t>Дубиков А.И. Остеоартроз: старая болезнь, новые подходы. Современная ревматология. 2013</w:t>
      </w:r>
      <w:r w:rsidRPr="00BE086B">
        <w:rPr>
          <w:rFonts w:eastAsia="Calibri-Italic"/>
          <w:iCs/>
          <w:sz w:val="28"/>
          <w:szCs w:val="28"/>
          <w:lang w:val="uk-UA" w:eastAsia="ru-RU"/>
        </w:rPr>
        <w:t xml:space="preserve">; </w:t>
      </w:r>
      <w:r w:rsidRPr="00BE086B">
        <w:rPr>
          <w:rFonts w:eastAsia="Calibri-Italic"/>
          <w:iCs/>
          <w:sz w:val="28"/>
          <w:szCs w:val="28"/>
          <w:lang w:eastAsia="ru-RU"/>
        </w:rPr>
        <w:t>2</w:t>
      </w:r>
      <w:r w:rsidRPr="00BE086B">
        <w:rPr>
          <w:rFonts w:eastAsia="Calibri-Italic"/>
          <w:iCs/>
          <w:sz w:val="28"/>
          <w:szCs w:val="28"/>
          <w:lang w:val="uk-UA" w:eastAsia="ru-RU"/>
        </w:rPr>
        <w:t>:</w:t>
      </w:r>
      <w:r w:rsidRPr="00BE086B">
        <w:rPr>
          <w:rFonts w:eastAsia="Calibri-Italic"/>
          <w:iCs/>
          <w:sz w:val="28"/>
          <w:szCs w:val="28"/>
          <w:lang w:eastAsia="ru-RU"/>
        </w:rPr>
        <w:t xml:space="preserve"> 82-86.</w:t>
      </w:r>
    </w:p>
    <w:p w:rsidR="008B13C0" w:rsidRPr="00BE086B" w:rsidRDefault="008B13C0" w:rsidP="00611AFB">
      <w:pPr>
        <w:widowControl w:val="0"/>
        <w:numPr>
          <w:ilvl w:val="0"/>
          <w:numId w:val="19"/>
        </w:numPr>
        <w:suppressAutoHyphens w:val="0"/>
        <w:autoSpaceDE w:val="0"/>
        <w:spacing w:line="360" w:lineRule="auto"/>
        <w:ind w:left="0" w:firstLine="709"/>
        <w:jc w:val="both"/>
        <w:rPr>
          <w:kern w:val="2"/>
          <w:sz w:val="28"/>
          <w:szCs w:val="28"/>
        </w:rPr>
      </w:pPr>
      <w:r w:rsidRPr="00BE086B">
        <w:rPr>
          <w:sz w:val="28"/>
          <w:szCs w:val="28"/>
        </w:rPr>
        <w:t>Хитров Н.А. Остеоартроз. Медицинский совет</w:t>
      </w:r>
      <w:r w:rsidRPr="00BE086B">
        <w:rPr>
          <w:sz w:val="28"/>
          <w:szCs w:val="28"/>
          <w:lang w:val="uk-UA"/>
        </w:rPr>
        <w:t>. 2011;</w:t>
      </w:r>
      <w:r w:rsidRPr="00BE086B">
        <w:rPr>
          <w:sz w:val="28"/>
          <w:szCs w:val="28"/>
        </w:rPr>
        <w:t>11-12</w:t>
      </w:r>
      <w:r w:rsidRPr="00BE086B">
        <w:rPr>
          <w:sz w:val="28"/>
          <w:szCs w:val="28"/>
          <w:lang w:val="uk-UA"/>
        </w:rPr>
        <w:t>:</w:t>
      </w:r>
      <w:r w:rsidRPr="00BE086B">
        <w:rPr>
          <w:sz w:val="28"/>
          <w:szCs w:val="28"/>
        </w:rPr>
        <w:t>132-139.</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rPr>
        <w:t>Чепелевська Л.А. Тенденції медико-демографічних показників України у ХХІ столітті</w:t>
      </w:r>
      <w:r w:rsidRPr="00BE086B">
        <w:rPr>
          <w:sz w:val="28"/>
          <w:szCs w:val="28"/>
          <w:lang w:val="uk-UA"/>
        </w:rPr>
        <w:t>.</w:t>
      </w:r>
      <w:r w:rsidRPr="00BE086B">
        <w:rPr>
          <w:sz w:val="28"/>
          <w:szCs w:val="28"/>
        </w:rPr>
        <w:t xml:space="preserve"> Україна. Здоров’я нації. 2018</w:t>
      </w:r>
      <w:r w:rsidRPr="00BE086B">
        <w:rPr>
          <w:sz w:val="28"/>
          <w:szCs w:val="28"/>
          <w:lang w:val="uk-UA"/>
        </w:rPr>
        <w:t>;</w:t>
      </w:r>
      <w:r w:rsidRPr="00BE086B">
        <w:rPr>
          <w:sz w:val="28"/>
          <w:szCs w:val="28"/>
        </w:rPr>
        <w:t xml:space="preserve"> 1</w:t>
      </w:r>
      <w:r w:rsidRPr="00BE086B">
        <w:rPr>
          <w:sz w:val="28"/>
          <w:szCs w:val="28"/>
          <w:lang w:val="uk-UA"/>
        </w:rPr>
        <w:t>:</w:t>
      </w:r>
      <w:r w:rsidRPr="00BE086B">
        <w:rPr>
          <w:sz w:val="28"/>
          <w:szCs w:val="28"/>
        </w:rPr>
        <w:t>48- 53</w:t>
      </w:r>
      <w:r w:rsidRPr="00BE086B">
        <w:rPr>
          <w:sz w:val="28"/>
          <w:szCs w:val="28"/>
          <w:lang w:val="uk-UA"/>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Чепелевська Л.А.</w:t>
      </w:r>
      <w:r w:rsidRPr="00BE086B">
        <w:rPr>
          <w:sz w:val="28"/>
          <w:szCs w:val="28"/>
          <w:lang w:val="uk-UA"/>
        </w:rPr>
        <w:t>,</w:t>
      </w:r>
      <w:r w:rsidRPr="00BE086B">
        <w:rPr>
          <w:sz w:val="28"/>
          <w:szCs w:val="28"/>
        </w:rPr>
        <w:t xml:space="preserve"> Дзюба О.М. Проблеми медико-демографічної ситуації та заходи з її покращення</w:t>
      </w:r>
      <w:r w:rsidRPr="00BE086B">
        <w:rPr>
          <w:sz w:val="28"/>
          <w:szCs w:val="28"/>
          <w:lang w:val="uk-UA"/>
        </w:rPr>
        <w:t xml:space="preserve">. </w:t>
      </w:r>
      <w:r w:rsidRPr="00BE086B">
        <w:rPr>
          <w:sz w:val="28"/>
          <w:szCs w:val="28"/>
        </w:rPr>
        <w:t>Вісник соціальної гігієни та організації охорони здоров’я України. 2017</w:t>
      </w:r>
      <w:r w:rsidRPr="00BE086B">
        <w:rPr>
          <w:sz w:val="28"/>
          <w:szCs w:val="28"/>
          <w:lang w:val="uk-UA"/>
        </w:rPr>
        <w:t>;</w:t>
      </w:r>
      <w:r w:rsidRPr="00BE086B">
        <w:rPr>
          <w:sz w:val="28"/>
          <w:szCs w:val="28"/>
        </w:rPr>
        <w:t xml:space="preserve"> 1</w:t>
      </w:r>
      <w:r w:rsidRPr="00BE086B">
        <w:rPr>
          <w:sz w:val="28"/>
          <w:szCs w:val="28"/>
          <w:lang w:val="uk-UA"/>
        </w:rPr>
        <w:t>:</w:t>
      </w:r>
      <w:r w:rsidRPr="00BE086B">
        <w:rPr>
          <w:sz w:val="28"/>
          <w:szCs w:val="28"/>
        </w:rPr>
        <w:t>19-23</w:t>
      </w:r>
      <w:r w:rsidRPr="00BE086B">
        <w:rPr>
          <w:sz w:val="28"/>
          <w:szCs w:val="28"/>
          <w:lang w:val="uk-UA"/>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Щорічна доповідь про стан здоров'я населення, санітарно-епідемічну ситуацію та результати діяльності системи охорони здоров'я України</w:t>
      </w:r>
      <w:r w:rsidRPr="00BE086B">
        <w:rPr>
          <w:sz w:val="28"/>
          <w:szCs w:val="28"/>
          <w:lang w:val="uk-UA"/>
        </w:rPr>
        <w:t xml:space="preserve"> за</w:t>
      </w:r>
      <w:r w:rsidRPr="00BE086B">
        <w:rPr>
          <w:sz w:val="28"/>
          <w:szCs w:val="28"/>
        </w:rPr>
        <w:t xml:space="preserve"> 2016 рік / МОЗ України. Київ, 2017.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Гладун О.М. Нариси з демографічної історії України ХХ століття: Монографія / НАН України, Ін-т демограф. та соціальн. дослідж. ім. М.В. Птухи. Київ, 2018</w:t>
      </w:r>
      <w:r w:rsidRPr="00BE086B">
        <w:rPr>
          <w:sz w:val="28"/>
          <w:szCs w:val="28"/>
          <w:lang w:val="uk-UA"/>
        </w:rPr>
        <w:t>,</w:t>
      </w:r>
      <w:r w:rsidRPr="00BE086B">
        <w:rPr>
          <w:sz w:val="28"/>
          <w:szCs w:val="28"/>
        </w:rPr>
        <w:t xml:space="preserve"> 224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 xml:space="preserve">Офіційний сайт Державної служби статистики [Електронний ресурс]. – Режим доступу: </w:t>
      </w:r>
      <w:hyperlink r:id="rId109" w:history="1">
        <w:r w:rsidRPr="00BE086B">
          <w:rPr>
            <w:rStyle w:val="a9"/>
            <w:color w:val="auto"/>
            <w:sz w:val="28"/>
            <w:szCs w:val="28"/>
            <w:lang w:bidi="hi-IN"/>
          </w:rPr>
          <w:t>http://www.ukrstat.gov.ua</w:t>
        </w:r>
      </w:hyperlink>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rFonts w:eastAsia="Calibri-Italic"/>
          <w:iCs/>
          <w:sz w:val="28"/>
          <w:szCs w:val="28"/>
          <w:lang w:eastAsia="ru-RU"/>
        </w:rPr>
        <w:t>Матвеев Р.П.</w:t>
      </w:r>
      <w:r w:rsidRPr="00BE086B">
        <w:rPr>
          <w:rFonts w:eastAsia="Calibri-Italic"/>
          <w:iCs/>
          <w:sz w:val="28"/>
          <w:szCs w:val="28"/>
          <w:lang w:val="uk-UA" w:eastAsia="ru-RU"/>
        </w:rPr>
        <w:t>,</w:t>
      </w:r>
      <w:r w:rsidRPr="00BE086B">
        <w:rPr>
          <w:rFonts w:eastAsia="Calibri-Italic"/>
          <w:iCs/>
          <w:sz w:val="28"/>
          <w:szCs w:val="28"/>
          <w:lang w:eastAsia="ru-RU"/>
        </w:rPr>
        <w:t xml:space="preserve"> Брагина С.В. Остеоартроз коленного сустава: проблемы и социальная значимость</w:t>
      </w:r>
      <w:r w:rsidRPr="00BE086B">
        <w:rPr>
          <w:rFonts w:eastAsia="Calibri-Italic"/>
          <w:iCs/>
          <w:sz w:val="28"/>
          <w:szCs w:val="28"/>
          <w:lang w:val="uk-UA" w:eastAsia="ru-RU"/>
        </w:rPr>
        <w:t>.</w:t>
      </w:r>
      <w:r w:rsidRPr="00BE086B">
        <w:rPr>
          <w:rFonts w:eastAsia="Calibri-Italic"/>
          <w:iCs/>
          <w:sz w:val="28"/>
          <w:szCs w:val="28"/>
          <w:lang w:eastAsia="ru-RU"/>
        </w:rPr>
        <w:t xml:space="preserve"> Экология человека. 2012</w:t>
      </w:r>
      <w:r w:rsidRPr="00BE086B">
        <w:rPr>
          <w:rFonts w:eastAsia="Calibri-Italic"/>
          <w:iCs/>
          <w:sz w:val="28"/>
          <w:szCs w:val="28"/>
          <w:lang w:val="uk-UA" w:eastAsia="ru-RU"/>
        </w:rPr>
        <w:t xml:space="preserve">; </w:t>
      </w:r>
      <w:r w:rsidRPr="00BE086B">
        <w:rPr>
          <w:rFonts w:eastAsia="Calibri-Italic"/>
          <w:iCs/>
          <w:sz w:val="28"/>
          <w:szCs w:val="28"/>
          <w:lang w:eastAsia="ru-RU"/>
        </w:rPr>
        <w:t>9</w:t>
      </w:r>
      <w:r w:rsidRPr="00BE086B">
        <w:rPr>
          <w:rFonts w:eastAsia="Calibri-Italic"/>
          <w:iCs/>
          <w:sz w:val="28"/>
          <w:szCs w:val="28"/>
          <w:lang w:val="uk-UA" w:eastAsia="ru-RU"/>
        </w:rPr>
        <w:t>:</w:t>
      </w:r>
      <w:r w:rsidRPr="00BE086B">
        <w:rPr>
          <w:rFonts w:eastAsia="Calibri-Italic"/>
          <w:iCs/>
          <w:sz w:val="28"/>
          <w:szCs w:val="28"/>
          <w:lang w:eastAsia="ru-RU"/>
        </w:rPr>
        <w:t xml:space="preserve"> 53-62.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Коваленко В.М., Корнацький В.М., Шуба Н.М. Ревматичні хвороби в Україні: сучасний стан проблеми і надання медичної допомоги та шляхи покращання. К</w:t>
      </w:r>
      <w:r w:rsidRPr="00BE086B">
        <w:rPr>
          <w:sz w:val="28"/>
          <w:szCs w:val="28"/>
          <w:lang w:val="uk-UA"/>
        </w:rPr>
        <w:t>иїв</w:t>
      </w:r>
      <w:r w:rsidRPr="00BE086B">
        <w:rPr>
          <w:sz w:val="28"/>
          <w:szCs w:val="28"/>
        </w:rPr>
        <w:t>, 2004</w:t>
      </w:r>
      <w:r w:rsidRPr="00BE086B">
        <w:rPr>
          <w:sz w:val="28"/>
          <w:szCs w:val="28"/>
          <w:lang w:val="uk-UA"/>
        </w:rPr>
        <w:t>,</w:t>
      </w:r>
      <w:r w:rsidRPr="00BE086B">
        <w:rPr>
          <w:sz w:val="28"/>
          <w:szCs w:val="28"/>
        </w:rPr>
        <w:t xml:space="preserve"> 23-26.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Корж Н.А., Хвисюк А.Н., Дедух Н.В. Остеоартроз: консервативная терапия. Монография. Харьков: Золотые страницы, 2007</w:t>
      </w:r>
      <w:r w:rsidRPr="00BE086B">
        <w:rPr>
          <w:sz w:val="28"/>
          <w:szCs w:val="28"/>
          <w:lang w:val="uk-UA"/>
        </w:rPr>
        <w:t xml:space="preserve">, </w:t>
      </w:r>
      <w:r w:rsidRPr="00BE086B">
        <w:rPr>
          <w:sz w:val="28"/>
          <w:szCs w:val="28"/>
        </w:rPr>
        <w:t>1447</w:t>
      </w:r>
      <w:r w:rsidRPr="00BE086B">
        <w:rPr>
          <w:sz w:val="28"/>
          <w:szCs w:val="28"/>
          <w:lang w:val="uk-UA"/>
        </w:rPr>
        <w:t xml:space="preserve"> с</w:t>
      </w:r>
      <w:r w:rsidRPr="00BE086B">
        <w:rPr>
          <w:sz w:val="28"/>
          <w:szCs w:val="28"/>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rFonts w:eastAsia="Calibri-Italic"/>
          <w:iCs/>
          <w:sz w:val="28"/>
          <w:szCs w:val="28"/>
          <w:lang w:val="uk-UA" w:eastAsia="ru-RU"/>
        </w:rPr>
        <w:t>Свінціцький А.С., Яременко О.Б., Пузанова О.Г., Хомченкова Н.І. Ревматичні хвороби та синдроми. Київ: «Книга плюс», 2006. 680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rPr>
        <w:t>Вакуленко О.Ю., Жиляев Е.В. Остеоартроз: современные подходы к лечению. РМЖ. 2016;22:1494-1498.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1142BF">
        <w:rPr>
          <w:sz w:val="28"/>
          <w:szCs w:val="28"/>
          <w:shd w:val="clear" w:color="auto" w:fill="FFFFFF"/>
          <w:lang w:val="en-US"/>
        </w:rPr>
        <w:lastRenderedPageBreak/>
        <w:t>Grässel S</w:t>
      </w:r>
      <w:r w:rsidRPr="00BE086B">
        <w:rPr>
          <w:sz w:val="28"/>
          <w:szCs w:val="28"/>
          <w:shd w:val="clear" w:color="auto" w:fill="FFFFFF"/>
          <w:lang w:val="uk-UA"/>
        </w:rPr>
        <w:t>.</w:t>
      </w:r>
      <w:r w:rsidRPr="001142BF">
        <w:rPr>
          <w:sz w:val="28"/>
          <w:szCs w:val="28"/>
          <w:shd w:val="clear" w:color="auto" w:fill="FFFFFF"/>
          <w:lang w:val="en-US"/>
        </w:rPr>
        <w:t xml:space="preserve">, Muschter D. Recent advances in the treatment of osteoarthritis. </w:t>
      </w:r>
      <w:r w:rsidRPr="00BE086B">
        <w:rPr>
          <w:sz w:val="28"/>
          <w:szCs w:val="28"/>
          <w:shd w:val="clear" w:color="auto" w:fill="FFFFFF"/>
        </w:rPr>
        <w:t>F1000Res. 2020</w:t>
      </w:r>
      <w:r w:rsidRPr="00BE086B">
        <w:rPr>
          <w:sz w:val="28"/>
          <w:szCs w:val="28"/>
          <w:shd w:val="clear" w:color="auto" w:fill="FFFFFF"/>
          <w:lang w:val="uk-UA"/>
        </w:rPr>
        <w:t>;</w:t>
      </w:r>
      <w:r w:rsidRPr="00BE086B">
        <w:rPr>
          <w:sz w:val="28"/>
          <w:szCs w:val="28"/>
          <w:shd w:val="clear" w:color="auto" w:fill="FFFFFF"/>
        </w:rPr>
        <w:t xml:space="preserve"> 4;9:325.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rPr>
        <w:t>Коваленко В.Н., Борткевич О.П. Остеоартроз: Практич. руководство. Киев</w:t>
      </w:r>
      <w:r w:rsidRPr="00BE086B">
        <w:rPr>
          <w:sz w:val="28"/>
          <w:szCs w:val="28"/>
          <w:lang w:val="uk-UA"/>
        </w:rPr>
        <w:t xml:space="preserve">: </w:t>
      </w:r>
      <w:r w:rsidRPr="00BE086B">
        <w:rPr>
          <w:sz w:val="28"/>
          <w:szCs w:val="28"/>
        </w:rPr>
        <w:t>Морион, 2005</w:t>
      </w:r>
      <w:r w:rsidRPr="00BE086B">
        <w:rPr>
          <w:sz w:val="28"/>
          <w:szCs w:val="28"/>
          <w:lang w:val="uk-UA"/>
        </w:rPr>
        <w:t xml:space="preserve">, </w:t>
      </w:r>
      <w:r w:rsidRPr="00BE086B">
        <w:rPr>
          <w:sz w:val="28"/>
          <w:szCs w:val="28"/>
        </w:rPr>
        <w:t>592 с</w:t>
      </w:r>
      <w:r w:rsidRPr="00BE086B">
        <w:rPr>
          <w:sz w:val="28"/>
          <w:szCs w:val="28"/>
          <w:lang w:val="uk-UA"/>
        </w:rPr>
        <w:t>.</w:t>
      </w:r>
    </w:p>
    <w:p w:rsidR="008B13C0" w:rsidRPr="00BE086B" w:rsidRDefault="008B13C0" w:rsidP="00611AFB">
      <w:pPr>
        <w:widowControl w:val="0"/>
        <w:numPr>
          <w:ilvl w:val="0"/>
          <w:numId w:val="19"/>
        </w:numPr>
        <w:suppressAutoHyphens w:val="0"/>
        <w:autoSpaceDE w:val="0"/>
        <w:spacing w:line="360" w:lineRule="auto"/>
        <w:ind w:left="0" w:firstLine="709"/>
        <w:jc w:val="both"/>
        <w:rPr>
          <w:kern w:val="2"/>
          <w:sz w:val="28"/>
          <w:szCs w:val="28"/>
        </w:rPr>
      </w:pPr>
      <w:r w:rsidRPr="00BE086B">
        <w:rPr>
          <w:rFonts w:eastAsia="Calibri-Italic"/>
          <w:iCs/>
          <w:sz w:val="28"/>
          <w:szCs w:val="28"/>
          <w:lang w:eastAsia="ru-RU"/>
        </w:rPr>
        <w:t>Ревматология: Национальное руководство под ред. Е.Л. Насонова. М.: ГЭОТАР-Медиа, 2008. 720 с.</w:t>
      </w:r>
    </w:p>
    <w:p w:rsidR="008B13C0" w:rsidRPr="00BE086B" w:rsidRDefault="008B13C0" w:rsidP="00611AFB">
      <w:pPr>
        <w:widowControl w:val="0"/>
        <w:numPr>
          <w:ilvl w:val="0"/>
          <w:numId w:val="19"/>
        </w:numPr>
        <w:suppressAutoHyphens w:val="0"/>
        <w:autoSpaceDE w:val="0"/>
        <w:spacing w:line="360" w:lineRule="auto"/>
        <w:ind w:left="0" w:firstLine="709"/>
        <w:jc w:val="both"/>
        <w:rPr>
          <w:kern w:val="2"/>
          <w:sz w:val="28"/>
          <w:szCs w:val="28"/>
        </w:rPr>
      </w:pPr>
      <w:r w:rsidRPr="00BE086B">
        <w:rPr>
          <w:rFonts w:eastAsia="Calibri-Italic"/>
          <w:iCs/>
          <w:sz w:val="28"/>
          <w:szCs w:val="28"/>
          <w:lang w:eastAsia="ru-RU"/>
        </w:rPr>
        <w:t>Дядык А.И., Маловичко И.С., Здиховская И.И., Шпилевая Н.И. Остеоартроз: вопросы патогенеза, диагностики, лечебной тактики</w:t>
      </w:r>
      <w:r w:rsidRPr="00BE086B">
        <w:rPr>
          <w:rFonts w:eastAsia="Calibri-Italic"/>
          <w:iCs/>
          <w:sz w:val="28"/>
          <w:szCs w:val="28"/>
          <w:lang w:val="uk-UA" w:eastAsia="ru-RU"/>
        </w:rPr>
        <w:t>. Новости медицины и фармации. 2012;1-2:23-29.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lang w:eastAsia="ru-RU"/>
        </w:rPr>
        <w:t>Цурко В.В. Остеоартроз: гериатрическая проблема</w:t>
      </w:r>
      <w:r w:rsidRPr="00BE086B">
        <w:rPr>
          <w:sz w:val="28"/>
          <w:szCs w:val="28"/>
          <w:lang w:val="uk-UA" w:eastAsia="ru-RU"/>
        </w:rPr>
        <w:t>.</w:t>
      </w:r>
      <w:r w:rsidRPr="00BE086B">
        <w:rPr>
          <w:sz w:val="28"/>
          <w:szCs w:val="28"/>
          <w:lang w:eastAsia="ru-RU"/>
        </w:rPr>
        <w:t xml:space="preserve"> Русский медицинский журнал. 2005</w:t>
      </w:r>
      <w:r w:rsidRPr="00BE086B">
        <w:rPr>
          <w:sz w:val="28"/>
          <w:szCs w:val="28"/>
          <w:lang w:val="uk-UA" w:eastAsia="ru-RU"/>
        </w:rPr>
        <w:t>;</w:t>
      </w:r>
      <w:r w:rsidRPr="00BE086B">
        <w:rPr>
          <w:sz w:val="28"/>
          <w:szCs w:val="28"/>
          <w:lang w:eastAsia="ru-RU"/>
        </w:rPr>
        <w:t xml:space="preserve"> 13, 24</w:t>
      </w:r>
      <w:r w:rsidRPr="00BE086B">
        <w:rPr>
          <w:sz w:val="28"/>
          <w:szCs w:val="28"/>
          <w:lang w:val="uk-UA" w:eastAsia="ru-RU"/>
        </w:rPr>
        <w:t>:</w:t>
      </w:r>
      <w:r w:rsidRPr="00BE086B">
        <w:rPr>
          <w:sz w:val="28"/>
          <w:szCs w:val="28"/>
          <w:lang w:eastAsia="ru-RU"/>
        </w:rPr>
        <w:t>1627</w:t>
      </w:r>
      <w:r w:rsidRPr="00BE086B">
        <w:rPr>
          <w:sz w:val="28"/>
          <w:szCs w:val="28"/>
          <w:lang w:val="uk-UA" w:eastAsia="ru-RU"/>
        </w:rPr>
        <w:t>-</w:t>
      </w:r>
      <w:r w:rsidRPr="00BE086B">
        <w:rPr>
          <w:sz w:val="28"/>
          <w:szCs w:val="28"/>
          <w:lang w:eastAsia="ru-RU"/>
        </w:rPr>
        <w:t>1631.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
          <w:sz w:val="28"/>
          <w:szCs w:val="28"/>
          <w:lang w:eastAsia="ru-RU"/>
        </w:rPr>
      </w:pPr>
      <w:r w:rsidRPr="00BE086B">
        <w:rPr>
          <w:kern w:val="2"/>
          <w:sz w:val="28"/>
          <w:szCs w:val="28"/>
        </w:rPr>
        <w:t>Митрофанов В.А. Жаденов И.И., Пучиньян Д.М. Остеоартроз: факторы риска, патогенез и современная терапия. Саратовский научно-медицинский журнал</w:t>
      </w:r>
      <w:r w:rsidRPr="00BE086B">
        <w:rPr>
          <w:kern w:val="2"/>
          <w:sz w:val="28"/>
          <w:szCs w:val="28"/>
          <w:lang w:val="uk-UA"/>
        </w:rPr>
        <w:t>. 2008;</w:t>
      </w:r>
      <w:r w:rsidRPr="00BE086B">
        <w:rPr>
          <w:kern w:val="2"/>
          <w:sz w:val="28"/>
          <w:szCs w:val="28"/>
        </w:rPr>
        <w:t xml:space="preserve"> 4 (2)</w:t>
      </w:r>
      <w:r w:rsidRPr="00BE086B">
        <w:rPr>
          <w:kern w:val="2"/>
          <w:sz w:val="28"/>
          <w:szCs w:val="28"/>
          <w:lang w:val="uk-UA"/>
        </w:rPr>
        <w:t>:</w:t>
      </w:r>
      <w:r w:rsidRPr="00BE086B">
        <w:rPr>
          <w:kern w:val="2"/>
          <w:sz w:val="28"/>
          <w:szCs w:val="28"/>
        </w:rPr>
        <w:t>23-31.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
          <w:sz w:val="28"/>
          <w:szCs w:val="28"/>
          <w:lang w:eastAsia="ru-RU"/>
        </w:rPr>
      </w:pPr>
      <w:r w:rsidRPr="00BE086B">
        <w:rPr>
          <w:kern w:val="2"/>
          <w:sz w:val="28"/>
          <w:szCs w:val="28"/>
        </w:rPr>
        <w:t>Бадокин В.В. Профилактика прогрессирования остеоартроза. Медицинский совет</w:t>
      </w:r>
      <w:r w:rsidRPr="00BE086B">
        <w:rPr>
          <w:kern w:val="2"/>
          <w:sz w:val="28"/>
          <w:szCs w:val="28"/>
          <w:lang w:val="uk-UA"/>
        </w:rPr>
        <w:t>. 2011;</w:t>
      </w:r>
      <w:r w:rsidRPr="00BE086B">
        <w:rPr>
          <w:kern w:val="2"/>
          <w:sz w:val="28"/>
          <w:szCs w:val="28"/>
        </w:rPr>
        <w:t>5-6</w:t>
      </w:r>
      <w:r w:rsidRPr="00BE086B">
        <w:rPr>
          <w:kern w:val="2"/>
          <w:sz w:val="28"/>
          <w:szCs w:val="28"/>
          <w:lang w:val="uk-UA"/>
        </w:rPr>
        <w:t>:</w:t>
      </w:r>
      <w:r w:rsidRPr="00BE086B">
        <w:rPr>
          <w:kern w:val="2"/>
          <w:sz w:val="28"/>
          <w:szCs w:val="28"/>
        </w:rPr>
        <w:t>106-111.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rPr>
        <w:t>Кашеварова Н.Г., Алексеева Л.И. Факторы риска прогрессирования остеоартроза коленных суставов</w:t>
      </w:r>
      <w:r w:rsidRPr="00BE086B">
        <w:rPr>
          <w:sz w:val="28"/>
          <w:szCs w:val="28"/>
          <w:shd w:val="clear" w:color="auto" w:fill="FFFFFF"/>
          <w:lang w:val="uk-UA"/>
        </w:rPr>
        <w:t xml:space="preserve">. </w:t>
      </w:r>
      <w:r w:rsidRPr="00BE086B">
        <w:rPr>
          <w:sz w:val="28"/>
          <w:szCs w:val="28"/>
          <w:shd w:val="clear" w:color="auto" w:fill="FFFFFF"/>
        </w:rPr>
        <w:t>Научно-практическая ревматология. 2014</w:t>
      </w:r>
      <w:r w:rsidRPr="00BE086B">
        <w:rPr>
          <w:sz w:val="28"/>
          <w:szCs w:val="28"/>
          <w:shd w:val="clear" w:color="auto" w:fill="FFFFFF"/>
          <w:lang w:val="uk-UA"/>
        </w:rPr>
        <w:t>;</w:t>
      </w:r>
      <w:r w:rsidRPr="00BE086B">
        <w:rPr>
          <w:sz w:val="28"/>
          <w:szCs w:val="28"/>
          <w:shd w:val="clear" w:color="auto" w:fill="FFFFFF"/>
        </w:rPr>
        <w:t xml:space="preserve"> 52(5)</w:t>
      </w:r>
      <w:r w:rsidRPr="00BE086B">
        <w:rPr>
          <w:sz w:val="28"/>
          <w:szCs w:val="28"/>
          <w:shd w:val="clear" w:color="auto" w:fill="FFFFFF"/>
          <w:lang w:val="uk-UA"/>
        </w:rPr>
        <w:t>:</w:t>
      </w:r>
      <w:r w:rsidRPr="00BE086B">
        <w:rPr>
          <w:sz w:val="28"/>
          <w:szCs w:val="28"/>
          <w:shd w:val="clear" w:color="auto" w:fill="FFFFFF"/>
        </w:rPr>
        <w:t>553</w:t>
      </w:r>
      <w:r w:rsidRPr="00BE086B">
        <w:rPr>
          <w:sz w:val="28"/>
          <w:szCs w:val="28"/>
          <w:shd w:val="clear" w:color="auto" w:fill="FFFFFF"/>
          <w:lang w:val="uk-UA"/>
        </w:rPr>
        <w:t>-</w:t>
      </w:r>
      <w:r w:rsidRPr="00BE086B">
        <w:rPr>
          <w:sz w:val="28"/>
          <w:szCs w:val="28"/>
          <w:shd w:val="clear" w:color="auto" w:fill="FFFFFF"/>
        </w:rPr>
        <w:t>561</w:t>
      </w:r>
      <w:r w:rsidRPr="00BE086B">
        <w:rPr>
          <w:sz w:val="28"/>
          <w:szCs w:val="28"/>
          <w:shd w:val="clear" w:color="auto" w:fill="FFFFFF"/>
          <w:lang w:val="uk-UA"/>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uk-UA"/>
        </w:rPr>
        <w:t xml:space="preserve">Фурман Ю. Фактори ризику, як складова частини технології фізичної реабілітації при остеоартрозах. </w:t>
      </w:r>
      <w:r w:rsidRPr="00BE086B">
        <w:rPr>
          <w:iCs/>
          <w:sz w:val="28"/>
          <w:szCs w:val="28"/>
          <w:shd w:val="clear" w:color="auto" w:fill="FFFFFF"/>
          <w:lang w:val="uk-UA"/>
        </w:rPr>
        <w:t>Молодіжний науковий вісник Східноєвропейського національного університету імені Лесі Українки. 2019;</w:t>
      </w:r>
      <w:r w:rsidRPr="00BE086B">
        <w:rPr>
          <w:sz w:val="28"/>
          <w:szCs w:val="28"/>
          <w:shd w:val="clear" w:color="auto" w:fill="FFFFFF"/>
          <w:lang w:val="uk-UA"/>
        </w:rPr>
        <w:t>26:91-94.</w:t>
      </w:r>
    </w:p>
    <w:p w:rsidR="008B13C0" w:rsidRPr="00BE086B" w:rsidRDefault="008B13C0" w:rsidP="00611AFB">
      <w:pPr>
        <w:widowControl w:val="0"/>
        <w:numPr>
          <w:ilvl w:val="0"/>
          <w:numId w:val="19"/>
        </w:numPr>
        <w:suppressAutoHyphens w:val="0"/>
        <w:autoSpaceDE w:val="0"/>
        <w:spacing w:line="360" w:lineRule="auto"/>
        <w:ind w:left="0" w:firstLine="709"/>
        <w:jc w:val="both"/>
        <w:rPr>
          <w:kern w:val="2"/>
          <w:sz w:val="28"/>
          <w:szCs w:val="28"/>
        </w:rPr>
      </w:pPr>
      <w:r w:rsidRPr="00BE086B">
        <w:rPr>
          <w:sz w:val="28"/>
          <w:szCs w:val="28"/>
          <w:lang w:eastAsia="ru-RU"/>
        </w:rPr>
        <w:t>Алексеева Л.И. Факторы риска при остеоартрозе. Научно-практическая ревматология. 2000</w:t>
      </w:r>
      <w:r w:rsidRPr="00BE086B">
        <w:rPr>
          <w:sz w:val="28"/>
          <w:szCs w:val="28"/>
          <w:lang w:val="uk-UA" w:eastAsia="ru-RU"/>
        </w:rPr>
        <w:t>;</w:t>
      </w:r>
      <w:r w:rsidRPr="00BE086B">
        <w:rPr>
          <w:sz w:val="28"/>
          <w:szCs w:val="28"/>
          <w:lang w:eastAsia="ru-RU"/>
        </w:rPr>
        <w:t>2</w:t>
      </w:r>
      <w:r w:rsidRPr="00BE086B">
        <w:rPr>
          <w:sz w:val="28"/>
          <w:szCs w:val="28"/>
          <w:lang w:val="uk-UA" w:eastAsia="ru-RU"/>
        </w:rPr>
        <w:t>:</w:t>
      </w:r>
      <w:r w:rsidRPr="00BE086B">
        <w:rPr>
          <w:sz w:val="28"/>
          <w:szCs w:val="28"/>
          <w:lang w:eastAsia="ru-RU"/>
        </w:rPr>
        <w:t>36</w:t>
      </w:r>
      <w:r w:rsidRPr="00BE086B">
        <w:rPr>
          <w:sz w:val="28"/>
          <w:szCs w:val="28"/>
          <w:lang w:val="uk-UA" w:eastAsia="ru-RU"/>
        </w:rPr>
        <w:t>-</w:t>
      </w:r>
      <w:r w:rsidRPr="00BE086B">
        <w:rPr>
          <w:sz w:val="28"/>
          <w:szCs w:val="28"/>
          <w:lang w:eastAsia="ru-RU"/>
        </w:rPr>
        <w:t>45.</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rPr>
      </w:pPr>
      <w:r w:rsidRPr="00BE086B">
        <w:rPr>
          <w:rFonts w:eastAsia="Calibri"/>
          <w:sz w:val="28"/>
          <w:szCs w:val="28"/>
          <w:lang w:eastAsia="en-US"/>
        </w:rPr>
        <w:t>Щеглакова Г.Ю., Бабичев Ю.И. В</w:t>
      </w:r>
      <w:r w:rsidRPr="00BE086B">
        <w:rPr>
          <w:rFonts w:eastAsia="BlinkMacSystemFont"/>
          <w:sz w:val="28"/>
          <w:szCs w:val="28"/>
          <w:lang w:eastAsia="en-US"/>
        </w:rPr>
        <w:t xml:space="preserve">лияние гипофункции щитовидной железы на развитие </w:t>
      </w:r>
      <w:r w:rsidRPr="00BE086B">
        <w:rPr>
          <w:rFonts w:eastAsia="Calibri"/>
          <w:sz w:val="28"/>
          <w:szCs w:val="28"/>
          <w:lang w:eastAsia="en-US"/>
        </w:rPr>
        <w:t>остеоартроза височно-нижнечелюстного сустава. Бюллетень ВСНЦ СО РАМН. 2011;3(79):233-235.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
          <w:sz w:val="28"/>
          <w:szCs w:val="28"/>
          <w:lang w:val="uk-UA" w:eastAsia="ru-RU"/>
        </w:rPr>
      </w:pPr>
      <w:r w:rsidRPr="00BE086B">
        <w:rPr>
          <w:sz w:val="28"/>
          <w:szCs w:val="28"/>
          <w:lang w:val="en-US"/>
        </w:rPr>
        <w:t>Povoroznyuk V</w:t>
      </w:r>
      <w:r w:rsidRPr="00BE086B">
        <w:rPr>
          <w:sz w:val="28"/>
          <w:szCs w:val="28"/>
          <w:lang w:val="uk-UA"/>
        </w:rPr>
        <w:t>.</w:t>
      </w:r>
      <w:r w:rsidRPr="00BE086B">
        <w:rPr>
          <w:sz w:val="28"/>
          <w:szCs w:val="28"/>
          <w:lang w:val="en-US"/>
        </w:rPr>
        <w:t>, Martynyuk L</w:t>
      </w:r>
      <w:r w:rsidRPr="00BE086B">
        <w:rPr>
          <w:sz w:val="28"/>
          <w:szCs w:val="28"/>
          <w:lang w:val="uk-UA"/>
        </w:rPr>
        <w:t>.</w:t>
      </w:r>
      <w:r w:rsidRPr="00BE086B">
        <w:rPr>
          <w:sz w:val="28"/>
          <w:szCs w:val="28"/>
          <w:lang w:val="en-US"/>
        </w:rPr>
        <w:t>, Dzerovych N</w:t>
      </w:r>
      <w:r w:rsidRPr="00BE086B">
        <w:rPr>
          <w:sz w:val="28"/>
          <w:szCs w:val="28"/>
          <w:lang w:val="uk-UA"/>
        </w:rPr>
        <w:t>.</w:t>
      </w:r>
      <w:r w:rsidRPr="00BE086B">
        <w:rPr>
          <w:sz w:val="28"/>
          <w:szCs w:val="28"/>
          <w:lang w:val="en-US"/>
        </w:rPr>
        <w:t>, Martyntyuk L</w:t>
      </w:r>
      <w:r w:rsidRPr="00BE086B">
        <w:rPr>
          <w:sz w:val="28"/>
          <w:szCs w:val="28"/>
          <w:lang w:val="uk-UA"/>
        </w:rPr>
        <w:t xml:space="preserve">. </w:t>
      </w:r>
      <w:r w:rsidRPr="00BE086B">
        <w:rPr>
          <w:sz w:val="28"/>
          <w:szCs w:val="28"/>
          <w:lang w:val="en-US"/>
        </w:rPr>
        <w:t>Bone mineral density and metabolic syndrome</w:t>
      </w:r>
      <w:r w:rsidRPr="00BE086B">
        <w:rPr>
          <w:sz w:val="28"/>
          <w:szCs w:val="28"/>
          <w:lang w:val="uk-UA"/>
        </w:rPr>
        <w:t xml:space="preserve">. </w:t>
      </w:r>
      <w:r w:rsidRPr="00BE086B">
        <w:rPr>
          <w:sz w:val="28"/>
          <w:szCs w:val="28"/>
          <w:shd w:val="clear" w:color="auto" w:fill="FFFFFF"/>
        </w:rPr>
        <w:t>Revista</w:t>
      </w:r>
      <w:r w:rsidRPr="00BE086B">
        <w:rPr>
          <w:sz w:val="28"/>
          <w:szCs w:val="28"/>
          <w:shd w:val="clear" w:color="auto" w:fill="FFFFFF"/>
          <w:lang w:val="uk-UA"/>
        </w:rPr>
        <w:t xml:space="preserve"> </w:t>
      </w:r>
      <w:r w:rsidRPr="00BE086B">
        <w:rPr>
          <w:sz w:val="28"/>
          <w:szCs w:val="28"/>
          <w:shd w:val="clear" w:color="auto" w:fill="FFFFFF"/>
        </w:rPr>
        <w:t>Portuguesa</w:t>
      </w:r>
      <w:r w:rsidRPr="00BE086B">
        <w:rPr>
          <w:sz w:val="28"/>
          <w:szCs w:val="28"/>
          <w:shd w:val="clear" w:color="auto" w:fill="FFFFFF"/>
          <w:lang w:val="uk-UA"/>
        </w:rPr>
        <w:t xml:space="preserve"> </w:t>
      </w:r>
      <w:r w:rsidRPr="00BE086B">
        <w:rPr>
          <w:sz w:val="28"/>
          <w:szCs w:val="28"/>
          <w:shd w:val="clear" w:color="auto" w:fill="FFFFFF"/>
        </w:rPr>
        <w:t>de</w:t>
      </w:r>
      <w:r w:rsidRPr="00BE086B">
        <w:rPr>
          <w:sz w:val="28"/>
          <w:szCs w:val="28"/>
          <w:shd w:val="clear" w:color="auto" w:fill="FFFFFF"/>
          <w:lang w:val="uk-UA"/>
        </w:rPr>
        <w:t xml:space="preserve"> </w:t>
      </w:r>
      <w:r w:rsidRPr="00BE086B">
        <w:rPr>
          <w:sz w:val="28"/>
          <w:szCs w:val="28"/>
          <w:shd w:val="clear" w:color="auto" w:fill="FFFFFF"/>
        </w:rPr>
        <w:t>Endocrinologia</w:t>
      </w:r>
      <w:r w:rsidRPr="00BE086B">
        <w:rPr>
          <w:sz w:val="28"/>
          <w:szCs w:val="28"/>
          <w:shd w:val="clear" w:color="auto" w:fill="FFFFFF"/>
          <w:lang w:val="uk-UA"/>
        </w:rPr>
        <w:t xml:space="preserve">, </w:t>
      </w:r>
      <w:r w:rsidRPr="00BE086B">
        <w:rPr>
          <w:kern w:val="2"/>
          <w:sz w:val="28"/>
          <w:szCs w:val="28"/>
          <w:shd w:val="clear" w:color="auto" w:fill="FFFFFF"/>
        </w:rPr>
        <w:lastRenderedPageBreak/>
        <w:t>Diabetes</w:t>
      </w:r>
      <w:r w:rsidRPr="00BE086B">
        <w:rPr>
          <w:kern w:val="2"/>
          <w:sz w:val="28"/>
          <w:szCs w:val="28"/>
          <w:shd w:val="clear" w:color="auto" w:fill="FFFFFF"/>
          <w:lang w:val="uk-UA"/>
        </w:rPr>
        <w:t xml:space="preserve"> </w:t>
      </w:r>
      <w:r w:rsidRPr="00BE086B">
        <w:rPr>
          <w:kern w:val="2"/>
          <w:sz w:val="28"/>
          <w:szCs w:val="28"/>
          <w:shd w:val="clear" w:color="auto" w:fill="FFFFFF"/>
        </w:rPr>
        <w:t>e</w:t>
      </w:r>
      <w:r w:rsidRPr="00BE086B">
        <w:rPr>
          <w:kern w:val="2"/>
          <w:sz w:val="28"/>
          <w:szCs w:val="28"/>
          <w:shd w:val="clear" w:color="auto" w:fill="FFFFFF"/>
          <w:lang w:val="uk-UA"/>
        </w:rPr>
        <w:t xml:space="preserve"> </w:t>
      </w:r>
      <w:r w:rsidRPr="00BE086B">
        <w:rPr>
          <w:kern w:val="2"/>
          <w:sz w:val="28"/>
          <w:szCs w:val="28"/>
          <w:shd w:val="clear" w:color="auto" w:fill="FFFFFF"/>
        </w:rPr>
        <w:t>Metabolismo</w:t>
      </w:r>
      <w:r w:rsidRPr="00BE086B">
        <w:rPr>
          <w:kern w:val="2"/>
          <w:sz w:val="28"/>
          <w:szCs w:val="28"/>
          <w:shd w:val="clear" w:color="auto" w:fill="FFFFFF"/>
          <w:lang w:val="uk-UA"/>
        </w:rPr>
        <w:t>. 2016;6(1):7.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shd w:val="clear" w:color="auto" w:fill="FFFFFF"/>
          <w:lang w:val="en-US"/>
        </w:rPr>
        <w:t>Pickarski M., Hayami T., Zhuo Y., Duong L.T. Molecular changes in articular cartilage and subchondral bone in the rat anterior cruciate ligament transection and meniscectomized models of osteoarthritis. BMC Musculoskelet Disord. 2011</w:t>
      </w:r>
      <w:r w:rsidRPr="00BE086B">
        <w:rPr>
          <w:sz w:val="28"/>
          <w:szCs w:val="28"/>
          <w:shd w:val="clear" w:color="auto" w:fill="FFFFFF"/>
          <w:lang w:val="uk-UA"/>
        </w:rPr>
        <w:t>;</w:t>
      </w:r>
      <w:r w:rsidRPr="00BE086B">
        <w:rPr>
          <w:sz w:val="28"/>
          <w:szCs w:val="28"/>
          <w:shd w:val="clear" w:color="auto" w:fill="FFFFFF"/>
          <w:lang w:val="en-US"/>
        </w:rPr>
        <w:t xml:space="preserve"> 24;12:19</w:t>
      </w:r>
      <w:r w:rsidRPr="00BE086B">
        <w:rPr>
          <w:sz w:val="28"/>
          <w:szCs w:val="28"/>
          <w:shd w:val="clear" w:color="auto" w:fill="FFFFFF"/>
          <w:lang w:val="uk-UA"/>
        </w:rPr>
        <w:t>-2</w:t>
      </w:r>
      <w:r w:rsidRPr="00BE086B">
        <w:rPr>
          <w:sz w:val="28"/>
          <w:szCs w:val="28"/>
          <w:shd w:val="clear" w:color="auto" w:fill="FFFFFF"/>
          <w:lang w:val="en-US"/>
        </w:rPr>
        <w:t>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1142BF">
        <w:rPr>
          <w:sz w:val="28"/>
          <w:szCs w:val="28"/>
          <w:shd w:val="clear" w:color="auto" w:fill="FFFFFF"/>
          <w:lang w:val="en-US"/>
        </w:rPr>
        <w:t>Namhong S</w:t>
      </w:r>
      <w:r w:rsidRPr="00BE086B">
        <w:rPr>
          <w:sz w:val="28"/>
          <w:szCs w:val="28"/>
          <w:shd w:val="clear" w:color="auto" w:fill="FFFFFF"/>
          <w:lang w:val="uk-UA"/>
        </w:rPr>
        <w:t>.</w:t>
      </w:r>
      <w:r w:rsidRPr="001142BF">
        <w:rPr>
          <w:sz w:val="28"/>
          <w:szCs w:val="28"/>
          <w:shd w:val="clear" w:color="auto" w:fill="FFFFFF"/>
          <w:lang w:val="en-US"/>
        </w:rPr>
        <w:t>, Wongdee K</w:t>
      </w:r>
      <w:r w:rsidRPr="00BE086B">
        <w:rPr>
          <w:sz w:val="28"/>
          <w:szCs w:val="28"/>
          <w:shd w:val="clear" w:color="auto" w:fill="FFFFFF"/>
          <w:lang w:val="uk-UA"/>
        </w:rPr>
        <w:t>.</w:t>
      </w:r>
      <w:r w:rsidRPr="001142BF">
        <w:rPr>
          <w:sz w:val="28"/>
          <w:szCs w:val="28"/>
          <w:shd w:val="clear" w:color="auto" w:fill="FFFFFF"/>
          <w:lang w:val="en-US"/>
        </w:rPr>
        <w:t>, Suntornsaratoon P</w:t>
      </w:r>
      <w:r w:rsidRPr="00BE086B">
        <w:rPr>
          <w:sz w:val="28"/>
          <w:szCs w:val="28"/>
          <w:shd w:val="clear" w:color="auto" w:fill="FFFFFF"/>
          <w:lang w:val="uk-UA"/>
        </w:rPr>
        <w:t>.</w:t>
      </w:r>
      <w:r w:rsidRPr="001142BF">
        <w:rPr>
          <w:sz w:val="28"/>
          <w:szCs w:val="28"/>
          <w:shd w:val="clear" w:color="auto" w:fill="FFFFFF"/>
          <w:lang w:val="en-US"/>
        </w:rPr>
        <w:t>, Teerapornpuntakit J</w:t>
      </w:r>
      <w:r w:rsidRPr="00BE086B">
        <w:rPr>
          <w:sz w:val="28"/>
          <w:szCs w:val="28"/>
          <w:shd w:val="clear" w:color="auto" w:fill="FFFFFF"/>
          <w:lang w:val="uk-UA"/>
        </w:rPr>
        <w:t>.</w:t>
      </w:r>
      <w:r w:rsidRPr="001142BF">
        <w:rPr>
          <w:sz w:val="28"/>
          <w:szCs w:val="28"/>
          <w:shd w:val="clear" w:color="auto" w:fill="FFFFFF"/>
          <w:lang w:val="en-US"/>
        </w:rPr>
        <w:t>, Hemstapat R</w:t>
      </w:r>
      <w:r w:rsidRPr="00BE086B">
        <w:rPr>
          <w:sz w:val="28"/>
          <w:szCs w:val="28"/>
          <w:shd w:val="clear" w:color="auto" w:fill="FFFFFF"/>
          <w:lang w:val="uk-UA"/>
        </w:rPr>
        <w:t>.</w:t>
      </w:r>
      <w:r w:rsidRPr="001142BF">
        <w:rPr>
          <w:sz w:val="28"/>
          <w:szCs w:val="28"/>
          <w:shd w:val="clear" w:color="auto" w:fill="FFFFFF"/>
          <w:lang w:val="en-US"/>
        </w:rPr>
        <w:t xml:space="preserve">, Charoenphandhu N. Knee osteoarthritis in young growing rats is associated with widespread osteopenia and impaired bone mineralization. </w:t>
      </w:r>
      <w:r w:rsidRPr="00BE086B">
        <w:rPr>
          <w:sz w:val="28"/>
          <w:szCs w:val="28"/>
          <w:shd w:val="clear" w:color="auto" w:fill="FFFFFF"/>
        </w:rPr>
        <w:t>Sci Rep. 2020</w:t>
      </w:r>
      <w:r w:rsidRPr="00BE086B">
        <w:rPr>
          <w:sz w:val="28"/>
          <w:szCs w:val="28"/>
          <w:shd w:val="clear" w:color="auto" w:fill="FFFFFF"/>
          <w:lang w:val="uk-UA"/>
        </w:rPr>
        <w:t>;</w:t>
      </w:r>
      <w:r w:rsidRPr="00BE086B">
        <w:rPr>
          <w:sz w:val="28"/>
          <w:szCs w:val="28"/>
          <w:shd w:val="clear" w:color="auto" w:fill="FFFFFF"/>
        </w:rPr>
        <w:t xml:space="preserve"> 15;10(1):150</w:t>
      </w:r>
      <w:r w:rsidRPr="00BE086B">
        <w:rPr>
          <w:sz w:val="28"/>
          <w:szCs w:val="28"/>
          <w:shd w:val="clear" w:color="auto" w:fill="FFFFFF"/>
          <w:lang w:val="uk-UA"/>
        </w:rPr>
        <w:t>-1</w:t>
      </w:r>
      <w:r w:rsidRPr="00BE086B">
        <w:rPr>
          <w:sz w:val="28"/>
          <w:szCs w:val="28"/>
          <w:shd w:val="clear" w:color="auto" w:fill="FFFFFF"/>
        </w:rPr>
        <w:t>79.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rFonts w:eastAsia="Calibri"/>
          <w:sz w:val="28"/>
          <w:szCs w:val="28"/>
          <w:lang w:eastAsia="en-US"/>
        </w:rPr>
        <w:t>Б</w:t>
      </w:r>
      <w:r w:rsidRPr="00BE086B">
        <w:rPr>
          <w:rFonts w:eastAsia="BlinkMacSystemFont"/>
          <w:sz w:val="28"/>
          <w:szCs w:val="28"/>
          <w:lang w:eastAsia="en-US"/>
        </w:rPr>
        <w:t>елая Ж.Е., Рожинская Л.Я., Мельниченко Г.А. Современные представления о действии тиреоидных гормонов и тиреотропного гормона на костную ткань. Проблемы эндокринологии. 2006;52(2):48-54.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b/>
          <w:sz w:val="28"/>
          <w:szCs w:val="28"/>
          <w:shd w:val="clear" w:color="auto" w:fill="FFFFFF"/>
          <w:lang w:eastAsia="ru-RU"/>
        </w:rPr>
      </w:pPr>
      <w:r w:rsidRPr="00BE086B">
        <w:rPr>
          <w:sz w:val="28"/>
          <w:szCs w:val="28"/>
          <w:lang w:val="uk-UA"/>
        </w:rPr>
        <w:t xml:space="preserve">Шуба В.Й. </w:t>
      </w:r>
      <w:r w:rsidRPr="00BE086B">
        <w:rPr>
          <w:sz w:val="28"/>
          <w:szCs w:val="28"/>
        </w:rPr>
        <w:t>Остеоартроз: рання діагностика та лікування</w:t>
      </w:r>
      <w:r w:rsidRPr="00BE086B">
        <w:rPr>
          <w:sz w:val="28"/>
          <w:szCs w:val="28"/>
          <w:lang w:val="uk-UA"/>
        </w:rPr>
        <w:t xml:space="preserve">. </w:t>
      </w:r>
      <w:r w:rsidRPr="00BE086B">
        <w:rPr>
          <w:kern w:val="28"/>
          <w:sz w:val="28"/>
          <w:szCs w:val="28"/>
        </w:rPr>
        <w:t>Український медичний часопис. 201</w:t>
      </w:r>
      <w:r w:rsidRPr="00BE086B">
        <w:rPr>
          <w:kern w:val="28"/>
          <w:sz w:val="28"/>
          <w:szCs w:val="28"/>
          <w:lang w:val="uk-UA"/>
        </w:rPr>
        <w:t>6;</w:t>
      </w:r>
      <w:r w:rsidRPr="00BE086B">
        <w:rPr>
          <w:kern w:val="28"/>
          <w:sz w:val="28"/>
          <w:szCs w:val="28"/>
        </w:rPr>
        <w:t xml:space="preserve"> </w:t>
      </w:r>
      <w:r w:rsidRPr="00BE086B">
        <w:rPr>
          <w:kern w:val="28"/>
          <w:sz w:val="28"/>
          <w:szCs w:val="28"/>
          <w:lang w:val="uk-UA"/>
        </w:rPr>
        <w:t>1(111):59</w:t>
      </w:r>
      <w:r w:rsidRPr="00BE086B">
        <w:rPr>
          <w:kern w:val="28"/>
          <w:sz w:val="28"/>
          <w:szCs w:val="28"/>
        </w:rPr>
        <w:t>-</w:t>
      </w:r>
      <w:r w:rsidRPr="00BE086B">
        <w:rPr>
          <w:kern w:val="28"/>
          <w:sz w:val="28"/>
          <w:szCs w:val="28"/>
          <w:lang w:val="uk-UA"/>
        </w:rPr>
        <w:t>6</w:t>
      </w:r>
      <w:r w:rsidRPr="00BE086B">
        <w:rPr>
          <w:kern w:val="28"/>
          <w:sz w:val="28"/>
          <w:szCs w:val="28"/>
        </w:rPr>
        <w:t>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rPr>
        <w:t>Маманазарова Д.К., Искандерова С.Дж., Цурко В.В. Принципы лечения остеоартроза. Клиническая геронтология. 2016; 22 (5-6): 46-55.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shd w:val="clear" w:color="auto" w:fill="FFFFFF"/>
        </w:rPr>
        <w:t xml:space="preserve">Алексеева Л.И., Зайцева Е.М. Перспективные направления терапии остеоартроза. </w:t>
      </w:r>
      <w:r w:rsidRPr="00BE086B">
        <w:rPr>
          <w:iCs/>
          <w:sz w:val="28"/>
          <w:szCs w:val="28"/>
          <w:shd w:val="clear" w:color="auto" w:fill="FFFFFF"/>
        </w:rPr>
        <w:t>Научно-практическая ревматология</w:t>
      </w:r>
      <w:r w:rsidRPr="00BE086B">
        <w:rPr>
          <w:sz w:val="28"/>
          <w:szCs w:val="28"/>
          <w:shd w:val="clear" w:color="auto" w:fill="FFFFFF"/>
        </w:rPr>
        <w:t>. 2014;52(3):247-250.</w:t>
      </w:r>
    </w:p>
    <w:p w:rsidR="008B13C0" w:rsidRPr="00BE086B" w:rsidRDefault="008B13C0" w:rsidP="00611AFB">
      <w:pPr>
        <w:widowControl w:val="0"/>
        <w:numPr>
          <w:ilvl w:val="0"/>
          <w:numId w:val="19"/>
        </w:numPr>
        <w:suppressAutoHyphens w:val="0"/>
        <w:autoSpaceDE w:val="0"/>
        <w:spacing w:line="360" w:lineRule="auto"/>
        <w:ind w:left="0" w:firstLine="709"/>
        <w:jc w:val="both"/>
        <w:rPr>
          <w:kern w:val="2"/>
          <w:sz w:val="28"/>
          <w:szCs w:val="28"/>
        </w:rPr>
      </w:pPr>
      <w:r w:rsidRPr="00BE086B">
        <w:rPr>
          <w:rFonts w:eastAsia="BlinkMacSystemFont"/>
          <w:sz w:val="28"/>
          <w:szCs w:val="28"/>
          <w:lang w:eastAsia="en-US"/>
        </w:rPr>
        <w:t>Мельниченко Г.А., Моргунова Т.Б. Поражение суставов при гипотиреозе. Клиническая геронтология. 2009;2:55-58.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sz w:val="28"/>
          <w:szCs w:val="28"/>
          <w:lang w:eastAsia="ru-RU"/>
        </w:rPr>
      </w:pPr>
      <w:r w:rsidRPr="00BE086B">
        <w:rPr>
          <w:sz w:val="28"/>
          <w:szCs w:val="28"/>
        </w:rPr>
        <w:t>Вернигородский В.С., Власенко М.В., Паламарчук А.В., Нежинская-</w:t>
      </w:r>
      <w:r w:rsidRPr="00BE086B">
        <w:rPr>
          <w:kern w:val="28"/>
          <w:sz w:val="28"/>
          <w:szCs w:val="28"/>
        </w:rPr>
        <w:t>Остапенко З.П., Литвинова С.В., Вильчинская Н.В., Шкаровская С.В. Терапевтические маски гипотиреоза. Междунар</w:t>
      </w:r>
      <w:r w:rsidRPr="00BE086B">
        <w:rPr>
          <w:kern w:val="28"/>
          <w:sz w:val="28"/>
          <w:szCs w:val="28"/>
          <w:lang w:val="en-US"/>
        </w:rPr>
        <w:t xml:space="preserve">. </w:t>
      </w:r>
      <w:r w:rsidRPr="00BE086B">
        <w:rPr>
          <w:kern w:val="28"/>
          <w:sz w:val="28"/>
          <w:szCs w:val="28"/>
        </w:rPr>
        <w:t>эндокринолог</w:t>
      </w:r>
      <w:r w:rsidRPr="00BE086B">
        <w:rPr>
          <w:kern w:val="28"/>
          <w:sz w:val="28"/>
          <w:szCs w:val="28"/>
          <w:lang w:val="en-US"/>
        </w:rPr>
        <w:t xml:space="preserve">. </w:t>
      </w:r>
      <w:r w:rsidRPr="00BE086B">
        <w:rPr>
          <w:kern w:val="28"/>
          <w:sz w:val="28"/>
          <w:szCs w:val="28"/>
        </w:rPr>
        <w:t>журн</w:t>
      </w:r>
      <w:r w:rsidRPr="00BE086B">
        <w:rPr>
          <w:kern w:val="28"/>
          <w:sz w:val="28"/>
          <w:szCs w:val="28"/>
          <w:lang w:val="uk-UA"/>
        </w:rPr>
        <w:t>. 2018;</w:t>
      </w:r>
      <w:r w:rsidRPr="00BE086B">
        <w:rPr>
          <w:kern w:val="28"/>
          <w:sz w:val="28"/>
          <w:szCs w:val="28"/>
          <w:lang w:val="en-US"/>
        </w:rPr>
        <w:t>14 (5)</w:t>
      </w:r>
      <w:r w:rsidRPr="00BE086B">
        <w:rPr>
          <w:kern w:val="28"/>
          <w:sz w:val="28"/>
          <w:szCs w:val="28"/>
          <w:lang w:val="uk-UA"/>
        </w:rPr>
        <w:t>:</w:t>
      </w:r>
      <w:r w:rsidRPr="00BE086B">
        <w:rPr>
          <w:kern w:val="28"/>
          <w:sz w:val="28"/>
          <w:szCs w:val="28"/>
          <w:lang w:val="en-US"/>
        </w:rPr>
        <w:t xml:space="preserve"> 503-507.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sz w:val="28"/>
          <w:szCs w:val="28"/>
          <w:lang w:val="uk-UA"/>
        </w:rPr>
        <w:t xml:space="preserve">Ткаченко В.І. </w:t>
      </w:r>
      <w:r w:rsidRPr="00BE086B">
        <w:rPr>
          <w:bCs/>
          <w:sz w:val="28"/>
          <w:szCs w:val="28"/>
          <w:lang w:val="uk-UA"/>
        </w:rPr>
        <w:t>Клініко-патогенетична характеристика артропатій у хворих з гіпотиреозом</w:t>
      </w:r>
      <w:r w:rsidRPr="00BE086B">
        <w:rPr>
          <w:sz w:val="28"/>
          <w:szCs w:val="28"/>
          <w:lang w:val="uk-UA"/>
        </w:rPr>
        <w:t>: Автореф. дис... канд. мед. наук: 14.01.02; Нац. мед. акад. післядиплом. освіти ім. П.Л.Шупика. Київ, 2007, 19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Nalamachu S</w:t>
      </w:r>
      <w:r w:rsidRPr="00BE086B">
        <w:rPr>
          <w:sz w:val="28"/>
          <w:szCs w:val="28"/>
          <w:shd w:val="clear" w:color="auto" w:fill="FFFFFF"/>
          <w:lang w:val="uk-UA"/>
        </w:rPr>
        <w:t>.</w:t>
      </w:r>
      <w:r w:rsidRPr="00BE086B">
        <w:rPr>
          <w:sz w:val="28"/>
          <w:szCs w:val="28"/>
          <w:shd w:val="clear" w:color="auto" w:fill="FFFFFF"/>
          <w:lang w:val="en-US"/>
        </w:rPr>
        <w:t>, Robinson R</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Viktrup L</w:t>
      </w:r>
      <w:r w:rsidRPr="00BE086B">
        <w:rPr>
          <w:sz w:val="28"/>
          <w:szCs w:val="28"/>
          <w:shd w:val="clear" w:color="auto" w:fill="FFFFFF"/>
          <w:lang w:val="uk-UA"/>
        </w:rPr>
        <w:t>.</w:t>
      </w:r>
      <w:r w:rsidRPr="00BE086B">
        <w:rPr>
          <w:sz w:val="28"/>
          <w:szCs w:val="28"/>
          <w:shd w:val="clear" w:color="auto" w:fill="FFFFFF"/>
          <w:lang w:val="en-US"/>
        </w:rPr>
        <w:t>, Cappelleri J</w:t>
      </w:r>
      <w:r w:rsidRPr="00BE086B">
        <w:rPr>
          <w:sz w:val="28"/>
          <w:szCs w:val="28"/>
          <w:shd w:val="clear" w:color="auto" w:fill="FFFFFF"/>
          <w:lang w:val="uk-UA"/>
        </w:rPr>
        <w:t>.</w:t>
      </w:r>
      <w:r w:rsidRPr="00BE086B">
        <w:rPr>
          <w:sz w:val="28"/>
          <w:szCs w:val="28"/>
          <w:shd w:val="clear" w:color="auto" w:fill="FFFFFF"/>
          <w:lang w:val="en-US"/>
        </w:rPr>
        <w:t>C</w:t>
      </w:r>
      <w:r w:rsidRPr="00BE086B">
        <w:rPr>
          <w:sz w:val="28"/>
          <w:szCs w:val="28"/>
          <w:shd w:val="clear" w:color="auto" w:fill="FFFFFF"/>
          <w:lang w:val="uk-UA"/>
        </w:rPr>
        <w:t>.</w:t>
      </w:r>
      <w:r w:rsidRPr="00BE086B">
        <w:rPr>
          <w:sz w:val="28"/>
          <w:szCs w:val="28"/>
          <w:shd w:val="clear" w:color="auto" w:fill="FFFFFF"/>
          <w:lang w:val="en-US"/>
        </w:rPr>
        <w:t>, Bushmakin A</w:t>
      </w:r>
      <w:r w:rsidRPr="00BE086B">
        <w:rPr>
          <w:sz w:val="28"/>
          <w:szCs w:val="28"/>
          <w:shd w:val="clear" w:color="auto" w:fill="FFFFFF"/>
          <w:lang w:val="uk-UA"/>
        </w:rPr>
        <w:t>.</w:t>
      </w:r>
      <w:r w:rsidRPr="00BE086B">
        <w:rPr>
          <w:sz w:val="28"/>
          <w:szCs w:val="28"/>
          <w:shd w:val="clear" w:color="auto" w:fill="FFFFFF"/>
          <w:lang w:val="en-US"/>
        </w:rPr>
        <w:t>G</w:t>
      </w:r>
      <w:r w:rsidRPr="00BE086B">
        <w:rPr>
          <w:sz w:val="28"/>
          <w:szCs w:val="28"/>
          <w:shd w:val="clear" w:color="auto" w:fill="FFFFFF"/>
          <w:lang w:val="uk-UA"/>
        </w:rPr>
        <w:t>.</w:t>
      </w:r>
      <w:r w:rsidRPr="00BE086B">
        <w:rPr>
          <w:sz w:val="28"/>
          <w:szCs w:val="28"/>
          <w:shd w:val="clear" w:color="auto" w:fill="FFFFFF"/>
          <w:lang w:val="en-US"/>
        </w:rPr>
        <w:t>, Tive L</w:t>
      </w:r>
      <w:r w:rsidRPr="00BE086B">
        <w:rPr>
          <w:sz w:val="28"/>
          <w:szCs w:val="28"/>
          <w:shd w:val="clear" w:color="auto" w:fill="FFFFFF"/>
          <w:lang w:val="uk-UA"/>
        </w:rPr>
        <w:t>.</w:t>
      </w:r>
      <w:r w:rsidRPr="00BE086B">
        <w:rPr>
          <w:sz w:val="28"/>
          <w:szCs w:val="28"/>
          <w:shd w:val="clear" w:color="auto" w:fill="FFFFFF"/>
          <w:lang w:val="en-US"/>
        </w:rPr>
        <w:t>, Mellor J</w:t>
      </w:r>
      <w:r w:rsidRPr="00BE086B">
        <w:rPr>
          <w:sz w:val="28"/>
          <w:szCs w:val="28"/>
          <w:shd w:val="clear" w:color="auto" w:fill="FFFFFF"/>
          <w:lang w:val="uk-UA"/>
        </w:rPr>
        <w:t>.</w:t>
      </w:r>
      <w:r w:rsidRPr="00BE086B">
        <w:rPr>
          <w:sz w:val="28"/>
          <w:szCs w:val="28"/>
          <w:shd w:val="clear" w:color="auto" w:fill="FFFFFF"/>
          <w:lang w:val="en-US"/>
        </w:rPr>
        <w:t>, Hatchell N</w:t>
      </w:r>
      <w:r w:rsidRPr="00BE086B">
        <w:rPr>
          <w:sz w:val="28"/>
          <w:szCs w:val="28"/>
          <w:shd w:val="clear" w:color="auto" w:fill="FFFFFF"/>
          <w:lang w:val="uk-UA"/>
        </w:rPr>
        <w:t>.</w:t>
      </w:r>
      <w:r w:rsidRPr="00BE086B">
        <w:rPr>
          <w:sz w:val="28"/>
          <w:szCs w:val="28"/>
          <w:shd w:val="clear" w:color="auto" w:fill="FFFFFF"/>
          <w:lang w:val="en-US"/>
        </w:rPr>
        <w:t xml:space="preserve">, Jackson J. Pain severity and healthcare </w:t>
      </w:r>
      <w:r w:rsidRPr="00BE086B">
        <w:rPr>
          <w:sz w:val="28"/>
          <w:szCs w:val="28"/>
          <w:shd w:val="clear" w:color="auto" w:fill="FFFFFF"/>
          <w:lang w:val="en-US"/>
        </w:rPr>
        <w:lastRenderedPageBreak/>
        <w:t>resource utilization in patients with osteoarthritis in the United States. Postgrad Med. 2021;133(1):10-19.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Flynn D</w:t>
      </w:r>
      <w:r w:rsidRPr="00BE086B">
        <w:rPr>
          <w:sz w:val="28"/>
          <w:szCs w:val="28"/>
          <w:shd w:val="clear" w:color="auto" w:fill="FFFFFF"/>
          <w:lang w:val="uk-UA"/>
        </w:rPr>
        <w:t>.</w:t>
      </w:r>
      <w:r w:rsidRPr="00BE086B">
        <w:rPr>
          <w:sz w:val="28"/>
          <w:szCs w:val="28"/>
          <w:shd w:val="clear" w:color="auto" w:fill="FFFFFF"/>
          <w:lang w:val="en-US"/>
        </w:rPr>
        <w:t>M. Chronic musculoskeletal pain: nonpharmacologic, noninvasive treatments. Am Fam Physician. 2020</w:t>
      </w:r>
      <w:r w:rsidRPr="00BE086B">
        <w:rPr>
          <w:sz w:val="28"/>
          <w:szCs w:val="28"/>
          <w:shd w:val="clear" w:color="auto" w:fill="FFFFFF"/>
          <w:lang w:val="uk-UA"/>
        </w:rPr>
        <w:t>;</w:t>
      </w:r>
      <w:r w:rsidRPr="00BE086B">
        <w:rPr>
          <w:sz w:val="28"/>
          <w:szCs w:val="28"/>
          <w:shd w:val="clear" w:color="auto" w:fill="FFFFFF"/>
          <w:lang w:val="en-US"/>
        </w:rPr>
        <w:t xml:space="preserve"> 15;102(8):465-477.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Jackson J</w:t>
      </w:r>
      <w:r w:rsidRPr="00BE086B">
        <w:rPr>
          <w:sz w:val="28"/>
          <w:szCs w:val="28"/>
          <w:shd w:val="clear" w:color="auto" w:fill="FFFFFF"/>
          <w:lang w:val="uk-UA"/>
        </w:rPr>
        <w:t>.</w:t>
      </w:r>
      <w:r w:rsidRPr="00BE086B">
        <w:rPr>
          <w:sz w:val="28"/>
          <w:szCs w:val="28"/>
          <w:shd w:val="clear" w:color="auto" w:fill="FFFFFF"/>
          <w:lang w:val="en-US"/>
        </w:rPr>
        <w:t>, Iyer R</w:t>
      </w:r>
      <w:r w:rsidRPr="00BE086B">
        <w:rPr>
          <w:sz w:val="28"/>
          <w:szCs w:val="28"/>
          <w:shd w:val="clear" w:color="auto" w:fill="FFFFFF"/>
          <w:lang w:val="uk-UA"/>
        </w:rPr>
        <w:t>.</w:t>
      </w:r>
      <w:r w:rsidRPr="00BE086B">
        <w:rPr>
          <w:sz w:val="28"/>
          <w:szCs w:val="28"/>
          <w:shd w:val="clear" w:color="auto" w:fill="FFFFFF"/>
          <w:lang w:val="en-US"/>
        </w:rPr>
        <w:t>, Mellor J</w:t>
      </w:r>
      <w:r w:rsidRPr="00BE086B">
        <w:rPr>
          <w:sz w:val="28"/>
          <w:szCs w:val="28"/>
          <w:shd w:val="clear" w:color="auto" w:fill="FFFFFF"/>
          <w:lang w:val="uk-UA"/>
        </w:rPr>
        <w:t>.</w:t>
      </w:r>
      <w:r w:rsidRPr="00BE086B">
        <w:rPr>
          <w:sz w:val="28"/>
          <w:szCs w:val="28"/>
          <w:shd w:val="clear" w:color="auto" w:fill="FFFFFF"/>
          <w:lang w:val="en-US"/>
        </w:rPr>
        <w:t>, Wei W. The Burden of pain associated with osteoarthritis in the hip or knee from the patient's perspective: a multinational cross-sectional study. Adv Ther. 2020;37(9):3985-3999.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Tenti S</w:t>
      </w:r>
      <w:r w:rsidRPr="00BE086B">
        <w:rPr>
          <w:sz w:val="28"/>
          <w:szCs w:val="28"/>
          <w:shd w:val="clear" w:color="auto" w:fill="FFFFFF"/>
          <w:lang w:val="uk-UA"/>
        </w:rPr>
        <w:t>.</w:t>
      </w:r>
      <w:r w:rsidRPr="00BE086B">
        <w:rPr>
          <w:sz w:val="28"/>
          <w:szCs w:val="28"/>
          <w:shd w:val="clear" w:color="auto" w:fill="FFFFFF"/>
          <w:lang w:val="en-US"/>
        </w:rPr>
        <w:t>, Ferretti F</w:t>
      </w:r>
      <w:r w:rsidRPr="00BE086B">
        <w:rPr>
          <w:sz w:val="28"/>
          <w:szCs w:val="28"/>
          <w:shd w:val="clear" w:color="auto" w:fill="FFFFFF"/>
          <w:lang w:val="uk-UA"/>
        </w:rPr>
        <w:t>.</w:t>
      </w:r>
      <w:r w:rsidRPr="00BE086B">
        <w:rPr>
          <w:sz w:val="28"/>
          <w:szCs w:val="28"/>
          <w:shd w:val="clear" w:color="auto" w:fill="FFFFFF"/>
          <w:lang w:val="en-US"/>
        </w:rPr>
        <w:t>, Gusinu R</w:t>
      </w:r>
      <w:r w:rsidRPr="00BE086B">
        <w:rPr>
          <w:sz w:val="28"/>
          <w:szCs w:val="28"/>
          <w:shd w:val="clear" w:color="auto" w:fill="FFFFFF"/>
          <w:lang w:val="uk-UA"/>
        </w:rPr>
        <w:t>.</w:t>
      </w:r>
      <w:r w:rsidRPr="00BE086B">
        <w:rPr>
          <w:sz w:val="28"/>
          <w:szCs w:val="28"/>
          <w:shd w:val="clear" w:color="auto" w:fill="FFFFFF"/>
          <w:lang w:val="en-US"/>
        </w:rPr>
        <w:t>, Gallo I</w:t>
      </w:r>
      <w:r w:rsidRPr="00BE086B">
        <w:rPr>
          <w:sz w:val="28"/>
          <w:szCs w:val="28"/>
          <w:shd w:val="clear" w:color="auto" w:fill="FFFFFF"/>
          <w:lang w:val="uk-UA"/>
        </w:rPr>
        <w:t>.</w:t>
      </w:r>
      <w:r w:rsidRPr="00BE086B">
        <w:rPr>
          <w:sz w:val="28"/>
          <w:szCs w:val="28"/>
          <w:shd w:val="clear" w:color="auto" w:fill="FFFFFF"/>
          <w:lang w:val="en-US"/>
        </w:rPr>
        <w:t>, Giannotti S</w:t>
      </w:r>
      <w:r w:rsidRPr="00BE086B">
        <w:rPr>
          <w:sz w:val="28"/>
          <w:szCs w:val="28"/>
          <w:shd w:val="clear" w:color="auto" w:fill="FFFFFF"/>
          <w:lang w:val="uk-UA"/>
        </w:rPr>
        <w:t>.</w:t>
      </w:r>
      <w:r w:rsidRPr="00BE086B">
        <w:rPr>
          <w:sz w:val="28"/>
          <w:szCs w:val="28"/>
          <w:shd w:val="clear" w:color="auto" w:fill="FFFFFF"/>
          <w:lang w:val="en-US"/>
        </w:rPr>
        <w:t>, Pozza A</w:t>
      </w:r>
      <w:r w:rsidRPr="00BE086B">
        <w:rPr>
          <w:sz w:val="28"/>
          <w:szCs w:val="28"/>
          <w:shd w:val="clear" w:color="auto" w:fill="FFFFFF"/>
          <w:lang w:val="uk-UA"/>
        </w:rPr>
        <w:t>.</w:t>
      </w:r>
      <w:r w:rsidRPr="00BE086B">
        <w:rPr>
          <w:sz w:val="28"/>
          <w:szCs w:val="28"/>
          <w:shd w:val="clear" w:color="auto" w:fill="FFFFFF"/>
          <w:lang w:val="en-US"/>
        </w:rPr>
        <w:t>, Fioravanti A</w:t>
      </w:r>
      <w:r w:rsidRPr="00BE086B">
        <w:rPr>
          <w:sz w:val="28"/>
          <w:szCs w:val="28"/>
          <w:shd w:val="clear" w:color="auto" w:fill="FFFFFF"/>
          <w:lang w:val="uk-UA"/>
        </w:rPr>
        <w:t>.</w:t>
      </w:r>
      <w:r w:rsidRPr="00BE086B">
        <w:rPr>
          <w:sz w:val="28"/>
          <w:szCs w:val="28"/>
          <w:shd w:val="clear" w:color="auto" w:fill="FFFFFF"/>
          <w:lang w:val="en-US"/>
        </w:rPr>
        <w:t>, Coluccia A. Impact of thumb osteoarthritis on pain, function, and quality of life: a comparative study between erosive and non-erosive hand osteoarthritis. Clin Rheumatol. 2020;39(7):2195-2206.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Suzuki Y</w:t>
      </w:r>
      <w:r w:rsidRPr="00BE086B">
        <w:rPr>
          <w:sz w:val="28"/>
          <w:szCs w:val="28"/>
          <w:shd w:val="clear" w:color="auto" w:fill="FFFFFF"/>
          <w:lang w:val="uk-UA"/>
        </w:rPr>
        <w:t>.</w:t>
      </w:r>
      <w:r w:rsidRPr="00BE086B">
        <w:rPr>
          <w:sz w:val="28"/>
          <w:szCs w:val="28"/>
          <w:shd w:val="clear" w:color="auto" w:fill="FFFFFF"/>
          <w:lang w:val="en-US"/>
        </w:rPr>
        <w:t>, Iijima H</w:t>
      </w:r>
      <w:r w:rsidRPr="00BE086B">
        <w:rPr>
          <w:sz w:val="28"/>
          <w:szCs w:val="28"/>
          <w:shd w:val="clear" w:color="auto" w:fill="FFFFFF"/>
          <w:lang w:val="uk-UA"/>
        </w:rPr>
        <w:t>.</w:t>
      </w:r>
      <w:r w:rsidRPr="00BE086B">
        <w:rPr>
          <w:sz w:val="28"/>
          <w:szCs w:val="28"/>
          <w:shd w:val="clear" w:color="auto" w:fill="FFFFFF"/>
          <w:lang w:val="en-US"/>
        </w:rPr>
        <w:t>, Aoyama T. Pain catastrophizing affects stair climbing ability in individuals with knee osteoarthritis. Clin Rheumatol. 2020;39(4):1257-1264.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Aso K</w:t>
      </w:r>
      <w:r w:rsidRPr="00BE086B">
        <w:rPr>
          <w:sz w:val="28"/>
          <w:szCs w:val="28"/>
          <w:shd w:val="clear" w:color="auto" w:fill="FFFFFF"/>
          <w:lang w:val="uk-UA"/>
        </w:rPr>
        <w:t>.</w:t>
      </w:r>
      <w:r w:rsidRPr="00BE086B">
        <w:rPr>
          <w:sz w:val="28"/>
          <w:szCs w:val="28"/>
          <w:shd w:val="clear" w:color="auto" w:fill="FFFFFF"/>
          <w:lang w:val="en-US"/>
        </w:rPr>
        <w:t>, Shahtaheri S</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Hill R</w:t>
      </w:r>
      <w:r w:rsidRPr="00BE086B">
        <w:rPr>
          <w:sz w:val="28"/>
          <w:szCs w:val="28"/>
          <w:shd w:val="clear" w:color="auto" w:fill="FFFFFF"/>
          <w:lang w:val="uk-UA"/>
        </w:rPr>
        <w:t>.</w:t>
      </w:r>
      <w:r w:rsidRPr="00BE086B">
        <w:rPr>
          <w:sz w:val="28"/>
          <w:szCs w:val="28"/>
          <w:shd w:val="clear" w:color="auto" w:fill="FFFFFF"/>
          <w:lang w:val="en-US"/>
        </w:rPr>
        <w:t>, Wilson D</w:t>
      </w:r>
      <w:r w:rsidRPr="00BE086B">
        <w:rPr>
          <w:sz w:val="28"/>
          <w:szCs w:val="28"/>
          <w:shd w:val="clear" w:color="auto" w:fill="FFFFFF"/>
          <w:lang w:val="uk-UA"/>
        </w:rPr>
        <w:t>.</w:t>
      </w:r>
      <w:r w:rsidRPr="00BE086B">
        <w:rPr>
          <w:sz w:val="28"/>
          <w:szCs w:val="28"/>
          <w:shd w:val="clear" w:color="auto" w:fill="FFFFFF"/>
          <w:lang w:val="en-US"/>
        </w:rPr>
        <w:t>, McWilliams D</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Nwosu L</w:t>
      </w:r>
      <w:r w:rsidRPr="00BE086B">
        <w:rPr>
          <w:sz w:val="28"/>
          <w:szCs w:val="28"/>
          <w:shd w:val="clear" w:color="auto" w:fill="FFFFFF"/>
          <w:lang w:val="uk-UA"/>
        </w:rPr>
        <w:t>.</w:t>
      </w:r>
      <w:r w:rsidRPr="00BE086B">
        <w:rPr>
          <w:sz w:val="28"/>
          <w:szCs w:val="28"/>
          <w:shd w:val="clear" w:color="auto" w:fill="FFFFFF"/>
          <w:lang w:val="en-US"/>
        </w:rPr>
        <w:t>N</w:t>
      </w:r>
      <w:r w:rsidRPr="00BE086B">
        <w:rPr>
          <w:sz w:val="28"/>
          <w:szCs w:val="28"/>
          <w:shd w:val="clear" w:color="auto" w:fill="FFFFFF"/>
          <w:lang w:val="uk-UA"/>
        </w:rPr>
        <w:t>.</w:t>
      </w:r>
      <w:r w:rsidRPr="00BE086B">
        <w:rPr>
          <w:sz w:val="28"/>
          <w:szCs w:val="28"/>
          <w:shd w:val="clear" w:color="auto" w:fill="FFFFFF"/>
          <w:lang w:val="en-US"/>
        </w:rPr>
        <w:t>, Chapman V</w:t>
      </w:r>
      <w:r w:rsidRPr="00BE086B">
        <w:rPr>
          <w:sz w:val="28"/>
          <w:szCs w:val="28"/>
          <w:shd w:val="clear" w:color="auto" w:fill="FFFFFF"/>
          <w:lang w:val="uk-UA"/>
        </w:rPr>
        <w:t>.</w:t>
      </w:r>
      <w:r w:rsidRPr="00BE086B">
        <w:rPr>
          <w:sz w:val="28"/>
          <w:szCs w:val="28"/>
          <w:shd w:val="clear" w:color="auto" w:fill="FFFFFF"/>
          <w:lang w:val="en-US"/>
        </w:rPr>
        <w:t>, Walsh D</w:t>
      </w:r>
      <w:r w:rsidRPr="00BE086B">
        <w:rPr>
          <w:sz w:val="28"/>
          <w:szCs w:val="28"/>
          <w:shd w:val="clear" w:color="auto" w:fill="FFFFFF"/>
          <w:lang w:val="uk-UA"/>
        </w:rPr>
        <w:t>.</w:t>
      </w:r>
      <w:r w:rsidRPr="00BE086B">
        <w:rPr>
          <w:sz w:val="28"/>
          <w:szCs w:val="28"/>
          <w:shd w:val="clear" w:color="auto" w:fill="FFFFFF"/>
          <w:lang w:val="en-US"/>
        </w:rPr>
        <w:t>A. Contribution of nerves within osteochondral channels to osteoarthritis knee pain in humans and rats. Osteoarthritis Cartilage. 2020;28(9):1245-1254.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Yang Y</w:t>
      </w:r>
      <w:r w:rsidRPr="00BE086B">
        <w:rPr>
          <w:sz w:val="28"/>
          <w:szCs w:val="28"/>
          <w:shd w:val="clear" w:color="auto" w:fill="FFFFFF"/>
          <w:lang w:val="uk-UA"/>
        </w:rPr>
        <w:t>.</w:t>
      </w:r>
      <w:r w:rsidRPr="00BE086B">
        <w:rPr>
          <w:sz w:val="28"/>
          <w:szCs w:val="28"/>
          <w:shd w:val="clear" w:color="auto" w:fill="FFFFFF"/>
          <w:lang w:val="en-US"/>
        </w:rPr>
        <w:t>, Li P</w:t>
      </w:r>
      <w:r w:rsidRPr="00BE086B">
        <w:rPr>
          <w:sz w:val="28"/>
          <w:szCs w:val="28"/>
          <w:shd w:val="clear" w:color="auto" w:fill="FFFFFF"/>
          <w:lang w:val="uk-UA"/>
        </w:rPr>
        <w:t>.</w:t>
      </w:r>
      <w:r w:rsidRPr="00BE086B">
        <w:rPr>
          <w:sz w:val="28"/>
          <w:szCs w:val="28"/>
          <w:shd w:val="clear" w:color="auto" w:fill="FFFFFF"/>
          <w:lang w:val="en-US"/>
        </w:rPr>
        <w:t>, Zhu S</w:t>
      </w:r>
      <w:r w:rsidRPr="00BE086B">
        <w:rPr>
          <w:sz w:val="28"/>
          <w:szCs w:val="28"/>
          <w:shd w:val="clear" w:color="auto" w:fill="FFFFFF"/>
          <w:lang w:val="uk-UA"/>
        </w:rPr>
        <w:t>.</w:t>
      </w:r>
      <w:r w:rsidRPr="00BE086B">
        <w:rPr>
          <w:sz w:val="28"/>
          <w:szCs w:val="28"/>
          <w:shd w:val="clear" w:color="auto" w:fill="FFFFFF"/>
          <w:lang w:val="en-US"/>
        </w:rPr>
        <w:t>, Bi R. Comparison of early-stage changes of osteoarthritis in cartilage and subchondral bone between two different rat models. PeerJ. 2020</w:t>
      </w:r>
      <w:r w:rsidRPr="00BE086B">
        <w:rPr>
          <w:sz w:val="28"/>
          <w:szCs w:val="28"/>
          <w:shd w:val="clear" w:color="auto" w:fill="FFFFFF"/>
          <w:lang w:val="uk-UA"/>
        </w:rPr>
        <w:t>;</w:t>
      </w:r>
      <w:r w:rsidRPr="00BE086B">
        <w:rPr>
          <w:sz w:val="28"/>
          <w:szCs w:val="28"/>
          <w:shd w:val="clear" w:color="auto" w:fill="FFFFFF"/>
          <w:lang w:val="en-US"/>
        </w:rPr>
        <w:t>20;8:893</w:t>
      </w:r>
      <w:r w:rsidRPr="00BE086B">
        <w:rPr>
          <w:sz w:val="28"/>
          <w:szCs w:val="28"/>
          <w:shd w:val="clear" w:color="auto" w:fill="FFFFFF"/>
          <w:lang w:val="uk-UA"/>
        </w:rPr>
        <w:t>-89</w:t>
      </w:r>
      <w:r w:rsidRPr="00BE086B">
        <w:rPr>
          <w:sz w:val="28"/>
          <w:szCs w:val="28"/>
          <w:shd w:val="clear" w:color="auto" w:fill="FFFFFF"/>
          <w:lang w:val="en-US"/>
        </w:rPr>
        <w:t>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Bryk M</w:t>
      </w:r>
      <w:r w:rsidRPr="00BE086B">
        <w:rPr>
          <w:sz w:val="28"/>
          <w:szCs w:val="28"/>
          <w:shd w:val="clear" w:color="auto" w:fill="FFFFFF"/>
          <w:lang w:val="uk-UA"/>
        </w:rPr>
        <w:t>.</w:t>
      </w:r>
      <w:r w:rsidRPr="00BE086B">
        <w:rPr>
          <w:sz w:val="28"/>
          <w:szCs w:val="28"/>
          <w:shd w:val="clear" w:color="auto" w:fill="FFFFFF"/>
          <w:lang w:val="en-US"/>
        </w:rPr>
        <w:t>, Chwastek J</w:t>
      </w:r>
      <w:r w:rsidRPr="00BE086B">
        <w:rPr>
          <w:sz w:val="28"/>
          <w:szCs w:val="28"/>
          <w:shd w:val="clear" w:color="auto" w:fill="FFFFFF"/>
          <w:lang w:val="uk-UA"/>
        </w:rPr>
        <w:t>.</w:t>
      </w:r>
      <w:r w:rsidRPr="00BE086B">
        <w:rPr>
          <w:sz w:val="28"/>
          <w:szCs w:val="28"/>
          <w:shd w:val="clear" w:color="auto" w:fill="FFFFFF"/>
          <w:lang w:val="en-US"/>
        </w:rPr>
        <w:t>, Kostrzewa M</w:t>
      </w:r>
      <w:r w:rsidRPr="00BE086B">
        <w:rPr>
          <w:sz w:val="28"/>
          <w:szCs w:val="28"/>
          <w:shd w:val="clear" w:color="auto" w:fill="FFFFFF"/>
          <w:lang w:val="uk-UA"/>
        </w:rPr>
        <w:t>.</w:t>
      </w:r>
      <w:r w:rsidRPr="00BE086B">
        <w:rPr>
          <w:sz w:val="28"/>
          <w:szCs w:val="28"/>
          <w:shd w:val="clear" w:color="auto" w:fill="FFFFFF"/>
          <w:lang w:val="en-US"/>
        </w:rPr>
        <w:t>, Mlost J</w:t>
      </w:r>
      <w:r w:rsidRPr="00BE086B">
        <w:rPr>
          <w:sz w:val="28"/>
          <w:szCs w:val="28"/>
          <w:shd w:val="clear" w:color="auto" w:fill="FFFFFF"/>
          <w:lang w:val="uk-UA"/>
        </w:rPr>
        <w:t>.</w:t>
      </w:r>
      <w:r w:rsidRPr="00BE086B">
        <w:rPr>
          <w:sz w:val="28"/>
          <w:szCs w:val="28"/>
          <w:shd w:val="clear" w:color="auto" w:fill="FFFFFF"/>
          <w:lang w:val="en-US"/>
        </w:rPr>
        <w:t>, Pędracka A</w:t>
      </w:r>
      <w:r w:rsidRPr="00BE086B">
        <w:rPr>
          <w:sz w:val="28"/>
          <w:szCs w:val="28"/>
          <w:shd w:val="clear" w:color="auto" w:fill="FFFFFF"/>
          <w:lang w:val="uk-UA"/>
        </w:rPr>
        <w:t>.</w:t>
      </w:r>
      <w:r w:rsidRPr="00BE086B">
        <w:rPr>
          <w:sz w:val="28"/>
          <w:szCs w:val="28"/>
          <w:shd w:val="clear" w:color="auto" w:fill="FFFFFF"/>
          <w:lang w:val="en-US"/>
        </w:rPr>
        <w:t>, Starowicz K. Alterations in anandamide synthesis and degradation during osteoarthritis progression in an animal model. Int J Mol Sci. 2020</w:t>
      </w:r>
      <w:r w:rsidRPr="00BE086B">
        <w:rPr>
          <w:sz w:val="28"/>
          <w:szCs w:val="28"/>
          <w:shd w:val="clear" w:color="auto" w:fill="FFFFFF"/>
          <w:lang w:val="uk-UA"/>
        </w:rPr>
        <w:t>;</w:t>
      </w:r>
      <w:r w:rsidRPr="00BE086B">
        <w:rPr>
          <w:sz w:val="28"/>
          <w:szCs w:val="28"/>
          <w:shd w:val="clear" w:color="auto" w:fill="FFFFFF"/>
          <w:lang w:val="en-US"/>
        </w:rPr>
        <w:t xml:space="preserve"> 6;21(19):73</w:t>
      </w:r>
      <w:r w:rsidRPr="00BE086B">
        <w:rPr>
          <w:sz w:val="28"/>
          <w:szCs w:val="28"/>
          <w:shd w:val="clear" w:color="auto" w:fill="FFFFFF"/>
          <w:lang w:val="uk-UA"/>
        </w:rPr>
        <w:t>-</w:t>
      </w:r>
      <w:r w:rsidRPr="00BE086B">
        <w:rPr>
          <w:sz w:val="28"/>
          <w:szCs w:val="28"/>
          <w:shd w:val="clear" w:color="auto" w:fill="FFFFFF"/>
          <w:lang w:val="en-US"/>
        </w:rPr>
        <w:t>81.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Sakurai Y</w:t>
      </w:r>
      <w:r w:rsidRPr="00BE086B">
        <w:rPr>
          <w:sz w:val="28"/>
          <w:szCs w:val="28"/>
          <w:shd w:val="clear" w:color="auto" w:fill="FFFFFF"/>
          <w:lang w:val="uk-UA"/>
        </w:rPr>
        <w:t>.</w:t>
      </w:r>
      <w:r w:rsidRPr="00BE086B">
        <w:rPr>
          <w:sz w:val="28"/>
          <w:szCs w:val="28"/>
          <w:shd w:val="clear" w:color="auto" w:fill="FFFFFF"/>
          <w:lang w:val="en-US"/>
        </w:rPr>
        <w:t>, Fujita M</w:t>
      </w:r>
      <w:r w:rsidRPr="00BE086B">
        <w:rPr>
          <w:sz w:val="28"/>
          <w:szCs w:val="28"/>
          <w:shd w:val="clear" w:color="auto" w:fill="FFFFFF"/>
          <w:lang w:val="uk-UA"/>
        </w:rPr>
        <w:t>.</w:t>
      </w:r>
      <w:r w:rsidRPr="00BE086B">
        <w:rPr>
          <w:sz w:val="28"/>
          <w:szCs w:val="28"/>
          <w:shd w:val="clear" w:color="auto" w:fill="FFFFFF"/>
          <w:lang w:val="en-US"/>
        </w:rPr>
        <w:t>, Kawasaki S</w:t>
      </w:r>
      <w:r w:rsidRPr="00BE086B">
        <w:rPr>
          <w:sz w:val="28"/>
          <w:szCs w:val="28"/>
          <w:shd w:val="clear" w:color="auto" w:fill="FFFFFF"/>
          <w:lang w:val="uk-UA"/>
        </w:rPr>
        <w:t>.</w:t>
      </w:r>
      <w:r w:rsidRPr="00BE086B">
        <w:rPr>
          <w:sz w:val="28"/>
          <w:szCs w:val="28"/>
          <w:shd w:val="clear" w:color="auto" w:fill="FFFFFF"/>
          <w:lang w:val="en-US"/>
        </w:rPr>
        <w:t>, Sanaki T</w:t>
      </w:r>
      <w:r w:rsidRPr="00BE086B">
        <w:rPr>
          <w:sz w:val="28"/>
          <w:szCs w:val="28"/>
          <w:shd w:val="clear" w:color="auto" w:fill="FFFFFF"/>
          <w:lang w:val="uk-UA"/>
        </w:rPr>
        <w:t>.</w:t>
      </w:r>
      <w:r w:rsidRPr="00BE086B">
        <w:rPr>
          <w:sz w:val="28"/>
          <w:szCs w:val="28"/>
          <w:shd w:val="clear" w:color="auto" w:fill="FFFFFF"/>
          <w:lang w:val="en-US"/>
        </w:rPr>
        <w:t>, Yoshioka T</w:t>
      </w:r>
      <w:r w:rsidRPr="00BE086B">
        <w:rPr>
          <w:sz w:val="28"/>
          <w:szCs w:val="28"/>
          <w:shd w:val="clear" w:color="auto" w:fill="FFFFFF"/>
          <w:lang w:val="uk-UA"/>
        </w:rPr>
        <w:t>.</w:t>
      </w:r>
      <w:r w:rsidRPr="00BE086B">
        <w:rPr>
          <w:sz w:val="28"/>
          <w:szCs w:val="28"/>
          <w:shd w:val="clear" w:color="auto" w:fill="FFFFFF"/>
          <w:lang w:val="en-US"/>
        </w:rPr>
        <w:t>, Higashino K</w:t>
      </w:r>
      <w:r w:rsidRPr="00BE086B">
        <w:rPr>
          <w:sz w:val="28"/>
          <w:szCs w:val="28"/>
          <w:shd w:val="clear" w:color="auto" w:fill="FFFFFF"/>
          <w:lang w:val="uk-UA"/>
        </w:rPr>
        <w:t>.</w:t>
      </w:r>
      <w:r w:rsidRPr="00BE086B">
        <w:rPr>
          <w:sz w:val="28"/>
          <w:szCs w:val="28"/>
          <w:shd w:val="clear" w:color="auto" w:fill="FFFFFF"/>
          <w:lang w:val="en-US"/>
        </w:rPr>
        <w:t>, Tofukuji S</w:t>
      </w:r>
      <w:r w:rsidRPr="00BE086B">
        <w:rPr>
          <w:sz w:val="28"/>
          <w:szCs w:val="28"/>
          <w:shd w:val="clear" w:color="auto" w:fill="FFFFFF"/>
          <w:lang w:val="uk-UA"/>
        </w:rPr>
        <w:t>.</w:t>
      </w:r>
      <w:r w:rsidRPr="00BE086B">
        <w:rPr>
          <w:sz w:val="28"/>
          <w:szCs w:val="28"/>
          <w:shd w:val="clear" w:color="auto" w:fill="FFFFFF"/>
          <w:lang w:val="en-US"/>
        </w:rPr>
        <w:t>, Yoneda S</w:t>
      </w:r>
      <w:r w:rsidRPr="00BE086B">
        <w:rPr>
          <w:sz w:val="28"/>
          <w:szCs w:val="28"/>
          <w:shd w:val="clear" w:color="auto" w:fill="FFFFFF"/>
          <w:lang w:val="uk-UA"/>
        </w:rPr>
        <w:t>.</w:t>
      </w:r>
      <w:r w:rsidRPr="00BE086B">
        <w:rPr>
          <w:sz w:val="28"/>
          <w:szCs w:val="28"/>
          <w:shd w:val="clear" w:color="auto" w:fill="FFFFFF"/>
          <w:lang w:val="en-US"/>
        </w:rPr>
        <w:t>, Takahashi T</w:t>
      </w:r>
      <w:r w:rsidRPr="00BE086B">
        <w:rPr>
          <w:sz w:val="28"/>
          <w:szCs w:val="28"/>
          <w:shd w:val="clear" w:color="auto" w:fill="FFFFFF"/>
          <w:lang w:val="uk-UA"/>
        </w:rPr>
        <w:t>.</w:t>
      </w:r>
      <w:r w:rsidRPr="00BE086B">
        <w:rPr>
          <w:sz w:val="28"/>
          <w:szCs w:val="28"/>
          <w:shd w:val="clear" w:color="auto" w:fill="FFFFFF"/>
          <w:lang w:val="en-US"/>
        </w:rPr>
        <w:t>, Koda K</w:t>
      </w:r>
      <w:r w:rsidRPr="00BE086B">
        <w:rPr>
          <w:sz w:val="28"/>
          <w:szCs w:val="28"/>
          <w:shd w:val="clear" w:color="auto" w:fill="FFFFFF"/>
          <w:lang w:val="uk-UA"/>
        </w:rPr>
        <w:t>.</w:t>
      </w:r>
      <w:r w:rsidRPr="00BE086B">
        <w:rPr>
          <w:sz w:val="28"/>
          <w:szCs w:val="28"/>
          <w:shd w:val="clear" w:color="auto" w:fill="FFFFFF"/>
          <w:lang w:val="en-US"/>
        </w:rPr>
        <w:t>, Asaki T</w:t>
      </w:r>
      <w:r w:rsidRPr="00BE086B">
        <w:rPr>
          <w:sz w:val="28"/>
          <w:szCs w:val="28"/>
          <w:shd w:val="clear" w:color="auto" w:fill="FFFFFF"/>
          <w:lang w:val="uk-UA"/>
        </w:rPr>
        <w:t>.</w:t>
      </w:r>
      <w:r w:rsidRPr="00BE086B">
        <w:rPr>
          <w:sz w:val="28"/>
          <w:szCs w:val="28"/>
          <w:shd w:val="clear" w:color="auto" w:fill="FFFFFF"/>
          <w:lang w:val="en-US"/>
        </w:rPr>
        <w:t>, Hasegawa M</w:t>
      </w:r>
      <w:r w:rsidRPr="00BE086B">
        <w:rPr>
          <w:sz w:val="28"/>
          <w:szCs w:val="28"/>
          <w:shd w:val="clear" w:color="auto" w:fill="FFFFFF"/>
          <w:lang w:val="uk-UA"/>
        </w:rPr>
        <w:t>.</w:t>
      </w:r>
      <w:r w:rsidRPr="00BE086B">
        <w:rPr>
          <w:sz w:val="28"/>
          <w:szCs w:val="28"/>
          <w:shd w:val="clear" w:color="auto" w:fill="FFFFFF"/>
          <w:lang w:val="en-US"/>
        </w:rPr>
        <w:t>, Morioka Y. Contribution of synovial macrophages to rat advanced osteoarthritis pain resistant to cyclooxygenase inhibitors. Pain. 2019;160(4):895-907.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Hoshino T</w:t>
      </w:r>
      <w:r w:rsidRPr="00BE086B">
        <w:rPr>
          <w:sz w:val="28"/>
          <w:szCs w:val="28"/>
          <w:shd w:val="clear" w:color="auto" w:fill="FFFFFF"/>
          <w:lang w:val="uk-UA"/>
        </w:rPr>
        <w:t>.</w:t>
      </w:r>
      <w:r w:rsidRPr="00BE086B">
        <w:rPr>
          <w:sz w:val="28"/>
          <w:szCs w:val="28"/>
          <w:shd w:val="clear" w:color="auto" w:fill="FFFFFF"/>
          <w:lang w:val="en-US"/>
        </w:rPr>
        <w:t>, Tsuji K</w:t>
      </w:r>
      <w:r w:rsidRPr="00BE086B">
        <w:rPr>
          <w:sz w:val="28"/>
          <w:szCs w:val="28"/>
          <w:shd w:val="clear" w:color="auto" w:fill="FFFFFF"/>
          <w:lang w:val="uk-UA"/>
        </w:rPr>
        <w:t>.</w:t>
      </w:r>
      <w:r w:rsidRPr="00BE086B">
        <w:rPr>
          <w:sz w:val="28"/>
          <w:szCs w:val="28"/>
          <w:shd w:val="clear" w:color="auto" w:fill="FFFFFF"/>
          <w:lang w:val="en-US"/>
        </w:rPr>
        <w:t>, Onuma H</w:t>
      </w:r>
      <w:r w:rsidRPr="00BE086B">
        <w:rPr>
          <w:sz w:val="28"/>
          <w:szCs w:val="28"/>
          <w:shd w:val="clear" w:color="auto" w:fill="FFFFFF"/>
          <w:lang w:val="uk-UA"/>
        </w:rPr>
        <w:t>.</w:t>
      </w:r>
      <w:r w:rsidRPr="00BE086B">
        <w:rPr>
          <w:sz w:val="28"/>
          <w:szCs w:val="28"/>
          <w:shd w:val="clear" w:color="auto" w:fill="FFFFFF"/>
          <w:lang w:val="en-US"/>
        </w:rPr>
        <w:t>, Udo M</w:t>
      </w:r>
      <w:r w:rsidRPr="00BE086B">
        <w:rPr>
          <w:sz w:val="28"/>
          <w:szCs w:val="28"/>
          <w:shd w:val="clear" w:color="auto" w:fill="FFFFFF"/>
          <w:lang w:val="uk-UA"/>
        </w:rPr>
        <w:t>.</w:t>
      </w:r>
      <w:r w:rsidRPr="00BE086B">
        <w:rPr>
          <w:sz w:val="28"/>
          <w:szCs w:val="28"/>
          <w:shd w:val="clear" w:color="auto" w:fill="FFFFFF"/>
          <w:lang w:val="en-US"/>
        </w:rPr>
        <w:t>, Ueki H</w:t>
      </w:r>
      <w:r w:rsidRPr="00BE086B">
        <w:rPr>
          <w:sz w:val="28"/>
          <w:szCs w:val="28"/>
          <w:shd w:val="clear" w:color="auto" w:fill="FFFFFF"/>
          <w:lang w:val="uk-UA"/>
        </w:rPr>
        <w:t>.</w:t>
      </w:r>
      <w:r w:rsidRPr="00BE086B">
        <w:rPr>
          <w:sz w:val="28"/>
          <w:szCs w:val="28"/>
          <w:shd w:val="clear" w:color="auto" w:fill="FFFFFF"/>
          <w:lang w:val="en-US"/>
        </w:rPr>
        <w:t>, Akiyama M</w:t>
      </w:r>
      <w:r w:rsidRPr="00BE086B">
        <w:rPr>
          <w:sz w:val="28"/>
          <w:szCs w:val="28"/>
          <w:shd w:val="clear" w:color="auto" w:fill="FFFFFF"/>
          <w:lang w:val="uk-UA"/>
        </w:rPr>
        <w:t>.</w:t>
      </w:r>
      <w:r w:rsidRPr="00BE086B">
        <w:rPr>
          <w:sz w:val="28"/>
          <w:szCs w:val="28"/>
          <w:shd w:val="clear" w:color="auto" w:fill="FFFFFF"/>
          <w:lang w:val="en-US"/>
        </w:rPr>
        <w:t>, Abula K</w:t>
      </w:r>
      <w:r w:rsidRPr="00BE086B">
        <w:rPr>
          <w:sz w:val="28"/>
          <w:szCs w:val="28"/>
          <w:shd w:val="clear" w:color="auto" w:fill="FFFFFF"/>
          <w:lang w:val="uk-UA"/>
        </w:rPr>
        <w:t>.</w:t>
      </w:r>
      <w:r w:rsidRPr="00BE086B">
        <w:rPr>
          <w:sz w:val="28"/>
          <w:szCs w:val="28"/>
          <w:shd w:val="clear" w:color="auto" w:fill="FFFFFF"/>
          <w:lang w:val="en-US"/>
        </w:rPr>
        <w:t>, Katagiri H</w:t>
      </w:r>
      <w:r w:rsidRPr="00BE086B">
        <w:rPr>
          <w:sz w:val="28"/>
          <w:szCs w:val="28"/>
          <w:shd w:val="clear" w:color="auto" w:fill="FFFFFF"/>
          <w:lang w:val="uk-UA"/>
        </w:rPr>
        <w:t>.</w:t>
      </w:r>
      <w:r w:rsidRPr="00BE086B">
        <w:rPr>
          <w:sz w:val="28"/>
          <w:szCs w:val="28"/>
          <w:shd w:val="clear" w:color="auto" w:fill="FFFFFF"/>
          <w:lang w:val="en-US"/>
        </w:rPr>
        <w:t>, Miyatake K</w:t>
      </w:r>
      <w:r w:rsidRPr="00BE086B">
        <w:rPr>
          <w:sz w:val="28"/>
          <w:szCs w:val="28"/>
          <w:shd w:val="clear" w:color="auto" w:fill="FFFFFF"/>
          <w:lang w:val="uk-UA"/>
        </w:rPr>
        <w:t>.</w:t>
      </w:r>
      <w:r w:rsidRPr="00BE086B">
        <w:rPr>
          <w:sz w:val="28"/>
          <w:szCs w:val="28"/>
          <w:shd w:val="clear" w:color="auto" w:fill="FFFFFF"/>
          <w:lang w:val="en-US"/>
        </w:rPr>
        <w:t>, Watanabe T</w:t>
      </w:r>
      <w:r w:rsidRPr="00BE086B">
        <w:rPr>
          <w:sz w:val="28"/>
          <w:szCs w:val="28"/>
          <w:shd w:val="clear" w:color="auto" w:fill="FFFFFF"/>
          <w:lang w:val="uk-UA"/>
        </w:rPr>
        <w:t>.</w:t>
      </w:r>
      <w:r w:rsidRPr="00BE086B">
        <w:rPr>
          <w:sz w:val="28"/>
          <w:szCs w:val="28"/>
          <w:shd w:val="clear" w:color="auto" w:fill="FFFFFF"/>
          <w:lang w:val="en-US"/>
        </w:rPr>
        <w:t>, Sekiya I</w:t>
      </w:r>
      <w:r w:rsidRPr="00BE086B">
        <w:rPr>
          <w:sz w:val="28"/>
          <w:szCs w:val="28"/>
          <w:shd w:val="clear" w:color="auto" w:fill="FFFFFF"/>
          <w:lang w:val="uk-UA"/>
        </w:rPr>
        <w:t>.</w:t>
      </w:r>
      <w:r w:rsidRPr="00BE086B">
        <w:rPr>
          <w:sz w:val="28"/>
          <w:szCs w:val="28"/>
          <w:shd w:val="clear" w:color="auto" w:fill="FFFFFF"/>
          <w:lang w:val="en-US"/>
        </w:rPr>
        <w:t>, Koga H</w:t>
      </w:r>
      <w:r w:rsidRPr="00BE086B">
        <w:rPr>
          <w:sz w:val="28"/>
          <w:szCs w:val="28"/>
          <w:shd w:val="clear" w:color="auto" w:fill="FFFFFF"/>
          <w:lang w:val="uk-UA"/>
        </w:rPr>
        <w:t>.</w:t>
      </w:r>
      <w:r w:rsidRPr="00BE086B">
        <w:rPr>
          <w:sz w:val="28"/>
          <w:szCs w:val="28"/>
          <w:shd w:val="clear" w:color="auto" w:fill="FFFFFF"/>
          <w:lang w:val="en-US"/>
        </w:rPr>
        <w:t xml:space="preserve">, Muneta T. Persistent </w:t>
      </w:r>
      <w:r w:rsidRPr="00BE086B">
        <w:rPr>
          <w:sz w:val="28"/>
          <w:szCs w:val="28"/>
          <w:shd w:val="clear" w:color="auto" w:fill="FFFFFF"/>
          <w:lang w:val="en-US"/>
        </w:rPr>
        <w:lastRenderedPageBreak/>
        <w:t>synovial inflammation plays important roles in persistent pain development in the rat knee before cartilage degradation reaches the subchondral bone. BMC Musculoskelet Disord. 2018</w:t>
      </w:r>
      <w:r w:rsidRPr="00BE086B">
        <w:rPr>
          <w:sz w:val="28"/>
          <w:szCs w:val="28"/>
          <w:shd w:val="clear" w:color="auto" w:fill="FFFFFF"/>
          <w:lang w:val="uk-UA"/>
        </w:rPr>
        <w:t>;</w:t>
      </w:r>
      <w:r w:rsidRPr="00BE086B">
        <w:rPr>
          <w:sz w:val="28"/>
          <w:szCs w:val="28"/>
          <w:shd w:val="clear" w:color="auto" w:fill="FFFFFF"/>
          <w:lang w:val="en-US"/>
        </w:rPr>
        <w:t xml:space="preserve"> 16;19(1):291.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Bacon K</w:t>
      </w:r>
      <w:r w:rsidRPr="00BE086B">
        <w:rPr>
          <w:sz w:val="28"/>
          <w:szCs w:val="28"/>
          <w:shd w:val="clear" w:color="auto" w:fill="FFFFFF"/>
          <w:lang w:val="uk-UA"/>
        </w:rPr>
        <w:t>.</w:t>
      </w:r>
      <w:r w:rsidRPr="00BE086B">
        <w:rPr>
          <w:sz w:val="28"/>
          <w:szCs w:val="28"/>
          <w:shd w:val="clear" w:color="auto" w:fill="FFFFFF"/>
          <w:lang w:val="en-US"/>
        </w:rPr>
        <w:t>, LaValley M</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Jafarzadeh S</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Felson D. Does cartilage loss cause pain in osteoarthritis and if so, how much? Ann Rheum Dis. 2020;79(8):1105-1110.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Oostinga D</w:t>
      </w:r>
      <w:r w:rsidRPr="00BE086B">
        <w:rPr>
          <w:sz w:val="28"/>
          <w:szCs w:val="28"/>
          <w:shd w:val="clear" w:color="auto" w:fill="FFFFFF"/>
          <w:lang w:val="uk-UA"/>
        </w:rPr>
        <w:t>.</w:t>
      </w:r>
      <w:r w:rsidRPr="00BE086B">
        <w:rPr>
          <w:sz w:val="28"/>
          <w:szCs w:val="28"/>
          <w:shd w:val="clear" w:color="auto" w:fill="FFFFFF"/>
          <w:lang w:val="en-US"/>
        </w:rPr>
        <w:t>, Steverink J</w:t>
      </w:r>
      <w:r w:rsidRPr="00BE086B">
        <w:rPr>
          <w:sz w:val="28"/>
          <w:szCs w:val="28"/>
          <w:shd w:val="clear" w:color="auto" w:fill="FFFFFF"/>
          <w:lang w:val="uk-UA"/>
        </w:rPr>
        <w:t>.</w:t>
      </w:r>
      <w:r w:rsidRPr="00BE086B">
        <w:rPr>
          <w:sz w:val="28"/>
          <w:szCs w:val="28"/>
          <w:shd w:val="clear" w:color="auto" w:fill="FFFFFF"/>
          <w:lang w:val="en-US"/>
        </w:rPr>
        <w:t>G</w:t>
      </w:r>
      <w:r w:rsidRPr="00BE086B">
        <w:rPr>
          <w:sz w:val="28"/>
          <w:szCs w:val="28"/>
          <w:shd w:val="clear" w:color="auto" w:fill="FFFFFF"/>
          <w:lang w:val="uk-UA"/>
        </w:rPr>
        <w:t>.</w:t>
      </w:r>
      <w:r w:rsidRPr="00BE086B">
        <w:rPr>
          <w:sz w:val="28"/>
          <w:szCs w:val="28"/>
          <w:shd w:val="clear" w:color="auto" w:fill="FFFFFF"/>
          <w:lang w:val="en-US"/>
        </w:rPr>
        <w:t>, Wijck AJM, Verlaan J</w:t>
      </w:r>
      <w:r w:rsidRPr="00BE086B">
        <w:rPr>
          <w:sz w:val="28"/>
          <w:szCs w:val="28"/>
          <w:shd w:val="clear" w:color="auto" w:fill="FFFFFF"/>
          <w:lang w:val="uk-UA"/>
        </w:rPr>
        <w:t>.</w:t>
      </w:r>
      <w:r w:rsidRPr="00BE086B">
        <w:rPr>
          <w:sz w:val="28"/>
          <w:szCs w:val="28"/>
          <w:shd w:val="clear" w:color="auto" w:fill="FFFFFF"/>
          <w:lang w:val="en-US"/>
        </w:rPr>
        <w:t>J. An understanding of bone pain: A narrative review. Bone. 2020;134:115</w:t>
      </w:r>
      <w:r w:rsidRPr="00BE086B">
        <w:rPr>
          <w:sz w:val="28"/>
          <w:szCs w:val="28"/>
          <w:shd w:val="clear" w:color="auto" w:fill="FFFFFF"/>
          <w:lang w:val="uk-UA"/>
        </w:rPr>
        <w:t>-</w:t>
      </w:r>
      <w:r w:rsidRPr="00BE086B">
        <w:rPr>
          <w:sz w:val="28"/>
          <w:szCs w:val="28"/>
          <w:shd w:val="clear" w:color="auto" w:fill="FFFFFF"/>
          <w:lang w:val="en-US"/>
        </w:rPr>
        <w:t>272.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Silver F</w:t>
      </w:r>
      <w:r w:rsidRPr="00BE086B">
        <w:rPr>
          <w:sz w:val="28"/>
          <w:szCs w:val="28"/>
          <w:shd w:val="clear" w:color="auto" w:fill="FFFFFF"/>
          <w:lang w:val="uk-UA"/>
        </w:rPr>
        <w:t>.</w:t>
      </w:r>
      <w:r w:rsidRPr="00BE086B">
        <w:rPr>
          <w:sz w:val="28"/>
          <w:szCs w:val="28"/>
          <w:shd w:val="clear" w:color="auto" w:fill="FFFFFF"/>
          <w:lang w:val="en-US"/>
        </w:rPr>
        <w:t>H</w:t>
      </w:r>
      <w:r w:rsidRPr="00BE086B">
        <w:rPr>
          <w:sz w:val="28"/>
          <w:szCs w:val="28"/>
          <w:shd w:val="clear" w:color="auto" w:fill="FFFFFF"/>
          <w:lang w:val="uk-UA"/>
        </w:rPr>
        <w:t>.</w:t>
      </w:r>
      <w:r w:rsidRPr="00BE086B">
        <w:rPr>
          <w:sz w:val="28"/>
          <w:szCs w:val="28"/>
          <w:shd w:val="clear" w:color="auto" w:fill="FFFFFF"/>
          <w:lang w:val="en-US"/>
        </w:rPr>
        <w:t>, Bradica G</w:t>
      </w:r>
      <w:r w:rsidRPr="00BE086B">
        <w:rPr>
          <w:sz w:val="28"/>
          <w:szCs w:val="28"/>
          <w:shd w:val="clear" w:color="auto" w:fill="FFFFFF"/>
          <w:lang w:val="uk-UA"/>
        </w:rPr>
        <w:t>.</w:t>
      </w:r>
      <w:r w:rsidRPr="00BE086B">
        <w:rPr>
          <w:sz w:val="28"/>
          <w:szCs w:val="28"/>
          <w:shd w:val="clear" w:color="auto" w:fill="FFFFFF"/>
          <w:lang w:val="en-US"/>
        </w:rPr>
        <w:t>, Tria A. Relationship among biomechanical, biochemical, and cellular changes associated with osteoarthritis. Crit Rev Biomed Eng. 2001;29(4):373-91.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Silver F</w:t>
      </w:r>
      <w:r w:rsidRPr="00BE086B">
        <w:rPr>
          <w:sz w:val="28"/>
          <w:szCs w:val="28"/>
          <w:shd w:val="clear" w:color="auto" w:fill="FFFFFF"/>
          <w:lang w:val="uk-UA"/>
        </w:rPr>
        <w:t>.</w:t>
      </w:r>
      <w:r w:rsidRPr="00BE086B">
        <w:rPr>
          <w:sz w:val="28"/>
          <w:szCs w:val="28"/>
          <w:shd w:val="clear" w:color="auto" w:fill="FFFFFF"/>
          <w:lang w:val="en-US"/>
        </w:rPr>
        <w:t>H</w:t>
      </w:r>
      <w:r w:rsidRPr="00BE086B">
        <w:rPr>
          <w:sz w:val="28"/>
          <w:szCs w:val="28"/>
          <w:shd w:val="clear" w:color="auto" w:fill="FFFFFF"/>
          <w:lang w:val="uk-UA"/>
        </w:rPr>
        <w:t>.</w:t>
      </w:r>
      <w:r w:rsidRPr="00BE086B">
        <w:rPr>
          <w:sz w:val="28"/>
          <w:szCs w:val="28"/>
          <w:shd w:val="clear" w:color="auto" w:fill="FFFFFF"/>
          <w:lang w:val="en-US"/>
        </w:rPr>
        <w:t>, Bradica G</w:t>
      </w:r>
      <w:r w:rsidRPr="00BE086B">
        <w:rPr>
          <w:sz w:val="28"/>
          <w:szCs w:val="28"/>
          <w:shd w:val="clear" w:color="auto" w:fill="FFFFFF"/>
          <w:lang w:val="uk-UA"/>
        </w:rPr>
        <w:t>.</w:t>
      </w:r>
      <w:r w:rsidRPr="00BE086B">
        <w:rPr>
          <w:sz w:val="28"/>
          <w:szCs w:val="28"/>
          <w:shd w:val="clear" w:color="auto" w:fill="FFFFFF"/>
          <w:lang w:val="en-US"/>
        </w:rPr>
        <w:t>, Tria A. Do changes in the mechanical properties of articular cartilage promote catabolic destruction of cartilage and osteoarthritis? Matrix Biol. 2004;23(7):467-</w:t>
      </w:r>
      <w:r w:rsidRPr="00BE086B">
        <w:rPr>
          <w:sz w:val="28"/>
          <w:szCs w:val="28"/>
          <w:shd w:val="clear" w:color="auto" w:fill="FFFFFF"/>
          <w:lang w:val="uk-UA"/>
        </w:rPr>
        <w:t>4</w:t>
      </w:r>
      <w:r w:rsidRPr="00BE086B">
        <w:rPr>
          <w:sz w:val="28"/>
          <w:szCs w:val="28"/>
          <w:shd w:val="clear" w:color="auto" w:fill="FFFFFF"/>
          <w:lang w:val="en-US"/>
        </w:rPr>
        <w:t>76.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Chang A</w:t>
      </w:r>
      <w:r w:rsidRPr="00BE086B">
        <w:rPr>
          <w:sz w:val="28"/>
          <w:szCs w:val="28"/>
          <w:shd w:val="clear" w:color="auto" w:fill="FFFFFF"/>
          <w:lang w:val="uk-UA"/>
        </w:rPr>
        <w:t>.</w:t>
      </w:r>
      <w:r w:rsidRPr="00BE086B">
        <w:rPr>
          <w:sz w:val="28"/>
          <w:szCs w:val="28"/>
          <w:shd w:val="clear" w:color="auto" w:fill="FFFFFF"/>
          <w:lang w:val="en-US"/>
        </w:rPr>
        <w:t>, Tang S</w:t>
      </w:r>
      <w:r w:rsidRPr="00BE086B">
        <w:rPr>
          <w:sz w:val="28"/>
          <w:szCs w:val="28"/>
          <w:shd w:val="clear" w:color="auto" w:fill="FFFFFF"/>
          <w:lang w:val="uk-UA"/>
        </w:rPr>
        <w:t>.</w:t>
      </w:r>
      <w:r w:rsidRPr="00BE086B">
        <w:rPr>
          <w:sz w:val="28"/>
          <w:szCs w:val="28"/>
          <w:shd w:val="clear" w:color="auto" w:fill="FFFFFF"/>
          <w:lang w:val="en-US"/>
        </w:rPr>
        <w:t>Y. Determination of the depth- and time- dependent mechanical behavior of mouse articular cartilage using cyclic reference point indentation. Cartilage. 2020;11(3):358-363.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Shi Y., Hu X., Cheng J., Zhang X., Zhao F., Shi W., Ren B., Yu H., Yang P., Li Z., Liu Q., Liu Z., Duan X., Fu X., Zhang J., Wang J., Ao Y. A small molecule promotes cartilage extracellular matrix generation and inhibits osteoarthritis development. Nat Commun. 2019; 23;10(1):191-194.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Takano S., Uchida K., Inoue G., Miyagi M., Aikawa J., Iwase D., Iwabuchi K., Matsumoto T., Satoh M., Mukai M., Minatani A., Takaso M. Nerve growth factor regulation and production by macrophages in osteoarthritic synovium. Clin Exp Immunol. 2017;190(2):235-243.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Moqbel SAA, He Y., Xu L., Ma C., Ran J., Xu K., Wu L. Rat chondrocyte inflammation and osteoarthritis are ameliorated by madecassoside. Oxid Med Cell Longev. 2020; 1;2020:7540197.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 xml:space="preserve">Tan C., Zhang J., Chen W., Feng F., Yu C., Lu X., Lin R., Li Z., Huang Y., Zheng L., Huang M., Wu G. Inflammatory cytokines via up-regulation of </w:t>
      </w:r>
      <w:r w:rsidRPr="00BE086B">
        <w:rPr>
          <w:sz w:val="28"/>
          <w:szCs w:val="28"/>
          <w:shd w:val="clear" w:color="auto" w:fill="FFFFFF"/>
          <w:lang w:val="en-US"/>
        </w:rPr>
        <w:lastRenderedPageBreak/>
        <w:t>aquaporins deteriorated the pathogenesis of early osteoarthritis. PLoS One. 2019; 12;14(8):0220846.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Yu</w:t>
      </w:r>
      <w:r w:rsidRPr="00BE086B">
        <w:rPr>
          <w:sz w:val="28"/>
          <w:szCs w:val="28"/>
          <w:shd w:val="clear" w:color="auto" w:fill="FFFFFF"/>
          <w:lang w:val="uk-UA"/>
        </w:rPr>
        <w:t xml:space="preserve"> </w:t>
      </w:r>
      <w:r w:rsidRPr="00BE086B">
        <w:rPr>
          <w:sz w:val="28"/>
          <w:szCs w:val="28"/>
          <w:shd w:val="clear" w:color="auto" w:fill="FFFFFF"/>
          <w:lang w:val="en-US"/>
        </w:rPr>
        <w:t>D</w:t>
      </w:r>
      <w:r w:rsidRPr="00BE086B">
        <w:rPr>
          <w:sz w:val="28"/>
          <w:szCs w:val="28"/>
          <w:shd w:val="clear" w:color="auto" w:fill="FFFFFF"/>
          <w:lang w:val="uk-UA"/>
        </w:rPr>
        <w:t>.</w:t>
      </w:r>
      <w:r w:rsidRPr="00BE086B">
        <w:rPr>
          <w:sz w:val="28"/>
          <w:szCs w:val="28"/>
          <w:shd w:val="clear" w:color="auto" w:fill="FFFFFF"/>
          <w:lang w:val="en-US"/>
        </w:rPr>
        <w:t>G</w:t>
      </w:r>
      <w:r w:rsidRPr="00BE086B">
        <w:rPr>
          <w:sz w:val="28"/>
          <w:szCs w:val="28"/>
          <w:shd w:val="clear" w:color="auto" w:fill="FFFFFF"/>
          <w:lang w:val="uk-UA"/>
        </w:rPr>
        <w:t xml:space="preserve">., </w:t>
      </w:r>
      <w:r w:rsidRPr="00BE086B">
        <w:rPr>
          <w:sz w:val="28"/>
          <w:szCs w:val="28"/>
          <w:shd w:val="clear" w:color="auto" w:fill="FFFFFF"/>
          <w:lang w:val="en-US"/>
        </w:rPr>
        <w:t>Nie</w:t>
      </w:r>
      <w:r w:rsidRPr="00BE086B">
        <w:rPr>
          <w:sz w:val="28"/>
          <w:szCs w:val="28"/>
          <w:shd w:val="clear" w:color="auto" w:fill="FFFFFF"/>
          <w:lang w:val="uk-UA"/>
        </w:rPr>
        <w:t xml:space="preserve"> </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B</w:t>
      </w:r>
      <w:r w:rsidRPr="00BE086B">
        <w:rPr>
          <w:sz w:val="28"/>
          <w:szCs w:val="28"/>
          <w:shd w:val="clear" w:color="auto" w:fill="FFFFFF"/>
          <w:lang w:val="uk-UA"/>
        </w:rPr>
        <w:t xml:space="preserve">., </w:t>
      </w:r>
      <w:r w:rsidRPr="00BE086B">
        <w:rPr>
          <w:sz w:val="28"/>
          <w:szCs w:val="28"/>
          <w:shd w:val="clear" w:color="auto" w:fill="FFFFFF"/>
          <w:lang w:val="en-US"/>
        </w:rPr>
        <w:t>Liu</w:t>
      </w:r>
      <w:r w:rsidRPr="00BE086B">
        <w:rPr>
          <w:sz w:val="28"/>
          <w:szCs w:val="28"/>
          <w:shd w:val="clear" w:color="auto" w:fill="FFFFFF"/>
          <w:lang w:val="uk-UA"/>
        </w:rPr>
        <w:t xml:space="preserve"> </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X</w:t>
      </w:r>
      <w:r w:rsidRPr="00BE086B">
        <w:rPr>
          <w:sz w:val="28"/>
          <w:szCs w:val="28"/>
          <w:shd w:val="clear" w:color="auto" w:fill="FFFFFF"/>
          <w:lang w:val="uk-UA"/>
        </w:rPr>
        <w:t xml:space="preserve">., </w:t>
      </w:r>
      <w:r w:rsidRPr="00BE086B">
        <w:rPr>
          <w:sz w:val="28"/>
          <w:szCs w:val="28"/>
          <w:shd w:val="clear" w:color="auto" w:fill="FFFFFF"/>
          <w:lang w:val="en-US"/>
        </w:rPr>
        <w:t>Wu</w:t>
      </w:r>
      <w:r w:rsidRPr="00BE086B">
        <w:rPr>
          <w:sz w:val="28"/>
          <w:szCs w:val="28"/>
          <w:shd w:val="clear" w:color="auto" w:fill="FFFFFF"/>
          <w:lang w:val="uk-UA"/>
        </w:rPr>
        <w:t xml:space="preserve"> </w:t>
      </w:r>
      <w:r w:rsidRPr="00BE086B">
        <w:rPr>
          <w:sz w:val="28"/>
          <w:szCs w:val="28"/>
          <w:shd w:val="clear" w:color="auto" w:fill="FFFFFF"/>
          <w:lang w:val="en-US"/>
        </w:rPr>
        <w:t>C</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 xml:space="preserve">, </w:t>
      </w:r>
      <w:r w:rsidRPr="00BE086B">
        <w:rPr>
          <w:sz w:val="28"/>
          <w:szCs w:val="28"/>
          <w:shd w:val="clear" w:color="auto" w:fill="FFFFFF"/>
          <w:lang w:val="en-US"/>
        </w:rPr>
        <w:t>Tian</w:t>
      </w:r>
      <w:r w:rsidRPr="00BE086B">
        <w:rPr>
          <w:sz w:val="28"/>
          <w:szCs w:val="28"/>
          <w:shd w:val="clear" w:color="auto" w:fill="FFFFFF"/>
          <w:lang w:val="uk-UA"/>
        </w:rPr>
        <w:t xml:space="preserve"> </w:t>
      </w:r>
      <w:r w:rsidRPr="00BE086B">
        <w:rPr>
          <w:sz w:val="28"/>
          <w:szCs w:val="28"/>
          <w:shd w:val="clear" w:color="auto" w:fill="FFFFFF"/>
          <w:lang w:val="en-US"/>
        </w:rPr>
        <w:t>B.</w:t>
      </w:r>
      <w:r w:rsidRPr="00BE086B">
        <w:rPr>
          <w:sz w:val="28"/>
          <w:szCs w:val="28"/>
          <w:shd w:val="clear" w:color="auto" w:fill="FFFFFF"/>
          <w:lang w:val="uk-UA"/>
        </w:rPr>
        <w:t xml:space="preserve">, </w:t>
      </w:r>
      <w:r w:rsidRPr="00BE086B">
        <w:rPr>
          <w:sz w:val="28"/>
          <w:szCs w:val="28"/>
          <w:shd w:val="clear" w:color="auto" w:fill="FFFFFF"/>
          <w:lang w:val="en-US"/>
        </w:rPr>
        <w:t>Wang</w:t>
      </w:r>
      <w:r w:rsidRPr="00BE086B">
        <w:rPr>
          <w:sz w:val="28"/>
          <w:szCs w:val="28"/>
          <w:shd w:val="clear" w:color="auto" w:fill="FFFFFF"/>
          <w:lang w:val="uk-UA"/>
        </w:rPr>
        <w:t xml:space="preserve"> </w:t>
      </w:r>
      <w:r w:rsidRPr="00BE086B">
        <w:rPr>
          <w:sz w:val="28"/>
          <w:szCs w:val="28"/>
          <w:shd w:val="clear" w:color="auto" w:fill="FFFFFF"/>
          <w:lang w:val="en-US"/>
        </w:rPr>
        <w:t>W.G.</w:t>
      </w:r>
      <w:r w:rsidRPr="00BE086B">
        <w:rPr>
          <w:sz w:val="28"/>
          <w:szCs w:val="28"/>
          <w:shd w:val="clear" w:color="auto" w:fill="FFFFFF"/>
          <w:lang w:val="uk-UA"/>
        </w:rPr>
        <w:t xml:space="preserve">, </w:t>
      </w:r>
      <w:r w:rsidRPr="00BE086B">
        <w:rPr>
          <w:sz w:val="28"/>
          <w:szCs w:val="28"/>
          <w:shd w:val="clear" w:color="auto" w:fill="FFFFFF"/>
          <w:lang w:val="en-US"/>
        </w:rPr>
        <w:t>Wang</w:t>
      </w:r>
      <w:r w:rsidRPr="00BE086B">
        <w:rPr>
          <w:sz w:val="28"/>
          <w:szCs w:val="28"/>
          <w:shd w:val="clear" w:color="auto" w:fill="FFFFFF"/>
          <w:lang w:val="uk-UA"/>
        </w:rPr>
        <w:t xml:space="preserve"> </w:t>
      </w:r>
      <w:r w:rsidRPr="00BE086B">
        <w:rPr>
          <w:sz w:val="28"/>
          <w:szCs w:val="28"/>
          <w:shd w:val="clear" w:color="auto" w:fill="FFFFFF"/>
          <w:lang w:val="en-US"/>
        </w:rPr>
        <w:t>X.Q.</w:t>
      </w:r>
      <w:r w:rsidRPr="00BE086B">
        <w:rPr>
          <w:sz w:val="28"/>
          <w:szCs w:val="28"/>
          <w:shd w:val="clear" w:color="auto" w:fill="FFFFFF"/>
          <w:lang w:val="uk-UA"/>
        </w:rPr>
        <w:t xml:space="preserve">, </w:t>
      </w:r>
      <w:r w:rsidRPr="00BE086B">
        <w:rPr>
          <w:sz w:val="28"/>
          <w:szCs w:val="28"/>
          <w:shd w:val="clear" w:color="auto" w:fill="FFFFFF"/>
          <w:lang w:val="en-US"/>
        </w:rPr>
        <w:t>Zhu</w:t>
      </w:r>
      <w:r w:rsidRPr="00BE086B">
        <w:rPr>
          <w:sz w:val="28"/>
          <w:szCs w:val="28"/>
          <w:shd w:val="clear" w:color="auto" w:fill="FFFFFF"/>
          <w:lang w:val="uk-UA"/>
        </w:rPr>
        <w:t xml:space="preserve"> </w:t>
      </w:r>
      <w:r w:rsidRPr="00BE086B">
        <w:rPr>
          <w:sz w:val="28"/>
          <w:szCs w:val="28"/>
          <w:shd w:val="clear" w:color="auto" w:fill="FFFFFF"/>
          <w:lang w:val="en-US"/>
        </w:rPr>
        <w:t>Z.A.</w:t>
      </w:r>
      <w:r w:rsidRPr="00BE086B">
        <w:rPr>
          <w:sz w:val="28"/>
          <w:szCs w:val="28"/>
          <w:shd w:val="clear" w:color="auto" w:fill="FFFFFF"/>
          <w:lang w:val="uk-UA"/>
        </w:rPr>
        <w:t xml:space="preserve">, </w:t>
      </w:r>
      <w:r w:rsidRPr="00BE086B">
        <w:rPr>
          <w:sz w:val="28"/>
          <w:szCs w:val="28"/>
          <w:shd w:val="clear" w:color="auto" w:fill="FFFFFF"/>
          <w:lang w:val="en-US"/>
        </w:rPr>
        <w:t>Mao</w:t>
      </w:r>
      <w:r w:rsidRPr="00BE086B">
        <w:rPr>
          <w:sz w:val="28"/>
          <w:szCs w:val="28"/>
          <w:shd w:val="clear" w:color="auto" w:fill="FFFFFF"/>
          <w:lang w:val="uk-UA"/>
        </w:rPr>
        <w:t xml:space="preserve"> </w:t>
      </w:r>
      <w:r w:rsidRPr="00BE086B">
        <w:rPr>
          <w:sz w:val="28"/>
          <w:szCs w:val="28"/>
          <w:shd w:val="clear" w:color="auto" w:fill="FFFFFF"/>
          <w:lang w:val="en-US"/>
        </w:rPr>
        <w:t>Y.Q</w:t>
      </w:r>
      <w:r w:rsidRPr="00BE086B">
        <w:rPr>
          <w:sz w:val="28"/>
          <w:szCs w:val="28"/>
          <w:shd w:val="clear" w:color="auto" w:fill="FFFFFF"/>
          <w:lang w:val="uk-UA"/>
        </w:rPr>
        <w:t xml:space="preserve">. </w:t>
      </w:r>
      <w:r w:rsidRPr="00BE086B">
        <w:rPr>
          <w:sz w:val="28"/>
          <w:szCs w:val="28"/>
          <w:shd w:val="clear" w:color="auto" w:fill="FFFFFF"/>
          <w:lang w:val="en-US"/>
        </w:rPr>
        <w:t>Dynamic alterations in microarchitecture, mineralization and mechanical property of subchondral bone in rat medial meniscal tear model of osteoarthritis. Chin Med J (Engl). 2015; 5;128(21):2879-2886.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Anderson J</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Phelan M</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Foddy L</w:t>
      </w:r>
      <w:r w:rsidRPr="00BE086B">
        <w:rPr>
          <w:sz w:val="28"/>
          <w:szCs w:val="28"/>
          <w:shd w:val="clear" w:color="auto" w:fill="FFFFFF"/>
          <w:lang w:val="uk-UA"/>
        </w:rPr>
        <w:t>.</w:t>
      </w:r>
      <w:r w:rsidRPr="00BE086B">
        <w:rPr>
          <w:sz w:val="28"/>
          <w:szCs w:val="28"/>
          <w:shd w:val="clear" w:color="auto" w:fill="FFFFFF"/>
          <w:lang w:val="en-US"/>
        </w:rPr>
        <w:t>, Clegg P</w:t>
      </w:r>
      <w:r w:rsidRPr="00BE086B">
        <w:rPr>
          <w:sz w:val="28"/>
          <w:szCs w:val="28"/>
          <w:shd w:val="clear" w:color="auto" w:fill="FFFFFF"/>
          <w:lang w:val="uk-UA"/>
        </w:rPr>
        <w:t>.</w:t>
      </w:r>
      <w:r w:rsidRPr="00BE086B">
        <w:rPr>
          <w:sz w:val="28"/>
          <w:szCs w:val="28"/>
          <w:shd w:val="clear" w:color="auto" w:fill="FFFFFF"/>
          <w:lang w:val="en-US"/>
        </w:rPr>
        <w:t>D</w:t>
      </w:r>
      <w:r w:rsidRPr="00BE086B">
        <w:rPr>
          <w:sz w:val="28"/>
          <w:szCs w:val="28"/>
          <w:shd w:val="clear" w:color="auto" w:fill="FFFFFF"/>
          <w:lang w:val="uk-UA"/>
        </w:rPr>
        <w:t>.</w:t>
      </w:r>
      <w:r w:rsidRPr="00BE086B">
        <w:rPr>
          <w:sz w:val="28"/>
          <w:szCs w:val="28"/>
          <w:shd w:val="clear" w:color="auto" w:fill="FFFFFF"/>
          <w:lang w:val="en-US"/>
        </w:rPr>
        <w:t>, Peffers M</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 xml:space="preserve"> </w:t>
      </w:r>
      <w:r w:rsidRPr="00BE086B">
        <w:rPr>
          <w:iCs/>
          <w:sz w:val="28"/>
          <w:szCs w:val="28"/>
          <w:shd w:val="clear" w:color="auto" w:fill="FFFFFF"/>
          <w:lang w:val="en-US"/>
        </w:rPr>
        <w:t>Ex vivo</w:t>
      </w:r>
      <w:r w:rsidRPr="00BE086B">
        <w:rPr>
          <w:iCs/>
          <w:sz w:val="28"/>
          <w:szCs w:val="28"/>
          <w:shd w:val="clear" w:color="auto" w:fill="FFFFFF"/>
          <w:lang w:val="uk-UA"/>
        </w:rPr>
        <w:t xml:space="preserve"> </w:t>
      </w:r>
      <w:r w:rsidRPr="00BE086B">
        <w:rPr>
          <w:sz w:val="28"/>
          <w:szCs w:val="28"/>
          <w:shd w:val="clear" w:color="auto" w:fill="FFFFFF"/>
          <w:lang w:val="en-US"/>
        </w:rPr>
        <w:t>equine cartilage explant osteoarthritis model: a metabolomics and proteomics study. J Proteome Res. 2020</w:t>
      </w:r>
      <w:r w:rsidRPr="00BE086B">
        <w:rPr>
          <w:sz w:val="28"/>
          <w:szCs w:val="28"/>
          <w:shd w:val="clear" w:color="auto" w:fill="FFFFFF"/>
          <w:lang w:val="uk-UA"/>
        </w:rPr>
        <w:t>;</w:t>
      </w:r>
      <w:r w:rsidRPr="00BE086B">
        <w:rPr>
          <w:sz w:val="28"/>
          <w:szCs w:val="28"/>
          <w:shd w:val="clear" w:color="auto" w:fill="FFFFFF"/>
          <w:lang w:val="en-US"/>
        </w:rPr>
        <w:t xml:space="preserve"> 4;19(9):3652-3667.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Hwang H</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 Kim H</w:t>
      </w:r>
      <w:r w:rsidRPr="00BE086B">
        <w:rPr>
          <w:sz w:val="28"/>
          <w:szCs w:val="28"/>
          <w:shd w:val="clear" w:color="auto" w:fill="FFFFFF"/>
          <w:lang w:val="uk-UA"/>
        </w:rPr>
        <w:t>.</w:t>
      </w:r>
      <w:r w:rsidRPr="00BE086B">
        <w:rPr>
          <w:sz w:val="28"/>
          <w:szCs w:val="28"/>
          <w:shd w:val="clear" w:color="auto" w:fill="FFFFFF"/>
          <w:lang w:val="en-US"/>
        </w:rPr>
        <w:t>A. Chondrocyte apoptosis in the pathogenesis of osteoarthritis. Int J Mol Sci. 2015</w:t>
      </w:r>
      <w:r w:rsidRPr="00BE086B">
        <w:rPr>
          <w:sz w:val="28"/>
          <w:szCs w:val="28"/>
          <w:shd w:val="clear" w:color="auto" w:fill="FFFFFF"/>
          <w:lang w:val="uk-UA"/>
        </w:rPr>
        <w:t>;</w:t>
      </w:r>
      <w:r w:rsidRPr="00BE086B">
        <w:rPr>
          <w:sz w:val="28"/>
          <w:szCs w:val="28"/>
          <w:shd w:val="clear" w:color="auto" w:fill="FFFFFF"/>
          <w:lang w:val="en-US"/>
        </w:rPr>
        <w:t xml:space="preserve"> 30;16(11):26035-26054.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Wang M</w:t>
      </w:r>
      <w:r w:rsidRPr="00BE086B">
        <w:rPr>
          <w:sz w:val="28"/>
          <w:szCs w:val="28"/>
          <w:shd w:val="clear" w:color="auto" w:fill="FFFFFF"/>
          <w:lang w:val="uk-UA"/>
        </w:rPr>
        <w:t>.</w:t>
      </w:r>
      <w:r w:rsidRPr="00BE086B">
        <w:rPr>
          <w:sz w:val="28"/>
          <w:szCs w:val="28"/>
          <w:shd w:val="clear" w:color="auto" w:fill="FFFFFF"/>
          <w:lang w:val="en-US"/>
        </w:rPr>
        <w:t>N</w:t>
      </w:r>
      <w:r w:rsidRPr="00BE086B">
        <w:rPr>
          <w:sz w:val="28"/>
          <w:szCs w:val="28"/>
          <w:shd w:val="clear" w:color="auto" w:fill="FFFFFF"/>
          <w:lang w:val="uk-UA"/>
        </w:rPr>
        <w:t>.</w:t>
      </w:r>
      <w:r w:rsidRPr="00BE086B">
        <w:rPr>
          <w:sz w:val="28"/>
          <w:szCs w:val="28"/>
          <w:shd w:val="clear" w:color="auto" w:fill="FFFFFF"/>
          <w:lang w:val="en-US"/>
        </w:rPr>
        <w:t>, Liu L</w:t>
      </w:r>
      <w:r w:rsidRPr="00BE086B">
        <w:rPr>
          <w:sz w:val="28"/>
          <w:szCs w:val="28"/>
          <w:shd w:val="clear" w:color="auto" w:fill="FFFFFF"/>
          <w:lang w:val="uk-UA"/>
        </w:rPr>
        <w:t>.</w:t>
      </w:r>
      <w:r w:rsidRPr="00BE086B">
        <w:rPr>
          <w:sz w:val="28"/>
          <w:szCs w:val="28"/>
          <w:shd w:val="clear" w:color="auto" w:fill="FFFFFF"/>
          <w:lang w:val="en-US"/>
        </w:rPr>
        <w:t>, Zhao L</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Yuan F</w:t>
      </w:r>
      <w:r w:rsidRPr="00BE086B">
        <w:rPr>
          <w:sz w:val="28"/>
          <w:szCs w:val="28"/>
          <w:shd w:val="clear" w:color="auto" w:fill="FFFFFF"/>
          <w:lang w:val="uk-UA"/>
        </w:rPr>
        <w:t>.</w:t>
      </w:r>
      <w:r w:rsidRPr="00BE086B">
        <w:rPr>
          <w:sz w:val="28"/>
          <w:szCs w:val="28"/>
          <w:shd w:val="clear" w:color="auto" w:fill="FFFFFF"/>
          <w:lang w:val="en-US"/>
        </w:rPr>
        <w:t>, Fu Y</w:t>
      </w:r>
      <w:r w:rsidRPr="00BE086B">
        <w:rPr>
          <w:sz w:val="28"/>
          <w:szCs w:val="28"/>
          <w:shd w:val="clear" w:color="auto" w:fill="FFFFFF"/>
          <w:lang w:val="uk-UA"/>
        </w:rPr>
        <w:t>.</w:t>
      </w:r>
      <w:r w:rsidRPr="00BE086B">
        <w:rPr>
          <w:sz w:val="28"/>
          <w:szCs w:val="28"/>
          <w:shd w:val="clear" w:color="auto" w:fill="FFFFFF"/>
          <w:lang w:val="en-US"/>
        </w:rPr>
        <w:t>B</w:t>
      </w:r>
      <w:r w:rsidRPr="00BE086B">
        <w:rPr>
          <w:sz w:val="28"/>
          <w:szCs w:val="28"/>
          <w:shd w:val="clear" w:color="auto" w:fill="FFFFFF"/>
          <w:lang w:val="uk-UA"/>
        </w:rPr>
        <w:t>.</w:t>
      </w:r>
      <w:r w:rsidRPr="00BE086B">
        <w:rPr>
          <w:sz w:val="28"/>
          <w:szCs w:val="28"/>
          <w:shd w:val="clear" w:color="auto" w:fill="FFFFFF"/>
          <w:lang w:val="en-US"/>
        </w:rPr>
        <w:t>, Xu X</w:t>
      </w:r>
      <w:r w:rsidRPr="00BE086B">
        <w:rPr>
          <w:sz w:val="28"/>
          <w:szCs w:val="28"/>
          <w:shd w:val="clear" w:color="auto" w:fill="FFFFFF"/>
          <w:lang w:val="uk-UA"/>
        </w:rPr>
        <w:t>.</w:t>
      </w:r>
      <w:r w:rsidRPr="00BE086B">
        <w:rPr>
          <w:sz w:val="28"/>
          <w:szCs w:val="28"/>
          <w:shd w:val="clear" w:color="auto" w:fill="FFFFFF"/>
          <w:lang w:val="en-US"/>
        </w:rPr>
        <w:t>B</w:t>
      </w:r>
      <w:r w:rsidRPr="00BE086B">
        <w:rPr>
          <w:sz w:val="28"/>
          <w:szCs w:val="28"/>
          <w:shd w:val="clear" w:color="auto" w:fill="FFFFFF"/>
          <w:lang w:val="uk-UA"/>
        </w:rPr>
        <w:t>.</w:t>
      </w:r>
      <w:r w:rsidRPr="00BE086B">
        <w:rPr>
          <w:sz w:val="28"/>
          <w:szCs w:val="28"/>
          <w:shd w:val="clear" w:color="auto" w:fill="FFFFFF"/>
          <w:lang w:val="en-US"/>
        </w:rPr>
        <w:t>, Li B. Research of inflammatory factors and signaling pathways in knee osteoarthritis. Zhongguo Gu Shang. 2020</w:t>
      </w:r>
      <w:r w:rsidRPr="00BE086B">
        <w:rPr>
          <w:sz w:val="28"/>
          <w:szCs w:val="28"/>
          <w:shd w:val="clear" w:color="auto" w:fill="FFFFFF"/>
          <w:lang w:val="uk-UA"/>
        </w:rPr>
        <w:t>;</w:t>
      </w:r>
      <w:r w:rsidRPr="00BE086B">
        <w:rPr>
          <w:sz w:val="28"/>
          <w:szCs w:val="28"/>
          <w:shd w:val="clear" w:color="auto" w:fill="FFFFFF"/>
          <w:lang w:val="en-US"/>
        </w:rPr>
        <w:t xml:space="preserve"> 25;33(4):388-392.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He</w:t>
      </w:r>
      <w:r w:rsidRPr="00BE086B">
        <w:rPr>
          <w:sz w:val="28"/>
          <w:szCs w:val="28"/>
          <w:shd w:val="clear" w:color="auto" w:fill="FFFFFF"/>
          <w:lang w:val="uk-UA"/>
        </w:rPr>
        <w:t xml:space="preserve"> </w:t>
      </w:r>
      <w:r w:rsidRPr="00BE086B">
        <w:rPr>
          <w:sz w:val="28"/>
          <w:szCs w:val="28"/>
          <w:shd w:val="clear" w:color="auto" w:fill="FFFFFF"/>
          <w:lang w:val="en-US"/>
        </w:rPr>
        <w:t>Y</w:t>
      </w:r>
      <w:r w:rsidRPr="00BE086B">
        <w:rPr>
          <w:sz w:val="28"/>
          <w:szCs w:val="28"/>
          <w:shd w:val="clear" w:color="auto" w:fill="FFFFFF"/>
          <w:lang w:val="uk-UA"/>
        </w:rPr>
        <w:t xml:space="preserve">., </w:t>
      </w:r>
      <w:r w:rsidRPr="00BE086B">
        <w:rPr>
          <w:sz w:val="28"/>
          <w:szCs w:val="28"/>
          <w:shd w:val="clear" w:color="auto" w:fill="FFFFFF"/>
          <w:lang w:val="en-US"/>
        </w:rPr>
        <w:t>Li</w:t>
      </w:r>
      <w:r w:rsidRPr="00BE086B">
        <w:rPr>
          <w:sz w:val="28"/>
          <w:szCs w:val="28"/>
          <w:shd w:val="clear" w:color="auto" w:fill="FFFFFF"/>
          <w:lang w:val="uk-UA"/>
        </w:rPr>
        <w:t xml:space="preserve"> </w:t>
      </w:r>
      <w:r w:rsidRPr="00BE086B">
        <w:rPr>
          <w:sz w:val="28"/>
          <w:szCs w:val="28"/>
          <w:shd w:val="clear" w:color="auto" w:fill="FFFFFF"/>
          <w:lang w:val="en-US"/>
        </w:rPr>
        <w:t>Z</w:t>
      </w:r>
      <w:r w:rsidRPr="00BE086B">
        <w:rPr>
          <w:sz w:val="28"/>
          <w:szCs w:val="28"/>
          <w:shd w:val="clear" w:color="auto" w:fill="FFFFFF"/>
          <w:lang w:val="uk-UA"/>
        </w:rPr>
        <w:t xml:space="preserve">., </w:t>
      </w:r>
      <w:r w:rsidRPr="00BE086B">
        <w:rPr>
          <w:sz w:val="28"/>
          <w:szCs w:val="28"/>
          <w:shd w:val="clear" w:color="auto" w:fill="FFFFFF"/>
          <w:lang w:val="en-US"/>
        </w:rPr>
        <w:t>Alexander</w:t>
      </w:r>
      <w:r w:rsidRPr="00BE086B">
        <w:rPr>
          <w:sz w:val="28"/>
          <w:szCs w:val="28"/>
          <w:shd w:val="clear" w:color="auto" w:fill="FFFFFF"/>
          <w:lang w:val="uk-UA"/>
        </w:rPr>
        <w:t xml:space="preserve"> </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G</w:t>
      </w:r>
      <w:r w:rsidRPr="00BE086B">
        <w:rPr>
          <w:sz w:val="28"/>
          <w:szCs w:val="28"/>
          <w:shd w:val="clear" w:color="auto" w:fill="FFFFFF"/>
          <w:lang w:val="uk-UA"/>
        </w:rPr>
        <w:t xml:space="preserve">., </w:t>
      </w:r>
      <w:r w:rsidRPr="00BE086B">
        <w:rPr>
          <w:sz w:val="28"/>
          <w:szCs w:val="28"/>
          <w:shd w:val="clear" w:color="auto" w:fill="FFFFFF"/>
          <w:lang w:val="en-US"/>
        </w:rPr>
        <w:t>Ocasio</w:t>
      </w:r>
      <w:r w:rsidRPr="00BE086B">
        <w:rPr>
          <w:sz w:val="28"/>
          <w:szCs w:val="28"/>
          <w:shd w:val="clear" w:color="auto" w:fill="FFFFFF"/>
          <w:lang w:val="uk-UA"/>
        </w:rPr>
        <w:t>-</w:t>
      </w:r>
      <w:r w:rsidRPr="00BE086B">
        <w:rPr>
          <w:sz w:val="28"/>
          <w:szCs w:val="28"/>
          <w:shd w:val="clear" w:color="auto" w:fill="FFFFFF"/>
          <w:lang w:val="en-US"/>
        </w:rPr>
        <w:t>Nieves</w:t>
      </w:r>
      <w:r w:rsidRPr="00BE086B">
        <w:rPr>
          <w:sz w:val="28"/>
          <w:szCs w:val="28"/>
          <w:shd w:val="clear" w:color="auto" w:fill="FFFFFF"/>
          <w:lang w:val="uk-UA"/>
        </w:rPr>
        <w:t xml:space="preserve"> </w:t>
      </w:r>
      <w:r w:rsidRPr="00BE086B">
        <w:rPr>
          <w:sz w:val="28"/>
          <w:szCs w:val="28"/>
          <w:shd w:val="clear" w:color="auto" w:fill="FFFFFF"/>
          <w:lang w:val="en-US"/>
        </w:rPr>
        <w:t>B</w:t>
      </w:r>
      <w:r w:rsidRPr="00BE086B">
        <w:rPr>
          <w:sz w:val="28"/>
          <w:szCs w:val="28"/>
          <w:shd w:val="clear" w:color="auto" w:fill="FFFFFF"/>
          <w:lang w:val="uk-UA"/>
        </w:rPr>
        <w:t>.</w:t>
      </w:r>
      <w:r w:rsidRPr="00BE086B">
        <w:rPr>
          <w:sz w:val="28"/>
          <w:szCs w:val="28"/>
          <w:shd w:val="clear" w:color="auto" w:fill="FFFFFF"/>
          <w:lang w:val="en-US"/>
        </w:rPr>
        <w:t>D</w:t>
      </w:r>
      <w:r w:rsidRPr="00BE086B">
        <w:rPr>
          <w:sz w:val="28"/>
          <w:szCs w:val="28"/>
          <w:shd w:val="clear" w:color="auto" w:fill="FFFFFF"/>
          <w:lang w:val="uk-UA"/>
        </w:rPr>
        <w:t xml:space="preserve">., </w:t>
      </w:r>
      <w:r w:rsidRPr="00BE086B">
        <w:rPr>
          <w:sz w:val="28"/>
          <w:szCs w:val="28"/>
          <w:shd w:val="clear" w:color="auto" w:fill="FFFFFF"/>
          <w:lang w:val="en-US"/>
        </w:rPr>
        <w:t>Yocum</w:t>
      </w:r>
      <w:r w:rsidRPr="00BE086B">
        <w:rPr>
          <w:sz w:val="28"/>
          <w:szCs w:val="28"/>
          <w:shd w:val="clear" w:color="auto" w:fill="FFFFFF"/>
          <w:lang w:val="uk-UA"/>
        </w:rPr>
        <w:t xml:space="preserve"> </w:t>
      </w:r>
      <w:r w:rsidRPr="00BE086B">
        <w:rPr>
          <w:sz w:val="28"/>
          <w:szCs w:val="28"/>
          <w:shd w:val="clear" w:color="auto" w:fill="FFFFFF"/>
          <w:lang w:val="en-US"/>
        </w:rPr>
        <w:t>L</w:t>
      </w:r>
      <w:r w:rsidRPr="00BE086B">
        <w:rPr>
          <w:sz w:val="28"/>
          <w:szCs w:val="28"/>
          <w:shd w:val="clear" w:color="auto" w:fill="FFFFFF"/>
          <w:lang w:val="uk-UA"/>
        </w:rPr>
        <w:t xml:space="preserve">., </w:t>
      </w:r>
      <w:r w:rsidRPr="00BE086B">
        <w:rPr>
          <w:sz w:val="28"/>
          <w:szCs w:val="28"/>
          <w:shd w:val="clear" w:color="auto" w:fill="FFFFFF"/>
          <w:lang w:val="en-US"/>
        </w:rPr>
        <w:t>Lin</w:t>
      </w:r>
      <w:r w:rsidRPr="00BE086B">
        <w:rPr>
          <w:sz w:val="28"/>
          <w:szCs w:val="28"/>
          <w:shd w:val="clear" w:color="auto" w:fill="FFFFFF"/>
          <w:lang w:val="uk-UA"/>
        </w:rPr>
        <w:t xml:space="preserve"> </w:t>
      </w:r>
      <w:r w:rsidRPr="00BE086B">
        <w:rPr>
          <w:sz w:val="28"/>
          <w:szCs w:val="28"/>
          <w:shd w:val="clear" w:color="auto" w:fill="FFFFFF"/>
          <w:lang w:val="en-US"/>
        </w:rPr>
        <w:t>H</w:t>
      </w:r>
      <w:r w:rsidRPr="00BE086B">
        <w:rPr>
          <w:sz w:val="28"/>
          <w:szCs w:val="28"/>
          <w:shd w:val="clear" w:color="auto" w:fill="FFFFFF"/>
          <w:lang w:val="uk-UA"/>
        </w:rPr>
        <w:t xml:space="preserve">., </w:t>
      </w:r>
      <w:r w:rsidRPr="00BE086B">
        <w:rPr>
          <w:sz w:val="28"/>
          <w:szCs w:val="28"/>
          <w:shd w:val="clear" w:color="auto" w:fill="FFFFFF"/>
          <w:lang w:val="en-US"/>
        </w:rPr>
        <w:t>Tuan</w:t>
      </w:r>
      <w:r w:rsidRPr="00BE086B">
        <w:rPr>
          <w:sz w:val="28"/>
          <w:szCs w:val="28"/>
          <w:shd w:val="clear" w:color="auto" w:fill="FFFFFF"/>
          <w:lang w:val="uk-UA"/>
        </w:rPr>
        <w:t xml:space="preserve"> </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 xml:space="preserve">. </w:t>
      </w:r>
      <w:r w:rsidRPr="00BE086B">
        <w:rPr>
          <w:sz w:val="28"/>
          <w:szCs w:val="28"/>
          <w:shd w:val="clear" w:color="auto" w:fill="FFFFFF"/>
          <w:lang w:val="en-US"/>
        </w:rPr>
        <w:t>Pathogenesis</w:t>
      </w:r>
      <w:r w:rsidRPr="00BE086B">
        <w:rPr>
          <w:sz w:val="28"/>
          <w:szCs w:val="28"/>
          <w:shd w:val="clear" w:color="auto" w:fill="FFFFFF"/>
          <w:lang w:val="uk-UA"/>
        </w:rPr>
        <w:t xml:space="preserve"> </w:t>
      </w:r>
      <w:r w:rsidRPr="00BE086B">
        <w:rPr>
          <w:sz w:val="28"/>
          <w:szCs w:val="28"/>
          <w:shd w:val="clear" w:color="auto" w:fill="FFFFFF"/>
          <w:lang w:val="en-US"/>
        </w:rPr>
        <w:t>of</w:t>
      </w:r>
      <w:r w:rsidRPr="00BE086B">
        <w:rPr>
          <w:sz w:val="28"/>
          <w:szCs w:val="28"/>
          <w:shd w:val="clear" w:color="auto" w:fill="FFFFFF"/>
          <w:lang w:val="uk-UA"/>
        </w:rPr>
        <w:t xml:space="preserve"> </w:t>
      </w:r>
      <w:r w:rsidRPr="00BE086B">
        <w:rPr>
          <w:sz w:val="28"/>
          <w:szCs w:val="28"/>
          <w:shd w:val="clear" w:color="auto" w:fill="FFFFFF"/>
          <w:lang w:val="en-US"/>
        </w:rPr>
        <w:t>osteoarthritis</w:t>
      </w:r>
      <w:r w:rsidRPr="00BE086B">
        <w:rPr>
          <w:sz w:val="28"/>
          <w:szCs w:val="28"/>
          <w:shd w:val="clear" w:color="auto" w:fill="FFFFFF"/>
          <w:lang w:val="uk-UA"/>
        </w:rPr>
        <w:t xml:space="preserve">: </w:t>
      </w:r>
      <w:r w:rsidRPr="00BE086B">
        <w:rPr>
          <w:sz w:val="28"/>
          <w:szCs w:val="28"/>
          <w:shd w:val="clear" w:color="auto" w:fill="FFFFFF"/>
          <w:lang w:val="en-US"/>
        </w:rPr>
        <w:t>risk</w:t>
      </w:r>
      <w:r w:rsidRPr="00BE086B">
        <w:rPr>
          <w:sz w:val="28"/>
          <w:szCs w:val="28"/>
          <w:shd w:val="clear" w:color="auto" w:fill="FFFFFF"/>
          <w:lang w:val="uk-UA"/>
        </w:rPr>
        <w:t xml:space="preserve"> </w:t>
      </w:r>
      <w:r w:rsidRPr="00BE086B">
        <w:rPr>
          <w:sz w:val="28"/>
          <w:szCs w:val="28"/>
          <w:shd w:val="clear" w:color="auto" w:fill="FFFFFF"/>
          <w:lang w:val="en-US"/>
        </w:rPr>
        <w:t>factors</w:t>
      </w:r>
      <w:r w:rsidRPr="00BE086B">
        <w:rPr>
          <w:sz w:val="28"/>
          <w:szCs w:val="28"/>
          <w:shd w:val="clear" w:color="auto" w:fill="FFFFFF"/>
          <w:lang w:val="uk-UA"/>
        </w:rPr>
        <w:t xml:space="preserve">, </w:t>
      </w:r>
      <w:r w:rsidRPr="00BE086B">
        <w:rPr>
          <w:sz w:val="28"/>
          <w:szCs w:val="28"/>
          <w:shd w:val="clear" w:color="auto" w:fill="FFFFFF"/>
          <w:lang w:val="en-US"/>
        </w:rPr>
        <w:t>regulatory</w:t>
      </w:r>
      <w:r w:rsidRPr="00BE086B">
        <w:rPr>
          <w:sz w:val="28"/>
          <w:szCs w:val="28"/>
          <w:shd w:val="clear" w:color="auto" w:fill="FFFFFF"/>
          <w:lang w:val="uk-UA"/>
        </w:rPr>
        <w:t xml:space="preserve"> </w:t>
      </w:r>
      <w:r w:rsidRPr="00BE086B">
        <w:rPr>
          <w:sz w:val="28"/>
          <w:szCs w:val="28"/>
          <w:shd w:val="clear" w:color="auto" w:fill="FFFFFF"/>
          <w:lang w:val="en-US"/>
        </w:rPr>
        <w:t>pathways</w:t>
      </w:r>
      <w:r w:rsidRPr="00BE086B">
        <w:rPr>
          <w:sz w:val="28"/>
          <w:szCs w:val="28"/>
          <w:shd w:val="clear" w:color="auto" w:fill="FFFFFF"/>
          <w:lang w:val="uk-UA"/>
        </w:rPr>
        <w:t xml:space="preserve"> </w:t>
      </w:r>
      <w:r w:rsidRPr="00BE086B">
        <w:rPr>
          <w:sz w:val="28"/>
          <w:szCs w:val="28"/>
          <w:shd w:val="clear" w:color="auto" w:fill="FFFFFF"/>
          <w:lang w:val="en-US"/>
        </w:rPr>
        <w:t>in</w:t>
      </w:r>
      <w:r w:rsidRPr="00BE086B">
        <w:rPr>
          <w:sz w:val="28"/>
          <w:szCs w:val="28"/>
          <w:shd w:val="clear" w:color="auto" w:fill="FFFFFF"/>
          <w:lang w:val="uk-UA"/>
        </w:rPr>
        <w:t xml:space="preserve"> </w:t>
      </w:r>
      <w:r w:rsidRPr="00BE086B">
        <w:rPr>
          <w:sz w:val="28"/>
          <w:szCs w:val="28"/>
          <w:shd w:val="clear" w:color="auto" w:fill="FFFFFF"/>
          <w:lang w:val="en-US"/>
        </w:rPr>
        <w:t>chondrocytes</w:t>
      </w:r>
      <w:r w:rsidRPr="00BE086B">
        <w:rPr>
          <w:sz w:val="28"/>
          <w:szCs w:val="28"/>
          <w:shd w:val="clear" w:color="auto" w:fill="FFFFFF"/>
          <w:lang w:val="uk-UA"/>
        </w:rPr>
        <w:t xml:space="preserve">, </w:t>
      </w:r>
      <w:r w:rsidRPr="00BE086B">
        <w:rPr>
          <w:sz w:val="28"/>
          <w:szCs w:val="28"/>
          <w:shd w:val="clear" w:color="auto" w:fill="FFFFFF"/>
          <w:lang w:val="en-US"/>
        </w:rPr>
        <w:t>and</w:t>
      </w:r>
      <w:r w:rsidRPr="00BE086B">
        <w:rPr>
          <w:sz w:val="28"/>
          <w:szCs w:val="28"/>
          <w:shd w:val="clear" w:color="auto" w:fill="FFFFFF"/>
          <w:lang w:val="uk-UA"/>
        </w:rPr>
        <w:t xml:space="preserve"> </w:t>
      </w:r>
      <w:r w:rsidRPr="00BE086B">
        <w:rPr>
          <w:sz w:val="28"/>
          <w:szCs w:val="28"/>
          <w:shd w:val="clear" w:color="auto" w:fill="FFFFFF"/>
          <w:lang w:val="en-US"/>
        </w:rPr>
        <w:t>experimental</w:t>
      </w:r>
      <w:r w:rsidRPr="00BE086B">
        <w:rPr>
          <w:sz w:val="28"/>
          <w:szCs w:val="28"/>
          <w:shd w:val="clear" w:color="auto" w:fill="FFFFFF"/>
          <w:lang w:val="uk-UA"/>
        </w:rPr>
        <w:t xml:space="preserve"> </w:t>
      </w:r>
      <w:r w:rsidRPr="00BE086B">
        <w:rPr>
          <w:sz w:val="28"/>
          <w:szCs w:val="28"/>
          <w:shd w:val="clear" w:color="auto" w:fill="FFFFFF"/>
          <w:lang w:val="en-US"/>
        </w:rPr>
        <w:t>models</w:t>
      </w:r>
      <w:r w:rsidRPr="00BE086B">
        <w:rPr>
          <w:sz w:val="28"/>
          <w:szCs w:val="28"/>
          <w:shd w:val="clear" w:color="auto" w:fill="FFFFFF"/>
          <w:lang w:val="uk-UA"/>
        </w:rPr>
        <w:t xml:space="preserve">. </w:t>
      </w:r>
      <w:r w:rsidRPr="00BE086B">
        <w:rPr>
          <w:sz w:val="28"/>
          <w:szCs w:val="28"/>
          <w:shd w:val="clear" w:color="auto" w:fill="FFFFFF"/>
        </w:rPr>
        <w:t>Biology</w:t>
      </w:r>
      <w:r w:rsidRPr="00BE086B">
        <w:rPr>
          <w:sz w:val="28"/>
          <w:szCs w:val="28"/>
          <w:shd w:val="clear" w:color="auto" w:fill="FFFFFF"/>
          <w:lang w:val="uk-UA"/>
        </w:rPr>
        <w:t xml:space="preserve"> (</w:t>
      </w:r>
      <w:r w:rsidRPr="00BE086B">
        <w:rPr>
          <w:sz w:val="28"/>
          <w:szCs w:val="28"/>
          <w:shd w:val="clear" w:color="auto" w:fill="FFFFFF"/>
        </w:rPr>
        <w:t>Basel</w:t>
      </w:r>
      <w:r w:rsidRPr="00BE086B">
        <w:rPr>
          <w:sz w:val="28"/>
          <w:szCs w:val="28"/>
          <w:shd w:val="clear" w:color="auto" w:fill="FFFFFF"/>
          <w:lang w:val="uk-UA"/>
        </w:rPr>
        <w:t>). 2020; 29;9(8):194.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Takahata Y</w:t>
      </w:r>
      <w:r w:rsidRPr="00BE086B">
        <w:rPr>
          <w:sz w:val="28"/>
          <w:szCs w:val="28"/>
          <w:shd w:val="clear" w:color="auto" w:fill="FFFFFF"/>
          <w:lang w:val="uk-UA"/>
        </w:rPr>
        <w:t>.</w:t>
      </w:r>
      <w:r w:rsidRPr="00BE086B">
        <w:rPr>
          <w:sz w:val="28"/>
          <w:szCs w:val="28"/>
          <w:shd w:val="clear" w:color="auto" w:fill="FFFFFF"/>
          <w:lang w:val="en-US"/>
        </w:rPr>
        <w:t>, Murakami T</w:t>
      </w:r>
      <w:r w:rsidRPr="00BE086B">
        <w:rPr>
          <w:sz w:val="28"/>
          <w:szCs w:val="28"/>
          <w:shd w:val="clear" w:color="auto" w:fill="FFFFFF"/>
          <w:lang w:val="uk-UA"/>
        </w:rPr>
        <w:t>.</w:t>
      </w:r>
      <w:r w:rsidRPr="00BE086B">
        <w:rPr>
          <w:sz w:val="28"/>
          <w:szCs w:val="28"/>
          <w:shd w:val="clear" w:color="auto" w:fill="FFFFFF"/>
          <w:lang w:val="en-US"/>
        </w:rPr>
        <w:t>, Hata K</w:t>
      </w:r>
      <w:r w:rsidRPr="00BE086B">
        <w:rPr>
          <w:sz w:val="28"/>
          <w:szCs w:val="28"/>
          <w:shd w:val="clear" w:color="auto" w:fill="FFFFFF"/>
          <w:lang w:val="uk-UA"/>
        </w:rPr>
        <w:t>.</w:t>
      </w:r>
      <w:r w:rsidRPr="00BE086B">
        <w:rPr>
          <w:sz w:val="28"/>
          <w:szCs w:val="28"/>
          <w:shd w:val="clear" w:color="auto" w:fill="FFFFFF"/>
          <w:lang w:val="en-US"/>
        </w:rPr>
        <w:t>, Nishimura R. Molecular mechanisms involved in the progression and protection of osteoarthritis. Curr Mol Pharmacol. 2021;14(2):165-169.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Knecht S</w:t>
      </w:r>
      <w:r w:rsidRPr="00BE086B">
        <w:rPr>
          <w:sz w:val="28"/>
          <w:szCs w:val="28"/>
          <w:shd w:val="clear" w:color="auto" w:fill="FFFFFF"/>
          <w:lang w:val="uk-UA"/>
        </w:rPr>
        <w:t>.</w:t>
      </w:r>
      <w:r w:rsidRPr="00BE086B">
        <w:rPr>
          <w:sz w:val="28"/>
          <w:szCs w:val="28"/>
          <w:shd w:val="clear" w:color="auto" w:fill="FFFFFF"/>
          <w:lang w:val="en-US"/>
        </w:rPr>
        <w:t>, Vanwanseele B</w:t>
      </w:r>
      <w:r w:rsidRPr="00BE086B">
        <w:rPr>
          <w:sz w:val="28"/>
          <w:szCs w:val="28"/>
          <w:shd w:val="clear" w:color="auto" w:fill="FFFFFF"/>
          <w:lang w:val="uk-UA"/>
        </w:rPr>
        <w:t>.</w:t>
      </w:r>
      <w:r w:rsidRPr="00BE086B">
        <w:rPr>
          <w:sz w:val="28"/>
          <w:szCs w:val="28"/>
          <w:shd w:val="clear" w:color="auto" w:fill="FFFFFF"/>
          <w:lang w:val="en-US"/>
        </w:rPr>
        <w:t>, Stüssi E. A review on the mechanical quality of articular cartilage - implications for the diagnosis of osteoarthritis. Clin Biomech (Bristol, Avon). 2006;21(10):999-1012</w:t>
      </w:r>
      <w:r w:rsidRPr="00BE086B">
        <w:rPr>
          <w:sz w:val="28"/>
          <w:szCs w:val="28"/>
          <w:shd w:val="clear" w:color="auto" w:fill="FFFFFF"/>
          <w:lang w:val="uk-UA"/>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Silver</w:t>
      </w:r>
      <w:r w:rsidRPr="00BE086B">
        <w:rPr>
          <w:sz w:val="28"/>
          <w:szCs w:val="28"/>
          <w:shd w:val="clear" w:color="auto" w:fill="FFFFFF"/>
          <w:lang w:val="uk-UA"/>
        </w:rPr>
        <w:t xml:space="preserve"> </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H</w:t>
      </w:r>
      <w:r w:rsidRPr="00BE086B">
        <w:rPr>
          <w:sz w:val="28"/>
          <w:szCs w:val="28"/>
          <w:shd w:val="clear" w:color="auto" w:fill="FFFFFF"/>
          <w:lang w:val="uk-UA"/>
        </w:rPr>
        <w:t xml:space="preserve">., </w:t>
      </w:r>
      <w:r w:rsidRPr="00BE086B">
        <w:rPr>
          <w:sz w:val="28"/>
          <w:szCs w:val="28"/>
          <w:shd w:val="clear" w:color="auto" w:fill="FFFFFF"/>
          <w:lang w:val="en-US"/>
        </w:rPr>
        <w:t>Bradica</w:t>
      </w:r>
      <w:r w:rsidRPr="00BE086B">
        <w:rPr>
          <w:sz w:val="28"/>
          <w:szCs w:val="28"/>
          <w:shd w:val="clear" w:color="auto" w:fill="FFFFFF"/>
          <w:lang w:val="uk-UA"/>
        </w:rPr>
        <w:t xml:space="preserve"> </w:t>
      </w:r>
      <w:r w:rsidRPr="00BE086B">
        <w:rPr>
          <w:sz w:val="28"/>
          <w:szCs w:val="28"/>
          <w:shd w:val="clear" w:color="auto" w:fill="FFFFFF"/>
          <w:lang w:val="en-US"/>
        </w:rPr>
        <w:t>G</w:t>
      </w:r>
      <w:r w:rsidRPr="00BE086B">
        <w:rPr>
          <w:sz w:val="28"/>
          <w:szCs w:val="28"/>
          <w:shd w:val="clear" w:color="auto" w:fill="FFFFFF"/>
          <w:lang w:val="uk-UA"/>
        </w:rPr>
        <w:t xml:space="preserve">. </w:t>
      </w:r>
      <w:r w:rsidRPr="00BE086B">
        <w:rPr>
          <w:sz w:val="28"/>
          <w:szCs w:val="28"/>
          <w:shd w:val="clear" w:color="auto" w:fill="FFFFFF"/>
          <w:lang w:val="en-US"/>
        </w:rPr>
        <w:t>Mechanobiology</w:t>
      </w:r>
      <w:r w:rsidRPr="00BE086B">
        <w:rPr>
          <w:sz w:val="28"/>
          <w:szCs w:val="28"/>
          <w:shd w:val="clear" w:color="auto" w:fill="FFFFFF"/>
          <w:lang w:val="uk-UA"/>
        </w:rPr>
        <w:t xml:space="preserve"> </w:t>
      </w:r>
      <w:r w:rsidRPr="00BE086B">
        <w:rPr>
          <w:sz w:val="28"/>
          <w:szCs w:val="28"/>
          <w:shd w:val="clear" w:color="auto" w:fill="FFFFFF"/>
          <w:lang w:val="en-US"/>
        </w:rPr>
        <w:t>of</w:t>
      </w:r>
      <w:r w:rsidRPr="00BE086B">
        <w:rPr>
          <w:sz w:val="28"/>
          <w:szCs w:val="28"/>
          <w:shd w:val="clear" w:color="auto" w:fill="FFFFFF"/>
          <w:lang w:val="uk-UA"/>
        </w:rPr>
        <w:t xml:space="preserve"> </w:t>
      </w:r>
      <w:r w:rsidRPr="00BE086B">
        <w:rPr>
          <w:sz w:val="28"/>
          <w:szCs w:val="28"/>
          <w:shd w:val="clear" w:color="auto" w:fill="FFFFFF"/>
          <w:lang w:val="en-US"/>
        </w:rPr>
        <w:t>cartilage</w:t>
      </w:r>
      <w:r w:rsidRPr="00BE086B">
        <w:rPr>
          <w:sz w:val="28"/>
          <w:szCs w:val="28"/>
          <w:shd w:val="clear" w:color="auto" w:fill="FFFFFF"/>
          <w:lang w:val="uk-UA"/>
        </w:rPr>
        <w:t xml:space="preserve">: </w:t>
      </w:r>
      <w:r w:rsidRPr="00BE086B">
        <w:rPr>
          <w:sz w:val="28"/>
          <w:szCs w:val="28"/>
          <w:shd w:val="clear" w:color="auto" w:fill="FFFFFF"/>
          <w:lang w:val="en-US"/>
        </w:rPr>
        <w:t>how</w:t>
      </w:r>
      <w:r w:rsidRPr="00BE086B">
        <w:rPr>
          <w:sz w:val="28"/>
          <w:szCs w:val="28"/>
          <w:shd w:val="clear" w:color="auto" w:fill="FFFFFF"/>
          <w:lang w:val="uk-UA"/>
        </w:rPr>
        <w:t xml:space="preserve"> </w:t>
      </w:r>
      <w:r w:rsidRPr="00BE086B">
        <w:rPr>
          <w:sz w:val="28"/>
          <w:szCs w:val="28"/>
          <w:shd w:val="clear" w:color="auto" w:fill="FFFFFF"/>
          <w:lang w:val="en-US"/>
        </w:rPr>
        <w:t>do</w:t>
      </w:r>
      <w:r w:rsidRPr="00BE086B">
        <w:rPr>
          <w:sz w:val="28"/>
          <w:szCs w:val="28"/>
          <w:shd w:val="clear" w:color="auto" w:fill="FFFFFF"/>
          <w:lang w:val="uk-UA"/>
        </w:rPr>
        <w:t xml:space="preserve"> </w:t>
      </w:r>
      <w:r w:rsidRPr="00BE086B">
        <w:rPr>
          <w:sz w:val="28"/>
          <w:szCs w:val="28"/>
          <w:shd w:val="clear" w:color="auto" w:fill="FFFFFF"/>
          <w:lang w:val="en-US"/>
        </w:rPr>
        <w:t>internal</w:t>
      </w:r>
      <w:r w:rsidRPr="00BE086B">
        <w:rPr>
          <w:sz w:val="28"/>
          <w:szCs w:val="28"/>
          <w:shd w:val="clear" w:color="auto" w:fill="FFFFFF"/>
          <w:lang w:val="uk-UA"/>
        </w:rPr>
        <w:t xml:space="preserve"> </w:t>
      </w:r>
      <w:r w:rsidRPr="00BE086B">
        <w:rPr>
          <w:sz w:val="28"/>
          <w:szCs w:val="28"/>
          <w:shd w:val="clear" w:color="auto" w:fill="FFFFFF"/>
          <w:lang w:val="en-US"/>
        </w:rPr>
        <w:t>and</w:t>
      </w:r>
      <w:r w:rsidRPr="00BE086B">
        <w:rPr>
          <w:sz w:val="28"/>
          <w:szCs w:val="28"/>
          <w:shd w:val="clear" w:color="auto" w:fill="FFFFFF"/>
          <w:lang w:val="uk-UA"/>
        </w:rPr>
        <w:t xml:space="preserve"> </w:t>
      </w:r>
      <w:r w:rsidRPr="00BE086B">
        <w:rPr>
          <w:sz w:val="28"/>
          <w:szCs w:val="28"/>
          <w:shd w:val="clear" w:color="auto" w:fill="FFFFFF"/>
          <w:lang w:val="en-US"/>
        </w:rPr>
        <w:t>external</w:t>
      </w:r>
      <w:r w:rsidRPr="00BE086B">
        <w:rPr>
          <w:sz w:val="28"/>
          <w:szCs w:val="28"/>
          <w:shd w:val="clear" w:color="auto" w:fill="FFFFFF"/>
          <w:lang w:val="uk-UA"/>
        </w:rPr>
        <w:t xml:space="preserve"> </w:t>
      </w:r>
      <w:r w:rsidRPr="00BE086B">
        <w:rPr>
          <w:sz w:val="28"/>
          <w:szCs w:val="28"/>
          <w:shd w:val="clear" w:color="auto" w:fill="FFFFFF"/>
          <w:lang w:val="en-US"/>
        </w:rPr>
        <w:t>stresses</w:t>
      </w:r>
      <w:r w:rsidRPr="00BE086B">
        <w:rPr>
          <w:sz w:val="28"/>
          <w:szCs w:val="28"/>
          <w:shd w:val="clear" w:color="auto" w:fill="FFFFFF"/>
          <w:lang w:val="uk-UA"/>
        </w:rPr>
        <w:t xml:space="preserve"> </w:t>
      </w:r>
      <w:r w:rsidRPr="00BE086B">
        <w:rPr>
          <w:sz w:val="28"/>
          <w:szCs w:val="28"/>
          <w:shd w:val="clear" w:color="auto" w:fill="FFFFFF"/>
          <w:lang w:val="en-US"/>
        </w:rPr>
        <w:t>affect</w:t>
      </w:r>
      <w:r w:rsidRPr="00BE086B">
        <w:rPr>
          <w:sz w:val="28"/>
          <w:szCs w:val="28"/>
          <w:shd w:val="clear" w:color="auto" w:fill="FFFFFF"/>
          <w:lang w:val="uk-UA"/>
        </w:rPr>
        <w:t xml:space="preserve"> </w:t>
      </w:r>
      <w:r w:rsidRPr="00BE086B">
        <w:rPr>
          <w:sz w:val="28"/>
          <w:szCs w:val="28"/>
          <w:shd w:val="clear" w:color="auto" w:fill="FFFFFF"/>
          <w:lang w:val="en-US"/>
        </w:rPr>
        <w:t>mechanochemical</w:t>
      </w:r>
      <w:r w:rsidRPr="00BE086B">
        <w:rPr>
          <w:sz w:val="28"/>
          <w:szCs w:val="28"/>
          <w:shd w:val="clear" w:color="auto" w:fill="FFFFFF"/>
          <w:lang w:val="uk-UA"/>
        </w:rPr>
        <w:t xml:space="preserve"> </w:t>
      </w:r>
      <w:r w:rsidRPr="00BE086B">
        <w:rPr>
          <w:sz w:val="28"/>
          <w:szCs w:val="28"/>
          <w:shd w:val="clear" w:color="auto" w:fill="FFFFFF"/>
          <w:lang w:val="en-US"/>
        </w:rPr>
        <w:t>transduction</w:t>
      </w:r>
      <w:r w:rsidRPr="00BE086B">
        <w:rPr>
          <w:sz w:val="28"/>
          <w:szCs w:val="28"/>
          <w:shd w:val="clear" w:color="auto" w:fill="FFFFFF"/>
          <w:lang w:val="uk-UA"/>
        </w:rPr>
        <w:t xml:space="preserve"> </w:t>
      </w:r>
      <w:r w:rsidRPr="00BE086B">
        <w:rPr>
          <w:sz w:val="28"/>
          <w:szCs w:val="28"/>
          <w:shd w:val="clear" w:color="auto" w:fill="FFFFFF"/>
          <w:lang w:val="en-US"/>
        </w:rPr>
        <w:t>and</w:t>
      </w:r>
      <w:r w:rsidRPr="00BE086B">
        <w:rPr>
          <w:sz w:val="28"/>
          <w:szCs w:val="28"/>
          <w:shd w:val="clear" w:color="auto" w:fill="FFFFFF"/>
          <w:lang w:val="uk-UA"/>
        </w:rPr>
        <w:t xml:space="preserve"> </w:t>
      </w:r>
      <w:r w:rsidRPr="00BE086B">
        <w:rPr>
          <w:sz w:val="28"/>
          <w:szCs w:val="28"/>
          <w:shd w:val="clear" w:color="auto" w:fill="FFFFFF"/>
          <w:lang w:val="en-US"/>
        </w:rPr>
        <w:t>elastic</w:t>
      </w:r>
      <w:r w:rsidRPr="00BE086B">
        <w:rPr>
          <w:sz w:val="28"/>
          <w:szCs w:val="28"/>
          <w:shd w:val="clear" w:color="auto" w:fill="FFFFFF"/>
          <w:lang w:val="uk-UA"/>
        </w:rPr>
        <w:t xml:space="preserve"> </w:t>
      </w:r>
      <w:r w:rsidRPr="00BE086B">
        <w:rPr>
          <w:sz w:val="28"/>
          <w:szCs w:val="28"/>
          <w:shd w:val="clear" w:color="auto" w:fill="FFFFFF"/>
          <w:lang w:val="en-US"/>
        </w:rPr>
        <w:t>energy</w:t>
      </w:r>
      <w:r w:rsidRPr="00BE086B">
        <w:rPr>
          <w:sz w:val="28"/>
          <w:szCs w:val="28"/>
          <w:shd w:val="clear" w:color="auto" w:fill="FFFFFF"/>
          <w:lang w:val="uk-UA"/>
        </w:rPr>
        <w:t xml:space="preserve"> </w:t>
      </w:r>
      <w:r w:rsidRPr="00BE086B">
        <w:rPr>
          <w:sz w:val="28"/>
          <w:szCs w:val="28"/>
          <w:shd w:val="clear" w:color="auto" w:fill="FFFFFF"/>
          <w:lang w:val="en-US"/>
        </w:rPr>
        <w:t>storage</w:t>
      </w:r>
      <w:r w:rsidRPr="00BE086B">
        <w:rPr>
          <w:sz w:val="28"/>
          <w:szCs w:val="28"/>
          <w:shd w:val="clear" w:color="auto" w:fill="FFFFFF"/>
          <w:lang w:val="uk-UA"/>
        </w:rPr>
        <w:t xml:space="preserve">? </w:t>
      </w:r>
      <w:r w:rsidRPr="00BE086B">
        <w:rPr>
          <w:sz w:val="28"/>
          <w:szCs w:val="28"/>
          <w:shd w:val="clear" w:color="auto" w:fill="FFFFFF"/>
        </w:rPr>
        <w:t>Biomech</w:t>
      </w:r>
      <w:r w:rsidRPr="00BE086B">
        <w:rPr>
          <w:sz w:val="28"/>
          <w:szCs w:val="28"/>
          <w:shd w:val="clear" w:color="auto" w:fill="FFFFFF"/>
          <w:lang w:val="uk-UA"/>
        </w:rPr>
        <w:t xml:space="preserve"> </w:t>
      </w:r>
      <w:r w:rsidRPr="00BE086B">
        <w:rPr>
          <w:sz w:val="28"/>
          <w:szCs w:val="28"/>
          <w:shd w:val="clear" w:color="auto" w:fill="FFFFFF"/>
        </w:rPr>
        <w:t>Model</w:t>
      </w:r>
      <w:r w:rsidRPr="00BE086B">
        <w:rPr>
          <w:sz w:val="28"/>
          <w:szCs w:val="28"/>
          <w:shd w:val="clear" w:color="auto" w:fill="FFFFFF"/>
          <w:lang w:val="uk-UA"/>
        </w:rPr>
        <w:t xml:space="preserve"> </w:t>
      </w:r>
      <w:r w:rsidRPr="00BE086B">
        <w:rPr>
          <w:sz w:val="28"/>
          <w:szCs w:val="28"/>
          <w:shd w:val="clear" w:color="auto" w:fill="FFFFFF"/>
        </w:rPr>
        <w:t>Mechanobiol</w:t>
      </w:r>
      <w:r w:rsidRPr="00BE086B">
        <w:rPr>
          <w:sz w:val="28"/>
          <w:szCs w:val="28"/>
          <w:shd w:val="clear" w:color="auto" w:fill="FFFFFF"/>
          <w:lang w:val="uk-UA"/>
        </w:rPr>
        <w:t>. 2002;1(3):219-38.</w:t>
      </w:r>
    </w:p>
    <w:p w:rsidR="008B13C0" w:rsidRPr="00BE086B" w:rsidRDefault="008B13C0" w:rsidP="00611AFB">
      <w:pPr>
        <w:widowControl w:val="0"/>
        <w:numPr>
          <w:ilvl w:val="0"/>
          <w:numId w:val="19"/>
        </w:numPr>
        <w:suppressAutoHyphens w:val="0"/>
        <w:autoSpaceDE w:val="0"/>
        <w:spacing w:line="360" w:lineRule="auto"/>
        <w:ind w:left="0" w:firstLine="709"/>
        <w:jc w:val="both"/>
        <w:rPr>
          <w:rFonts w:eastAsia="TimesNewRoman"/>
          <w:kern w:val="2"/>
          <w:sz w:val="28"/>
          <w:szCs w:val="28"/>
        </w:rPr>
      </w:pPr>
      <w:r w:rsidRPr="00BE086B">
        <w:rPr>
          <w:rFonts w:eastAsia="TimesNewRoman"/>
          <w:sz w:val="28"/>
          <w:szCs w:val="28"/>
        </w:rPr>
        <w:t>Сустав: морфология, клиника, диагностика, лечение под ред. В.Н. Павловой, Г.Г. Павлова, Н.А. Шостак, Л.И. Слуцкого. Москва: ООО «Издательство «Медицинское информационное агенство», 2011, 552 с.</w:t>
      </w:r>
    </w:p>
    <w:p w:rsidR="008B13C0" w:rsidRPr="00BE086B" w:rsidRDefault="008B13C0" w:rsidP="00611AFB">
      <w:pPr>
        <w:widowControl w:val="0"/>
        <w:numPr>
          <w:ilvl w:val="0"/>
          <w:numId w:val="19"/>
        </w:numPr>
        <w:suppressAutoHyphens w:val="0"/>
        <w:autoSpaceDE w:val="0"/>
        <w:spacing w:line="360" w:lineRule="auto"/>
        <w:ind w:left="0" w:firstLine="709"/>
        <w:jc w:val="both"/>
        <w:rPr>
          <w:rFonts w:eastAsia="TimesNewRoman"/>
          <w:kern w:val="2"/>
          <w:sz w:val="28"/>
          <w:szCs w:val="28"/>
        </w:rPr>
      </w:pPr>
      <w:r w:rsidRPr="00BE086B">
        <w:rPr>
          <w:rFonts w:eastAsia="TimesNewRoman"/>
          <w:kern w:val="2"/>
          <w:sz w:val="28"/>
          <w:szCs w:val="28"/>
        </w:rPr>
        <w:t xml:space="preserve">Денисов-Никольский Ю.И., Миронов С.П., Омельяненко Н.П., </w:t>
      </w:r>
      <w:r w:rsidRPr="00BE086B">
        <w:rPr>
          <w:rFonts w:eastAsia="TimesNewRoman"/>
          <w:kern w:val="2"/>
          <w:sz w:val="28"/>
          <w:szCs w:val="28"/>
        </w:rPr>
        <w:lastRenderedPageBreak/>
        <w:t>Матвейчук И.В. Актуальные проблемы теоретической и клинической остеоартрологии. Москва: ОАО «Типография «Новости», 2005, 336 с.</w:t>
      </w:r>
    </w:p>
    <w:p w:rsidR="008B13C0" w:rsidRPr="00BE086B" w:rsidRDefault="008B13C0" w:rsidP="00611AFB">
      <w:pPr>
        <w:widowControl w:val="0"/>
        <w:numPr>
          <w:ilvl w:val="0"/>
          <w:numId w:val="19"/>
        </w:numPr>
        <w:suppressAutoHyphens w:val="0"/>
        <w:autoSpaceDE w:val="0"/>
        <w:spacing w:line="360" w:lineRule="auto"/>
        <w:ind w:left="0" w:firstLine="709"/>
        <w:jc w:val="both"/>
        <w:rPr>
          <w:kern w:val="2"/>
          <w:sz w:val="28"/>
          <w:szCs w:val="28"/>
        </w:rPr>
      </w:pPr>
      <w:r w:rsidRPr="00BE086B">
        <w:rPr>
          <w:kern w:val="2"/>
          <w:sz w:val="28"/>
          <w:szCs w:val="28"/>
        </w:rPr>
        <w:t>Яременко О.Б., Анохина Г.А., Бурьянов А.А. Сустав. хрящ. коллаген. Травма. 2020; 21(4):6-12.</w:t>
      </w:r>
    </w:p>
    <w:p w:rsidR="008B13C0" w:rsidRPr="00BE086B" w:rsidRDefault="008B13C0" w:rsidP="00611AFB">
      <w:pPr>
        <w:widowControl w:val="0"/>
        <w:numPr>
          <w:ilvl w:val="0"/>
          <w:numId w:val="19"/>
        </w:numPr>
        <w:suppressAutoHyphens w:val="0"/>
        <w:autoSpaceDE w:val="0"/>
        <w:spacing w:line="360" w:lineRule="auto"/>
        <w:ind w:left="0" w:firstLine="709"/>
        <w:jc w:val="both"/>
        <w:rPr>
          <w:kern w:val="2"/>
          <w:sz w:val="28"/>
          <w:szCs w:val="28"/>
        </w:rPr>
      </w:pPr>
      <w:r w:rsidRPr="00BE086B">
        <w:rPr>
          <w:sz w:val="28"/>
          <w:szCs w:val="28"/>
        </w:rPr>
        <w:t>Руководство по гистологии под редакцией Р.К. Данилова. СПб.: «СпецЛит», 2010; Т.1, 831 с.</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rPr>
      </w:pPr>
      <w:r w:rsidRPr="00BE086B">
        <w:rPr>
          <w:sz w:val="28"/>
          <w:szCs w:val="28"/>
          <w:shd w:val="clear" w:color="auto" w:fill="FFFFFF"/>
          <w:lang w:val="en-US"/>
        </w:rPr>
        <w:t xml:space="preserve">Cipollaro L., Ciardulli M.C., Della Porta G., Peretti G.M., Maffulli N. Biomechanical issues of tissue-engineered constructs for articular cartilage regeneration: in vitro and in vivo approaches. </w:t>
      </w:r>
      <w:r w:rsidRPr="00BE086B">
        <w:rPr>
          <w:sz w:val="28"/>
          <w:szCs w:val="28"/>
          <w:shd w:val="clear" w:color="auto" w:fill="FFFFFF"/>
        </w:rPr>
        <w:t>Br Med Bull. 2019</w:t>
      </w:r>
      <w:r w:rsidRPr="00BE086B">
        <w:rPr>
          <w:sz w:val="28"/>
          <w:szCs w:val="28"/>
          <w:shd w:val="clear" w:color="auto" w:fill="FFFFFF"/>
          <w:lang w:val="uk-UA"/>
        </w:rPr>
        <w:t>;</w:t>
      </w:r>
      <w:r w:rsidRPr="00BE086B">
        <w:rPr>
          <w:sz w:val="28"/>
          <w:szCs w:val="28"/>
          <w:shd w:val="clear" w:color="auto" w:fill="FFFFFF"/>
        </w:rPr>
        <w:t xml:space="preserve"> 11;132(1):53-80.</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Einarsson E</w:t>
      </w:r>
      <w:r w:rsidRPr="00BE086B">
        <w:rPr>
          <w:sz w:val="28"/>
          <w:szCs w:val="28"/>
          <w:shd w:val="clear" w:color="auto" w:fill="FFFFFF"/>
          <w:lang w:val="uk-UA"/>
        </w:rPr>
        <w:t>.</w:t>
      </w:r>
      <w:r w:rsidRPr="00BE086B">
        <w:rPr>
          <w:sz w:val="28"/>
          <w:szCs w:val="28"/>
          <w:shd w:val="clear" w:color="auto" w:fill="FFFFFF"/>
          <w:lang w:val="en-US"/>
        </w:rPr>
        <w:t>, Peterson P</w:t>
      </w:r>
      <w:r w:rsidRPr="00BE086B">
        <w:rPr>
          <w:sz w:val="28"/>
          <w:szCs w:val="28"/>
          <w:shd w:val="clear" w:color="auto" w:fill="FFFFFF"/>
          <w:lang w:val="uk-UA"/>
        </w:rPr>
        <w:t>.</w:t>
      </w:r>
      <w:r w:rsidRPr="00BE086B">
        <w:rPr>
          <w:sz w:val="28"/>
          <w:szCs w:val="28"/>
          <w:shd w:val="clear" w:color="auto" w:fill="FFFFFF"/>
          <w:lang w:val="en-US"/>
        </w:rPr>
        <w:t>, Önnerfjord P</w:t>
      </w:r>
      <w:r w:rsidRPr="00BE086B">
        <w:rPr>
          <w:sz w:val="28"/>
          <w:szCs w:val="28"/>
          <w:shd w:val="clear" w:color="auto" w:fill="FFFFFF"/>
          <w:lang w:val="uk-UA"/>
        </w:rPr>
        <w:t>.</w:t>
      </w:r>
      <w:r w:rsidRPr="00BE086B">
        <w:rPr>
          <w:sz w:val="28"/>
          <w:szCs w:val="28"/>
          <w:shd w:val="clear" w:color="auto" w:fill="FFFFFF"/>
          <w:lang w:val="en-US"/>
        </w:rPr>
        <w:t>, Gottschalk M</w:t>
      </w:r>
      <w:r w:rsidRPr="00BE086B">
        <w:rPr>
          <w:sz w:val="28"/>
          <w:szCs w:val="28"/>
          <w:shd w:val="clear" w:color="auto" w:fill="FFFFFF"/>
          <w:lang w:val="uk-UA"/>
        </w:rPr>
        <w:t>.</w:t>
      </w:r>
      <w:r w:rsidRPr="00BE086B">
        <w:rPr>
          <w:sz w:val="28"/>
          <w:szCs w:val="28"/>
          <w:shd w:val="clear" w:color="auto" w:fill="FFFFFF"/>
          <w:lang w:val="en-US"/>
        </w:rPr>
        <w:t>, Xu X</w:t>
      </w:r>
      <w:r w:rsidRPr="00BE086B">
        <w:rPr>
          <w:sz w:val="28"/>
          <w:szCs w:val="28"/>
          <w:shd w:val="clear" w:color="auto" w:fill="FFFFFF"/>
          <w:lang w:val="uk-UA"/>
        </w:rPr>
        <w:t>.</w:t>
      </w:r>
      <w:r w:rsidRPr="00BE086B">
        <w:rPr>
          <w:sz w:val="28"/>
          <w:szCs w:val="28"/>
          <w:shd w:val="clear" w:color="auto" w:fill="FFFFFF"/>
          <w:lang w:val="en-US"/>
        </w:rPr>
        <w:t>, Knutsson L</w:t>
      </w:r>
      <w:r w:rsidRPr="00BE086B">
        <w:rPr>
          <w:sz w:val="28"/>
          <w:szCs w:val="28"/>
          <w:shd w:val="clear" w:color="auto" w:fill="FFFFFF"/>
          <w:lang w:val="uk-UA"/>
        </w:rPr>
        <w:t>.</w:t>
      </w:r>
      <w:r w:rsidRPr="00BE086B">
        <w:rPr>
          <w:sz w:val="28"/>
          <w:szCs w:val="28"/>
          <w:shd w:val="clear" w:color="auto" w:fill="FFFFFF"/>
          <w:lang w:val="en-US"/>
        </w:rPr>
        <w:t>, Dahlberg L</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w:t>
      </w:r>
      <w:r w:rsidRPr="00BE086B">
        <w:rPr>
          <w:sz w:val="28"/>
          <w:szCs w:val="28"/>
          <w:shd w:val="clear" w:color="auto" w:fill="FFFFFF"/>
          <w:lang w:val="en-US"/>
        </w:rPr>
        <w:t>, Struglics A</w:t>
      </w:r>
      <w:r w:rsidRPr="00BE086B">
        <w:rPr>
          <w:sz w:val="28"/>
          <w:szCs w:val="28"/>
          <w:shd w:val="clear" w:color="auto" w:fill="FFFFFF"/>
          <w:lang w:val="uk-UA"/>
        </w:rPr>
        <w:t>.</w:t>
      </w:r>
      <w:r w:rsidRPr="00BE086B">
        <w:rPr>
          <w:sz w:val="28"/>
          <w:szCs w:val="28"/>
          <w:shd w:val="clear" w:color="auto" w:fill="FFFFFF"/>
          <w:lang w:val="en-US"/>
        </w:rPr>
        <w:t>, Svensson J. The role of cartilage glycosaminoglycan structure in gagCEST. NMR Biomed. 2020;33(5):42</w:t>
      </w:r>
      <w:r w:rsidRPr="00BE086B">
        <w:rPr>
          <w:sz w:val="28"/>
          <w:szCs w:val="28"/>
          <w:shd w:val="clear" w:color="auto" w:fill="FFFFFF"/>
          <w:lang w:val="uk-UA"/>
        </w:rPr>
        <w:t>-</w:t>
      </w:r>
      <w:r w:rsidRPr="00BE086B">
        <w:rPr>
          <w:sz w:val="28"/>
          <w:szCs w:val="28"/>
          <w:shd w:val="clear" w:color="auto" w:fill="FFFFFF"/>
          <w:lang w:val="en-US"/>
        </w:rPr>
        <w:t>59.</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Fischenich K</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Wahlquist J</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Wilmoth R</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Cai L</w:t>
      </w:r>
      <w:r w:rsidRPr="00BE086B">
        <w:rPr>
          <w:sz w:val="28"/>
          <w:szCs w:val="28"/>
          <w:shd w:val="clear" w:color="auto" w:fill="FFFFFF"/>
          <w:lang w:val="uk-UA"/>
        </w:rPr>
        <w:t>.</w:t>
      </w:r>
      <w:r w:rsidRPr="00BE086B">
        <w:rPr>
          <w:sz w:val="28"/>
          <w:szCs w:val="28"/>
          <w:shd w:val="clear" w:color="auto" w:fill="FFFFFF"/>
          <w:lang w:val="en-US"/>
        </w:rPr>
        <w:t>, Neu C</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Ferguson V</w:t>
      </w:r>
      <w:r w:rsidRPr="00BE086B">
        <w:rPr>
          <w:sz w:val="28"/>
          <w:szCs w:val="28"/>
          <w:shd w:val="clear" w:color="auto" w:fill="FFFFFF"/>
          <w:lang w:val="uk-UA"/>
        </w:rPr>
        <w:t>.</w:t>
      </w:r>
      <w:r w:rsidRPr="00BE086B">
        <w:rPr>
          <w:sz w:val="28"/>
          <w:szCs w:val="28"/>
          <w:shd w:val="clear" w:color="auto" w:fill="FFFFFF"/>
          <w:lang w:val="en-US"/>
        </w:rPr>
        <w:t>L. Human articular cartilage is orthotropic where microstructure, micromechanics, and chemistry vary with depth and split-line orientation. Osteoarthritis Cartilage. 2020;28(10):1362-1372.</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Weizel A</w:t>
      </w:r>
      <w:r w:rsidRPr="00BE086B">
        <w:rPr>
          <w:sz w:val="28"/>
          <w:szCs w:val="28"/>
          <w:shd w:val="clear" w:color="auto" w:fill="FFFFFF"/>
          <w:lang w:val="uk-UA"/>
        </w:rPr>
        <w:t>.</w:t>
      </w:r>
      <w:r w:rsidRPr="00BE086B">
        <w:rPr>
          <w:sz w:val="28"/>
          <w:szCs w:val="28"/>
          <w:shd w:val="clear" w:color="auto" w:fill="FFFFFF"/>
          <w:lang w:val="en-US"/>
        </w:rPr>
        <w:t>, Distler T</w:t>
      </w:r>
      <w:r w:rsidRPr="00BE086B">
        <w:rPr>
          <w:sz w:val="28"/>
          <w:szCs w:val="28"/>
          <w:shd w:val="clear" w:color="auto" w:fill="FFFFFF"/>
          <w:lang w:val="uk-UA"/>
        </w:rPr>
        <w:t>.</w:t>
      </w:r>
      <w:r w:rsidRPr="00BE086B">
        <w:rPr>
          <w:sz w:val="28"/>
          <w:szCs w:val="28"/>
          <w:shd w:val="clear" w:color="auto" w:fill="FFFFFF"/>
          <w:lang w:val="en-US"/>
        </w:rPr>
        <w:t>, Schneidereit D</w:t>
      </w:r>
      <w:r w:rsidRPr="00BE086B">
        <w:rPr>
          <w:sz w:val="28"/>
          <w:szCs w:val="28"/>
          <w:shd w:val="clear" w:color="auto" w:fill="FFFFFF"/>
          <w:lang w:val="uk-UA"/>
        </w:rPr>
        <w:t>.</w:t>
      </w:r>
      <w:r w:rsidRPr="00BE086B">
        <w:rPr>
          <w:sz w:val="28"/>
          <w:szCs w:val="28"/>
          <w:shd w:val="clear" w:color="auto" w:fill="FFFFFF"/>
          <w:lang w:val="en-US"/>
        </w:rPr>
        <w:t>, Friedrich O</w:t>
      </w:r>
      <w:r w:rsidRPr="00BE086B">
        <w:rPr>
          <w:sz w:val="28"/>
          <w:szCs w:val="28"/>
          <w:shd w:val="clear" w:color="auto" w:fill="FFFFFF"/>
          <w:lang w:val="uk-UA"/>
        </w:rPr>
        <w:t>.</w:t>
      </w:r>
      <w:r w:rsidRPr="00BE086B">
        <w:rPr>
          <w:sz w:val="28"/>
          <w:szCs w:val="28"/>
          <w:shd w:val="clear" w:color="auto" w:fill="FFFFFF"/>
          <w:lang w:val="en-US"/>
        </w:rPr>
        <w:t>, Bräuer L</w:t>
      </w:r>
      <w:r w:rsidRPr="00BE086B">
        <w:rPr>
          <w:sz w:val="28"/>
          <w:szCs w:val="28"/>
          <w:shd w:val="clear" w:color="auto" w:fill="FFFFFF"/>
          <w:lang w:val="uk-UA"/>
        </w:rPr>
        <w:t>.</w:t>
      </w:r>
      <w:r w:rsidRPr="00BE086B">
        <w:rPr>
          <w:sz w:val="28"/>
          <w:szCs w:val="28"/>
          <w:shd w:val="clear" w:color="auto" w:fill="FFFFFF"/>
          <w:lang w:val="en-US"/>
        </w:rPr>
        <w:t>, Paulsen F</w:t>
      </w:r>
      <w:r w:rsidRPr="00BE086B">
        <w:rPr>
          <w:sz w:val="28"/>
          <w:szCs w:val="28"/>
          <w:shd w:val="clear" w:color="auto" w:fill="FFFFFF"/>
          <w:lang w:val="uk-UA"/>
        </w:rPr>
        <w:t>.</w:t>
      </w:r>
      <w:r w:rsidRPr="00BE086B">
        <w:rPr>
          <w:sz w:val="28"/>
          <w:szCs w:val="28"/>
          <w:shd w:val="clear" w:color="auto" w:fill="FFFFFF"/>
          <w:lang w:val="en-US"/>
        </w:rPr>
        <w:t>, Detsch R</w:t>
      </w:r>
      <w:r w:rsidRPr="00BE086B">
        <w:rPr>
          <w:sz w:val="28"/>
          <w:szCs w:val="28"/>
          <w:shd w:val="clear" w:color="auto" w:fill="FFFFFF"/>
          <w:lang w:val="uk-UA"/>
        </w:rPr>
        <w:t>.</w:t>
      </w:r>
      <w:r w:rsidRPr="00BE086B">
        <w:rPr>
          <w:sz w:val="28"/>
          <w:szCs w:val="28"/>
          <w:shd w:val="clear" w:color="auto" w:fill="FFFFFF"/>
          <w:lang w:val="en-US"/>
        </w:rPr>
        <w:t>, Boccaccini A</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Budday S</w:t>
      </w:r>
      <w:r w:rsidRPr="00BE086B">
        <w:rPr>
          <w:sz w:val="28"/>
          <w:szCs w:val="28"/>
          <w:shd w:val="clear" w:color="auto" w:fill="FFFFFF"/>
          <w:lang w:val="uk-UA"/>
        </w:rPr>
        <w:t>.</w:t>
      </w:r>
      <w:r w:rsidRPr="00BE086B">
        <w:rPr>
          <w:sz w:val="28"/>
          <w:szCs w:val="28"/>
          <w:shd w:val="clear" w:color="auto" w:fill="FFFFFF"/>
          <w:lang w:val="en-US"/>
        </w:rPr>
        <w:t>, Seitz H. Complex mechanical behavior of human articular cartilage and hydrogels for cartilage repair. Acta Biomater. 2020;118:113-128.</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Abatangelo G</w:t>
      </w:r>
      <w:r w:rsidRPr="00BE086B">
        <w:rPr>
          <w:sz w:val="28"/>
          <w:szCs w:val="28"/>
          <w:shd w:val="clear" w:color="auto" w:fill="FFFFFF"/>
          <w:lang w:val="uk-UA"/>
        </w:rPr>
        <w:t>.</w:t>
      </w:r>
      <w:r w:rsidRPr="00BE086B">
        <w:rPr>
          <w:sz w:val="28"/>
          <w:szCs w:val="28"/>
          <w:shd w:val="clear" w:color="auto" w:fill="FFFFFF"/>
          <w:lang w:val="en-US"/>
        </w:rPr>
        <w:t>, Vindigni V</w:t>
      </w:r>
      <w:r w:rsidRPr="00BE086B">
        <w:rPr>
          <w:sz w:val="28"/>
          <w:szCs w:val="28"/>
          <w:shd w:val="clear" w:color="auto" w:fill="FFFFFF"/>
          <w:lang w:val="uk-UA"/>
        </w:rPr>
        <w:t>.</w:t>
      </w:r>
      <w:r w:rsidRPr="00BE086B">
        <w:rPr>
          <w:sz w:val="28"/>
          <w:szCs w:val="28"/>
          <w:shd w:val="clear" w:color="auto" w:fill="FFFFFF"/>
          <w:lang w:val="en-US"/>
        </w:rPr>
        <w:t>, Avruscio G</w:t>
      </w:r>
      <w:r w:rsidRPr="00BE086B">
        <w:rPr>
          <w:sz w:val="28"/>
          <w:szCs w:val="28"/>
          <w:shd w:val="clear" w:color="auto" w:fill="FFFFFF"/>
          <w:lang w:val="uk-UA"/>
        </w:rPr>
        <w:t>.</w:t>
      </w:r>
      <w:r w:rsidRPr="00BE086B">
        <w:rPr>
          <w:sz w:val="28"/>
          <w:szCs w:val="28"/>
          <w:shd w:val="clear" w:color="auto" w:fill="FFFFFF"/>
          <w:lang w:val="en-US"/>
        </w:rPr>
        <w:t>, Pandis L</w:t>
      </w:r>
      <w:r w:rsidRPr="00BE086B">
        <w:rPr>
          <w:sz w:val="28"/>
          <w:szCs w:val="28"/>
          <w:shd w:val="clear" w:color="auto" w:fill="FFFFFF"/>
          <w:lang w:val="uk-UA"/>
        </w:rPr>
        <w:t>.</w:t>
      </w:r>
      <w:r w:rsidRPr="00BE086B">
        <w:rPr>
          <w:sz w:val="28"/>
          <w:szCs w:val="28"/>
          <w:shd w:val="clear" w:color="auto" w:fill="FFFFFF"/>
          <w:lang w:val="en-US"/>
        </w:rPr>
        <w:t>, Brun P. Hyaluronic acid: Redefining Its Role. Cells. 2020</w:t>
      </w:r>
      <w:r w:rsidRPr="00BE086B">
        <w:rPr>
          <w:sz w:val="28"/>
          <w:szCs w:val="28"/>
          <w:shd w:val="clear" w:color="auto" w:fill="FFFFFF"/>
          <w:lang w:val="uk-UA"/>
        </w:rPr>
        <w:t>;</w:t>
      </w:r>
      <w:r w:rsidRPr="00BE086B">
        <w:rPr>
          <w:sz w:val="28"/>
          <w:szCs w:val="28"/>
          <w:shd w:val="clear" w:color="auto" w:fill="FFFFFF"/>
          <w:lang w:val="en-US"/>
        </w:rPr>
        <w:t xml:space="preserve"> 21;9(7):17</w:t>
      </w:r>
      <w:r w:rsidRPr="00BE086B">
        <w:rPr>
          <w:sz w:val="28"/>
          <w:szCs w:val="28"/>
          <w:shd w:val="clear" w:color="auto" w:fill="FFFFFF"/>
          <w:lang w:val="uk-UA"/>
        </w:rPr>
        <w:t>-</w:t>
      </w:r>
      <w:r w:rsidRPr="00BE086B">
        <w:rPr>
          <w:sz w:val="28"/>
          <w:szCs w:val="28"/>
          <w:shd w:val="clear" w:color="auto" w:fill="FFFFFF"/>
          <w:lang w:val="en-US"/>
        </w:rPr>
        <w:t>43.</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Lin W</w:t>
      </w:r>
      <w:r w:rsidRPr="00BE086B">
        <w:rPr>
          <w:sz w:val="28"/>
          <w:szCs w:val="28"/>
          <w:shd w:val="clear" w:color="auto" w:fill="FFFFFF"/>
          <w:lang w:val="uk-UA"/>
        </w:rPr>
        <w:t>.</w:t>
      </w:r>
      <w:r w:rsidRPr="00BE086B">
        <w:rPr>
          <w:sz w:val="28"/>
          <w:szCs w:val="28"/>
          <w:shd w:val="clear" w:color="auto" w:fill="FFFFFF"/>
          <w:lang w:val="en-US"/>
        </w:rPr>
        <w:t>, Liu Z</w:t>
      </w:r>
      <w:r w:rsidRPr="00BE086B">
        <w:rPr>
          <w:sz w:val="28"/>
          <w:szCs w:val="28"/>
          <w:shd w:val="clear" w:color="auto" w:fill="FFFFFF"/>
          <w:lang w:val="uk-UA"/>
        </w:rPr>
        <w:t>.</w:t>
      </w:r>
      <w:r w:rsidRPr="00BE086B">
        <w:rPr>
          <w:sz w:val="28"/>
          <w:szCs w:val="28"/>
          <w:shd w:val="clear" w:color="auto" w:fill="FFFFFF"/>
          <w:lang w:val="en-US"/>
        </w:rPr>
        <w:t>, Kampf N</w:t>
      </w:r>
      <w:r w:rsidRPr="00BE086B">
        <w:rPr>
          <w:sz w:val="28"/>
          <w:szCs w:val="28"/>
          <w:shd w:val="clear" w:color="auto" w:fill="FFFFFF"/>
          <w:lang w:val="uk-UA"/>
        </w:rPr>
        <w:t>.</w:t>
      </w:r>
      <w:r w:rsidRPr="00BE086B">
        <w:rPr>
          <w:sz w:val="28"/>
          <w:szCs w:val="28"/>
          <w:shd w:val="clear" w:color="auto" w:fill="FFFFFF"/>
          <w:lang w:val="en-US"/>
        </w:rPr>
        <w:t>, Klein J. The role of hyaluronic acid in cartilage boundary lubrication. Cells. 2020</w:t>
      </w:r>
      <w:r w:rsidRPr="00BE086B">
        <w:rPr>
          <w:sz w:val="28"/>
          <w:szCs w:val="28"/>
          <w:shd w:val="clear" w:color="auto" w:fill="FFFFFF"/>
          <w:lang w:val="uk-UA"/>
        </w:rPr>
        <w:t>;</w:t>
      </w:r>
      <w:r w:rsidRPr="00BE086B">
        <w:rPr>
          <w:sz w:val="28"/>
          <w:szCs w:val="28"/>
          <w:shd w:val="clear" w:color="auto" w:fill="FFFFFF"/>
          <w:lang w:val="en-US"/>
        </w:rPr>
        <w:t xml:space="preserve"> 2;9(7):16</w:t>
      </w:r>
      <w:r w:rsidRPr="00BE086B">
        <w:rPr>
          <w:sz w:val="28"/>
          <w:szCs w:val="28"/>
          <w:shd w:val="clear" w:color="auto" w:fill="FFFFFF"/>
          <w:lang w:val="uk-UA"/>
        </w:rPr>
        <w:t>-1</w:t>
      </w:r>
      <w:r w:rsidRPr="00BE086B">
        <w:rPr>
          <w:sz w:val="28"/>
          <w:szCs w:val="28"/>
          <w:shd w:val="clear" w:color="auto" w:fill="FFFFFF"/>
          <w:lang w:val="en-US"/>
        </w:rPr>
        <w:t>06.</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Tiendrebeogo E</w:t>
      </w:r>
      <w:r w:rsidRPr="00BE086B">
        <w:rPr>
          <w:sz w:val="28"/>
          <w:szCs w:val="28"/>
          <w:shd w:val="clear" w:color="auto" w:fill="FFFFFF"/>
          <w:lang w:val="uk-UA"/>
        </w:rPr>
        <w:t>.</w:t>
      </w:r>
      <w:r w:rsidRPr="00BE086B">
        <w:rPr>
          <w:sz w:val="28"/>
          <w:szCs w:val="28"/>
          <w:shd w:val="clear" w:color="auto" w:fill="FFFFFF"/>
          <w:lang w:val="en-US"/>
        </w:rPr>
        <w:t>, Choueiri M</w:t>
      </w:r>
      <w:r w:rsidRPr="00BE086B">
        <w:rPr>
          <w:sz w:val="28"/>
          <w:szCs w:val="28"/>
          <w:shd w:val="clear" w:color="auto" w:fill="FFFFFF"/>
          <w:lang w:val="uk-UA"/>
        </w:rPr>
        <w:t>.</w:t>
      </w:r>
      <w:r w:rsidRPr="00BE086B">
        <w:rPr>
          <w:sz w:val="28"/>
          <w:szCs w:val="28"/>
          <w:shd w:val="clear" w:color="auto" w:fill="FFFFFF"/>
          <w:lang w:val="en-US"/>
        </w:rPr>
        <w:t>, Chevalier X</w:t>
      </w:r>
      <w:r w:rsidRPr="00BE086B">
        <w:rPr>
          <w:sz w:val="28"/>
          <w:szCs w:val="28"/>
          <w:shd w:val="clear" w:color="auto" w:fill="FFFFFF"/>
          <w:lang w:val="uk-UA"/>
        </w:rPr>
        <w:t>.</w:t>
      </w:r>
      <w:r w:rsidRPr="00BE086B">
        <w:rPr>
          <w:sz w:val="28"/>
          <w:szCs w:val="28"/>
          <w:shd w:val="clear" w:color="auto" w:fill="FFFFFF"/>
          <w:lang w:val="en-US"/>
        </w:rPr>
        <w:t>, Conrozier T</w:t>
      </w:r>
      <w:r w:rsidRPr="00BE086B">
        <w:rPr>
          <w:sz w:val="28"/>
          <w:szCs w:val="28"/>
          <w:shd w:val="clear" w:color="auto" w:fill="FFFFFF"/>
          <w:lang w:val="uk-UA"/>
        </w:rPr>
        <w:t>.</w:t>
      </w:r>
      <w:r w:rsidRPr="00BE086B">
        <w:rPr>
          <w:sz w:val="28"/>
          <w:szCs w:val="28"/>
          <w:shd w:val="clear" w:color="auto" w:fill="FFFFFF"/>
          <w:lang w:val="en-US"/>
        </w:rPr>
        <w:t>, Eymard F. Does the presence of neuropathic pain influence the response to hyaluronic acid in patients with knee osteoarthritis? Cartilage. 2020</w:t>
      </w:r>
      <w:r w:rsidRPr="00BE086B">
        <w:rPr>
          <w:sz w:val="28"/>
          <w:szCs w:val="28"/>
          <w:shd w:val="clear" w:color="auto" w:fill="FFFFFF"/>
          <w:lang w:val="uk-UA"/>
        </w:rPr>
        <w:t xml:space="preserve">; </w:t>
      </w:r>
      <w:r w:rsidRPr="00BE086B">
        <w:rPr>
          <w:sz w:val="28"/>
          <w:szCs w:val="28"/>
          <w:shd w:val="clear" w:color="auto" w:fill="FFFFFF"/>
          <w:lang w:val="en-US"/>
        </w:rPr>
        <w:t>10:19</w:t>
      </w:r>
      <w:r w:rsidRPr="00BE086B">
        <w:rPr>
          <w:sz w:val="28"/>
          <w:szCs w:val="28"/>
          <w:shd w:val="clear" w:color="auto" w:fill="FFFFFF"/>
          <w:lang w:val="uk-UA"/>
        </w:rPr>
        <w:t>-</w:t>
      </w:r>
      <w:r w:rsidRPr="00BE086B">
        <w:rPr>
          <w:sz w:val="28"/>
          <w:szCs w:val="28"/>
          <w:shd w:val="clear" w:color="auto" w:fill="FFFFFF"/>
          <w:lang w:val="en-US"/>
        </w:rPr>
        <w:t>47.</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Brinkhof S</w:t>
      </w:r>
      <w:r w:rsidRPr="00BE086B">
        <w:rPr>
          <w:sz w:val="28"/>
          <w:szCs w:val="28"/>
          <w:shd w:val="clear" w:color="auto" w:fill="FFFFFF"/>
          <w:lang w:val="uk-UA"/>
        </w:rPr>
        <w:t>.</w:t>
      </w:r>
      <w:r w:rsidRPr="00BE086B">
        <w:rPr>
          <w:sz w:val="28"/>
          <w:szCs w:val="28"/>
          <w:shd w:val="clear" w:color="auto" w:fill="FFFFFF"/>
          <w:lang w:val="en-US"/>
        </w:rPr>
        <w:t>, Nizak R</w:t>
      </w:r>
      <w:r w:rsidRPr="00BE086B">
        <w:rPr>
          <w:sz w:val="28"/>
          <w:szCs w:val="28"/>
          <w:shd w:val="clear" w:color="auto" w:fill="FFFFFF"/>
          <w:lang w:val="uk-UA"/>
        </w:rPr>
        <w:t>.</w:t>
      </w:r>
      <w:r w:rsidRPr="00BE086B">
        <w:rPr>
          <w:sz w:val="28"/>
          <w:szCs w:val="28"/>
          <w:shd w:val="clear" w:color="auto" w:fill="FFFFFF"/>
          <w:lang w:val="en-US"/>
        </w:rPr>
        <w:t>, Sim S</w:t>
      </w:r>
      <w:r w:rsidRPr="00BE086B">
        <w:rPr>
          <w:sz w:val="28"/>
          <w:szCs w:val="28"/>
          <w:shd w:val="clear" w:color="auto" w:fill="FFFFFF"/>
          <w:lang w:val="uk-UA"/>
        </w:rPr>
        <w:t>.</w:t>
      </w:r>
      <w:r w:rsidRPr="00BE086B">
        <w:rPr>
          <w:sz w:val="28"/>
          <w:szCs w:val="28"/>
          <w:shd w:val="clear" w:color="auto" w:fill="FFFFFF"/>
          <w:lang w:val="en-US"/>
        </w:rPr>
        <w:t>, Khlebnikov V</w:t>
      </w:r>
      <w:r w:rsidRPr="00BE086B">
        <w:rPr>
          <w:sz w:val="28"/>
          <w:szCs w:val="28"/>
          <w:shd w:val="clear" w:color="auto" w:fill="FFFFFF"/>
          <w:lang w:val="uk-UA"/>
        </w:rPr>
        <w:t>.</w:t>
      </w:r>
      <w:r w:rsidRPr="00BE086B">
        <w:rPr>
          <w:sz w:val="28"/>
          <w:szCs w:val="28"/>
          <w:shd w:val="clear" w:color="auto" w:fill="FFFFFF"/>
          <w:lang w:val="en-US"/>
        </w:rPr>
        <w:t>, Quenneville E</w:t>
      </w:r>
      <w:r w:rsidRPr="00BE086B">
        <w:rPr>
          <w:sz w:val="28"/>
          <w:szCs w:val="28"/>
          <w:shd w:val="clear" w:color="auto" w:fill="FFFFFF"/>
          <w:lang w:val="uk-UA"/>
        </w:rPr>
        <w:t>.</w:t>
      </w:r>
      <w:r w:rsidRPr="00BE086B">
        <w:rPr>
          <w:sz w:val="28"/>
          <w:szCs w:val="28"/>
          <w:shd w:val="clear" w:color="auto" w:fill="FFFFFF"/>
          <w:lang w:val="en-US"/>
        </w:rPr>
        <w:t>, Garon M</w:t>
      </w:r>
      <w:r w:rsidRPr="00BE086B">
        <w:rPr>
          <w:sz w:val="28"/>
          <w:szCs w:val="28"/>
          <w:shd w:val="clear" w:color="auto" w:fill="FFFFFF"/>
          <w:lang w:val="uk-UA"/>
        </w:rPr>
        <w:t>.</w:t>
      </w:r>
      <w:r w:rsidRPr="00BE086B">
        <w:rPr>
          <w:sz w:val="28"/>
          <w:szCs w:val="28"/>
          <w:shd w:val="clear" w:color="auto" w:fill="FFFFFF"/>
          <w:lang w:val="en-US"/>
        </w:rPr>
        <w:t>, Klomp DWJ, Saris D. In vivo biochemical assessment of cartilage with gagCEST MRI: Correlation with cartilage properties. NMR Biomed. 2021;34(3):44</w:t>
      </w:r>
      <w:r w:rsidRPr="00BE086B">
        <w:rPr>
          <w:sz w:val="28"/>
          <w:szCs w:val="28"/>
          <w:shd w:val="clear" w:color="auto" w:fill="FFFFFF"/>
          <w:lang w:val="uk-UA"/>
        </w:rPr>
        <w:t>-</w:t>
      </w:r>
      <w:r w:rsidRPr="00BE086B">
        <w:rPr>
          <w:sz w:val="28"/>
          <w:szCs w:val="28"/>
          <w:shd w:val="clear" w:color="auto" w:fill="FFFFFF"/>
          <w:lang w:val="en-US"/>
        </w:rPr>
        <w:lastRenderedPageBreak/>
        <w:t>63.</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Castrogiovanni P</w:t>
      </w:r>
      <w:r w:rsidRPr="00BE086B">
        <w:rPr>
          <w:sz w:val="28"/>
          <w:szCs w:val="28"/>
          <w:shd w:val="clear" w:color="auto" w:fill="FFFFFF"/>
          <w:lang w:val="uk-UA"/>
        </w:rPr>
        <w:t>.</w:t>
      </w:r>
      <w:r w:rsidRPr="00BE086B">
        <w:rPr>
          <w:sz w:val="28"/>
          <w:szCs w:val="28"/>
          <w:shd w:val="clear" w:color="auto" w:fill="FFFFFF"/>
          <w:lang w:val="en-US"/>
        </w:rPr>
        <w:t>, Ravalli S</w:t>
      </w:r>
      <w:r w:rsidRPr="00BE086B">
        <w:rPr>
          <w:sz w:val="28"/>
          <w:szCs w:val="28"/>
          <w:shd w:val="clear" w:color="auto" w:fill="FFFFFF"/>
          <w:lang w:val="uk-UA"/>
        </w:rPr>
        <w:t>.</w:t>
      </w:r>
      <w:r w:rsidRPr="00BE086B">
        <w:rPr>
          <w:sz w:val="28"/>
          <w:szCs w:val="28"/>
          <w:shd w:val="clear" w:color="auto" w:fill="FFFFFF"/>
          <w:lang w:val="en-US"/>
        </w:rPr>
        <w:t>, Musumeci G. Apoptosis and autophagy in the pathogenesis of osteoarthritis. J Invest Surg. 2020;33(9):874-875.</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Xie Y</w:t>
      </w:r>
      <w:r w:rsidRPr="00BE086B">
        <w:rPr>
          <w:sz w:val="28"/>
          <w:szCs w:val="28"/>
          <w:shd w:val="clear" w:color="auto" w:fill="FFFFFF"/>
          <w:lang w:val="uk-UA"/>
        </w:rPr>
        <w:t>.</w:t>
      </w:r>
      <w:r w:rsidRPr="00BE086B">
        <w:rPr>
          <w:sz w:val="28"/>
          <w:szCs w:val="28"/>
          <w:shd w:val="clear" w:color="auto" w:fill="FFFFFF"/>
          <w:lang w:val="en-US"/>
        </w:rPr>
        <w:t>, Zinkle A</w:t>
      </w:r>
      <w:r w:rsidRPr="00BE086B">
        <w:rPr>
          <w:sz w:val="28"/>
          <w:szCs w:val="28"/>
          <w:shd w:val="clear" w:color="auto" w:fill="FFFFFF"/>
          <w:lang w:val="uk-UA"/>
        </w:rPr>
        <w:t>.</w:t>
      </w:r>
      <w:r w:rsidRPr="00BE086B">
        <w:rPr>
          <w:sz w:val="28"/>
          <w:szCs w:val="28"/>
          <w:shd w:val="clear" w:color="auto" w:fill="FFFFFF"/>
          <w:lang w:val="en-US"/>
        </w:rPr>
        <w:t>, Chen L</w:t>
      </w:r>
      <w:r w:rsidRPr="00BE086B">
        <w:rPr>
          <w:sz w:val="28"/>
          <w:szCs w:val="28"/>
          <w:shd w:val="clear" w:color="auto" w:fill="FFFFFF"/>
          <w:lang w:val="uk-UA"/>
        </w:rPr>
        <w:t>.</w:t>
      </w:r>
      <w:r w:rsidRPr="00BE086B">
        <w:rPr>
          <w:sz w:val="28"/>
          <w:szCs w:val="28"/>
          <w:shd w:val="clear" w:color="auto" w:fill="FFFFFF"/>
          <w:lang w:val="en-US"/>
        </w:rPr>
        <w:t>, Mohammadi M. Fibroblast growth factor signalling in osteoarthritis and cartilage repair. Nat Rev Rheumatol. 2020;16(10):547-564.</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Ellman M</w:t>
      </w:r>
      <w:r w:rsidRPr="00BE086B">
        <w:rPr>
          <w:sz w:val="28"/>
          <w:szCs w:val="28"/>
          <w:shd w:val="clear" w:color="auto" w:fill="FFFFFF"/>
          <w:lang w:val="uk-UA"/>
        </w:rPr>
        <w:t>.</w:t>
      </w:r>
      <w:r w:rsidRPr="00BE086B">
        <w:rPr>
          <w:sz w:val="28"/>
          <w:szCs w:val="28"/>
          <w:shd w:val="clear" w:color="auto" w:fill="FFFFFF"/>
          <w:lang w:val="en-US"/>
        </w:rPr>
        <w:t>B</w:t>
      </w:r>
      <w:r w:rsidRPr="00BE086B">
        <w:rPr>
          <w:sz w:val="28"/>
          <w:szCs w:val="28"/>
          <w:shd w:val="clear" w:color="auto" w:fill="FFFFFF"/>
          <w:lang w:val="uk-UA"/>
        </w:rPr>
        <w:t>.</w:t>
      </w:r>
      <w:r w:rsidRPr="00BE086B">
        <w:rPr>
          <w:sz w:val="28"/>
          <w:szCs w:val="28"/>
          <w:shd w:val="clear" w:color="auto" w:fill="FFFFFF"/>
          <w:lang w:val="en-US"/>
        </w:rPr>
        <w:t>, Yan D</w:t>
      </w:r>
      <w:r w:rsidRPr="00BE086B">
        <w:rPr>
          <w:sz w:val="28"/>
          <w:szCs w:val="28"/>
          <w:shd w:val="clear" w:color="auto" w:fill="FFFFFF"/>
          <w:lang w:val="uk-UA"/>
        </w:rPr>
        <w:t>.</w:t>
      </w:r>
      <w:r w:rsidRPr="00BE086B">
        <w:rPr>
          <w:sz w:val="28"/>
          <w:szCs w:val="28"/>
          <w:shd w:val="clear" w:color="auto" w:fill="FFFFFF"/>
          <w:lang w:val="en-US"/>
        </w:rPr>
        <w:t>, Ahmadinia K</w:t>
      </w:r>
      <w:r w:rsidRPr="00BE086B">
        <w:rPr>
          <w:sz w:val="28"/>
          <w:szCs w:val="28"/>
          <w:shd w:val="clear" w:color="auto" w:fill="FFFFFF"/>
          <w:lang w:val="uk-UA"/>
        </w:rPr>
        <w:t>.</w:t>
      </w:r>
      <w:r w:rsidRPr="00BE086B">
        <w:rPr>
          <w:sz w:val="28"/>
          <w:szCs w:val="28"/>
          <w:shd w:val="clear" w:color="auto" w:fill="FFFFFF"/>
          <w:lang w:val="en-US"/>
        </w:rPr>
        <w:t>, Chen D</w:t>
      </w:r>
      <w:r w:rsidRPr="00BE086B">
        <w:rPr>
          <w:sz w:val="28"/>
          <w:szCs w:val="28"/>
          <w:shd w:val="clear" w:color="auto" w:fill="FFFFFF"/>
          <w:lang w:val="uk-UA"/>
        </w:rPr>
        <w:t>.</w:t>
      </w:r>
      <w:r w:rsidRPr="00BE086B">
        <w:rPr>
          <w:sz w:val="28"/>
          <w:szCs w:val="28"/>
          <w:shd w:val="clear" w:color="auto" w:fill="FFFFFF"/>
          <w:lang w:val="en-US"/>
        </w:rPr>
        <w:t>, An H</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 Im H</w:t>
      </w:r>
      <w:r w:rsidRPr="00BE086B">
        <w:rPr>
          <w:sz w:val="28"/>
          <w:szCs w:val="28"/>
          <w:shd w:val="clear" w:color="auto" w:fill="FFFFFF"/>
          <w:lang w:val="uk-UA"/>
        </w:rPr>
        <w:t>.</w:t>
      </w:r>
      <w:r w:rsidRPr="00BE086B">
        <w:rPr>
          <w:sz w:val="28"/>
          <w:szCs w:val="28"/>
          <w:shd w:val="clear" w:color="auto" w:fill="FFFFFF"/>
          <w:lang w:val="en-US"/>
        </w:rPr>
        <w:t>J. Fibroblast growth factor control of cartilage homeostasis. J Cell Biochem. 2013;114(4):735-</w:t>
      </w:r>
      <w:r w:rsidRPr="00BE086B">
        <w:rPr>
          <w:sz w:val="28"/>
          <w:szCs w:val="28"/>
          <w:shd w:val="clear" w:color="auto" w:fill="FFFFFF"/>
          <w:lang w:val="uk-UA"/>
        </w:rPr>
        <w:t>7</w:t>
      </w:r>
      <w:r w:rsidRPr="00BE086B">
        <w:rPr>
          <w:sz w:val="28"/>
          <w:szCs w:val="28"/>
          <w:shd w:val="clear" w:color="auto" w:fill="FFFFFF"/>
          <w:lang w:val="en-US"/>
        </w:rPr>
        <w:t>42.</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Coryell P</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Diekman B</w:t>
      </w:r>
      <w:r w:rsidRPr="00BE086B">
        <w:rPr>
          <w:sz w:val="28"/>
          <w:szCs w:val="28"/>
          <w:shd w:val="clear" w:color="auto" w:fill="FFFFFF"/>
          <w:lang w:val="uk-UA"/>
        </w:rPr>
        <w:t>.</w:t>
      </w:r>
      <w:r w:rsidRPr="00BE086B">
        <w:rPr>
          <w:sz w:val="28"/>
          <w:szCs w:val="28"/>
          <w:shd w:val="clear" w:color="auto" w:fill="FFFFFF"/>
          <w:lang w:val="en-US"/>
        </w:rPr>
        <w:t>O</w:t>
      </w:r>
      <w:r w:rsidRPr="00BE086B">
        <w:rPr>
          <w:sz w:val="28"/>
          <w:szCs w:val="28"/>
          <w:shd w:val="clear" w:color="auto" w:fill="FFFFFF"/>
          <w:lang w:val="uk-UA"/>
        </w:rPr>
        <w:t>.</w:t>
      </w:r>
      <w:r w:rsidRPr="00BE086B">
        <w:rPr>
          <w:sz w:val="28"/>
          <w:szCs w:val="28"/>
          <w:shd w:val="clear" w:color="auto" w:fill="FFFFFF"/>
          <w:lang w:val="en-US"/>
        </w:rPr>
        <w:t>, Loeser R</w:t>
      </w:r>
      <w:r w:rsidRPr="00BE086B">
        <w:rPr>
          <w:sz w:val="28"/>
          <w:szCs w:val="28"/>
          <w:shd w:val="clear" w:color="auto" w:fill="FFFFFF"/>
          <w:lang w:val="uk-UA"/>
        </w:rPr>
        <w:t>.</w:t>
      </w:r>
      <w:r w:rsidRPr="00BE086B">
        <w:rPr>
          <w:sz w:val="28"/>
          <w:szCs w:val="28"/>
          <w:shd w:val="clear" w:color="auto" w:fill="FFFFFF"/>
          <w:lang w:val="en-US"/>
        </w:rPr>
        <w:t>F. Mechanisms and therapeutic implications of cellular senescence in osteoarthritis. Nat Rev Rheumatol. 2021;17(1):47-57.</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rFonts w:eastAsia="Calibri"/>
          <w:sz w:val="28"/>
          <w:szCs w:val="28"/>
        </w:rPr>
        <w:t>Носівець Д.С. В</w:t>
      </w:r>
      <w:r w:rsidRPr="00BE086B">
        <w:rPr>
          <w:sz w:val="28"/>
          <w:szCs w:val="28"/>
        </w:rPr>
        <w:t>плив нестероїдних протизапальних засобів на рівень маркеру CTX II за умов експериментального гіпотиреозу та остеоартрозу. Укр. журн. медицини, біології та спорту. 2019. Т. 4, № 6 (22). С. 67-73.</w:t>
      </w:r>
    </w:p>
    <w:p w:rsidR="008B13C0" w:rsidRPr="00BE086B" w:rsidRDefault="008B13C0" w:rsidP="00611AFB">
      <w:pPr>
        <w:pStyle w:val="af0"/>
        <w:widowControl w:val="0"/>
        <w:numPr>
          <w:ilvl w:val="0"/>
          <w:numId w:val="19"/>
        </w:numPr>
        <w:suppressAutoHyphens w:val="0"/>
        <w:autoSpaceDN w:val="0"/>
        <w:ind w:left="0" w:firstLine="709"/>
        <w:jc w:val="both"/>
        <w:rPr>
          <w:sz w:val="28"/>
          <w:szCs w:val="28"/>
          <w:lang w:eastAsia="en-US"/>
        </w:rPr>
      </w:pPr>
      <w:r w:rsidRPr="00BE086B">
        <w:rPr>
          <w:rFonts w:eastAsia="Calibri"/>
          <w:sz w:val="28"/>
          <w:szCs w:val="28"/>
        </w:rPr>
        <w:t>Носівець Д.С. В</w:t>
      </w:r>
      <w:r w:rsidRPr="00BE086B">
        <w:rPr>
          <w:sz w:val="28"/>
          <w:szCs w:val="28"/>
        </w:rPr>
        <w:t xml:space="preserve">плив нестероїдних протизапальних засобів та парацетамолу на стан кісткової тканини за умов експериментального гіпотиреозу та остеоартрозу. </w:t>
      </w:r>
      <w:r w:rsidRPr="00BE086B">
        <w:rPr>
          <w:rFonts w:eastAsia="Calibri-Bold"/>
          <w:sz w:val="28"/>
          <w:szCs w:val="28"/>
        </w:rPr>
        <w:t>Вісник проблем біології і медицини. 2019. Т. 153, № 4. С. 130-133.</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rFonts w:eastAsia="Calibri"/>
          <w:sz w:val="28"/>
          <w:szCs w:val="28"/>
        </w:rPr>
        <w:t>Носівець Д.С. В</w:t>
      </w:r>
      <w:r w:rsidRPr="00BE086B">
        <w:rPr>
          <w:sz w:val="28"/>
          <w:szCs w:val="28"/>
        </w:rPr>
        <w:t xml:space="preserve">плив нестероїдних протизапальних засобів та парацетамолу на рівень інтерлейкінів сироватки крові щурів за умов експериментального гіпотиреозу та остеоартрозу. </w:t>
      </w:r>
      <w:r w:rsidRPr="00BE086B">
        <w:rPr>
          <w:rFonts w:eastAsia="Calibri-Bold"/>
          <w:sz w:val="28"/>
          <w:szCs w:val="28"/>
        </w:rPr>
        <w:t>Вісник проблем біології і медицини. 2020. Т. 155, № 1. С. 175-179</w:t>
      </w:r>
      <w:r w:rsidRPr="00BE086B">
        <w:rPr>
          <w:sz w:val="28"/>
          <w:szCs w:val="28"/>
        </w:rPr>
        <w:t>.</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rFonts w:eastAsia="Calibri"/>
          <w:sz w:val="28"/>
          <w:szCs w:val="28"/>
        </w:rPr>
        <w:t>Носівець</w:t>
      </w:r>
      <w:r w:rsidRPr="00BE086B">
        <w:rPr>
          <w:rFonts w:eastAsia="Calibri"/>
          <w:sz w:val="28"/>
          <w:szCs w:val="28"/>
          <w:lang w:val="en-US"/>
        </w:rPr>
        <w:t xml:space="preserve"> </w:t>
      </w:r>
      <w:r w:rsidRPr="00BE086B">
        <w:rPr>
          <w:rFonts w:eastAsia="Calibri"/>
          <w:sz w:val="28"/>
          <w:szCs w:val="28"/>
        </w:rPr>
        <w:t>Д</w:t>
      </w:r>
      <w:r w:rsidRPr="00BE086B">
        <w:rPr>
          <w:rFonts w:eastAsia="Calibri"/>
          <w:sz w:val="28"/>
          <w:szCs w:val="28"/>
          <w:lang w:val="en-US"/>
        </w:rPr>
        <w:t>.</w:t>
      </w:r>
      <w:r w:rsidRPr="00BE086B">
        <w:rPr>
          <w:rFonts w:eastAsia="Calibri"/>
          <w:sz w:val="28"/>
          <w:szCs w:val="28"/>
        </w:rPr>
        <w:t>С</w:t>
      </w:r>
      <w:r w:rsidRPr="00BE086B">
        <w:rPr>
          <w:rFonts w:eastAsia="Calibri"/>
          <w:sz w:val="28"/>
          <w:szCs w:val="28"/>
          <w:lang w:val="en-US"/>
        </w:rPr>
        <w:t xml:space="preserve">., </w:t>
      </w:r>
      <w:r w:rsidRPr="00BE086B">
        <w:rPr>
          <w:rFonts w:eastAsia="Calibri"/>
          <w:sz w:val="28"/>
          <w:szCs w:val="28"/>
        </w:rPr>
        <w:t>Мамчур</w:t>
      </w:r>
      <w:r w:rsidRPr="00BE086B">
        <w:rPr>
          <w:rFonts w:eastAsia="Calibri"/>
          <w:sz w:val="28"/>
          <w:szCs w:val="28"/>
          <w:lang w:val="en-US"/>
        </w:rPr>
        <w:t xml:space="preserve"> </w:t>
      </w:r>
      <w:r w:rsidRPr="00BE086B">
        <w:rPr>
          <w:rFonts w:eastAsia="Calibri"/>
          <w:sz w:val="28"/>
          <w:szCs w:val="28"/>
        </w:rPr>
        <w:t>В</w:t>
      </w:r>
      <w:r w:rsidRPr="00BE086B">
        <w:rPr>
          <w:rFonts w:eastAsia="Calibri"/>
          <w:sz w:val="28"/>
          <w:szCs w:val="28"/>
          <w:lang w:val="en-US"/>
        </w:rPr>
        <w:t>.</w:t>
      </w:r>
      <w:r w:rsidRPr="00BE086B">
        <w:rPr>
          <w:rFonts w:eastAsia="Calibri"/>
          <w:sz w:val="28"/>
          <w:szCs w:val="28"/>
        </w:rPr>
        <w:t>Й</w:t>
      </w:r>
      <w:r w:rsidRPr="00BE086B">
        <w:rPr>
          <w:rFonts w:eastAsia="Calibri"/>
          <w:sz w:val="28"/>
          <w:szCs w:val="28"/>
          <w:lang w:val="en-US"/>
        </w:rPr>
        <w:t xml:space="preserve">., </w:t>
      </w:r>
      <w:r w:rsidRPr="00BE086B">
        <w:rPr>
          <w:rFonts w:eastAsia="Calibri"/>
          <w:sz w:val="28"/>
          <w:szCs w:val="28"/>
        </w:rPr>
        <w:t>Опришко</w:t>
      </w:r>
      <w:r w:rsidRPr="00BE086B">
        <w:rPr>
          <w:rFonts w:eastAsia="Calibri"/>
          <w:sz w:val="28"/>
          <w:szCs w:val="28"/>
          <w:lang w:val="en-US"/>
        </w:rPr>
        <w:t xml:space="preserve"> </w:t>
      </w:r>
      <w:r w:rsidRPr="00BE086B">
        <w:rPr>
          <w:rFonts w:eastAsia="Calibri"/>
          <w:sz w:val="28"/>
          <w:szCs w:val="28"/>
        </w:rPr>
        <w:t>В</w:t>
      </w:r>
      <w:r w:rsidRPr="00BE086B">
        <w:rPr>
          <w:rFonts w:eastAsia="Calibri"/>
          <w:sz w:val="28"/>
          <w:szCs w:val="28"/>
          <w:lang w:val="en-US"/>
        </w:rPr>
        <w:t>.</w:t>
      </w:r>
      <w:r w:rsidRPr="00BE086B">
        <w:rPr>
          <w:rFonts w:eastAsia="Calibri"/>
          <w:sz w:val="28"/>
          <w:szCs w:val="28"/>
        </w:rPr>
        <w:t>І</w:t>
      </w:r>
      <w:r w:rsidRPr="00BE086B">
        <w:rPr>
          <w:rFonts w:eastAsia="Calibri"/>
          <w:sz w:val="28"/>
          <w:szCs w:val="28"/>
          <w:lang w:val="en-US"/>
        </w:rPr>
        <w:t xml:space="preserve">. </w:t>
      </w:r>
      <w:r w:rsidRPr="00BE086B">
        <w:rPr>
          <w:rFonts w:eastAsia="Calibri"/>
          <w:sz w:val="28"/>
          <w:szCs w:val="28"/>
        </w:rPr>
        <w:t>Зміни</w:t>
      </w:r>
      <w:r w:rsidRPr="00BE086B">
        <w:rPr>
          <w:rFonts w:eastAsia="Calibri"/>
          <w:sz w:val="28"/>
          <w:szCs w:val="28"/>
          <w:lang w:val="en-US"/>
        </w:rPr>
        <w:t xml:space="preserve"> </w:t>
      </w:r>
      <w:r w:rsidRPr="00BE086B">
        <w:rPr>
          <w:rFonts w:eastAsia="Calibri"/>
          <w:sz w:val="28"/>
          <w:szCs w:val="28"/>
        </w:rPr>
        <w:t>вмісту</w:t>
      </w:r>
      <w:r w:rsidRPr="00BE086B">
        <w:rPr>
          <w:rFonts w:eastAsia="Calibri"/>
          <w:sz w:val="28"/>
          <w:szCs w:val="28"/>
          <w:lang w:val="en-US"/>
        </w:rPr>
        <w:t xml:space="preserve"> </w:t>
      </w:r>
      <w:r w:rsidRPr="00BE086B">
        <w:rPr>
          <w:rFonts w:eastAsia="Calibri"/>
          <w:sz w:val="28"/>
          <w:szCs w:val="28"/>
        </w:rPr>
        <w:t>металопротеїназ</w:t>
      </w:r>
      <w:r w:rsidRPr="00BE086B">
        <w:rPr>
          <w:rFonts w:eastAsia="Calibri"/>
          <w:sz w:val="28"/>
          <w:szCs w:val="28"/>
          <w:lang w:val="en-US"/>
        </w:rPr>
        <w:t xml:space="preserve"> </w:t>
      </w:r>
      <w:r w:rsidRPr="00BE086B">
        <w:rPr>
          <w:rFonts w:eastAsia="Calibri"/>
          <w:sz w:val="28"/>
          <w:szCs w:val="28"/>
        </w:rPr>
        <w:t>сироватки</w:t>
      </w:r>
      <w:r w:rsidRPr="00BE086B">
        <w:rPr>
          <w:rFonts w:eastAsia="Calibri"/>
          <w:sz w:val="28"/>
          <w:szCs w:val="28"/>
          <w:lang w:val="en-US"/>
        </w:rPr>
        <w:t xml:space="preserve"> </w:t>
      </w:r>
      <w:r w:rsidRPr="00BE086B">
        <w:rPr>
          <w:rFonts w:eastAsia="Calibri"/>
          <w:sz w:val="28"/>
          <w:szCs w:val="28"/>
        </w:rPr>
        <w:t>крові</w:t>
      </w:r>
      <w:r w:rsidRPr="00BE086B">
        <w:rPr>
          <w:rFonts w:eastAsia="Calibri"/>
          <w:sz w:val="28"/>
          <w:szCs w:val="28"/>
          <w:lang w:val="en-US"/>
        </w:rPr>
        <w:t xml:space="preserve"> </w:t>
      </w:r>
      <w:r w:rsidRPr="00BE086B">
        <w:rPr>
          <w:rFonts w:eastAsia="Calibri"/>
          <w:sz w:val="28"/>
          <w:szCs w:val="28"/>
        </w:rPr>
        <w:t>щурів</w:t>
      </w:r>
      <w:r w:rsidRPr="00BE086B">
        <w:rPr>
          <w:rFonts w:eastAsia="Calibri"/>
          <w:sz w:val="28"/>
          <w:szCs w:val="28"/>
          <w:lang w:val="en-US"/>
        </w:rPr>
        <w:t xml:space="preserve"> </w:t>
      </w:r>
      <w:r w:rsidRPr="00BE086B">
        <w:rPr>
          <w:rFonts w:eastAsia="Calibri"/>
          <w:sz w:val="28"/>
          <w:szCs w:val="28"/>
        </w:rPr>
        <w:t>під</w:t>
      </w:r>
      <w:r w:rsidRPr="00BE086B">
        <w:rPr>
          <w:rFonts w:eastAsia="Calibri"/>
          <w:sz w:val="28"/>
          <w:szCs w:val="28"/>
          <w:lang w:val="en-US"/>
        </w:rPr>
        <w:t xml:space="preserve"> </w:t>
      </w:r>
      <w:r w:rsidRPr="00BE086B">
        <w:rPr>
          <w:rFonts w:eastAsia="Calibri"/>
          <w:sz w:val="28"/>
          <w:szCs w:val="28"/>
        </w:rPr>
        <w:t>впливом</w:t>
      </w:r>
      <w:r w:rsidRPr="00BE086B">
        <w:rPr>
          <w:rFonts w:eastAsia="Calibri"/>
          <w:sz w:val="28"/>
          <w:szCs w:val="28"/>
          <w:lang w:val="en-US"/>
        </w:rPr>
        <w:t xml:space="preserve"> </w:t>
      </w:r>
      <w:r w:rsidRPr="00BE086B">
        <w:rPr>
          <w:rFonts w:eastAsia="Calibri"/>
          <w:sz w:val="28"/>
          <w:szCs w:val="28"/>
        </w:rPr>
        <w:t>нестероїдних</w:t>
      </w:r>
      <w:r w:rsidRPr="00BE086B">
        <w:rPr>
          <w:rFonts w:eastAsia="Calibri"/>
          <w:sz w:val="28"/>
          <w:szCs w:val="28"/>
          <w:lang w:val="en-US"/>
        </w:rPr>
        <w:t xml:space="preserve"> </w:t>
      </w:r>
      <w:r w:rsidRPr="00BE086B">
        <w:rPr>
          <w:rFonts w:eastAsia="Calibri"/>
          <w:sz w:val="28"/>
          <w:szCs w:val="28"/>
        </w:rPr>
        <w:t>протизапальних</w:t>
      </w:r>
      <w:r w:rsidRPr="00BE086B">
        <w:rPr>
          <w:rFonts w:eastAsia="Calibri"/>
          <w:sz w:val="28"/>
          <w:szCs w:val="28"/>
          <w:lang w:val="en-US"/>
        </w:rPr>
        <w:t xml:space="preserve"> </w:t>
      </w:r>
      <w:r w:rsidRPr="00BE086B">
        <w:rPr>
          <w:rFonts w:eastAsia="Calibri"/>
          <w:sz w:val="28"/>
          <w:szCs w:val="28"/>
        </w:rPr>
        <w:t>засобів</w:t>
      </w:r>
      <w:r w:rsidRPr="00BE086B">
        <w:rPr>
          <w:rFonts w:eastAsia="Calibri"/>
          <w:sz w:val="28"/>
          <w:szCs w:val="28"/>
          <w:lang w:val="en-US"/>
        </w:rPr>
        <w:t xml:space="preserve"> </w:t>
      </w:r>
      <w:r w:rsidRPr="00BE086B">
        <w:rPr>
          <w:rFonts w:eastAsia="Calibri"/>
          <w:sz w:val="28"/>
          <w:szCs w:val="28"/>
        </w:rPr>
        <w:t>і</w:t>
      </w:r>
      <w:r w:rsidRPr="00BE086B">
        <w:rPr>
          <w:rFonts w:eastAsia="Calibri"/>
          <w:sz w:val="28"/>
          <w:szCs w:val="28"/>
          <w:lang w:val="en-US"/>
        </w:rPr>
        <w:t xml:space="preserve"> </w:t>
      </w:r>
      <w:r w:rsidRPr="00BE086B">
        <w:rPr>
          <w:rFonts w:eastAsia="Calibri"/>
          <w:sz w:val="28"/>
          <w:szCs w:val="28"/>
        </w:rPr>
        <w:t>парацетамолу</w:t>
      </w:r>
      <w:r w:rsidRPr="00BE086B">
        <w:rPr>
          <w:rFonts w:eastAsia="Calibri"/>
          <w:sz w:val="28"/>
          <w:szCs w:val="28"/>
          <w:lang w:val="en-US"/>
        </w:rPr>
        <w:t xml:space="preserve"> </w:t>
      </w:r>
      <w:r w:rsidRPr="00BE086B">
        <w:rPr>
          <w:rFonts w:eastAsia="Calibri"/>
          <w:sz w:val="28"/>
          <w:szCs w:val="28"/>
        </w:rPr>
        <w:t>на</w:t>
      </w:r>
      <w:r w:rsidRPr="00BE086B">
        <w:rPr>
          <w:rFonts w:eastAsia="Calibri"/>
          <w:sz w:val="28"/>
          <w:szCs w:val="28"/>
          <w:lang w:val="en-US"/>
        </w:rPr>
        <w:t xml:space="preserve"> </w:t>
      </w:r>
      <w:r w:rsidRPr="00BE086B">
        <w:rPr>
          <w:rFonts w:eastAsia="Calibri"/>
          <w:sz w:val="28"/>
          <w:szCs w:val="28"/>
        </w:rPr>
        <w:t>фоні</w:t>
      </w:r>
      <w:r w:rsidRPr="00BE086B">
        <w:rPr>
          <w:rFonts w:eastAsia="Calibri"/>
          <w:sz w:val="28"/>
          <w:szCs w:val="28"/>
          <w:lang w:val="en-US"/>
        </w:rPr>
        <w:t xml:space="preserve"> </w:t>
      </w:r>
      <w:r w:rsidRPr="00BE086B">
        <w:rPr>
          <w:rFonts w:eastAsia="Calibri"/>
          <w:sz w:val="28"/>
          <w:szCs w:val="28"/>
        </w:rPr>
        <w:t>експериментального</w:t>
      </w:r>
      <w:r w:rsidRPr="00BE086B">
        <w:rPr>
          <w:rFonts w:eastAsia="Calibri"/>
          <w:sz w:val="28"/>
          <w:szCs w:val="28"/>
          <w:lang w:val="en-US"/>
        </w:rPr>
        <w:t xml:space="preserve"> </w:t>
      </w:r>
      <w:r w:rsidRPr="00BE086B">
        <w:rPr>
          <w:rFonts w:eastAsia="Calibri"/>
          <w:sz w:val="28"/>
          <w:szCs w:val="28"/>
        </w:rPr>
        <w:t>остеоартрозу</w:t>
      </w:r>
      <w:r w:rsidRPr="00BE086B">
        <w:rPr>
          <w:rFonts w:eastAsia="Calibri"/>
          <w:sz w:val="28"/>
          <w:szCs w:val="28"/>
          <w:lang w:val="en-US"/>
        </w:rPr>
        <w:t xml:space="preserve"> </w:t>
      </w:r>
      <w:r w:rsidRPr="00BE086B">
        <w:rPr>
          <w:rFonts w:eastAsia="Calibri"/>
          <w:sz w:val="28"/>
          <w:szCs w:val="28"/>
        </w:rPr>
        <w:t>та</w:t>
      </w:r>
      <w:r w:rsidRPr="00BE086B">
        <w:rPr>
          <w:rFonts w:eastAsia="Calibri"/>
          <w:sz w:val="28"/>
          <w:szCs w:val="28"/>
          <w:lang w:val="en-US"/>
        </w:rPr>
        <w:t xml:space="preserve"> </w:t>
      </w:r>
      <w:r w:rsidRPr="00BE086B">
        <w:rPr>
          <w:rFonts w:eastAsia="Calibri"/>
          <w:sz w:val="28"/>
          <w:szCs w:val="28"/>
        </w:rPr>
        <w:t>гіпотиреозу</w:t>
      </w:r>
      <w:r w:rsidRPr="00BE086B">
        <w:rPr>
          <w:sz w:val="28"/>
          <w:szCs w:val="28"/>
          <w:lang w:val="en-US"/>
        </w:rPr>
        <w:t xml:space="preserve">. </w:t>
      </w:r>
      <w:r w:rsidRPr="00BE086B">
        <w:rPr>
          <w:rFonts w:eastAsia="Calibri"/>
          <w:sz w:val="28"/>
          <w:szCs w:val="28"/>
        </w:rPr>
        <w:t>Фармакологія та лікарська токсикологія</w:t>
      </w:r>
      <w:r w:rsidRPr="00BE086B">
        <w:rPr>
          <w:sz w:val="28"/>
          <w:szCs w:val="28"/>
        </w:rPr>
        <w:t>. 2020. Т. 14, № 1. С. 36-42.</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lang w:val="en-US"/>
        </w:rPr>
      </w:pPr>
      <w:r w:rsidRPr="00BE086B">
        <w:rPr>
          <w:rFonts w:eastAsia="Calibri"/>
          <w:sz w:val="28"/>
          <w:szCs w:val="28"/>
        </w:rPr>
        <w:t xml:space="preserve">Носівець Д.С. Вплив нестероїдних протизапальних засобів та </w:t>
      </w:r>
      <w:r w:rsidRPr="00BE086B">
        <w:rPr>
          <w:rFonts w:eastAsia="Calibri"/>
          <w:sz w:val="28"/>
          <w:szCs w:val="28"/>
        </w:rPr>
        <w:lastRenderedPageBreak/>
        <w:t>парацетамолу на рівень С-реактивного протеїну сироватки крові щурів при експериментальних еквівалентах гіпотиреозу та остеоартрозу</w:t>
      </w:r>
      <w:r w:rsidRPr="00BE086B">
        <w:rPr>
          <w:sz w:val="28"/>
          <w:szCs w:val="28"/>
        </w:rPr>
        <w:t>. Укр. журн. медицини, біології та спорту.</w:t>
      </w:r>
      <w:r w:rsidRPr="00BE086B">
        <w:rPr>
          <w:rFonts w:eastAsia="Calibri"/>
          <w:sz w:val="28"/>
          <w:szCs w:val="28"/>
        </w:rPr>
        <w:t xml:space="preserve"> 2020. </w:t>
      </w:r>
      <w:r w:rsidRPr="00BE086B">
        <w:rPr>
          <w:sz w:val="28"/>
          <w:szCs w:val="28"/>
        </w:rPr>
        <w:t>Т. 5, № 6 (28). С. 79-83.</w:t>
      </w:r>
    </w:p>
    <w:p w:rsidR="008B13C0" w:rsidRPr="00BE086B" w:rsidRDefault="008B13C0" w:rsidP="00611AFB">
      <w:pPr>
        <w:widowControl w:val="0"/>
        <w:numPr>
          <w:ilvl w:val="0"/>
          <w:numId w:val="19"/>
        </w:numPr>
        <w:suppressAutoHyphens w:val="0"/>
        <w:autoSpaceDE w:val="0"/>
        <w:spacing w:line="360" w:lineRule="auto"/>
        <w:ind w:left="0" w:firstLine="709"/>
        <w:jc w:val="both"/>
        <w:rPr>
          <w:sz w:val="28"/>
          <w:szCs w:val="28"/>
        </w:rPr>
      </w:pPr>
      <w:r w:rsidRPr="00BE086B">
        <w:rPr>
          <w:rFonts w:eastAsia="TimesNewRoman"/>
          <w:sz w:val="28"/>
          <w:szCs w:val="28"/>
        </w:rPr>
        <w:t>Голубев Г., Кригштейн О. Молекулярная патология остеоартроза, как основа для создания патогенетически обоснованной структурно-модифицирующей терапии. Международный журнал медицинской практики. 2005; 2:30-37.</w:t>
      </w:r>
    </w:p>
    <w:p w:rsidR="008B13C0" w:rsidRPr="00BE086B" w:rsidRDefault="008B13C0" w:rsidP="00611AFB">
      <w:pPr>
        <w:widowControl w:val="0"/>
        <w:numPr>
          <w:ilvl w:val="0"/>
          <w:numId w:val="19"/>
        </w:numPr>
        <w:suppressAutoHyphens w:val="0"/>
        <w:spacing w:line="360" w:lineRule="auto"/>
        <w:ind w:left="0" w:firstLine="709"/>
        <w:jc w:val="both"/>
        <w:rPr>
          <w:sz w:val="28"/>
          <w:szCs w:val="28"/>
        </w:rPr>
      </w:pPr>
      <w:r w:rsidRPr="00BE086B">
        <w:rPr>
          <w:sz w:val="28"/>
          <w:szCs w:val="28"/>
        </w:rPr>
        <w:t>Лаврищева Г.И., Оноприенко Г.А. Морфологические и клинические аспекты репаративпой регенерации опорных органов и тканей. Москва: «Медицина», 1996, 208 с.</w:t>
      </w:r>
    </w:p>
    <w:p w:rsidR="008B13C0" w:rsidRPr="00BE086B" w:rsidRDefault="008B13C0" w:rsidP="00611AFB">
      <w:pPr>
        <w:widowControl w:val="0"/>
        <w:numPr>
          <w:ilvl w:val="0"/>
          <w:numId w:val="19"/>
        </w:numPr>
        <w:suppressAutoHyphens w:val="0"/>
        <w:spacing w:line="360" w:lineRule="auto"/>
        <w:ind w:left="0" w:firstLine="709"/>
        <w:jc w:val="both"/>
        <w:rPr>
          <w:sz w:val="28"/>
          <w:szCs w:val="28"/>
        </w:rPr>
      </w:pPr>
      <w:r w:rsidRPr="00BE086B">
        <w:rPr>
          <w:sz w:val="28"/>
          <w:szCs w:val="28"/>
        </w:rPr>
        <w:t>Щокіна К. Г. Органотропні ефекти рекомбінантного антагоніста рецепторів інтерлейкіну-1 (Експериментальне дослідження). Автореф. дис. докт. фарм. наук</w:t>
      </w:r>
      <w:r w:rsidRPr="00BE086B">
        <w:rPr>
          <w:sz w:val="28"/>
          <w:szCs w:val="28"/>
          <w:lang w:val="uk-UA"/>
        </w:rPr>
        <w:t>:</w:t>
      </w:r>
      <w:r w:rsidRPr="00BE086B">
        <w:rPr>
          <w:sz w:val="28"/>
          <w:szCs w:val="28"/>
        </w:rPr>
        <w:t xml:space="preserve"> 14.03.05 - </w:t>
      </w:r>
      <w:r w:rsidRPr="00BE086B">
        <w:rPr>
          <w:sz w:val="28"/>
          <w:szCs w:val="28"/>
          <w:lang w:val="uk-UA"/>
        </w:rPr>
        <w:t>ф</w:t>
      </w:r>
      <w:r w:rsidRPr="00BE086B">
        <w:rPr>
          <w:sz w:val="28"/>
          <w:szCs w:val="28"/>
        </w:rPr>
        <w:t>армакологія. Х</w:t>
      </w:r>
      <w:r w:rsidRPr="00BE086B">
        <w:rPr>
          <w:sz w:val="28"/>
          <w:szCs w:val="28"/>
          <w:lang w:val="uk-UA"/>
        </w:rPr>
        <w:t>арків</w:t>
      </w:r>
      <w:r w:rsidRPr="00BE086B">
        <w:rPr>
          <w:sz w:val="28"/>
          <w:szCs w:val="28"/>
        </w:rPr>
        <w:t>, 2011</w:t>
      </w:r>
      <w:r w:rsidRPr="00BE086B">
        <w:rPr>
          <w:sz w:val="28"/>
          <w:szCs w:val="28"/>
          <w:lang w:val="uk-UA"/>
        </w:rPr>
        <w:t>,</w:t>
      </w:r>
      <w:r w:rsidRPr="00BE086B">
        <w:rPr>
          <w:sz w:val="28"/>
          <w:szCs w:val="28"/>
        </w:rPr>
        <w:t xml:space="preserve"> 40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1142BF">
        <w:rPr>
          <w:sz w:val="28"/>
          <w:szCs w:val="28"/>
          <w:lang w:val="en-US"/>
        </w:rPr>
        <w:t>Mobasheri A</w:t>
      </w:r>
      <w:r w:rsidRPr="00BE086B">
        <w:rPr>
          <w:sz w:val="28"/>
          <w:szCs w:val="28"/>
          <w:lang w:val="uk-UA"/>
        </w:rPr>
        <w:t>.</w:t>
      </w:r>
      <w:r w:rsidRPr="001142BF">
        <w:rPr>
          <w:sz w:val="28"/>
          <w:szCs w:val="28"/>
          <w:lang w:val="en-US"/>
        </w:rPr>
        <w:t>, Bay-Jensen A.C</w:t>
      </w:r>
      <w:r w:rsidRPr="00BE086B">
        <w:rPr>
          <w:sz w:val="28"/>
          <w:szCs w:val="28"/>
          <w:lang w:val="uk-UA"/>
        </w:rPr>
        <w:t>.</w:t>
      </w:r>
      <w:r w:rsidRPr="001142BF">
        <w:rPr>
          <w:sz w:val="28"/>
          <w:szCs w:val="28"/>
          <w:lang w:val="en-US"/>
        </w:rPr>
        <w:t>, Spil W.</w:t>
      </w:r>
      <w:r w:rsidRPr="00BE086B">
        <w:rPr>
          <w:sz w:val="28"/>
          <w:szCs w:val="28"/>
          <w:lang w:val="en-US"/>
        </w:rPr>
        <w:t>E</w:t>
      </w:r>
      <w:r w:rsidRPr="00BE086B">
        <w:rPr>
          <w:sz w:val="28"/>
          <w:szCs w:val="28"/>
          <w:lang w:val="uk-UA"/>
        </w:rPr>
        <w:t>.</w:t>
      </w:r>
      <w:r w:rsidRPr="00BE086B">
        <w:rPr>
          <w:sz w:val="28"/>
          <w:szCs w:val="28"/>
          <w:lang w:val="en-US"/>
        </w:rPr>
        <w:t>, Larkin J</w:t>
      </w:r>
      <w:r w:rsidRPr="00BE086B">
        <w:rPr>
          <w:sz w:val="28"/>
          <w:szCs w:val="28"/>
          <w:lang w:val="uk-UA"/>
        </w:rPr>
        <w:t>.</w:t>
      </w:r>
      <w:r w:rsidRPr="00BE086B">
        <w:rPr>
          <w:sz w:val="28"/>
          <w:szCs w:val="28"/>
          <w:lang w:val="en-US"/>
        </w:rPr>
        <w:t>, Levesque M.C. Osteoarthritis year in review 2016: biomarkers (biochemical markers). Osteoarthritis Cartilage. 2017</w:t>
      </w:r>
      <w:r w:rsidRPr="00BE086B">
        <w:rPr>
          <w:sz w:val="28"/>
          <w:szCs w:val="28"/>
          <w:lang w:val="uk-UA"/>
        </w:rPr>
        <w:t>;</w:t>
      </w:r>
      <w:r w:rsidRPr="00BE086B">
        <w:rPr>
          <w:sz w:val="28"/>
          <w:szCs w:val="28"/>
          <w:lang w:val="en-US"/>
        </w:rPr>
        <w:t xml:space="preserve"> 25</w:t>
      </w:r>
      <w:r w:rsidRPr="00BE086B">
        <w:rPr>
          <w:sz w:val="28"/>
          <w:szCs w:val="28"/>
          <w:lang w:val="uk-UA"/>
        </w:rPr>
        <w:t>:</w:t>
      </w:r>
      <w:r w:rsidRPr="00BE086B">
        <w:rPr>
          <w:sz w:val="28"/>
          <w:szCs w:val="28"/>
          <w:lang w:val="en-US"/>
        </w:rPr>
        <w:t>199-208.</w:t>
      </w:r>
    </w:p>
    <w:p w:rsidR="008B13C0" w:rsidRPr="00BE086B" w:rsidRDefault="008B13C0" w:rsidP="00611AFB">
      <w:pPr>
        <w:pStyle w:val="afc"/>
        <w:widowControl w:val="0"/>
        <w:numPr>
          <w:ilvl w:val="0"/>
          <w:numId w:val="19"/>
        </w:numPr>
        <w:spacing w:line="360" w:lineRule="auto"/>
        <w:ind w:left="0" w:right="0" w:firstLine="709"/>
        <w:rPr>
          <w:bCs/>
          <w:color w:val="auto"/>
          <w:sz w:val="28"/>
          <w:szCs w:val="28"/>
          <w:lang w:eastAsia="ru-RU"/>
        </w:rPr>
      </w:pPr>
      <w:r w:rsidRPr="00BE086B">
        <w:rPr>
          <w:bCs/>
          <w:color w:val="auto"/>
          <w:sz w:val="28"/>
          <w:szCs w:val="28"/>
          <w:lang w:val="en-US"/>
        </w:rPr>
        <w:t>Zhang R</w:t>
      </w:r>
      <w:r w:rsidRPr="00BE086B">
        <w:rPr>
          <w:bCs/>
          <w:color w:val="auto"/>
          <w:sz w:val="28"/>
          <w:szCs w:val="28"/>
        </w:rPr>
        <w:t>.</w:t>
      </w:r>
      <w:r w:rsidRPr="00BE086B">
        <w:rPr>
          <w:bCs/>
          <w:color w:val="auto"/>
          <w:sz w:val="28"/>
          <w:szCs w:val="28"/>
          <w:lang w:val="en-US"/>
        </w:rPr>
        <w:t>-X</w:t>
      </w:r>
      <w:r w:rsidRPr="00BE086B">
        <w:rPr>
          <w:bCs/>
          <w:color w:val="auto"/>
          <w:sz w:val="28"/>
          <w:szCs w:val="28"/>
        </w:rPr>
        <w:t>.</w:t>
      </w:r>
      <w:r w:rsidRPr="00BE086B">
        <w:rPr>
          <w:color w:val="auto"/>
          <w:sz w:val="28"/>
          <w:szCs w:val="28"/>
          <w:lang w:val="en-US"/>
        </w:rPr>
        <w:t xml:space="preserve">, </w:t>
      </w:r>
      <w:r w:rsidRPr="00BE086B">
        <w:rPr>
          <w:bCs/>
          <w:color w:val="auto"/>
          <w:sz w:val="28"/>
          <w:szCs w:val="28"/>
          <w:lang w:val="en-US"/>
        </w:rPr>
        <w:t>Ren K</w:t>
      </w:r>
      <w:r w:rsidRPr="00BE086B">
        <w:rPr>
          <w:bCs/>
          <w:color w:val="auto"/>
          <w:sz w:val="28"/>
          <w:szCs w:val="28"/>
        </w:rPr>
        <w:t>.</w:t>
      </w:r>
      <w:r w:rsidRPr="00BE086B">
        <w:rPr>
          <w:color w:val="auto"/>
          <w:sz w:val="28"/>
          <w:szCs w:val="28"/>
          <w:lang w:val="en-US"/>
        </w:rPr>
        <w:t xml:space="preserve">, </w:t>
      </w:r>
      <w:r w:rsidRPr="00BE086B">
        <w:rPr>
          <w:bCs/>
          <w:color w:val="auto"/>
          <w:sz w:val="28"/>
          <w:szCs w:val="28"/>
          <w:lang w:val="en-US"/>
        </w:rPr>
        <w:t>Dubner R</w:t>
      </w:r>
      <w:r w:rsidRPr="00BE086B">
        <w:rPr>
          <w:bCs/>
          <w:color w:val="auto"/>
          <w:sz w:val="28"/>
          <w:szCs w:val="28"/>
        </w:rPr>
        <w:t xml:space="preserve">. </w:t>
      </w:r>
      <w:r w:rsidRPr="00BE086B">
        <w:rPr>
          <w:bCs/>
          <w:color w:val="auto"/>
          <w:sz w:val="28"/>
          <w:szCs w:val="28"/>
          <w:lang w:val="en-US"/>
        </w:rPr>
        <w:t>Osteoarthritis pain mechanisms: Basic studies in animal models</w:t>
      </w:r>
      <w:r w:rsidRPr="00BE086B">
        <w:rPr>
          <w:bCs/>
          <w:color w:val="auto"/>
          <w:sz w:val="28"/>
          <w:szCs w:val="28"/>
        </w:rPr>
        <w:t xml:space="preserve">. </w:t>
      </w:r>
      <w:r w:rsidRPr="00BE086B">
        <w:rPr>
          <w:color w:val="auto"/>
          <w:sz w:val="28"/>
          <w:szCs w:val="28"/>
          <w:lang w:val="en-US"/>
        </w:rPr>
        <w:t>Osteoarthritis Cartilage. 2013</w:t>
      </w:r>
      <w:r w:rsidRPr="00BE086B">
        <w:rPr>
          <w:color w:val="auto"/>
          <w:sz w:val="28"/>
          <w:szCs w:val="28"/>
        </w:rPr>
        <w:t>,</w:t>
      </w:r>
      <w:r w:rsidRPr="00BE086B">
        <w:rPr>
          <w:color w:val="auto"/>
          <w:sz w:val="28"/>
          <w:szCs w:val="28"/>
          <w:lang w:val="en-US"/>
        </w:rPr>
        <w:t xml:space="preserve"> </w:t>
      </w:r>
      <w:r w:rsidRPr="00BE086B">
        <w:rPr>
          <w:color w:val="auto"/>
          <w:sz w:val="28"/>
          <w:szCs w:val="28"/>
        </w:rPr>
        <w:t>21(9), 1308-1315.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rPr>
        <w:t xml:space="preserve">Ma T., Li Y., Wang G., Li X. </w:t>
      </w:r>
      <w:r w:rsidRPr="00BE086B">
        <w:rPr>
          <w:bCs/>
          <w:sz w:val="28"/>
          <w:szCs w:val="28"/>
          <w:lang w:val="en-US"/>
        </w:rPr>
        <w:t>Changes in synovial fluid biomarkers after experimental equine osteoarthritis</w:t>
      </w:r>
      <w:r w:rsidRPr="00BE086B">
        <w:rPr>
          <w:bCs/>
          <w:sz w:val="28"/>
          <w:szCs w:val="28"/>
          <w:lang w:val="uk-UA"/>
        </w:rPr>
        <w:t xml:space="preserve">. </w:t>
      </w:r>
      <w:r w:rsidRPr="00BE086B">
        <w:rPr>
          <w:iCs/>
          <w:sz w:val="28"/>
          <w:szCs w:val="28"/>
          <w:lang w:val="en-US"/>
        </w:rPr>
        <w:t>Vet Res. 2017</w:t>
      </w:r>
      <w:r w:rsidRPr="00BE086B">
        <w:rPr>
          <w:iCs/>
          <w:sz w:val="28"/>
          <w:szCs w:val="28"/>
          <w:lang w:val="uk-UA"/>
        </w:rPr>
        <w:t>;</w:t>
      </w:r>
      <w:r w:rsidRPr="00BE086B">
        <w:rPr>
          <w:iCs/>
          <w:sz w:val="28"/>
          <w:szCs w:val="28"/>
          <w:lang w:val="en-US"/>
        </w:rPr>
        <w:t xml:space="preserve"> 61</w:t>
      </w:r>
      <w:r w:rsidRPr="00BE086B">
        <w:rPr>
          <w:iCs/>
          <w:sz w:val="28"/>
          <w:szCs w:val="28"/>
          <w:lang w:val="uk-UA"/>
        </w:rPr>
        <w:t>:</w:t>
      </w:r>
      <w:r w:rsidRPr="00BE086B">
        <w:rPr>
          <w:iCs/>
          <w:sz w:val="28"/>
          <w:szCs w:val="28"/>
          <w:lang w:val="en-US"/>
        </w:rPr>
        <w:t>503-</w:t>
      </w:r>
      <w:r w:rsidRPr="00BE086B">
        <w:rPr>
          <w:iCs/>
          <w:sz w:val="28"/>
          <w:szCs w:val="28"/>
          <w:lang w:val="uk-UA"/>
        </w:rPr>
        <w:t>50</w:t>
      </w:r>
      <w:r w:rsidRPr="00BE086B">
        <w:rPr>
          <w:iCs/>
          <w:sz w:val="28"/>
          <w:szCs w:val="28"/>
          <w:lang w:val="en-US"/>
        </w:rPr>
        <w:t>8</w:t>
      </w:r>
      <w:r w:rsidRPr="00BE086B">
        <w:rPr>
          <w:iCs/>
          <w:sz w:val="28"/>
          <w:szCs w:val="28"/>
          <w:lang w:val="uk-UA"/>
        </w:rPr>
        <w:t>.</w:t>
      </w:r>
    </w:p>
    <w:p w:rsidR="008B13C0" w:rsidRPr="00BE086B" w:rsidRDefault="008B13C0" w:rsidP="00611AFB">
      <w:pPr>
        <w:pStyle w:val="afd"/>
        <w:widowControl w:val="0"/>
        <w:numPr>
          <w:ilvl w:val="0"/>
          <w:numId w:val="19"/>
        </w:numPr>
        <w:suppressAutoHyphens w:val="0"/>
        <w:spacing w:after="0" w:line="360" w:lineRule="auto"/>
        <w:ind w:left="0" w:firstLine="709"/>
        <w:jc w:val="both"/>
        <w:rPr>
          <w:rFonts w:ascii="Times New Roman" w:hAnsi="Times New Roman"/>
          <w:sz w:val="28"/>
          <w:szCs w:val="28"/>
          <w:lang w:val="en-US"/>
        </w:rPr>
      </w:pPr>
      <w:r w:rsidRPr="00BE086B">
        <w:rPr>
          <w:rFonts w:ascii="Times New Roman" w:hAnsi="Times New Roman"/>
          <w:bCs/>
          <w:sz w:val="28"/>
          <w:szCs w:val="28"/>
          <w:lang w:val="en-US"/>
        </w:rPr>
        <w:t xml:space="preserve">Löfvall H., Katri A., Dąbrowska A., Karsdal M.A. GPDPLQ1237-A type II collagen neo-epitope biomarker of osteoclast- and inflammation-derived cartilage degradation </w:t>
      </w:r>
      <w:r w:rsidRPr="00BE086B">
        <w:rPr>
          <w:rFonts w:ascii="Times New Roman" w:hAnsi="Times New Roman"/>
          <w:bCs/>
          <w:iCs/>
          <w:sz w:val="28"/>
          <w:szCs w:val="28"/>
          <w:lang w:val="en-US"/>
        </w:rPr>
        <w:t xml:space="preserve">in vitro. </w:t>
      </w:r>
      <w:r w:rsidRPr="00BE086B">
        <w:rPr>
          <w:rFonts w:ascii="Times New Roman" w:hAnsi="Times New Roman"/>
          <w:sz w:val="28"/>
          <w:szCs w:val="28"/>
          <w:lang w:val="en-US"/>
        </w:rPr>
        <w:t xml:space="preserve">Scientific </w:t>
      </w:r>
      <w:r w:rsidRPr="00BE086B">
        <w:rPr>
          <w:rFonts w:ascii="Times New Roman" w:hAnsi="Times New Roman"/>
          <w:bCs/>
          <w:sz w:val="28"/>
          <w:szCs w:val="28"/>
          <w:lang w:val="en-US"/>
        </w:rPr>
        <w:t xml:space="preserve">Reports. </w:t>
      </w:r>
      <w:r w:rsidRPr="00BE086B">
        <w:rPr>
          <w:rFonts w:ascii="Times New Roman" w:hAnsi="Times New Roman"/>
          <w:iCs/>
          <w:sz w:val="28"/>
          <w:szCs w:val="28"/>
          <w:lang w:val="en-US"/>
        </w:rPr>
        <w:t>2019</w:t>
      </w:r>
      <w:r w:rsidRPr="00BE086B">
        <w:rPr>
          <w:rFonts w:ascii="Times New Roman" w:hAnsi="Times New Roman"/>
          <w:iCs/>
          <w:sz w:val="28"/>
          <w:szCs w:val="28"/>
          <w:lang w:val="uk-UA"/>
        </w:rPr>
        <w:t>;</w:t>
      </w:r>
      <w:r w:rsidRPr="00BE086B">
        <w:rPr>
          <w:rFonts w:ascii="Times New Roman" w:hAnsi="Times New Roman"/>
          <w:iCs/>
          <w:sz w:val="28"/>
          <w:szCs w:val="28"/>
          <w:lang w:val="en-US"/>
        </w:rPr>
        <w:t xml:space="preserve"> 9:30</w:t>
      </w:r>
      <w:r w:rsidRPr="00BE086B">
        <w:rPr>
          <w:rFonts w:ascii="Times New Roman" w:hAnsi="Times New Roman"/>
          <w:iCs/>
          <w:sz w:val="28"/>
          <w:szCs w:val="28"/>
          <w:lang w:val="uk-UA"/>
        </w:rPr>
        <w:t>-</w:t>
      </w:r>
      <w:r w:rsidRPr="00BE086B">
        <w:rPr>
          <w:rFonts w:ascii="Times New Roman" w:hAnsi="Times New Roman"/>
          <w:iCs/>
          <w:sz w:val="28"/>
          <w:szCs w:val="28"/>
          <w:lang w:val="en-US"/>
        </w:rPr>
        <w:t>50.</w:t>
      </w:r>
    </w:p>
    <w:p w:rsidR="008B13C0" w:rsidRPr="00BE086B" w:rsidRDefault="008B13C0" w:rsidP="00611AFB">
      <w:pPr>
        <w:pStyle w:val="afd"/>
        <w:widowControl w:val="0"/>
        <w:numPr>
          <w:ilvl w:val="0"/>
          <w:numId w:val="19"/>
        </w:numPr>
        <w:suppressAutoHyphens w:val="0"/>
        <w:spacing w:after="0" w:line="360" w:lineRule="auto"/>
        <w:ind w:left="0" w:firstLine="709"/>
        <w:jc w:val="both"/>
        <w:rPr>
          <w:rFonts w:ascii="Times New Roman" w:hAnsi="Times New Roman"/>
          <w:sz w:val="28"/>
          <w:szCs w:val="28"/>
          <w:lang w:val="en-US"/>
        </w:rPr>
      </w:pPr>
      <w:r w:rsidRPr="00BE086B">
        <w:rPr>
          <w:rFonts w:ascii="Times New Roman" w:hAnsi="Times New Roman"/>
          <w:sz w:val="28"/>
          <w:szCs w:val="28"/>
          <w:lang w:val="en-US"/>
        </w:rPr>
        <w:t>Wang X</w:t>
      </w:r>
      <w:r w:rsidRPr="00BE086B">
        <w:rPr>
          <w:rFonts w:ascii="Times New Roman" w:hAnsi="Times New Roman"/>
          <w:sz w:val="28"/>
          <w:szCs w:val="28"/>
          <w:lang w:val="uk-UA"/>
        </w:rPr>
        <w:t>.</w:t>
      </w:r>
      <w:r w:rsidRPr="00BE086B">
        <w:rPr>
          <w:rFonts w:ascii="Times New Roman" w:hAnsi="Times New Roman"/>
          <w:sz w:val="28"/>
          <w:szCs w:val="28"/>
          <w:lang w:val="en-US"/>
        </w:rPr>
        <w:t>Z</w:t>
      </w:r>
      <w:r w:rsidRPr="00BE086B">
        <w:rPr>
          <w:rFonts w:ascii="Times New Roman" w:hAnsi="Times New Roman"/>
          <w:sz w:val="28"/>
          <w:szCs w:val="28"/>
          <w:lang w:val="uk-UA"/>
        </w:rPr>
        <w:t>.</w:t>
      </w:r>
      <w:r w:rsidRPr="00BE086B">
        <w:rPr>
          <w:rFonts w:ascii="Times New Roman" w:hAnsi="Times New Roman"/>
          <w:sz w:val="28"/>
          <w:szCs w:val="28"/>
          <w:lang w:val="en-US"/>
        </w:rPr>
        <w:t>, Gao N</w:t>
      </w:r>
      <w:r w:rsidRPr="00BE086B">
        <w:rPr>
          <w:rFonts w:ascii="Times New Roman" w:hAnsi="Times New Roman"/>
          <w:sz w:val="28"/>
          <w:szCs w:val="28"/>
          <w:lang w:val="uk-UA"/>
        </w:rPr>
        <w:t>.</w:t>
      </w:r>
      <w:r w:rsidRPr="00BE086B">
        <w:rPr>
          <w:rFonts w:ascii="Times New Roman" w:hAnsi="Times New Roman"/>
          <w:sz w:val="28"/>
          <w:szCs w:val="28"/>
          <w:lang w:val="en-US"/>
        </w:rPr>
        <w:t>Y</w:t>
      </w:r>
      <w:r w:rsidRPr="00BE086B">
        <w:rPr>
          <w:rFonts w:ascii="Times New Roman" w:hAnsi="Times New Roman"/>
          <w:sz w:val="28"/>
          <w:szCs w:val="28"/>
          <w:lang w:val="uk-UA"/>
        </w:rPr>
        <w:t>.</w:t>
      </w:r>
      <w:r w:rsidRPr="00BE086B">
        <w:rPr>
          <w:rFonts w:ascii="Times New Roman" w:hAnsi="Times New Roman"/>
          <w:sz w:val="28"/>
          <w:szCs w:val="28"/>
          <w:lang w:val="en-US"/>
        </w:rPr>
        <w:t>, Liu T</w:t>
      </w:r>
      <w:r w:rsidRPr="00BE086B">
        <w:rPr>
          <w:rFonts w:ascii="Times New Roman" w:hAnsi="Times New Roman"/>
          <w:sz w:val="28"/>
          <w:szCs w:val="28"/>
          <w:lang w:val="uk-UA"/>
        </w:rPr>
        <w:t>.</w:t>
      </w:r>
      <w:r w:rsidRPr="00BE086B">
        <w:rPr>
          <w:rFonts w:ascii="Times New Roman" w:hAnsi="Times New Roman"/>
          <w:sz w:val="28"/>
          <w:szCs w:val="28"/>
          <w:lang w:val="en-US"/>
        </w:rPr>
        <w:t>, Shen J</w:t>
      </w:r>
      <w:r w:rsidRPr="00BE086B">
        <w:rPr>
          <w:rFonts w:ascii="Times New Roman" w:hAnsi="Times New Roman"/>
          <w:bCs/>
          <w:sz w:val="28"/>
          <w:szCs w:val="28"/>
          <w:lang w:val="en-US"/>
        </w:rPr>
        <w:t xml:space="preserve">. </w:t>
      </w:r>
      <w:r w:rsidRPr="00BE086B">
        <w:rPr>
          <w:rFonts w:ascii="Times New Roman" w:hAnsi="Times New Roman"/>
          <w:sz w:val="28"/>
          <w:szCs w:val="28"/>
          <w:lang w:val="en-US"/>
        </w:rPr>
        <w:t xml:space="preserve">Application of biomarker </w:t>
      </w:r>
      <w:r w:rsidRPr="00BE086B">
        <w:rPr>
          <w:rStyle w:val="highlight"/>
          <w:rFonts w:ascii="Times New Roman" w:hAnsi="Times New Roman"/>
          <w:sz w:val="28"/>
          <w:szCs w:val="28"/>
          <w:lang w:val="en-US"/>
        </w:rPr>
        <w:t>CTX</w:t>
      </w:r>
      <w:r w:rsidRPr="00BE086B">
        <w:rPr>
          <w:rFonts w:ascii="Times New Roman" w:hAnsi="Times New Roman"/>
          <w:sz w:val="28"/>
          <w:szCs w:val="28"/>
          <w:lang w:val="en-US"/>
        </w:rPr>
        <w:t xml:space="preserve">- </w:t>
      </w:r>
      <w:r w:rsidRPr="00BE086B">
        <w:rPr>
          <w:rStyle w:val="highlight"/>
          <w:rFonts w:ascii="Times New Roman" w:hAnsi="Times New Roman"/>
          <w:sz w:val="28"/>
          <w:szCs w:val="28"/>
          <w:lang w:val="en-US"/>
        </w:rPr>
        <w:t xml:space="preserve">II </w:t>
      </w:r>
      <w:r w:rsidRPr="00BE086B">
        <w:rPr>
          <w:rFonts w:ascii="Times New Roman" w:hAnsi="Times New Roman"/>
          <w:sz w:val="28"/>
          <w:szCs w:val="28"/>
          <w:lang w:val="en-US"/>
        </w:rPr>
        <w:t>in osteoarthritis. Zhongguo Gu Shang. 2013</w:t>
      </w:r>
      <w:r w:rsidRPr="00BE086B">
        <w:rPr>
          <w:rFonts w:ascii="Times New Roman" w:hAnsi="Times New Roman"/>
          <w:sz w:val="28"/>
          <w:szCs w:val="28"/>
          <w:lang w:val="uk-UA"/>
        </w:rPr>
        <w:t>;</w:t>
      </w:r>
      <w:r w:rsidRPr="00BE086B">
        <w:rPr>
          <w:rFonts w:ascii="Times New Roman" w:hAnsi="Times New Roman"/>
          <w:sz w:val="28"/>
          <w:szCs w:val="28"/>
          <w:lang w:val="en-US"/>
        </w:rPr>
        <w:t>26(3):260-</w:t>
      </w:r>
      <w:r w:rsidRPr="00BE086B">
        <w:rPr>
          <w:rFonts w:ascii="Times New Roman" w:hAnsi="Times New Roman"/>
          <w:sz w:val="28"/>
          <w:szCs w:val="28"/>
          <w:lang w:val="uk-UA"/>
        </w:rPr>
        <w:t>26</w:t>
      </w:r>
      <w:r w:rsidRPr="00BE086B">
        <w:rPr>
          <w:rFonts w:ascii="Times New Roman" w:hAnsi="Times New Roman"/>
          <w:sz w:val="28"/>
          <w:szCs w:val="28"/>
          <w:lang w:val="en-US"/>
        </w:rPr>
        <w:t>3.</w:t>
      </w:r>
    </w:p>
    <w:p w:rsidR="008B13C0" w:rsidRPr="00BE086B" w:rsidRDefault="008B13C0" w:rsidP="00611AFB">
      <w:pPr>
        <w:pStyle w:val="afd"/>
        <w:widowControl w:val="0"/>
        <w:numPr>
          <w:ilvl w:val="0"/>
          <w:numId w:val="19"/>
        </w:numPr>
        <w:suppressAutoHyphens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Bai L</w:t>
      </w:r>
      <w:r w:rsidRPr="00BE086B">
        <w:rPr>
          <w:rFonts w:ascii="Times New Roman" w:hAnsi="Times New Roman"/>
          <w:sz w:val="28"/>
          <w:szCs w:val="28"/>
          <w:lang w:val="uk-UA"/>
        </w:rPr>
        <w:t>.</w:t>
      </w:r>
      <w:r w:rsidRPr="00BE086B">
        <w:rPr>
          <w:rFonts w:ascii="Times New Roman" w:hAnsi="Times New Roman"/>
          <w:sz w:val="28"/>
          <w:szCs w:val="28"/>
          <w:lang w:val="en-US"/>
        </w:rPr>
        <w:t>, Wang Y</w:t>
      </w:r>
      <w:r w:rsidRPr="00BE086B">
        <w:rPr>
          <w:rFonts w:ascii="Times New Roman" w:hAnsi="Times New Roman"/>
          <w:sz w:val="28"/>
          <w:szCs w:val="28"/>
          <w:lang w:val="uk-UA"/>
        </w:rPr>
        <w:t>.</w:t>
      </w:r>
      <w:r w:rsidRPr="00BE086B">
        <w:rPr>
          <w:rFonts w:ascii="Times New Roman" w:hAnsi="Times New Roman"/>
          <w:sz w:val="28"/>
          <w:szCs w:val="28"/>
          <w:lang w:val="en-US"/>
        </w:rPr>
        <w:t xml:space="preserve">, Ba G. Research progress of C terminal propeptide of collagen type </w:t>
      </w:r>
      <w:r w:rsidRPr="00BE086B">
        <w:rPr>
          <w:rStyle w:val="highlight"/>
          <w:rFonts w:ascii="Times New Roman" w:hAnsi="Times New Roman"/>
          <w:sz w:val="28"/>
          <w:szCs w:val="28"/>
          <w:lang w:val="en-US"/>
        </w:rPr>
        <w:t>II</w:t>
      </w:r>
      <w:r w:rsidRPr="00BE086B">
        <w:rPr>
          <w:rFonts w:ascii="Times New Roman" w:hAnsi="Times New Roman"/>
          <w:sz w:val="28"/>
          <w:szCs w:val="28"/>
          <w:lang w:val="en-US"/>
        </w:rPr>
        <w:t>. Zhongguo Xiu Fu Chong Jian Wai Ke Za Zhi. 2011;25(1):66-</w:t>
      </w:r>
      <w:r w:rsidRPr="00BE086B">
        <w:rPr>
          <w:rFonts w:ascii="Times New Roman" w:hAnsi="Times New Roman"/>
          <w:sz w:val="28"/>
          <w:szCs w:val="28"/>
          <w:lang w:val="uk-UA"/>
        </w:rPr>
        <w:t>6</w:t>
      </w:r>
      <w:r w:rsidRPr="00BE086B">
        <w:rPr>
          <w:rFonts w:ascii="Times New Roman" w:hAnsi="Times New Roman"/>
          <w:sz w:val="28"/>
          <w:szCs w:val="28"/>
          <w:lang w:val="en-US"/>
        </w:rPr>
        <w:t>9.</w:t>
      </w:r>
    </w:p>
    <w:p w:rsidR="008B13C0" w:rsidRPr="00BE086B" w:rsidRDefault="008B13C0" w:rsidP="00611AFB">
      <w:pPr>
        <w:pStyle w:val="afd"/>
        <w:widowControl w:val="0"/>
        <w:numPr>
          <w:ilvl w:val="0"/>
          <w:numId w:val="19"/>
        </w:numPr>
        <w:suppressAutoHyphens w:val="0"/>
        <w:spacing w:after="0" w:line="360" w:lineRule="auto"/>
        <w:ind w:left="0" w:firstLine="709"/>
        <w:jc w:val="both"/>
        <w:rPr>
          <w:rFonts w:ascii="Times New Roman" w:hAnsi="Times New Roman"/>
          <w:bCs/>
          <w:sz w:val="28"/>
          <w:szCs w:val="28"/>
          <w:lang w:val="en-US"/>
        </w:rPr>
      </w:pPr>
      <w:r w:rsidRPr="00BE086B">
        <w:rPr>
          <w:rFonts w:ascii="Times New Roman" w:hAnsi="Times New Roman"/>
          <w:sz w:val="28"/>
          <w:szCs w:val="28"/>
          <w:lang w:val="en-US"/>
        </w:rPr>
        <w:t>Bai B.</w:t>
      </w:r>
      <w:r w:rsidRPr="00BE086B">
        <w:rPr>
          <w:rFonts w:ascii="Times New Roman" w:hAnsi="Times New Roman"/>
          <w:sz w:val="28"/>
          <w:szCs w:val="28"/>
          <w:lang w:val="uk-UA"/>
        </w:rPr>
        <w:t>,</w:t>
      </w:r>
      <w:r w:rsidRPr="00BE086B">
        <w:rPr>
          <w:rFonts w:ascii="Times New Roman" w:hAnsi="Times New Roman"/>
          <w:sz w:val="28"/>
          <w:szCs w:val="28"/>
          <w:lang w:val="en-US"/>
        </w:rPr>
        <w:t xml:space="preserve"> Li</w:t>
      </w:r>
      <w:r w:rsidRPr="00BE086B">
        <w:rPr>
          <w:rFonts w:ascii="Times New Roman" w:hAnsi="Times New Roman"/>
          <w:sz w:val="28"/>
          <w:szCs w:val="28"/>
          <w:lang w:val="uk-UA"/>
        </w:rPr>
        <w:t xml:space="preserve"> </w:t>
      </w:r>
      <w:r w:rsidRPr="00BE086B">
        <w:rPr>
          <w:rFonts w:ascii="Times New Roman" w:hAnsi="Times New Roman"/>
          <w:sz w:val="28"/>
          <w:szCs w:val="28"/>
          <w:lang w:val="en-US"/>
        </w:rPr>
        <w:t>Y. Combined detection of serum CTX-II and</w:t>
      </w:r>
      <w:r w:rsidRPr="00BE086B">
        <w:rPr>
          <w:rFonts w:ascii="Times New Roman" w:hAnsi="Times New Roman"/>
          <w:sz w:val="28"/>
          <w:szCs w:val="28"/>
          <w:lang w:val="uk-UA"/>
        </w:rPr>
        <w:t xml:space="preserve"> </w:t>
      </w:r>
      <w:r w:rsidRPr="00BE086B">
        <w:rPr>
          <w:rFonts w:ascii="Times New Roman" w:hAnsi="Times New Roman"/>
          <w:sz w:val="28"/>
          <w:szCs w:val="28"/>
          <w:lang w:val="en-US"/>
        </w:rPr>
        <w:t>COMP concentrations in osteoarthritis</w:t>
      </w:r>
      <w:r w:rsidRPr="00BE086B">
        <w:rPr>
          <w:rFonts w:ascii="Times New Roman" w:hAnsi="Times New Roman"/>
          <w:sz w:val="28"/>
          <w:szCs w:val="28"/>
          <w:lang w:val="uk-UA"/>
        </w:rPr>
        <w:t xml:space="preserve"> </w:t>
      </w:r>
      <w:r w:rsidRPr="00BE086B">
        <w:rPr>
          <w:rFonts w:ascii="Times New Roman" w:hAnsi="Times New Roman"/>
          <w:sz w:val="28"/>
          <w:szCs w:val="28"/>
          <w:lang w:val="en-US"/>
        </w:rPr>
        <w:t>model rabbits: an effective technique for</w:t>
      </w:r>
      <w:r w:rsidRPr="00BE086B">
        <w:rPr>
          <w:rFonts w:ascii="Times New Roman" w:hAnsi="Times New Roman"/>
          <w:sz w:val="28"/>
          <w:szCs w:val="28"/>
          <w:lang w:val="uk-UA"/>
        </w:rPr>
        <w:t xml:space="preserve"> </w:t>
      </w:r>
      <w:r w:rsidRPr="00BE086B">
        <w:rPr>
          <w:rFonts w:ascii="Times New Roman" w:hAnsi="Times New Roman"/>
          <w:sz w:val="28"/>
          <w:szCs w:val="28"/>
          <w:lang w:val="en-US"/>
        </w:rPr>
        <w:t>early diagnosis and estimation of disease</w:t>
      </w:r>
      <w:r w:rsidRPr="00BE086B">
        <w:rPr>
          <w:rFonts w:ascii="Times New Roman" w:hAnsi="Times New Roman"/>
          <w:sz w:val="28"/>
          <w:szCs w:val="28"/>
          <w:lang w:val="uk-UA"/>
        </w:rPr>
        <w:t xml:space="preserve"> </w:t>
      </w:r>
      <w:r w:rsidRPr="00BE086B">
        <w:rPr>
          <w:rFonts w:ascii="Times New Roman" w:hAnsi="Times New Roman"/>
          <w:sz w:val="28"/>
          <w:szCs w:val="28"/>
          <w:lang w:val="en-US"/>
        </w:rPr>
        <w:t>severity</w:t>
      </w:r>
      <w:r w:rsidRPr="00BE086B">
        <w:rPr>
          <w:rFonts w:ascii="Times New Roman" w:hAnsi="Times New Roman"/>
          <w:sz w:val="28"/>
          <w:szCs w:val="28"/>
          <w:lang w:val="uk-UA"/>
        </w:rPr>
        <w:t xml:space="preserve">. </w:t>
      </w:r>
      <w:r w:rsidRPr="00BE086B">
        <w:rPr>
          <w:rFonts w:ascii="Times New Roman" w:hAnsi="Times New Roman"/>
          <w:sz w:val="28"/>
          <w:szCs w:val="28"/>
          <w:lang w:val="en-US"/>
        </w:rPr>
        <w:t xml:space="preserve">J Orthopaedic Surgery and Research. </w:t>
      </w:r>
      <w:r w:rsidRPr="00BE086B">
        <w:rPr>
          <w:rFonts w:ascii="Times New Roman" w:hAnsi="Times New Roman"/>
          <w:sz w:val="28"/>
          <w:szCs w:val="28"/>
          <w:lang w:val="en-US"/>
        </w:rPr>
        <w:lastRenderedPageBreak/>
        <w:t>2016</w:t>
      </w:r>
      <w:r w:rsidRPr="00BE086B">
        <w:rPr>
          <w:rFonts w:ascii="Times New Roman" w:hAnsi="Times New Roman"/>
          <w:sz w:val="28"/>
          <w:szCs w:val="28"/>
          <w:lang w:val="uk-UA"/>
        </w:rPr>
        <w:t>;</w:t>
      </w:r>
      <w:r w:rsidRPr="00BE086B">
        <w:rPr>
          <w:rFonts w:ascii="Times New Roman" w:hAnsi="Times New Roman"/>
          <w:sz w:val="28"/>
          <w:szCs w:val="28"/>
          <w:lang w:val="en-US"/>
        </w:rPr>
        <w:t xml:space="preserve"> 11:149</w:t>
      </w:r>
      <w:r w:rsidRPr="00BE086B">
        <w:rPr>
          <w:rFonts w:ascii="Times New Roman" w:hAnsi="Times New Roman"/>
          <w:sz w:val="28"/>
          <w:szCs w:val="28"/>
          <w:lang w:val="uk-UA"/>
        </w:rPr>
        <w:t>.</w:t>
      </w:r>
    </w:p>
    <w:p w:rsidR="008B13C0" w:rsidRPr="00BE086B" w:rsidRDefault="008B13C0" w:rsidP="00611AFB">
      <w:pPr>
        <w:pStyle w:val="afd"/>
        <w:widowControl w:val="0"/>
        <w:numPr>
          <w:ilvl w:val="0"/>
          <w:numId w:val="19"/>
        </w:numPr>
        <w:suppressAutoHyphens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 xml:space="preserve">Lorenz H., Wenz W., Ivancic M., Steck E. Richter W. </w:t>
      </w:r>
      <w:r w:rsidRPr="00BE086B">
        <w:rPr>
          <w:rFonts w:ascii="Times New Roman" w:hAnsi="Times New Roman"/>
          <w:bCs/>
          <w:sz w:val="28"/>
          <w:szCs w:val="28"/>
          <w:lang w:val="en-US"/>
        </w:rPr>
        <w:t xml:space="preserve">Early and stable upregulation of collagen type II, collagen type I and YKL40 expression levels in cartilage during early experimental osteoarthritis occurs independent of joint location and histological grading. </w:t>
      </w:r>
      <w:r w:rsidRPr="00BE086B">
        <w:rPr>
          <w:rFonts w:ascii="Times New Roman" w:hAnsi="Times New Roman"/>
          <w:iCs/>
          <w:sz w:val="28"/>
          <w:szCs w:val="28"/>
        </w:rPr>
        <w:t>Arthritis Res Ther</w:t>
      </w:r>
      <w:r w:rsidRPr="00BE086B">
        <w:rPr>
          <w:rFonts w:ascii="Times New Roman" w:hAnsi="Times New Roman"/>
          <w:iCs/>
          <w:sz w:val="28"/>
          <w:szCs w:val="28"/>
          <w:lang w:val="en-US"/>
        </w:rPr>
        <w:t xml:space="preserve">. </w:t>
      </w:r>
      <w:r w:rsidRPr="00BE086B">
        <w:rPr>
          <w:rFonts w:ascii="Times New Roman" w:hAnsi="Times New Roman"/>
          <w:sz w:val="28"/>
          <w:szCs w:val="28"/>
        </w:rPr>
        <w:t>2005</w:t>
      </w:r>
      <w:r w:rsidRPr="00BE086B">
        <w:rPr>
          <w:rFonts w:ascii="Times New Roman" w:hAnsi="Times New Roman"/>
          <w:sz w:val="28"/>
          <w:szCs w:val="28"/>
          <w:lang w:val="uk-UA"/>
        </w:rPr>
        <w:t>;</w:t>
      </w:r>
      <w:r w:rsidRPr="00BE086B">
        <w:rPr>
          <w:rFonts w:ascii="Times New Roman" w:hAnsi="Times New Roman"/>
          <w:bCs/>
          <w:sz w:val="28"/>
          <w:szCs w:val="28"/>
        </w:rPr>
        <w:t>7</w:t>
      </w:r>
      <w:r w:rsidRPr="00BE086B">
        <w:rPr>
          <w:rFonts w:ascii="Times New Roman" w:hAnsi="Times New Roman"/>
          <w:sz w:val="28"/>
          <w:szCs w:val="28"/>
        </w:rPr>
        <w:t>:156-</w:t>
      </w:r>
      <w:r w:rsidRPr="00BE086B">
        <w:rPr>
          <w:rFonts w:ascii="Times New Roman" w:hAnsi="Times New Roman"/>
          <w:sz w:val="28"/>
          <w:szCs w:val="28"/>
          <w:lang w:val="uk-UA"/>
        </w:rPr>
        <w:t>1</w:t>
      </w:r>
      <w:r w:rsidRPr="00BE086B">
        <w:rPr>
          <w:rFonts w:ascii="Times New Roman" w:hAnsi="Times New Roman"/>
          <w:sz w:val="28"/>
          <w:szCs w:val="28"/>
        </w:rPr>
        <w:t>65</w:t>
      </w:r>
      <w:r w:rsidRPr="00BE086B">
        <w:rPr>
          <w:rFonts w:ascii="Times New Roman" w:hAnsi="Times New Roman"/>
          <w:sz w:val="28"/>
          <w:szCs w:val="28"/>
          <w:lang w:val="uk-UA"/>
        </w:rPr>
        <w:t>.</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Karsdal M</w:t>
      </w:r>
      <w:r w:rsidRPr="00BE086B">
        <w:rPr>
          <w:rFonts w:ascii="Times New Roman" w:hAnsi="Times New Roman"/>
          <w:sz w:val="28"/>
          <w:szCs w:val="28"/>
          <w:lang w:val="uk-UA"/>
        </w:rPr>
        <w:t>.</w:t>
      </w:r>
      <w:r w:rsidRPr="00BE086B">
        <w:rPr>
          <w:rFonts w:ascii="Times New Roman" w:hAnsi="Times New Roman"/>
          <w:sz w:val="28"/>
          <w:szCs w:val="28"/>
          <w:lang w:val="en-US"/>
        </w:rPr>
        <w:t>A</w:t>
      </w:r>
      <w:r w:rsidRPr="00BE086B">
        <w:rPr>
          <w:rFonts w:ascii="Times New Roman" w:hAnsi="Times New Roman"/>
          <w:sz w:val="28"/>
          <w:szCs w:val="28"/>
          <w:lang w:val="uk-UA"/>
        </w:rPr>
        <w:t>.</w:t>
      </w:r>
      <w:r w:rsidRPr="00BE086B">
        <w:rPr>
          <w:rFonts w:ascii="Times New Roman" w:hAnsi="Times New Roman"/>
          <w:sz w:val="28"/>
          <w:szCs w:val="28"/>
          <w:lang w:val="en-US"/>
        </w:rPr>
        <w:t>, Byrjalsen I</w:t>
      </w:r>
      <w:r w:rsidRPr="00BE086B">
        <w:rPr>
          <w:rFonts w:ascii="Times New Roman" w:hAnsi="Times New Roman"/>
          <w:sz w:val="28"/>
          <w:szCs w:val="28"/>
          <w:lang w:val="uk-UA"/>
        </w:rPr>
        <w:t>.</w:t>
      </w:r>
      <w:r w:rsidRPr="00BE086B">
        <w:rPr>
          <w:rFonts w:ascii="Times New Roman" w:hAnsi="Times New Roman"/>
          <w:sz w:val="28"/>
          <w:szCs w:val="28"/>
          <w:lang w:val="en-US"/>
        </w:rPr>
        <w:t>, Bay-Jensen A</w:t>
      </w:r>
      <w:r w:rsidRPr="00BE086B">
        <w:rPr>
          <w:rFonts w:ascii="Times New Roman" w:hAnsi="Times New Roman"/>
          <w:sz w:val="28"/>
          <w:szCs w:val="28"/>
          <w:lang w:val="uk-UA"/>
        </w:rPr>
        <w:t>.</w:t>
      </w:r>
      <w:r w:rsidRPr="00BE086B">
        <w:rPr>
          <w:rFonts w:ascii="Times New Roman" w:hAnsi="Times New Roman"/>
          <w:sz w:val="28"/>
          <w:szCs w:val="28"/>
          <w:lang w:val="en-US"/>
        </w:rPr>
        <w:t>C</w:t>
      </w:r>
      <w:r w:rsidRPr="00BE086B">
        <w:rPr>
          <w:rFonts w:ascii="Times New Roman" w:hAnsi="Times New Roman"/>
          <w:sz w:val="28"/>
          <w:szCs w:val="28"/>
          <w:lang w:val="uk-UA"/>
        </w:rPr>
        <w:t>.</w:t>
      </w:r>
      <w:r w:rsidRPr="00BE086B">
        <w:rPr>
          <w:rFonts w:ascii="Times New Roman" w:hAnsi="Times New Roman"/>
          <w:sz w:val="28"/>
          <w:szCs w:val="28"/>
          <w:lang w:val="en-US"/>
        </w:rPr>
        <w:t>, Henriksen K</w:t>
      </w:r>
      <w:r w:rsidRPr="00BE086B">
        <w:rPr>
          <w:rFonts w:ascii="Times New Roman" w:hAnsi="Times New Roman"/>
          <w:sz w:val="28"/>
          <w:szCs w:val="28"/>
          <w:lang w:val="uk-UA"/>
        </w:rPr>
        <w:t>.</w:t>
      </w:r>
      <w:r w:rsidRPr="00BE086B">
        <w:rPr>
          <w:rFonts w:ascii="Times New Roman" w:hAnsi="Times New Roman"/>
          <w:sz w:val="28"/>
          <w:szCs w:val="28"/>
          <w:lang w:val="en-US"/>
        </w:rPr>
        <w:t>, Riis B</w:t>
      </w:r>
      <w:r w:rsidRPr="00BE086B">
        <w:rPr>
          <w:rFonts w:ascii="Times New Roman" w:hAnsi="Times New Roman"/>
          <w:sz w:val="28"/>
          <w:szCs w:val="28"/>
          <w:lang w:val="uk-UA"/>
        </w:rPr>
        <w:t>.</w:t>
      </w:r>
      <w:r w:rsidRPr="00BE086B">
        <w:rPr>
          <w:rFonts w:ascii="Times New Roman" w:hAnsi="Times New Roman"/>
          <w:sz w:val="28"/>
          <w:szCs w:val="28"/>
          <w:lang w:val="en-US"/>
        </w:rPr>
        <w:t>J</w:t>
      </w:r>
      <w:r w:rsidRPr="00BE086B">
        <w:rPr>
          <w:rFonts w:ascii="Times New Roman" w:hAnsi="Times New Roman"/>
          <w:sz w:val="28"/>
          <w:szCs w:val="28"/>
          <w:lang w:val="uk-UA"/>
        </w:rPr>
        <w:t>.</w:t>
      </w:r>
      <w:r w:rsidRPr="00BE086B">
        <w:rPr>
          <w:rFonts w:ascii="Times New Roman" w:hAnsi="Times New Roman"/>
          <w:sz w:val="28"/>
          <w:szCs w:val="28"/>
          <w:lang w:val="en-US"/>
        </w:rPr>
        <w:t>, Christiansen</w:t>
      </w:r>
      <w:r w:rsidRPr="00BE086B">
        <w:rPr>
          <w:rFonts w:ascii="Times New Roman" w:hAnsi="Times New Roman"/>
          <w:sz w:val="28"/>
          <w:szCs w:val="28"/>
          <w:lang w:val="uk-UA"/>
        </w:rPr>
        <w:t xml:space="preserve"> </w:t>
      </w:r>
      <w:r w:rsidRPr="00BE086B">
        <w:rPr>
          <w:rFonts w:ascii="Times New Roman" w:hAnsi="Times New Roman"/>
          <w:sz w:val="28"/>
          <w:szCs w:val="28"/>
          <w:lang w:val="en-US"/>
        </w:rPr>
        <w:t>C. Biochemical markers identify influences on bone</w:t>
      </w:r>
      <w:r w:rsidRPr="00BE086B">
        <w:rPr>
          <w:rFonts w:ascii="Times New Roman" w:hAnsi="Times New Roman"/>
          <w:sz w:val="28"/>
          <w:szCs w:val="28"/>
          <w:lang w:val="uk-UA"/>
        </w:rPr>
        <w:t xml:space="preserve"> </w:t>
      </w:r>
      <w:r w:rsidRPr="00BE086B">
        <w:rPr>
          <w:rFonts w:ascii="Times New Roman" w:hAnsi="Times New Roman"/>
          <w:sz w:val="28"/>
          <w:szCs w:val="28"/>
          <w:lang w:val="en-US"/>
        </w:rPr>
        <w:t>and cartilage degradation in osteoarthritis – the</w:t>
      </w:r>
      <w:r w:rsidRPr="00BE086B">
        <w:rPr>
          <w:rFonts w:ascii="Times New Roman" w:hAnsi="Times New Roman"/>
          <w:sz w:val="28"/>
          <w:szCs w:val="28"/>
          <w:lang w:val="uk-UA"/>
        </w:rPr>
        <w:t xml:space="preserve"> </w:t>
      </w:r>
      <w:r w:rsidRPr="00BE086B">
        <w:rPr>
          <w:rFonts w:ascii="Times New Roman" w:hAnsi="Times New Roman"/>
          <w:sz w:val="28"/>
          <w:szCs w:val="28"/>
          <w:lang w:val="en-US"/>
        </w:rPr>
        <w:t>effect of sex, Kellgren-Lawrence (KL) score, Body</w:t>
      </w:r>
      <w:r w:rsidRPr="00BE086B">
        <w:rPr>
          <w:rFonts w:ascii="Times New Roman" w:hAnsi="Times New Roman"/>
          <w:sz w:val="28"/>
          <w:szCs w:val="28"/>
          <w:lang w:val="uk-UA"/>
        </w:rPr>
        <w:t xml:space="preserve"> </w:t>
      </w:r>
      <w:r w:rsidRPr="00BE086B">
        <w:rPr>
          <w:rFonts w:ascii="Times New Roman" w:hAnsi="Times New Roman"/>
          <w:sz w:val="28"/>
          <w:szCs w:val="28"/>
          <w:lang w:val="en-US"/>
        </w:rPr>
        <w:t>Mass Index (BMI), oral salmon calcitonin (sCT)</w:t>
      </w:r>
      <w:r w:rsidRPr="00BE086B">
        <w:rPr>
          <w:rFonts w:ascii="Times New Roman" w:hAnsi="Times New Roman"/>
          <w:sz w:val="28"/>
          <w:szCs w:val="28"/>
          <w:lang w:val="uk-UA"/>
        </w:rPr>
        <w:t xml:space="preserve"> </w:t>
      </w:r>
      <w:r w:rsidRPr="00BE086B">
        <w:rPr>
          <w:rFonts w:ascii="Times New Roman" w:hAnsi="Times New Roman"/>
          <w:sz w:val="28"/>
          <w:szCs w:val="28"/>
          <w:lang w:val="en-US"/>
        </w:rPr>
        <w:t>treatment and diurnal variation</w:t>
      </w:r>
      <w:r w:rsidRPr="00BE086B">
        <w:rPr>
          <w:rFonts w:ascii="Times New Roman" w:hAnsi="Times New Roman"/>
          <w:sz w:val="28"/>
          <w:szCs w:val="28"/>
          <w:lang w:val="uk-UA"/>
        </w:rPr>
        <w:t xml:space="preserve">. </w:t>
      </w:r>
      <w:r w:rsidRPr="00BE086B">
        <w:rPr>
          <w:rFonts w:ascii="Times New Roman" w:hAnsi="Times New Roman"/>
          <w:iCs/>
          <w:sz w:val="28"/>
          <w:szCs w:val="28"/>
          <w:lang w:val="en-US"/>
        </w:rPr>
        <w:t xml:space="preserve">BMC Musculoskeletal Disorders. </w:t>
      </w:r>
      <w:r w:rsidRPr="00BE086B">
        <w:rPr>
          <w:rFonts w:ascii="Times New Roman" w:hAnsi="Times New Roman"/>
          <w:sz w:val="28"/>
          <w:szCs w:val="28"/>
          <w:lang w:val="en-US"/>
        </w:rPr>
        <w:t>2010</w:t>
      </w:r>
      <w:r w:rsidRPr="00BE086B">
        <w:rPr>
          <w:rFonts w:ascii="Times New Roman" w:hAnsi="Times New Roman"/>
          <w:sz w:val="28"/>
          <w:szCs w:val="28"/>
          <w:lang w:val="uk-UA"/>
        </w:rPr>
        <w:t>;</w:t>
      </w:r>
      <w:r w:rsidRPr="00BE086B">
        <w:rPr>
          <w:rFonts w:ascii="Times New Roman" w:hAnsi="Times New Roman"/>
          <w:sz w:val="28"/>
          <w:szCs w:val="28"/>
          <w:lang w:val="en-US"/>
        </w:rPr>
        <w:t xml:space="preserve"> </w:t>
      </w:r>
      <w:r w:rsidRPr="00BE086B">
        <w:rPr>
          <w:rFonts w:ascii="Times New Roman" w:hAnsi="Times New Roman"/>
          <w:bCs/>
          <w:sz w:val="28"/>
          <w:szCs w:val="28"/>
          <w:lang w:val="en-US"/>
        </w:rPr>
        <w:t>11</w:t>
      </w:r>
      <w:r w:rsidRPr="00BE086B">
        <w:rPr>
          <w:rFonts w:ascii="Times New Roman" w:hAnsi="Times New Roman"/>
          <w:sz w:val="28"/>
          <w:szCs w:val="28"/>
          <w:lang w:val="en-US"/>
        </w:rPr>
        <w:t>:125</w:t>
      </w:r>
      <w:r w:rsidRPr="00BE086B">
        <w:rPr>
          <w:rFonts w:ascii="Times New Roman" w:hAnsi="Times New Roman"/>
          <w:sz w:val="28"/>
          <w:szCs w:val="28"/>
          <w:lang w:val="uk-UA"/>
        </w:rPr>
        <w:t>.</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Kraus V.B., Burnett B., Coindreau J., Cottrell S. Application of biomarkers in the development of drugs intended for the treatment of osteoarthritis. Osteoarthritis Cartilage. 2011</w:t>
      </w:r>
      <w:r w:rsidRPr="00BE086B">
        <w:rPr>
          <w:rFonts w:ascii="Times New Roman" w:hAnsi="Times New Roman"/>
          <w:sz w:val="28"/>
          <w:szCs w:val="28"/>
          <w:lang w:val="uk-UA"/>
        </w:rPr>
        <w:t>;</w:t>
      </w:r>
      <w:r w:rsidRPr="00BE086B">
        <w:rPr>
          <w:rFonts w:ascii="Times New Roman" w:hAnsi="Times New Roman"/>
          <w:sz w:val="28"/>
          <w:szCs w:val="28"/>
          <w:lang w:val="en-US"/>
        </w:rPr>
        <w:t>19</w:t>
      </w:r>
      <w:r w:rsidRPr="00BE086B">
        <w:rPr>
          <w:rFonts w:ascii="Times New Roman" w:hAnsi="Times New Roman"/>
          <w:sz w:val="28"/>
          <w:szCs w:val="28"/>
          <w:lang w:val="uk-UA"/>
        </w:rPr>
        <w:t>:</w:t>
      </w:r>
      <w:r w:rsidRPr="00BE086B">
        <w:rPr>
          <w:rFonts w:ascii="Times New Roman" w:hAnsi="Times New Roman"/>
          <w:sz w:val="28"/>
          <w:szCs w:val="28"/>
          <w:lang w:val="en-US"/>
        </w:rPr>
        <w:t xml:space="preserve"> 515-</w:t>
      </w:r>
      <w:r w:rsidRPr="00BE086B">
        <w:rPr>
          <w:rFonts w:ascii="Times New Roman" w:hAnsi="Times New Roman"/>
          <w:sz w:val="28"/>
          <w:szCs w:val="28"/>
          <w:lang w:val="uk-UA"/>
        </w:rPr>
        <w:t>5</w:t>
      </w:r>
      <w:r w:rsidRPr="00BE086B">
        <w:rPr>
          <w:rFonts w:ascii="Times New Roman" w:hAnsi="Times New Roman"/>
          <w:sz w:val="28"/>
          <w:szCs w:val="28"/>
          <w:lang w:val="en-US"/>
        </w:rPr>
        <w:t>42.</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Sarukawa J</w:t>
      </w:r>
      <w:r w:rsidRPr="00BE086B">
        <w:rPr>
          <w:rFonts w:ascii="Times New Roman" w:hAnsi="Times New Roman"/>
          <w:sz w:val="28"/>
          <w:szCs w:val="28"/>
          <w:lang w:val="uk-UA"/>
        </w:rPr>
        <w:t>.</w:t>
      </w:r>
      <w:r w:rsidRPr="00BE086B">
        <w:rPr>
          <w:rFonts w:ascii="Times New Roman" w:hAnsi="Times New Roman"/>
          <w:sz w:val="28"/>
          <w:szCs w:val="28"/>
          <w:lang w:val="en-US"/>
        </w:rPr>
        <w:t>, Takahashi M</w:t>
      </w:r>
      <w:r w:rsidRPr="00BE086B">
        <w:rPr>
          <w:rFonts w:ascii="Times New Roman" w:hAnsi="Times New Roman"/>
          <w:sz w:val="28"/>
          <w:szCs w:val="28"/>
          <w:lang w:val="uk-UA"/>
        </w:rPr>
        <w:t>.</w:t>
      </w:r>
      <w:r w:rsidRPr="00BE086B">
        <w:rPr>
          <w:rFonts w:ascii="Times New Roman" w:hAnsi="Times New Roman"/>
          <w:sz w:val="28"/>
          <w:szCs w:val="28"/>
          <w:lang w:val="en-US"/>
        </w:rPr>
        <w:t>, Doi M</w:t>
      </w:r>
      <w:r w:rsidRPr="00BE086B">
        <w:rPr>
          <w:rFonts w:ascii="Times New Roman" w:hAnsi="Times New Roman"/>
          <w:sz w:val="28"/>
          <w:szCs w:val="28"/>
          <w:lang w:val="uk-UA"/>
        </w:rPr>
        <w:t>.</w:t>
      </w:r>
      <w:r w:rsidRPr="00BE086B">
        <w:rPr>
          <w:rFonts w:ascii="Times New Roman" w:hAnsi="Times New Roman"/>
          <w:sz w:val="28"/>
          <w:szCs w:val="28"/>
          <w:lang w:val="en-US"/>
        </w:rPr>
        <w:t>, Suzuki D</w:t>
      </w:r>
      <w:r w:rsidRPr="00BE086B">
        <w:rPr>
          <w:rFonts w:ascii="Times New Roman" w:hAnsi="Times New Roman"/>
          <w:sz w:val="28"/>
          <w:szCs w:val="28"/>
          <w:lang w:val="uk-UA"/>
        </w:rPr>
        <w:t>.</w:t>
      </w:r>
      <w:r w:rsidRPr="00BE086B">
        <w:rPr>
          <w:rFonts w:ascii="Times New Roman" w:hAnsi="Times New Roman"/>
          <w:sz w:val="28"/>
          <w:szCs w:val="28"/>
          <w:lang w:val="en-US"/>
        </w:rPr>
        <w:t>, Nagano A</w:t>
      </w:r>
      <w:r w:rsidRPr="00BE086B">
        <w:rPr>
          <w:rFonts w:ascii="Times New Roman" w:hAnsi="Times New Roman"/>
          <w:sz w:val="28"/>
          <w:szCs w:val="28"/>
          <w:lang w:val="uk-UA"/>
        </w:rPr>
        <w:t xml:space="preserve">. </w:t>
      </w:r>
      <w:r w:rsidRPr="00BE086B">
        <w:rPr>
          <w:rFonts w:ascii="Times New Roman" w:hAnsi="Times New Roman"/>
          <w:sz w:val="28"/>
          <w:szCs w:val="28"/>
          <w:lang w:val="en-US"/>
        </w:rPr>
        <w:t>A longitudinal analysis of urinary biochemical markers and</w:t>
      </w:r>
      <w:r w:rsidRPr="00BE086B">
        <w:rPr>
          <w:rFonts w:ascii="Times New Roman" w:hAnsi="Times New Roman"/>
          <w:sz w:val="28"/>
          <w:szCs w:val="28"/>
          <w:lang w:val="uk-UA"/>
        </w:rPr>
        <w:t xml:space="preserve"> </w:t>
      </w:r>
      <w:r w:rsidRPr="00BE086B">
        <w:rPr>
          <w:rFonts w:ascii="Times New Roman" w:hAnsi="Times New Roman"/>
          <w:sz w:val="28"/>
          <w:szCs w:val="28"/>
          <w:lang w:val="en-US"/>
        </w:rPr>
        <w:t>bone mineral density in str/ort mice as a model of</w:t>
      </w:r>
      <w:r w:rsidRPr="00BE086B">
        <w:rPr>
          <w:rFonts w:ascii="Times New Roman" w:hAnsi="Times New Roman"/>
          <w:sz w:val="28"/>
          <w:szCs w:val="28"/>
          <w:lang w:val="uk-UA"/>
        </w:rPr>
        <w:t xml:space="preserve"> </w:t>
      </w:r>
      <w:r w:rsidRPr="00BE086B">
        <w:rPr>
          <w:rFonts w:ascii="Times New Roman" w:hAnsi="Times New Roman"/>
          <w:sz w:val="28"/>
          <w:szCs w:val="28"/>
          <w:lang w:val="en-US"/>
        </w:rPr>
        <w:t>spontaneous osteoarthritis</w:t>
      </w:r>
      <w:r w:rsidRPr="00BE086B">
        <w:rPr>
          <w:rFonts w:ascii="Times New Roman" w:hAnsi="Times New Roman"/>
          <w:sz w:val="28"/>
          <w:szCs w:val="28"/>
          <w:lang w:val="uk-UA"/>
        </w:rPr>
        <w:t xml:space="preserve">. Arthritis Rheum. 2010; </w:t>
      </w:r>
      <w:r w:rsidRPr="00BE086B">
        <w:rPr>
          <w:rFonts w:ascii="Times New Roman" w:hAnsi="Times New Roman"/>
          <w:sz w:val="28"/>
          <w:szCs w:val="28"/>
          <w:lang w:val="en-US"/>
        </w:rPr>
        <w:t>62, 2</w:t>
      </w:r>
      <w:r w:rsidRPr="00BE086B">
        <w:rPr>
          <w:rFonts w:ascii="Times New Roman" w:hAnsi="Times New Roman"/>
          <w:sz w:val="28"/>
          <w:szCs w:val="28"/>
          <w:lang w:val="uk-UA"/>
        </w:rPr>
        <w:t>:</w:t>
      </w:r>
      <w:r w:rsidRPr="00BE086B">
        <w:rPr>
          <w:rFonts w:ascii="Times New Roman" w:hAnsi="Times New Roman"/>
          <w:sz w:val="28"/>
          <w:szCs w:val="28"/>
          <w:lang w:val="en-US"/>
        </w:rPr>
        <w:t>463-71</w:t>
      </w:r>
      <w:r w:rsidRPr="00BE086B">
        <w:rPr>
          <w:rFonts w:ascii="Times New Roman" w:hAnsi="Times New Roman"/>
          <w:sz w:val="28"/>
          <w:szCs w:val="28"/>
          <w:lang w:val="uk-UA"/>
        </w:rPr>
        <w:t>.</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Hosnijeh FS</w:t>
      </w:r>
      <w:r w:rsidRPr="00BE086B">
        <w:rPr>
          <w:rFonts w:ascii="Times New Roman" w:hAnsi="Times New Roman"/>
          <w:sz w:val="28"/>
          <w:szCs w:val="28"/>
          <w:lang w:val="uk-UA"/>
        </w:rPr>
        <w:t>.</w:t>
      </w:r>
      <w:r w:rsidRPr="00BE086B">
        <w:rPr>
          <w:rFonts w:ascii="Times New Roman" w:hAnsi="Times New Roman"/>
          <w:sz w:val="28"/>
          <w:szCs w:val="28"/>
          <w:lang w:val="en-US"/>
        </w:rPr>
        <w:t>, Siebuhr AS</w:t>
      </w:r>
      <w:r w:rsidRPr="00BE086B">
        <w:rPr>
          <w:rFonts w:ascii="Times New Roman" w:hAnsi="Times New Roman"/>
          <w:sz w:val="28"/>
          <w:szCs w:val="28"/>
          <w:lang w:val="uk-UA"/>
        </w:rPr>
        <w:t>.</w:t>
      </w:r>
      <w:r w:rsidRPr="00BE086B">
        <w:rPr>
          <w:rFonts w:ascii="Times New Roman" w:hAnsi="Times New Roman"/>
          <w:sz w:val="28"/>
          <w:szCs w:val="28"/>
          <w:lang w:val="en-US"/>
        </w:rPr>
        <w:t>, Uitterlinden AG., Oei</w:t>
      </w:r>
      <w:r w:rsidRPr="00BE086B">
        <w:rPr>
          <w:rFonts w:ascii="Times New Roman" w:hAnsi="Times New Roman"/>
          <w:sz w:val="28"/>
          <w:szCs w:val="28"/>
          <w:lang w:val="uk-UA"/>
        </w:rPr>
        <w:t xml:space="preserve"> </w:t>
      </w:r>
      <w:r w:rsidRPr="00BE086B">
        <w:rPr>
          <w:rFonts w:ascii="Times New Roman" w:hAnsi="Times New Roman"/>
          <w:sz w:val="28"/>
          <w:szCs w:val="28"/>
          <w:lang w:val="en-US"/>
        </w:rPr>
        <w:t xml:space="preserve">EH. Association between biomarkers of tissue inflammation and progression of osteoarthritis: evidence from the Rotterdam study cohort. </w:t>
      </w:r>
      <w:r w:rsidRPr="00BE086B">
        <w:rPr>
          <w:rFonts w:ascii="Times New Roman" w:hAnsi="Times New Roman"/>
          <w:sz w:val="28"/>
          <w:szCs w:val="28"/>
        </w:rPr>
        <w:t>Arthritis Research &amp; Therapy</w:t>
      </w:r>
      <w:r w:rsidRPr="00BE086B">
        <w:rPr>
          <w:rFonts w:ascii="Times New Roman" w:hAnsi="Times New Roman"/>
          <w:sz w:val="28"/>
          <w:szCs w:val="28"/>
          <w:lang w:val="uk-UA"/>
        </w:rPr>
        <w:t xml:space="preserve">. </w:t>
      </w:r>
      <w:r w:rsidRPr="00BE086B">
        <w:rPr>
          <w:rFonts w:ascii="Times New Roman" w:hAnsi="Times New Roman"/>
          <w:sz w:val="28"/>
          <w:szCs w:val="28"/>
        </w:rPr>
        <w:t>2016</w:t>
      </w:r>
      <w:r w:rsidRPr="00BE086B">
        <w:rPr>
          <w:rFonts w:ascii="Times New Roman" w:hAnsi="Times New Roman"/>
          <w:sz w:val="28"/>
          <w:szCs w:val="28"/>
          <w:lang w:val="uk-UA"/>
        </w:rPr>
        <w:t>,</w:t>
      </w:r>
      <w:r w:rsidRPr="00BE086B">
        <w:rPr>
          <w:rFonts w:ascii="Times New Roman" w:hAnsi="Times New Roman"/>
          <w:sz w:val="28"/>
          <w:szCs w:val="28"/>
        </w:rPr>
        <w:t xml:space="preserve"> 18:81</w:t>
      </w:r>
      <w:r w:rsidRPr="00BE086B">
        <w:rPr>
          <w:rFonts w:ascii="Times New Roman" w:hAnsi="Times New Roman"/>
          <w:sz w:val="28"/>
          <w:szCs w:val="28"/>
          <w:lang w:val="uk-UA"/>
        </w:rPr>
        <w:t>.</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en-US"/>
        </w:rPr>
      </w:pPr>
      <w:r w:rsidRPr="00BE086B">
        <w:rPr>
          <w:rFonts w:ascii="Times New Roman" w:hAnsi="Times New Roman"/>
          <w:sz w:val="28"/>
          <w:szCs w:val="28"/>
          <w:lang w:val="en-US"/>
        </w:rPr>
        <w:t>Arends R.H., Karsdal M.A., Verburg K.M., Bay-Jensen A.C. Biomarkers associated with rapid cartilage loss and bone</w:t>
      </w:r>
      <w:r w:rsidRPr="00BE086B">
        <w:rPr>
          <w:rFonts w:ascii="Times New Roman" w:hAnsi="Times New Roman"/>
          <w:sz w:val="28"/>
          <w:szCs w:val="28"/>
          <w:lang w:val="uk-UA"/>
        </w:rPr>
        <w:t xml:space="preserve"> </w:t>
      </w:r>
      <w:r w:rsidRPr="00BE086B">
        <w:rPr>
          <w:rFonts w:ascii="Times New Roman" w:hAnsi="Times New Roman"/>
          <w:sz w:val="28"/>
          <w:szCs w:val="28"/>
          <w:lang w:val="en-US"/>
        </w:rPr>
        <w:t>destruction in osteoarthritis patients. Osteoarthritis and Cartilage</w:t>
      </w:r>
      <w:r w:rsidRPr="00BE086B">
        <w:rPr>
          <w:rFonts w:ascii="Times New Roman" w:hAnsi="Times New Roman"/>
          <w:sz w:val="28"/>
          <w:szCs w:val="28"/>
          <w:lang w:val="uk-UA"/>
        </w:rPr>
        <w:t>. 2016;</w:t>
      </w:r>
      <w:r w:rsidRPr="00BE086B">
        <w:rPr>
          <w:rFonts w:ascii="Times New Roman" w:hAnsi="Times New Roman"/>
          <w:sz w:val="28"/>
          <w:szCs w:val="28"/>
          <w:lang w:val="en-US"/>
        </w:rPr>
        <w:t xml:space="preserve"> 24</w:t>
      </w:r>
      <w:r w:rsidRPr="00BE086B">
        <w:rPr>
          <w:rFonts w:ascii="Times New Roman" w:hAnsi="Times New Roman"/>
          <w:sz w:val="28"/>
          <w:szCs w:val="28"/>
          <w:lang w:val="uk-UA"/>
        </w:rPr>
        <w:t xml:space="preserve">, </w:t>
      </w:r>
      <w:r w:rsidRPr="00BE086B">
        <w:rPr>
          <w:rFonts w:ascii="Times New Roman" w:hAnsi="Times New Roman"/>
          <w:sz w:val="28"/>
          <w:szCs w:val="28"/>
          <w:lang w:val="en-US"/>
        </w:rPr>
        <w:t>8-62</w:t>
      </w:r>
      <w:r w:rsidRPr="00BE086B">
        <w:rPr>
          <w:rFonts w:ascii="Times New Roman" w:hAnsi="Times New Roman"/>
          <w:sz w:val="28"/>
          <w:szCs w:val="28"/>
          <w:lang w:val="uk-UA"/>
        </w:rPr>
        <w:t>.</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Klerk B</w:t>
      </w:r>
      <w:r w:rsidRPr="00BE086B">
        <w:rPr>
          <w:rFonts w:ascii="Times New Roman" w:hAnsi="Times New Roman"/>
          <w:sz w:val="28"/>
          <w:szCs w:val="28"/>
          <w:lang w:val="uk-UA"/>
        </w:rPr>
        <w:t>.</w:t>
      </w:r>
      <w:r w:rsidRPr="00BE086B">
        <w:rPr>
          <w:rFonts w:ascii="Times New Roman" w:hAnsi="Times New Roman"/>
          <w:sz w:val="28"/>
          <w:szCs w:val="28"/>
          <w:lang w:val="en-US"/>
        </w:rPr>
        <w:t>, Lafeber F</w:t>
      </w:r>
      <w:r w:rsidRPr="00BE086B">
        <w:rPr>
          <w:rFonts w:ascii="Times New Roman" w:hAnsi="Times New Roman"/>
          <w:sz w:val="28"/>
          <w:szCs w:val="28"/>
          <w:lang w:val="uk-UA"/>
        </w:rPr>
        <w:t>.</w:t>
      </w:r>
      <w:r w:rsidRPr="00BE086B">
        <w:rPr>
          <w:rFonts w:ascii="Times New Roman" w:hAnsi="Times New Roman"/>
          <w:sz w:val="28"/>
          <w:szCs w:val="28"/>
          <w:lang w:val="en-US"/>
        </w:rPr>
        <w:t>P</w:t>
      </w:r>
      <w:r w:rsidRPr="00BE086B">
        <w:rPr>
          <w:rFonts w:ascii="Times New Roman" w:hAnsi="Times New Roman"/>
          <w:sz w:val="28"/>
          <w:szCs w:val="28"/>
          <w:lang w:val="uk-UA"/>
        </w:rPr>
        <w:t>.</w:t>
      </w:r>
      <w:r w:rsidRPr="00BE086B">
        <w:rPr>
          <w:rFonts w:ascii="Times New Roman" w:hAnsi="Times New Roman"/>
          <w:sz w:val="28"/>
          <w:szCs w:val="28"/>
          <w:lang w:val="en-US"/>
        </w:rPr>
        <w:t>, Spil W</w:t>
      </w:r>
      <w:r w:rsidRPr="00BE086B">
        <w:rPr>
          <w:rFonts w:ascii="Times New Roman" w:hAnsi="Times New Roman"/>
          <w:sz w:val="28"/>
          <w:szCs w:val="28"/>
          <w:lang w:val="uk-UA"/>
        </w:rPr>
        <w:t>.</w:t>
      </w:r>
      <w:r w:rsidRPr="00BE086B">
        <w:rPr>
          <w:rFonts w:ascii="Times New Roman" w:hAnsi="Times New Roman"/>
          <w:sz w:val="28"/>
          <w:szCs w:val="28"/>
          <w:lang w:val="en-US"/>
        </w:rPr>
        <w:t>E.</w:t>
      </w:r>
      <w:r w:rsidRPr="00BE086B">
        <w:rPr>
          <w:rFonts w:ascii="Times New Roman" w:hAnsi="Times New Roman"/>
          <w:sz w:val="28"/>
          <w:szCs w:val="28"/>
          <w:lang w:val="uk-UA"/>
        </w:rPr>
        <w:t xml:space="preserve"> </w:t>
      </w:r>
      <w:r w:rsidRPr="00BE086B">
        <w:rPr>
          <w:rFonts w:ascii="Times New Roman" w:hAnsi="Times New Roman"/>
          <w:sz w:val="28"/>
          <w:szCs w:val="28"/>
          <w:lang w:val="en-US"/>
        </w:rPr>
        <w:t>Associations of</w:t>
      </w:r>
      <w:r w:rsidRPr="00BE086B">
        <w:rPr>
          <w:rFonts w:ascii="Times New Roman" w:hAnsi="Times New Roman"/>
          <w:sz w:val="28"/>
          <w:szCs w:val="28"/>
          <w:lang w:val="uk-UA"/>
        </w:rPr>
        <w:t xml:space="preserve"> </w:t>
      </w:r>
      <w:r w:rsidRPr="00BE086B">
        <w:rPr>
          <w:rStyle w:val="highlight"/>
          <w:rFonts w:ascii="Times New Roman" w:hAnsi="Times New Roman"/>
          <w:sz w:val="28"/>
          <w:szCs w:val="28"/>
          <w:lang w:val="en-US"/>
        </w:rPr>
        <w:t>CTX</w:t>
      </w:r>
      <w:r w:rsidRPr="00BE086B">
        <w:rPr>
          <w:rFonts w:ascii="Times New Roman" w:hAnsi="Times New Roman"/>
          <w:sz w:val="28"/>
          <w:szCs w:val="28"/>
          <w:lang w:val="en-US"/>
        </w:rPr>
        <w:t>-</w:t>
      </w:r>
      <w:r w:rsidRPr="00BE086B">
        <w:rPr>
          <w:rStyle w:val="highlight"/>
          <w:rFonts w:ascii="Times New Roman" w:hAnsi="Times New Roman"/>
          <w:sz w:val="28"/>
          <w:szCs w:val="28"/>
          <w:lang w:val="en-US"/>
        </w:rPr>
        <w:t>II</w:t>
      </w:r>
      <w:r w:rsidRPr="00BE086B">
        <w:rPr>
          <w:rStyle w:val="highlight"/>
          <w:rFonts w:ascii="Times New Roman" w:hAnsi="Times New Roman"/>
          <w:sz w:val="28"/>
          <w:szCs w:val="28"/>
          <w:lang w:val="uk-UA"/>
        </w:rPr>
        <w:t xml:space="preserve"> </w:t>
      </w:r>
      <w:r w:rsidRPr="00BE086B">
        <w:rPr>
          <w:rFonts w:ascii="Times New Roman" w:hAnsi="Times New Roman"/>
          <w:sz w:val="28"/>
          <w:szCs w:val="28"/>
          <w:lang w:val="en-US"/>
        </w:rPr>
        <w:t>with biochemical markers of bone turnover raise questions about its tissue origin: new insights from CHECK. Ann Rheum Dis. 2014;73(7):39.</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Xin L., Wu Z., Qu Q., Wang R. Comparative study of CTX-II, Zn2+, and Ca2+ from the urine for knee osteoarthritis patients and healthy individuals. Medicine. 2017</w:t>
      </w:r>
      <w:r w:rsidRPr="00BE086B">
        <w:rPr>
          <w:rFonts w:ascii="Times New Roman" w:hAnsi="Times New Roman"/>
          <w:sz w:val="28"/>
          <w:szCs w:val="28"/>
          <w:lang w:val="uk-UA"/>
        </w:rPr>
        <w:t>;</w:t>
      </w:r>
      <w:r w:rsidRPr="00BE086B">
        <w:rPr>
          <w:rFonts w:ascii="Times New Roman" w:hAnsi="Times New Roman"/>
          <w:sz w:val="28"/>
          <w:szCs w:val="28"/>
          <w:lang w:val="en-US"/>
        </w:rPr>
        <w:t xml:space="preserve"> 96:32.</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bCs/>
          <w:sz w:val="28"/>
          <w:szCs w:val="28"/>
          <w:lang w:val="en-US"/>
        </w:rPr>
      </w:pPr>
      <w:r w:rsidRPr="00BE086B">
        <w:rPr>
          <w:rFonts w:ascii="Times New Roman" w:hAnsi="Times New Roman"/>
          <w:sz w:val="28"/>
          <w:szCs w:val="28"/>
          <w:lang w:val="en-US"/>
        </w:rPr>
        <w:lastRenderedPageBreak/>
        <w:t>Li Z</w:t>
      </w:r>
      <w:r w:rsidRPr="00BE086B">
        <w:rPr>
          <w:rFonts w:ascii="Times New Roman" w:hAnsi="Times New Roman"/>
          <w:sz w:val="28"/>
          <w:szCs w:val="28"/>
          <w:lang w:val="uk-UA"/>
        </w:rPr>
        <w:t>.</w:t>
      </w:r>
      <w:r w:rsidRPr="00BE086B">
        <w:rPr>
          <w:rFonts w:ascii="Times New Roman" w:hAnsi="Times New Roman"/>
          <w:sz w:val="28"/>
          <w:szCs w:val="28"/>
          <w:lang w:val="en-US"/>
        </w:rPr>
        <w:t>N</w:t>
      </w:r>
      <w:r w:rsidRPr="00BE086B">
        <w:rPr>
          <w:rFonts w:ascii="Times New Roman" w:hAnsi="Times New Roman"/>
          <w:sz w:val="28"/>
          <w:szCs w:val="28"/>
          <w:lang w:val="uk-UA"/>
        </w:rPr>
        <w:t>.</w:t>
      </w:r>
      <w:r w:rsidRPr="00BE086B">
        <w:rPr>
          <w:rFonts w:ascii="Times New Roman" w:hAnsi="Times New Roman"/>
          <w:sz w:val="28"/>
          <w:szCs w:val="28"/>
          <w:lang w:val="en-US"/>
        </w:rPr>
        <w:t>,</w:t>
      </w:r>
      <w:r w:rsidRPr="00BE086B">
        <w:rPr>
          <w:rFonts w:ascii="Times New Roman" w:hAnsi="Times New Roman"/>
          <w:sz w:val="28"/>
          <w:szCs w:val="28"/>
          <w:lang w:val="uk-UA"/>
        </w:rPr>
        <w:t xml:space="preserve"> </w:t>
      </w:r>
      <w:r w:rsidRPr="00BE086B">
        <w:rPr>
          <w:rFonts w:ascii="Times New Roman" w:hAnsi="Times New Roman"/>
          <w:sz w:val="28"/>
          <w:szCs w:val="28"/>
          <w:lang w:val="en-US"/>
        </w:rPr>
        <w:t>Wei X</w:t>
      </w:r>
      <w:r w:rsidRPr="00BE086B">
        <w:rPr>
          <w:rFonts w:ascii="Times New Roman" w:hAnsi="Times New Roman"/>
          <w:sz w:val="28"/>
          <w:szCs w:val="28"/>
          <w:lang w:val="uk-UA"/>
        </w:rPr>
        <w:t>.</w:t>
      </w:r>
      <w:r w:rsidRPr="00BE086B">
        <w:rPr>
          <w:rFonts w:ascii="Times New Roman" w:hAnsi="Times New Roman"/>
          <w:sz w:val="28"/>
          <w:szCs w:val="28"/>
          <w:lang w:val="en-US"/>
        </w:rPr>
        <w:t>C.</w:t>
      </w:r>
      <w:r w:rsidRPr="00BE086B">
        <w:rPr>
          <w:rFonts w:ascii="Times New Roman" w:hAnsi="Times New Roman"/>
          <w:sz w:val="28"/>
          <w:szCs w:val="28"/>
          <w:lang w:val="uk-UA"/>
        </w:rPr>
        <w:t xml:space="preserve"> </w:t>
      </w:r>
      <w:r w:rsidRPr="00BE086B">
        <w:rPr>
          <w:rFonts w:ascii="Times New Roman" w:hAnsi="Times New Roman"/>
          <w:sz w:val="28"/>
          <w:szCs w:val="28"/>
          <w:lang w:val="en-US"/>
        </w:rPr>
        <w:t>Diagnosis value of biological markers</w:t>
      </w:r>
      <w:r w:rsidRPr="00BE086B">
        <w:rPr>
          <w:rFonts w:ascii="Times New Roman" w:hAnsi="Times New Roman"/>
          <w:sz w:val="28"/>
          <w:szCs w:val="28"/>
          <w:lang w:val="uk-UA"/>
        </w:rPr>
        <w:t xml:space="preserve"> </w:t>
      </w:r>
      <w:r w:rsidRPr="00BE086B">
        <w:rPr>
          <w:rStyle w:val="highlight"/>
          <w:rFonts w:ascii="Times New Roman" w:hAnsi="Times New Roman"/>
          <w:sz w:val="28"/>
          <w:szCs w:val="28"/>
          <w:lang w:val="en-US"/>
        </w:rPr>
        <w:t>CTX</w:t>
      </w:r>
      <w:r w:rsidRPr="00BE086B">
        <w:rPr>
          <w:rFonts w:ascii="Times New Roman" w:hAnsi="Times New Roman"/>
          <w:sz w:val="28"/>
          <w:szCs w:val="28"/>
          <w:lang w:val="en-US"/>
        </w:rPr>
        <w:t>-</w:t>
      </w:r>
      <w:r w:rsidRPr="00BE086B">
        <w:rPr>
          <w:rStyle w:val="highlight"/>
          <w:rFonts w:ascii="Times New Roman" w:hAnsi="Times New Roman"/>
          <w:sz w:val="28"/>
          <w:szCs w:val="28"/>
          <w:lang w:val="en-US"/>
        </w:rPr>
        <w:t>II</w:t>
      </w:r>
      <w:r w:rsidRPr="00BE086B">
        <w:rPr>
          <w:rStyle w:val="highlight"/>
          <w:rFonts w:ascii="Times New Roman" w:hAnsi="Times New Roman"/>
          <w:sz w:val="28"/>
          <w:szCs w:val="28"/>
          <w:lang w:val="uk-UA"/>
        </w:rPr>
        <w:t xml:space="preserve"> </w:t>
      </w:r>
      <w:r w:rsidRPr="00BE086B">
        <w:rPr>
          <w:rFonts w:ascii="Times New Roman" w:hAnsi="Times New Roman"/>
          <w:sz w:val="28"/>
          <w:szCs w:val="28"/>
          <w:lang w:val="en-US"/>
        </w:rPr>
        <w:t>in osteoarthritis. Zhongguo Gu Shang.</w:t>
      </w:r>
      <w:r w:rsidRPr="00BE086B">
        <w:rPr>
          <w:rFonts w:ascii="Times New Roman" w:hAnsi="Times New Roman"/>
          <w:sz w:val="28"/>
          <w:szCs w:val="28"/>
          <w:lang w:val="uk-UA"/>
        </w:rPr>
        <w:t xml:space="preserve"> </w:t>
      </w:r>
      <w:r w:rsidRPr="00BE086B">
        <w:rPr>
          <w:rFonts w:ascii="Times New Roman" w:hAnsi="Times New Roman"/>
          <w:sz w:val="28"/>
          <w:szCs w:val="28"/>
          <w:lang w:val="en-US"/>
        </w:rPr>
        <w:t>2008</w:t>
      </w:r>
      <w:r w:rsidRPr="00BE086B">
        <w:rPr>
          <w:rFonts w:ascii="Times New Roman" w:hAnsi="Times New Roman"/>
          <w:sz w:val="28"/>
          <w:szCs w:val="28"/>
          <w:lang w:val="uk-UA"/>
        </w:rPr>
        <w:t xml:space="preserve">; </w:t>
      </w:r>
      <w:r w:rsidRPr="00BE086B">
        <w:rPr>
          <w:rFonts w:ascii="Times New Roman" w:hAnsi="Times New Roman"/>
          <w:sz w:val="28"/>
          <w:szCs w:val="28"/>
          <w:lang w:val="en-US"/>
        </w:rPr>
        <w:t>21(9):719-</w:t>
      </w:r>
      <w:r w:rsidRPr="00BE086B">
        <w:rPr>
          <w:rFonts w:ascii="Times New Roman" w:hAnsi="Times New Roman"/>
          <w:sz w:val="28"/>
          <w:szCs w:val="28"/>
          <w:lang w:val="uk-UA"/>
        </w:rPr>
        <w:t>7</w:t>
      </w:r>
      <w:r w:rsidRPr="00BE086B">
        <w:rPr>
          <w:rFonts w:ascii="Times New Roman" w:hAnsi="Times New Roman"/>
          <w:sz w:val="28"/>
          <w:szCs w:val="28"/>
          <w:lang w:val="en-US"/>
        </w:rPr>
        <w:t>22.</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uk-UA"/>
        </w:rPr>
      </w:pPr>
      <w:r w:rsidRPr="00BE086B">
        <w:rPr>
          <w:rFonts w:ascii="Times New Roman" w:hAnsi="Times New Roman"/>
          <w:sz w:val="28"/>
          <w:szCs w:val="28"/>
          <w:lang w:val="en-US"/>
        </w:rPr>
        <w:t>Oestergaard S</w:t>
      </w:r>
      <w:r w:rsidRPr="00BE086B">
        <w:rPr>
          <w:rFonts w:ascii="Times New Roman" w:hAnsi="Times New Roman"/>
          <w:sz w:val="28"/>
          <w:szCs w:val="28"/>
          <w:lang w:val="uk-UA"/>
        </w:rPr>
        <w:t>.</w:t>
      </w:r>
      <w:r w:rsidRPr="00BE086B">
        <w:rPr>
          <w:rFonts w:ascii="Times New Roman" w:hAnsi="Times New Roman"/>
          <w:sz w:val="28"/>
          <w:szCs w:val="28"/>
          <w:lang w:val="en-US"/>
        </w:rPr>
        <w:t>, Chouinard L</w:t>
      </w:r>
      <w:r w:rsidRPr="00BE086B">
        <w:rPr>
          <w:rFonts w:ascii="Times New Roman" w:hAnsi="Times New Roman"/>
          <w:sz w:val="28"/>
          <w:szCs w:val="28"/>
          <w:lang w:val="uk-UA"/>
        </w:rPr>
        <w:t>.</w:t>
      </w:r>
      <w:r w:rsidRPr="00BE086B">
        <w:rPr>
          <w:rFonts w:ascii="Times New Roman" w:hAnsi="Times New Roman"/>
          <w:sz w:val="28"/>
          <w:szCs w:val="28"/>
          <w:lang w:val="en-US"/>
        </w:rPr>
        <w:t>, Doyle N</w:t>
      </w:r>
      <w:r w:rsidRPr="00BE086B">
        <w:rPr>
          <w:rFonts w:ascii="Times New Roman" w:hAnsi="Times New Roman"/>
          <w:sz w:val="28"/>
          <w:szCs w:val="28"/>
          <w:lang w:val="uk-UA"/>
        </w:rPr>
        <w:t>.</w:t>
      </w:r>
      <w:r w:rsidRPr="00BE086B">
        <w:rPr>
          <w:rFonts w:ascii="Times New Roman" w:hAnsi="Times New Roman"/>
          <w:sz w:val="28"/>
          <w:szCs w:val="28"/>
          <w:lang w:val="en-US"/>
        </w:rPr>
        <w:t>, Karsdal M</w:t>
      </w:r>
      <w:r w:rsidRPr="00BE086B">
        <w:rPr>
          <w:rFonts w:ascii="Times New Roman" w:hAnsi="Times New Roman"/>
          <w:sz w:val="28"/>
          <w:szCs w:val="28"/>
          <w:lang w:val="uk-UA"/>
        </w:rPr>
        <w:t>.</w:t>
      </w:r>
      <w:r w:rsidRPr="00BE086B">
        <w:rPr>
          <w:rFonts w:ascii="Times New Roman" w:hAnsi="Times New Roman"/>
          <w:sz w:val="28"/>
          <w:szCs w:val="28"/>
          <w:lang w:val="en-US"/>
        </w:rPr>
        <w:t>A. The utility of measuring C-terminal telopeptides of collagen type II (CTX-II) in serum and synovial fluid samples for estimation of articular cartilage status in experimental models of destructive joint diseases. Osteo</w:t>
      </w:r>
      <w:r w:rsidRPr="00BE086B">
        <w:rPr>
          <w:rFonts w:ascii="Times New Roman" w:hAnsi="Times New Roman"/>
          <w:sz w:val="28"/>
          <w:szCs w:val="28"/>
          <w:lang w:val="uk-UA"/>
        </w:rPr>
        <w:t>а</w:t>
      </w:r>
      <w:r w:rsidRPr="00BE086B">
        <w:rPr>
          <w:rFonts w:ascii="Times New Roman" w:hAnsi="Times New Roman"/>
          <w:sz w:val="28"/>
          <w:szCs w:val="28"/>
          <w:lang w:val="en-US"/>
        </w:rPr>
        <w:t>rthritis Cartilage. 2006</w:t>
      </w:r>
      <w:r w:rsidRPr="00BE086B">
        <w:rPr>
          <w:rFonts w:ascii="Times New Roman" w:hAnsi="Times New Roman"/>
          <w:sz w:val="28"/>
          <w:szCs w:val="28"/>
          <w:lang w:val="uk-UA"/>
        </w:rPr>
        <w:t>;</w:t>
      </w:r>
      <w:r w:rsidRPr="00BE086B">
        <w:rPr>
          <w:rFonts w:ascii="Times New Roman" w:hAnsi="Times New Roman"/>
          <w:sz w:val="28"/>
          <w:szCs w:val="28"/>
          <w:lang w:val="en-US"/>
        </w:rPr>
        <w:t>14</w:t>
      </w:r>
      <w:r w:rsidRPr="00BE086B">
        <w:rPr>
          <w:rFonts w:ascii="Times New Roman" w:hAnsi="Times New Roman"/>
          <w:sz w:val="28"/>
          <w:szCs w:val="28"/>
          <w:lang w:val="uk-UA"/>
        </w:rPr>
        <w:t>:</w:t>
      </w:r>
      <w:r w:rsidRPr="00BE086B">
        <w:rPr>
          <w:rFonts w:ascii="Times New Roman" w:hAnsi="Times New Roman"/>
          <w:sz w:val="28"/>
          <w:szCs w:val="28"/>
          <w:lang w:val="en-US"/>
        </w:rPr>
        <w:t>670-</w:t>
      </w:r>
      <w:r w:rsidRPr="00BE086B">
        <w:rPr>
          <w:rFonts w:ascii="Times New Roman" w:hAnsi="Times New Roman"/>
          <w:sz w:val="28"/>
          <w:szCs w:val="28"/>
          <w:lang w:val="uk-UA"/>
        </w:rPr>
        <w:t>67</w:t>
      </w:r>
      <w:r w:rsidRPr="00BE086B">
        <w:rPr>
          <w:rFonts w:ascii="Times New Roman" w:hAnsi="Times New Roman"/>
          <w:sz w:val="28"/>
          <w:szCs w:val="28"/>
          <w:lang w:val="en-US"/>
        </w:rPr>
        <w:t>9.</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rPr>
      </w:pPr>
      <w:r w:rsidRPr="00BE086B">
        <w:rPr>
          <w:rFonts w:ascii="Times New Roman" w:hAnsi="Times New Roman"/>
          <w:sz w:val="28"/>
          <w:szCs w:val="28"/>
          <w:lang w:val="en-US"/>
        </w:rPr>
        <w:t xml:space="preserve">Garnero P., Ayral X., Rousseau J.-C., Christgau S. Uncoupling of type II collagen synthesis and degradation predicts progression of joint damage in patients with knee osteoarthritis. </w:t>
      </w:r>
      <w:r w:rsidRPr="00BE086B">
        <w:rPr>
          <w:rFonts w:ascii="Times New Roman" w:hAnsi="Times New Roman"/>
          <w:sz w:val="28"/>
          <w:szCs w:val="28"/>
          <w:lang w:val="uk-UA"/>
        </w:rPr>
        <w:t>Arthritis Rheum.</w:t>
      </w:r>
      <w:r w:rsidRPr="00BE086B">
        <w:rPr>
          <w:rFonts w:ascii="Times New Roman" w:hAnsi="Times New Roman"/>
          <w:sz w:val="28"/>
          <w:szCs w:val="28"/>
          <w:lang w:val="en-US"/>
        </w:rPr>
        <w:t xml:space="preserve"> 2002</w:t>
      </w:r>
      <w:r w:rsidRPr="00BE086B">
        <w:rPr>
          <w:rFonts w:ascii="Times New Roman" w:hAnsi="Times New Roman"/>
          <w:sz w:val="28"/>
          <w:szCs w:val="28"/>
          <w:lang w:val="uk-UA"/>
        </w:rPr>
        <w:t>;</w:t>
      </w:r>
      <w:r w:rsidRPr="00BE086B">
        <w:rPr>
          <w:rFonts w:ascii="Times New Roman" w:hAnsi="Times New Roman"/>
          <w:sz w:val="28"/>
          <w:szCs w:val="28"/>
          <w:lang w:val="en-US"/>
        </w:rPr>
        <w:t xml:space="preserve"> </w:t>
      </w:r>
      <w:r w:rsidRPr="00BE086B">
        <w:rPr>
          <w:rFonts w:ascii="Times New Roman" w:hAnsi="Times New Roman"/>
          <w:sz w:val="28"/>
          <w:szCs w:val="28"/>
        </w:rPr>
        <w:t>46, 10</w:t>
      </w:r>
      <w:r w:rsidRPr="00BE086B">
        <w:rPr>
          <w:rFonts w:ascii="Times New Roman" w:hAnsi="Times New Roman"/>
          <w:sz w:val="28"/>
          <w:szCs w:val="28"/>
          <w:lang w:val="uk-UA"/>
        </w:rPr>
        <w:t>:</w:t>
      </w:r>
      <w:r w:rsidRPr="00BE086B">
        <w:rPr>
          <w:rFonts w:ascii="Times New Roman" w:hAnsi="Times New Roman"/>
          <w:sz w:val="28"/>
          <w:szCs w:val="28"/>
        </w:rPr>
        <w:t xml:space="preserve"> 2613</w:t>
      </w:r>
      <w:r w:rsidRPr="00BE086B">
        <w:rPr>
          <w:rFonts w:ascii="Times New Roman" w:hAnsi="Times New Roman"/>
          <w:sz w:val="28"/>
          <w:szCs w:val="28"/>
          <w:lang w:val="en-US"/>
        </w:rPr>
        <w:t>-</w:t>
      </w:r>
      <w:r w:rsidRPr="00BE086B">
        <w:rPr>
          <w:rFonts w:ascii="Times New Roman" w:hAnsi="Times New Roman"/>
          <w:sz w:val="28"/>
          <w:szCs w:val="28"/>
          <w:lang w:val="uk-UA"/>
        </w:rPr>
        <w:t>26</w:t>
      </w:r>
      <w:r w:rsidRPr="00BE086B">
        <w:rPr>
          <w:rFonts w:ascii="Times New Roman" w:hAnsi="Times New Roman"/>
          <w:sz w:val="28"/>
          <w:szCs w:val="28"/>
        </w:rPr>
        <w:t>24</w:t>
      </w:r>
      <w:r w:rsidRPr="00BE086B">
        <w:rPr>
          <w:rFonts w:ascii="Times New Roman" w:hAnsi="Times New Roman"/>
          <w:sz w:val="28"/>
          <w:szCs w:val="28"/>
          <w:lang w:val="uk-UA"/>
        </w:rPr>
        <w:t>.</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en-US"/>
        </w:rPr>
      </w:pPr>
      <w:r w:rsidRPr="00BE086B">
        <w:rPr>
          <w:rFonts w:ascii="Times New Roman" w:hAnsi="Times New Roman"/>
          <w:sz w:val="28"/>
          <w:szCs w:val="28"/>
          <w:lang w:val="en-US"/>
        </w:rPr>
        <w:t xml:space="preserve">Watari T., Naito K., Sakamoto K., Kurosawa H. </w:t>
      </w:r>
      <w:r w:rsidRPr="00BE086B">
        <w:rPr>
          <w:rFonts w:ascii="Times New Roman" w:hAnsi="Times New Roman"/>
          <w:bCs/>
          <w:sz w:val="28"/>
          <w:szCs w:val="28"/>
          <w:lang w:val="en-US"/>
        </w:rPr>
        <w:t>Evaluation of the effect of oxidative stress on articular cartilage in spontaneously osteoarthritic STR/OrtCrlj mice by measuring the biomarkers for oxidative stress and type II collagen degradation/synthesis.</w:t>
      </w:r>
      <w:r w:rsidRPr="00BE086B">
        <w:rPr>
          <w:rFonts w:ascii="Times New Roman" w:hAnsi="Times New Roman"/>
          <w:sz w:val="28"/>
          <w:szCs w:val="28"/>
          <w:lang w:val="en-US"/>
        </w:rPr>
        <w:t xml:space="preserve"> Experimental and Therapeutic Medicine. 2011</w:t>
      </w:r>
      <w:r w:rsidRPr="00BE086B">
        <w:rPr>
          <w:rFonts w:ascii="Times New Roman" w:hAnsi="Times New Roman"/>
          <w:sz w:val="28"/>
          <w:szCs w:val="28"/>
          <w:lang w:val="uk-UA"/>
        </w:rPr>
        <w:t>;</w:t>
      </w:r>
      <w:r w:rsidRPr="00BE086B">
        <w:rPr>
          <w:rFonts w:ascii="Times New Roman" w:hAnsi="Times New Roman"/>
          <w:sz w:val="28"/>
          <w:szCs w:val="28"/>
          <w:lang w:val="en-US"/>
        </w:rPr>
        <w:t xml:space="preserve"> 2: 245-50.</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en-US"/>
        </w:rPr>
      </w:pPr>
      <w:r w:rsidRPr="00BE086B">
        <w:rPr>
          <w:rFonts w:ascii="Times New Roman" w:hAnsi="Times New Roman"/>
          <w:bCs/>
          <w:sz w:val="28"/>
          <w:szCs w:val="28"/>
          <w:lang w:val="en-US"/>
        </w:rPr>
        <w:t>Yarmola E</w:t>
      </w:r>
      <w:r w:rsidRPr="00BE086B">
        <w:rPr>
          <w:rFonts w:ascii="Times New Roman" w:hAnsi="Times New Roman"/>
          <w:bCs/>
          <w:sz w:val="28"/>
          <w:szCs w:val="28"/>
          <w:lang w:val="uk-UA"/>
        </w:rPr>
        <w:t>.</w:t>
      </w:r>
      <w:r w:rsidRPr="00BE086B">
        <w:rPr>
          <w:rFonts w:ascii="Times New Roman" w:hAnsi="Times New Roman"/>
          <w:bCs/>
          <w:sz w:val="28"/>
          <w:szCs w:val="28"/>
          <w:lang w:val="en-US"/>
        </w:rPr>
        <w:t>G.</w:t>
      </w:r>
      <w:r w:rsidRPr="00BE086B">
        <w:rPr>
          <w:rFonts w:ascii="Times New Roman" w:hAnsi="Times New Roman"/>
          <w:sz w:val="28"/>
          <w:szCs w:val="28"/>
          <w:lang w:val="en-US"/>
        </w:rPr>
        <w:t xml:space="preserve">, </w:t>
      </w:r>
      <w:r w:rsidRPr="00BE086B">
        <w:rPr>
          <w:rFonts w:ascii="Times New Roman" w:hAnsi="Times New Roman"/>
          <w:bCs/>
          <w:sz w:val="28"/>
          <w:szCs w:val="28"/>
          <w:lang w:val="en-US"/>
        </w:rPr>
        <w:t>Shah Y</w:t>
      </w:r>
      <w:r w:rsidRPr="00BE086B">
        <w:rPr>
          <w:rFonts w:ascii="Times New Roman" w:hAnsi="Times New Roman"/>
          <w:bCs/>
          <w:sz w:val="28"/>
          <w:szCs w:val="28"/>
          <w:lang w:val="uk-UA"/>
        </w:rPr>
        <w:t>.</w:t>
      </w:r>
      <w:r w:rsidRPr="00BE086B">
        <w:rPr>
          <w:rFonts w:ascii="Times New Roman" w:hAnsi="Times New Roman"/>
          <w:bCs/>
          <w:sz w:val="28"/>
          <w:szCs w:val="28"/>
          <w:lang w:val="en-US"/>
        </w:rPr>
        <w:t>Y.</w:t>
      </w:r>
      <w:r w:rsidRPr="00BE086B">
        <w:rPr>
          <w:rFonts w:ascii="Times New Roman" w:hAnsi="Times New Roman"/>
          <w:sz w:val="28"/>
          <w:szCs w:val="28"/>
          <w:lang w:val="en-US"/>
        </w:rPr>
        <w:t xml:space="preserve">, </w:t>
      </w:r>
      <w:r w:rsidRPr="00BE086B">
        <w:rPr>
          <w:rFonts w:ascii="Times New Roman" w:hAnsi="Times New Roman"/>
          <w:bCs/>
          <w:sz w:val="28"/>
          <w:szCs w:val="28"/>
          <w:lang w:val="en-US"/>
        </w:rPr>
        <w:t>Kloefkorn H</w:t>
      </w:r>
      <w:r w:rsidRPr="00BE086B">
        <w:rPr>
          <w:rFonts w:ascii="Times New Roman" w:hAnsi="Times New Roman"/>
          <w:bCs/>
          <w:sz w:val="28"/>
          <w:szCs w:val="28"/>
          <w:lang w:val="uk-UA"/>
        </w:rPr>
        <w:t>.</w:t>
      </w:r>
      <w:r w:rsidRPr="00BE086B">
        <w:rPr>
          <w:rFonts w:ascii="Times New Roman" w:hAnsi="Times New Roman"/>
          <w:bCs/>
          <w:sz w:val="28"/>
          <w:szCs w:val="28"/>
          <w:lang w:val="en-US"/>
        </w:rPr>
        <w:t>E.</w:t>
      </w:r>
      <w:r w:rsidRPr="00BE086B">
        <w:rPr>
          <w:rFonts w:ascii="Times New Roman" w:hAnsi="Times New Roman"/>
          <w:sz w:val="28"/>
          <w:szCs w:val="28"/>
          <w:lang w:val="en-US"/>
        </w:rPr>
        <w:t xml:space="preserve">, </w:t>
      </w:r>
      <w:r w:rsidRPr="00BE086B">
        <w:rPr>
          <w:rFonts w:ascii="Times New Roman" w:hAnsi="Times New Roman"/>
          <w:bCs/>
          <w:sz w:val="28"/>
          <w:szCs w:val="28"/>
          <w:lang w:val="en-US"/>
        </w:rPr>
        <w:t>Dobson J.</w:t>
      </w:r>
      <w:r w:rsidRPr="00BE086B">
        <w:rPr>
          <w:rFonts w:ascii="Times New Roman" w:hAnsi="Times New Roman"/>
          <w:sz w:val="28"/>
          <w:szCs w:val="28"/>
          <w:lang w:val="en-US"/>
        </w:rPr>
        <w:t xml:space="preserve">, </w:t>
      </w:r>
      <w:r w:rsidRPr="00BE086B">
        <w:rPr>
          <w:rFonts w:ascii="Times New Roman" w:hAnsi="Times New Roman"/>
          <w:bCs/>
          <w:sz w:val="28"/>
          <w:szCs w:val="28"/>
          <w:lang w:val="en-US"/>
        </w:rPr>
        <w:t>Allen K</w:t>
      </w:r>
      <w:r w:rsidRPr="00BE086B">
        <w:rPr>
          <w:rFonts w:ascii="Times New Roman" w:hAnsi="Times New Roman"/>
          <w:bCs/>
          <w:sz w:val="28"/>
          <w:szCs w:val="28"/>
          <w:lang w:val="uk-UA"/>
        </w:rPr>
        <w:t>.</w:t>
      </w:r>
      <w:r w:rsidRPr="00BE086B">
        <w:rPr>
          <w:rFonts w:ascii="Times New Roman" w:hAnsi="Times New Roman"/>
          <w:bCs/>
          <w:sz w:val="28"/>
          <w:szCs w:val="28"/>
          <w:lang w:val="en-US"/>
        </w:rPr>
        <w:t xml:space="preserve">D. Comparing intra-articular CTXII levels assessed via magnetic capture or lavage in a rat knee osteoarthritis model. </w:t>
      </w:r>
      <w:r w:rsidRPr="00BE086B">
        <w:rPr>
          <w:rFonts w:ascii="Times New Roman" w:hAnsi="Times New Roman"/>
          <w:sz w:val="28"/>
          <w:szCs w:val="28"/>
          <w:lang w:val="en-US"/>
        </w:rPr>
        <w:t>Osteoarthritis Cartilage. 2017</w:t>
      </w:r>
      <w:r w:rsidRPr="00BE086B">
        <w:rPr>
          <w:rFonts w:ascii="Times New Roman" w:hAnsi="Times New Roman"/>
          <w:sz w:val="28"/>
          <w:szCs w:val="28"/>
          <w:lang w:val="uk-UA"/>
        </w:rPr>
        <w:t>;</w:t>
      </w:r>
      <w:r w:rsidRPr="00BE086B">
        <w:rPr>
          <w:rFonts w:ascii="Times New Roman" w:hAnsi="Times New Roman"/>
          <w:sz w:val="28"/>
          <w:szCs w:val="28"/>
          <w:lang w:val="en-US"/>
        </w:rPr>
        <w:t xml:space="preserve"> 25(7):1189-</w:t>
      </w:r>
      <w:r w:rsidRPr="00BE086B">
        <w:rPr>
          <w:rFonts w:ascii="Times New Roman" w:hAnsi="Times New Roman"/>
          <w:sz w:val="28"/>
          <w:szCs w:val="28"/>
          <w:lang w:val="uk-UA"/>
        </w:rPr>
        <w:t>11</w:t>
      </w:r>
      <w:r w:rsidRPr="00BE086B">
        <w:rPr>
          <w:rFonts w:ascii="Times New Roman" w:hAnsi="Times New Roman"/>
          <w:sz w:val="28"/>
          <w:szCs w:val="28"/>
          <w:lang w:val="en-US"/>
        </w:rPr>
        <w:t>94.</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en-US"/>
        </w:rPr>
      </w:pPr>
      <w:r w:rsidRPr="00BE086B">
        <w:rPr>
          <w:rFonts w:ascii="Times New Roman" w:hAnsi="Times New Roman"/>
          <w:sz w:val="28"/>
          <w:szCs w:val="28"/>
          <w:lang w:val="en-US"/>
        </w:rPr>
        <w:t>Mannelli L</w:t>
      </w:r>
      <w:r w:rsidRPr="00BE086B">
        <w:rPr>
          <w:rFonts w:ascii="Times New Roman" w:hAnsi="Times New Roman"/>
          <w:sz w:val="28"/>
          <w:szCs w:val="28"/>
          <w:lang w:val="uk-UA"/>
        </w:rPr>
        <w:t>.</w:t>
      </w:r>
      <w:r w:rsidRPr="00BE086B">
        <w:rPr>
          <w:rFonts w:ascii="Times New Roman" w:hAnsi="Times New Roman"/>
          <w:sz w:val="28"/>
          <w:szCs w:val="28"/>
          <w:lang w:val="en-US"/>
        </w:rPr>
        <w:t>C</w:t>
      </w:r>
      <w:r w:rsidRPr="00BE086B">
        <w:rPr>
          <w:rFonts w:ascii="Times New Roman" w:hAnsi="Times New Roman"/>
          <w:sz w:val="28"/>
          <w:szCs w:val="28"/>
          <w:lang w:val="uk-UA"/>
        </w:rPr>
        <w:t>.</w:t>
      </w:r>
      <w:r w:rsidRPr="00BE086B">
        <w:rPr>
          <w:rFonts w:ascii="Times New Roman" w:hAnsi="Times New Roman"/>
          <w:sz w:val="28"/>
          <w:szCs w:val="28"/>
          <w:lang w:val="en-US"/>
        </w:rPr>
        <w:t>, Micheli L</w:t>
      </w:r>
      <w:r w:rsidRPr="00BE086B">
        <w:rPr>
          <w:rFonts w:ascii="Times New Roman" w:hAnsi="Times New Roman"/>
          <w:sz w:val="28"/>
          <w:szCs w:val="28"/>
          <w:lang w:val="uk-UA"/>
        </w:rPr>
        <w:t>.</w:t>
      </w:r>
      <w:r w:rsidRPr="00BE086B">
        <w:rPr>
          <w:rFonts w:ascii="Times New Roman" w:hAnsi="Times New Roman"/>
          <w:sz w:val="28"/>
          <w:szCs w:val="28"/>
          <w:lang w:val="en-US"/>
        </w:rPr>
        <w:t>, Zanardelli M</w:t>
      </w:r>
      <w:r w:rsidRPr="00BE086B">
        <w:rPr>
          <w:rFonts w:ascii="Times New Roman" w:hAnsi="Times New Roman"/>
          <w:sz w:val="28"/>
          <w:szCs w:val="28"/>
          <w:lang w:val="uk-UA"/>
        </w:rPr>
        <w:t>.</w:t>
      </w:r>
      <w:r w:rsidRPr="00BE086B">
        <w:rPr>
          <w:rFonts w:ascii="Times New Roman" w:hAnsi="Times New Roman"/>
          <w:sz w:val="28"/>
          <w:szCs w:val="28"/>
          <w:lang w:val="en-US"/>
        </w:rPr>
        <w:t>, Ghelardini</w:t>
      </w:r>
      <w:r w:rsidRPr="00BE086B">
        <w:rPr>
          <w:rFonts w:ascii="Times New Roman" w:hAnsi="Times New Roman"/>
          <w:sz w:val="28"/>
          <w:szCs w:val="28"/>
          <w:lang w:val="uk-UA"/>
        </w:rPr>
        <w:t xml:space="preserve"> </w:t>
      </w:r>
      <w:r w:rsidRPr="00BE086B">
        <w:rPr>
          <w:rFonts w:ascii="Times New Roman" w:hAnsi="Times New Roman"/>
          <w:sz w:val="28"/>
          <w:szCs w:val="28"/>
          <w:lang w:val="en-US"/>
        </w:rPr>
        <w:t>C. Low dose native type II collagen prevents pain in</w:t>
      </w:r>
      <w:r w:rsidRPr="00BE086B">
        <w:rPr>
          <w:rFonts w:ascii="Times New Roman" w:hAnsi="Times New Roman"/>
          <w:sz w:val="28"/>
          <w:szCs w:val="28"/>
          <w:lang w:val="uk-UA"/>
        </w:rPr>
        <w:t xml:space="preserve"> </w:t>
      </w:r>
      <w:r w:rsidRPr="00BE086B">
        <w:rPr>
          <w:rFonts w:ascii="Times New Roman" w:hAnsi="Times New Roman"/>
          <w:sz w:val="28"/>
          <w:szCs w:val="28"/>
          <w:lang w:val="en-US"/>
        </w:rPr>
        <w:t>a rat osteoarthritis model. BMC Musculoskeletal Disorders 2013</w:t>
      </w:r>
      <w:r w:rsidRPr="00BE086B">
        <w:rPr>
          <w:rFonts w:ascii="Times New Roman" w:hAnsi="Times New Roman"/>
          <w:sz w:val="28"/>
          <w:szCs w:val="28"/>
          <w:lang w:val="uk-UA"/>
        </w:rPr>
        <w:t>;</w:t>
      </w:r>
      <w:r w:rsidRPr="00BE086B">
        <w:rPr>
          <w:rFonts w:ascii="Times New Roman" w:hAnsi="Times New Roman"/>
          <w:sz w:val="28"/>
          <w:szCs w:val="28"/>
          <w:lang w:val="en-US"/>
        </w:rPr>
        <w:t xml:space="preserve"> 14:228.</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uk-UA"/>
        </w:rPr>
      </w:pPr>
      <w:r w:rsidRPr="00BE086B">
        <w:rPr>
          <w:rFonts w:ascii="Times New Roman" w:hAnsi="Times New Roman"/>
          <w:bCs/>
          <w:sz w:val="28"/>
          <w:szCs w:val="28"/>
          <w:lang w:val="en-US"/>
        </w:rPr>
        <w:t>Song Y</w:t>
      </w:r>
      <w:r w:rsidRPr="00BE086B">
        <w:rPr>
          <w:rFonts w:ascii="Times New Roman" w:hAnsi="Times New Roman"/>
          <w:bCs/>
          <w:sz w:val="28"/>
          <w:szCs w:val="28"/>
          <w:lang w:val="uk-UA"/>
        </w:rPr>
        <w:t>.</w:t>
      </w:r>
      <w:r w:rsidRPr="00BE086B">
        <w:rPr>
          <w:rFonts w:ascii="Times New Roman" w:hAnsi="Times New Roman"/>
          <w:bCs/>
          <w:sz w:val="28"/>
          <w:szCs w:val="28"/>
          <w:lang w:val="en-US"/>
        </w:rPr>
        <w:t>, Guan J</w:t>
      </w:r>
      <w:r w:rsidRPr="00BE086B">
        <w:rPr>
          <w:rFonts w:ascii="Times New Roman" w:hAnsi="Times New Roman"/>
          <w:bCs/>
          <w:sz w:val="28"/>
          <w:szCs w:val="28"/>
          <w:lang w:val="uk-UA"/>
        </w:rPr>
        <w:t>.</w:t>
      </w:r>
      <w:r w:rsidRPr="00BE086B">
        <w:rPr>
          <w:rFonts w:ascii="Times New Roman" w:hAnsi="Times New Roman"/>
          <w:bCs/>
          <w:sz w:val="28"/>
          <w:szCs w:val="28"/>
          <w:lang w:val="en-US"/>
        </w:rPr>
        <w:t>, Wang H</w:t>
      </w:r>
      <w:r w:rsidRPr="00BE086B">
        <w:rPr>
          <w:rFonts w:ascii="Times New Roman" w:hAnsi="Times New Roman"/>
          <w:bCs/>
          <w:sz w:val="28"/>
          <w:szCs w:val="28"/>
          <w:lang w:val="uk-UA"/>
        </w:rPr>
        <w:t>.</w:t>
      </w:r>
      <w:r w:rsidRPr="00BE086B">
        <w:rPr>
          <w:rFonts w:ascii="Times New Roman" w:hAnsi="Times New Roman"/>
          <w:bCs/>
          <w:sz w:val="28"/>
          <w:szCs w:val="28"/>
          <w:lang w:val="en-US"/>
        </w:rPr>
        <w:t>, Ma W</w:t>
      </w:r>
      <w:r w:rsidRPr="00BE086B">
        <w:rPr>
          <w:rFonts w:ascii="Times New Roman" w:hAnsi="Times New Roman"/>
          <w:bCs/>
          <w:sz w:val="28"/>
          <w:szCs w:val="28"/>
          <w:lang w:val="uk-UA"/>
        </w:rPr>
        <w:t>.</w:t>
      </w:r>
      <w:r w:rsidRPr="00BE086B">
        <w:rPr>
          <w:rFonts w:ascii="Times New Roman" w:hAnsi="Times New Roman"/>
          <w:bCs/>
          <w:sz w:val="28"/>
          <w:szCs w:val="28"/>
          <w:lang w:val="en-US"/>
        </w:rPr>
        <w:t xml:space="preserve"> Possible involvement of serum and synovial fluid resistin in</w:t>
      </w:r>
      <w:r w:rsidRPr="00BE086B">
        <w:rPr>
          <w:rFonts w:ascii="Times New Roman" w:hAnsi="Times New Roman"/>
          <w:bCs/>
          <w:sz w:val="28"/>
          <w:szCs w:val="28"/>
          <w:lang w:val="uk-UA"/>
        </w:rPr>
        <w:t xml:space="preserve"> </w:t>
      </w:r>
      <w:r w:rsidRPr="00BE086B">
        <w:rPr>
          <w:rFonts w:ascii="Times New Roman" w:hAnsi="Times New Roman"/>
          <w:bCs/>
          <w:sz w:val="28"/>
          <w:szCs w:val="28"/>
          <w:lang w:val="en-US"/>
        </w:rPr>
        <w:t>knee osteoarthritis: cartilage damage, clinical, and</w:t>
      </w:r>
      <w:r w:rsidRPr="00BE086B">
        <w:rPr>
          <w:rFonts w:ascii="Times New Roman" w:hAnsi="Times New Roman"/>
          <w:bCs/>
          <w:sz w:val="28"/>
          <w:szCs w:val="28"/>
          <w:lang w:val="uk-UA"/>
        </w:rPr>
        <w:t xml:space="preserve"> </w:t>
      </w:r>
      <w:r w:rsidRPr="00BE086B">
        <w:rPr>
          <w:rFonts w:ascii="Times New Roman" w:hAnsi="Times New Roman"/>
          <w:bCs/>
          <w:sz w:val="28"/>
          <w:szCs w:val="28"/>
          <w:lang w:val="en-US"/>
        </w:rPr>
        <w:t>radiological links</w:t>
      </w:r>
      <w:r w:rsidRPr="00BE086B">
        <w:rPr>
          <w:rFonts w:ascii="Times New Roman" w:hAnsi="Times New Roman"/>
          <w:bCs/>
          <w:sz w:val="28"/>
          <w:szCs w:val="28"/>
          <w:lang w:val="uk-UA"/>
        </w:rPr>
        <w:t xml:space="preserve">. </w:t>
      </w:r>
      <w:r w:rsidRPr="00BE086B">
        <w:rPr>
          <w:rFonts w:ascii="Times New Roman" w:hAnsi="Times New Roman"/>
          <w:sz w:val="28"/>
          <w:szCs w:val="28"/>
          <w:lang w:val="en-US"/>
        </w:rPr>
        <w:t>J Clinical Laboratory Analysis</w:t>
      </w:r>
      <w:r w:rsidRPr="00BE086B">
        <w:rPr>
          <w:rFonts w:ascii="Times New Roman" w:hAnsi="Times New Roman"/>
          <w:sz w:val="28"/>
          <w:szCs w:val="28"/>
          <w:lang w:val="uk-UA"/>
        </w:rPr>
        <w:t>. 2016;</w:t>
      </w:r>
      <w:r w:rsidRPr="00BE086B">
        <w:rPr>
          <w:rFonts w:ascii="Times New Roman" w:hAnsi="Times New Roman"/>
          <w:sz w:val="28"/>
          <w:szCs w:val="28"/>
          <w:lang w:val="en-US"/>
        </w:rPr>
        <w:t xml:space="preserve"> 30:437</w:t>
      </w:r>
      <w:r w:rsidRPr="00BE086B">
        <w:rPr>
          <w:rFonts w:ascii="Times New Roman" w:hAnsi="Times New Roman"/>
          <w:sz w:val="28"/>
          <w:szCs w:val="28"/>
          <w:lang w:val="uk-UA"/>
        </w:rPr>
        <w:t>-4</w:t>
      </w:r>
      <w:r w:rsidRPr="00BE086B">
        <w:rPr>
          <w:rFonts w:ascii="Times New Roman" w:hAnsi="Times New Roman"/>
          <w:sz w:val="28"/>
          <w:szCs w:val="28"/>
          <w:lang w:val="en-US"/>
        </w:rPr>
        <w:t>43</w:t>
      </w:r>
      <w:r w:rsidRPr="00BE086B">
        <w:rPr>
          <w:rFonts w:ascii="Times New Roman" w:hAnsi="Times New Roman"/>
          <w:sz w:val="28"/>
          <w:szCs w:val="28"/>
          <w:lang w:val="uk-UA"/>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eastAsia="ru-RU"/>
        </w:rPr>
      </w:pPr>
      <w:r w:rsidRPr="00BE086B">
        <w:rPr>
          <w:sz w:val="28"/>
          <w:szCs w:val="28"/>
          <w:lang w:val="en-US"/>
        </w:rPr>
        <w:t>Kumm</w:t>
      </w:r>
      <w:r w:rsidRPr="00BE086B">
        <w:rPr>
          <w:sz w:val="28"/>
          <w:szCs w:val="28"/>
          <w:lang w:val="uk-UA"/>
        </w:rPr>
        <w:t xml:space="preserve"> </w:t>
      </w:r>
      <w:r w:rsidRPr="00BE086B">
        <w:rPr>
          <w:sz w:val="28"/>
          <w:szCs w:val="28"/>
          <w:lang w:val="en-US"/>
        </w:rPr>
        <w:t>J</w:t>
      </w:r>
      <w:r w:rsidRPr="00BE086B">
        <w:rPr>
          <w:sz w:val="28"/>
          <w:szCs w:val="28"/>
          <w:lang w:val="uk-UA"/>
        </w:rPr>
        <w:t xml:space="preserve">., </w:t>
      </w:r>
      <w:r w:rsidRPr="00BE086B">
        <w:rPr>
          <w:sz w:val="28"/>
          <w:szCs w:val="28"/>
          <w:lang w:val="en-US"/>
        </w:rPr>
        <w:t>Tamm</w:t>
      </w:r>
      <w:r w:rsidRPr="00BE086B">
        <w:rPr>
          <w:sz w:val="28"/>
          <w:szCs w:val="28"/>
          <w:lang w:val="uk-UA"/>
        </w:rPr>
        <w:t xml:space="preserve"> </w:t>
      </w:r>
      <w:r w:rsidRPr="00BE086B">
        <w:rPr>
          <w:sz w:val="28"/>
          <w:szCs w:val="28"/>
          <w:lang w:val="en-US"/>
        </w:rPr>
        <w:t>A</w:t>
      </w:r>
      <w:r w:rsidRPr="00BE086B">
        <w:rPr>
          <w:sz w:val="28"/>
          <w:szCs w:val="28"/>
          <w:lang w:val="uk-UA"/>
        </w:rPr>
        <w:t xml:space="preserve">., </w:t>
      </w:r>
      <w:r w:rsidRPr="00BE086B">
        <w:rPr>
          <w:sz w:val="28"/>
          <w:szCs w:val="28"/>
          <w:lang w:val="en-US"/>
        </w:rPr>
        <w:t>Lintrop</w:t>
      </w:r>
      <w:r w:rsidRPr="00BE086B">
        <w:rPr>
          <w:sz w:val="28"/>
          <w:szCs w:val="28"/>
          <w:lang w:val="uk-UA"/>
        </w:rPr>
        <w:t xml:space="preserve"> </w:t>
      </w:r>
      <w:r w:rsidRPr="00BE086B">
        <w:rPr>
          <w:sz w:val="28"/>
          <w:szCs w:val="28"/>
          <w:lang w:val="en-US"/>
        </w:rPr>
        <w:t>M</w:t>
      </w:r>
      <w:r w:rsidRPr="00BE086B">
        <w:rPr>
          <w:sz w:val="28"/>
          <w:szCs w:val="28"/>
          <w:lang w:val="uk-UA"/>
        </w:rPr>
        <w:t xml:space="preserve">., </w:t>
      </w:r>
      <w:r w:rsidRPr="00BE086B">
        <w:rPr>
          <w:sz w:val="28"/>
          <w:szCs w:val="28"/>
          <w:lang w:val="en-US"/>
        </w:rPr>
        <w:t>Tamm</w:t>
      </w:r>
      <w:r w:rsidRPr="00BE086B">
        <w:rPr>
          <w:sz w:val="28"/>
          <w:szCs w:val="28"/>
          <w:lang w:val="uk-UA"/>
        </w:rPr>
        <w:t xml:space="preserve"> </w:t>
      </w:r>
      <w:r w:rsidRPr="00BE086B">
        <w:rPr>
          <w:sz w:val="28"/>
          <w:szCs w:val="28"/>
          <w:lang w:val="en-US"/>
        </w:rPr>
        <w:t>A</w:t>
      </w:r>
      <w:r w:rsidRPr="00BE086B">
        <w:rPr>
          <w:sz w:val="28"/>
          <w:szCs w:val="28"/>
          <w:lang w:val="uk-UA"/>
        </w:rPr>
        <w:t xml:space="preserve">. </w:t>
      </w:r>
      <w:r w:rsidRPr="00BE086B">
        <w:rPr>
          <w:sz w:val="28"/>
          <w:szCs w:val="28"/>
          <w:lang w:val="en-US"/>
        </w:rPr>
        <w:t>The</w:t>
      </w:r>
      <w:r w:rsidRPr="00BE086B">
        <w:rPr>
          <w:sz w:val="28"/>
          <w:szCs w:val="28"/>
          <w:lang w:val="uk-UA"/>
        </w:rPr>
        <w:t xml:space="preserve"> </w:t>
      </w:r>
      <w:r w:rsidRPr="00BE086B">
        <w:rPr>
          <w:sz w:val="28"/>
          <w:szCs w:val="28"/>
          <w:lang w:val="en-US"/>
        </w:rPr>
        <w:t>value</w:t>
      </w:r>
      <w:r w:rsidRPr="00BE086B">
        <w:rPr>
          <w:sz w:val="28"/>
          <w:szCs w:val="28"/>
          <w:lang w:val="uk-UA"/>
        </w:rPr>
        <w:t xml:space="preserve"> </w:t>
      </w:r>
      <w:r w:rsidRPr="00BE086B">
        <w:rPr>
          <w:sz w:val="28"/>
          <w:szCs w:val="28"/>
          <w:lang w:val="en-US"/>
        </w:rPr>
        <w:t>of</w:t>
      </w:r>
      <w:r w:rsidRPr="00BE086B">
        <w:rPr>
          <w:sz w:val="28"/>
          <w:szCs w:val="28"/>
          <w:lang w:val="uk-UA"/>
        </w:rPr>
        <w:t xml:space="preserve"> </w:t>
      </w:r>
      <w:r w:rsidRPr="00BE086B">
        <w:rPr>
          <w:sz w:val="28"/>
          <w:szCs w:val="28"/>
          <w:lang w:val="en-US"/>
        </w:rPr>
        <w:t>cartilage</w:t>
      </w:r>
      <w:r w:rsidRPr="00BE086B">
        <w:rPr>
          <w:sz w:val="28"/>
          <w:szCs w:val="28"/>
          <w:lang w:val="uk-UA"/>
        </w:rPr>
        <w:t xml:space="preserve"> </w:t>
      </w:r>
      <w:r w:rsidRPr="00BE086B">
        <w:rPr>
          <w:sz w:val="28"/>
          <w:szCs w:val="28"/>
          <w:lang w:val="en-US"/>
        </w:rPr>
        <w:t>biomarkers</w:t>
      </w:r>
      <w:r w:rsidRPr="00BE086B">
        <w:rPr>
          <w:sz w:val="28"/>
          <w:szCs w:val="28"/>
          <w:lang w:val="uk-UA"/>
        </w:rPr>
        <w:t xml:space="preserve"> </w:t>
      </w:r>
      <w:r w:rsidRPr="00BE086B">
        <w:rPr>
          <w:sz w:val="28"/>
          <w:szCs w:val="28"/>
          <w:lang w:val="en-US"/>
        </w:rPr>
        <w:t>in</w:t>
      </w:r>
      <w:r w:rsidRPr="00BE086B">
        <w:rPr>
          <w:sz w:val="28"/>
          <w:szCs w:val="28"/>
          <w:lang w:val="uk-UA"/>
        </w:rPr>
        <w:t xml:space="preserve"> </w:t>
      </w:r>
      <w:r w:rsidRPr="00BE086B">
        <w:rPr>
          <w:sz w:val="28"/>
          <w:szCs w:val="28"/>
          <w:lang w:val="en-US"/>
        </w:rPr>
        <w:t>progressive</w:t>
      </w:r>
      <w:r w:rsidRPr="00BE086B">
        <w:rPr>
          <w:sz w:val="28"/>
          <w:szCs w:val="28"/>
          <w:lang w:val="uk-UA"/>
        </w:rPr>
        <w:t xml:space="preserve"> </w:t>
      </w:r>
      <w:r w:rsidRPr="00BE086B">
        <w:rPr>
          <w:sz w:val="28"/>
          <w:szCs w:val="28"/>
          <w:lang w:val="en-US"/>
        </w:rPr>
        <w:t>knee</w:t>
      </w:r>
      <w:r w:rsidRPr="00BE086B">
        <w:rPr>
          <w:sz w:val="28"/>
          <w:szCs w:val="28"/>
          <w:lang w:val="uk-UA"/>
        </w:rPr>
        <w:t xml:space="preserve"> </w:t>
      </w:r>
      <w:r w:rsidRPr="00BE086B">
        <w:rPr>
          <w:sz w:val="28"/>
          <w:szCs w:val="28"/>
          <w:lang w:val="en-US"/>
        </w:rPr>
        <w:t>osteoarthritis</w:t>
      </w:r>
      <w:r w:rsidRPr="00BE086B">
        <w:rPr>
          <w:sz w:val="28"/>
          <w:szCs w:val="28"/>
          <w:lang w:val="uk-UA"/>
        </w:rPr>
        <w:t xml:space="preserve">: </w:t>
      </w:r>
      <w:r w:rsidRPr="00BE086B">
        <w:rPr>
          <w:sz w:val="28"/>
          <w:szCs w:val="28"/>
          <w:lang w:val="en-US"/>
        </w:rPr>
        <w:t>cross</w:t>
      </w:r>
      <w:r w:rsidRPr="00BE086B">
        <w:rPr>
          <w:sz w:val="28"/>
          <w:szCs w:val="28"/>
          <w:lang w:val="uk-UA"/>
        </w:rPr>
        <w:t>-</w:t>
      </w:r>
      <w:r w:rsidRPr="00BE086B">
        <w:rPr>
          <w:sz w:val="28"/>
          <w:szCs w:val="28"/>
          <w:lang w:val="en-US"/>
        </w:rPr>
        <w:t>sectional</w:t>
      </w:r>
      <w:r w:rsidRPr="00BE086B">
        <w:rPr>
          <w:sz w:val="28"/>
          <w:szCs w:val="28"/>
          <w:lang w:val="uk-UA"/>
        </w:rPr>
        <w:t xml:space="preserve"> </w:t>
      </w:r>
      <w:r w:rsidRPr="00BE086B">
        <w:rPr>
          <w:sz w:val="28"/>
          <w:szCs w:val="28"/>
          <w:lang w:val="en-US"/>
        </w:rPr>
        <w:t>and</w:t>
      </w:r>
      <w:r w:rsidRPr="00BE086B">
        <w:rPr>
          <w:sz w:val="28"/>
          <w:szCs w:val="28"/>
          <w:lang w:val="uk-UA"/>
        </w:rPr>
        <w:t xml:space="preserve"> 6-</w:t>
      </w:r>
      <w:r w:rsidRPr="00BE086B">
        <w:rPr>
          <w:sz w:val="28"/>
          <w:szCs w:val="28"/>
          <w:lang w:val="en-US"/>
        </w:rPr>
        <w:t>year</w:t>
      </w:r>
      <w:r w:rsidRPr="00BE086B">
        <w:rPr>
          <w:sz w:val="28"/>
          <w:szCs w:val="28"/>
          <w:lang w:val="uk-UA"/>
        </w:rPr>
        <w:t xml:space="preserve"> </w:t>
      </w:r>
      <w:r w:rsidRPr="00BE086B">
        <w:rPr>
          <w:sz w:val="28"/>
          <w:szCs w:val="28"/>
          <w:lang w:val="en-US"/>
        </w:rPr>
        <w:t>follow</w:t>
      </w:r>
      <w:r w:rsidRPr="00BE086B">
        <w:rPr>
          <w:sz w:val="28"/>
          <w:szCs w:val="28"/>
          <w:lang w:val="uk-UA"/>
        </w:rPr>
        <w:t>-</w:t>
      </w:r>
      <w:r w:rsidRPr="00BE086B">
        <w:rPr>
          <w:sz w:val="28"/>
          <w:szCs w:val="28"/>
          <w:lang w:val="en-US"/>
        </w:rPr>
        <w:t>up</w:t>
      </w:r>
      <w:r w:rsidRPr="00BE086B">
        <w:rPr>
          <w:sz w:val="28"/>
          <w:szCs w:val="28"/>
          <w:lang w:val="uk-UA"/>
        </w:rPr>
        <w:t xml:space="preserve"> </w:t>
      </w:r>
      <w:r w:rsidRPr="00BE086B">
        <w:rPr>
          <w:sz w:val="28"/>
          <w:szCs w:val="28"/>
          <w:lang w:val="en-US"/>
        </w:rPr>
        <w:t>study</w:t>
      </w:r>
      <w:r w:rsidRPr="00BE086B">
        <w:rPr>
          <w:sz w:val="28"/>
          <w:szCs w:val="28"/>
          <w:lang w:val="uk-UA"/>
        </w:rPr>
        <w:t xml:space="preserve"> </w:t>
      </w:r>
      <w:r w:rsidRPr="00BE086B">
        <w:rPr>
          <w:sz w:val="28"/>
          <w:szCs w:val="28"/>
          <w:lang w:val="en-US"/>
        </w:rPr>
        <w:t>in</w:t>
      </w:r>
      <w:r w:rsidRPr="00BE086B">
        <w:rPr>
          <w:sz w:val="28"/>
          <w:szCs w:val="28"/>
          <w:lang w:val="uk-UA"/>
        </w:rPr>
        <w:t xml:space="preserve"> </w:t>
      </w:r>
      <w:r w:rsidRPr="00BE086B">
        <w:rPr>
          <w:sz w:val="28"/>
          <w:szCs w:val="28"/>
          <w:lang w:val="en-US"/>
        </w:rPr>
        <w:t>middle</w:t>
      </w:r>
      <w:r w:rsidRPr="00BE086B">
        <w:rPr>
          <w:sz w:val="28"/>
          <w:szCs w:val="28"/>
          <w:lang w:val="uk-UA"/>
        </w:rPr>
        <w:t>-</w:t>
      </w:r>
      <w:r w:rsidRPr="00BE086B">
        <w:rPr>
          <w:sz w:val="28"/>
          <w:szCs w:val="28"/>
          <w:lang w:val="en-US"/>
        </w:rPr>
        <w:t>aged</w:t>
      </w:r>
      <w:r w:rsidRPr="00BE086B">
        <w:rPr>
          <w:sz w:val="28"/>
          <w:szCs w:val="28"/>
          <w:lang w:val="uk-UA"/>
        </w:rPr>
        <w:t xml:space="preserve"> </w:t>
      </w:r>
      <w:r w:rsidRPr="00BE086B">
        <w:rPr>
          <w:sz w:val="28"/>
          <w:szCs w:val="28"/>
          <w:lang w:val="en-US"/>
        </w:rPr>
        <w:t>subjects</w:t>
      </w:r>
      <w:r w:rsidRPr="00BE086B">
        <w:rPr>
          <w:sz w:val="28"/>
          <w:szCs w:val="28"/>
          <w:lang w:val="uk-UA"/>
        </w:rPr>
        <w:t xml:space="preserve">. </w:t>
      </w:r>
      <w:r w:rsidRPr="00BE086B">
        <w:rPr>
          <w:sz w:val="28"/>
          <w:szCs w:val="28"/>
          <w:lang w:val="en-US"/>
        </w:rPr>
        <w:t>Rheumatol</w:t>
      </w:r>
      <w:r w:rsidRPr="00BE086B">
        <w:rPr>
          <w:sz w:val="28"/>
          <w:szCs w:val="28"/>
          <w:lang w:val="uk-UA"/>
        </w:rPr>
        <w:t xml:space="preserve"> </w:t>
      </w:r>
      <w:r w:rsidRPr="00BE086B">
        <w:rPr>
          <w:sz w:val="28"/>
          <w:szCs w:val="28"/>
          <w:lang w:val="en-US"/>
        </w:rPr>
        <w:t>Int</w:t>
      </w:r>
      <w:r w:rsidRPr="00BE086B">
        <w:rPr>
          <w:sz w:val="28"/>
          <w:szCs w:val="28"/>
          <w:lang w:val="uk-UA"/>
        </w:rPr>
        <w:t>. 2013; 33(4):903-911.</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en-US"/>
        </w:rPr>
      </w:pPr>
      <w:r w:rsidRPr="00BE086B">
        <w:rPr>
          <w:rFonts w:ascii="Times New Roman" w:eastAsia="Times New Roman" w:hAnsi="Times New Roman"/>
          <w:bCs/>
          <w:sz w:val="28"/>
          <w:szCs w:val="28"/>
          <w:lang w:val="en-US"/>
        </w:rPr>
        <w:t>Deveza L</w:t>
      </w:r>
      <w:r w:rsidRPr="00BE086B">
        <w:rPr>
          <w:rFonts w:ascii="Times New Roman" w:eastAsia="Times New Roman" w:hAnsi="Times New Roman"/>
          <w:bCs/>
          <w:sz w:val="28"/>
          <w:szCs w:val="28"/>
          <w:lang w:val="uk-UA"/>
        </w:rPr>
        <w:t>.</w:t>
      </w:r>
      <w:r w:rsidRPr="00BE086B">
        <w:rPr>
          <w:rFonts w:ascii="Times New Roman" w:eastAsia="Times New Roman" w:hAnsi="Times New Roman"/>
          <w:bCs/>
          <w:sz w:val="28"/>
          <w:szCs w:val="28"/>
          <w:lang w:val="en-US"/>
        </w:rPr>
        <w:t>A</w:t>
      </w:r>
      <w:r w:rsidRPr="00BE086B">
        <w:rPr>
          <w:rFonts w:ascii="Times New Roman" w:eastAsia="Times New Roman" w:hAnsi="Times New Roman"/>
          <w:bCs/>
          <w:sz w:val="28"/>
          <w:szCs w:val="28"/>
          <w:lang w:val="uk-UA"/>
        </w:rPr>
        <w:t>.</w:t>
      </w:r>
      <w:r w:rsidRPr="00BE086B">
        <w:rPr>
          <w:rFonts w:ascii="Times New Roman" w:eastAsia="Times New Roman" w:hAnsi="Times New Roman"/>
          <w:bCs/>
          <w:sz w:val="28"/>
          <w:szCs w:val="28"/>
          <w:lang w:val="en-US"/>
        </w:rPr>
        <w:t>,</w:t>
      </w:r>
      <w:r w:rsidRPr="00BE086B">
        <w:rPr>
          <w:rFonts w:ascii="Times New Roman" w:eastAsia="Times New Roman" w:hAnsi="Times New Roman"/>
          <w:sz w:val="28"/>
          <w:szCs w:val="28"/>
          <w:lang w:val="en-US"/>
        </w:rPr>
        <w:t xml:space="preserve"> </w:t>
      </w:r>
      <w:r w:rsidRPr="00BE086B">
        <w:rPr>
          <w:rFonts w:ascii="Times New Roman" w:eastAsia="Times New Roman" w:hAnsi="Times New Roman"/>
          <w:bCs/>
          <w:sz w:val="28"/>
          <w:szCs w:val="28"/>
          <w:lang w:val="en-US"/>
        </w:rPr>
        <w:t>Kraus V</w:t>
      </w:r>
      <w:r w:rsidRPr="00BE086B">
        <w:rPr>
          <w:rFonts w:ascii="Times New Roman" w:eastAsia="Times New Roman" w:hAnsi="Times New Roman"/>
          <w:bCs/>
          <w:sz w:val="28"/>
          <w:szCs w:val="28"/>
          <w:lang w:val="uk-UA"/>
        </w:rPr>
        <w:t>.</w:t>
      </w:r>
      <w:r w:rsidRPr="00BE086B">
        <w:rPr>
          <w:rFonts w:ascii="Times New Roman" w:eastAsia="Times New Roman" w:hAnsi="Times New Roman"/>
          <w:bCs/>
          <w:sz w:val="28"/>
          <w:szCs w:val="28"/>
          <w:lang w:val="en-US"/>
        </w:rPr>
        <w:t>B</w:t>
      </w:r>
      <w:r w:rsidRPr="00BE086B">
        <w:rPr>
          <w:rFonts w:ascii="Times New Roman" w:eastAsia="Times New Roman" w:hAnsi="Times New Roman"/>
          <w:bCs/>
          <w:sz w:val="28"/>
          <w:szCs w:val="28"/>
          <w:lang w:val="uk-UA"/>
        </w:rPr>
        <w:t>.</w:t>
      </w:r>
      <w:r w:rsidRPr="00BE086B">
        <w:rPr>
          <w:rFonts w:ascii="Times New Roman" w:eastAsia="Times New Roman" w:hAnsi="Times New Roman"/>
          <w:bCs/>
          <w:sz w:val="28"/>
          <w:szCs w:val="28"/>
          <w:lang w:val="en-US"/>
        </w:rPr>
        <w:t>, Collins J</w:t>
      </w:r>
      <w:r w:rsidRPr="00BE086B">
        <w:rPr>
          <w:rFonts w:ascii="Times New Roman" w:eastAsia="Times New Roman" w:hAnsi="Times New Roman"/>
          <w:bCs/>
          <w:sz w:val="28"/>
          <w:szCs w:val="28"/>
          <w:lang w:val="uk-UA"/>
        </w:rPr>
        <w:t>.</w:t>
      </w:r>
      <w:r w:rsidRPr="00BE086B">
        <w:rPr>
          <w:rFonts w:ascii="Times New Roman" w:eastAsia="Times New Roman" w:hAnsi="Times New Roman"/>
          <w:bCs/>
          <w:sz w:val="28"/>
          <w:szCs w:val="28"/>
          <w:lang w:val="en-US"/>
        </w:rPr>
        <w:t>E</w:t>
      </w:r>
      <w:r w:rsidRPr="00BE086B">
        <w:rPr>
          <w:rFonts w:ascii="Times New Roman" w:eastAsia="Times New Roman" w:hAnsi="Times New Roman"/>
          <w:bCs/>
          <w:sz w:val="28"/>
          <w:szCs w:val="28"/>
          <w:lang w:val="uk-UA"/>
        </w:rPr>
        <w:t>.</w:t>
      </w:r>
      <w:r w:rsidRPr="00BE086B">
        <w:rPr>
          <w:rFonts w:ascii="Times New Roman" w:eastAsia="Times New Roman" w:hAnsi="Times New Roman"/>
          <w:bCs/>
          <w:sz w:val="28"/>
          <w:szCs w:val="28"/>
          <w:lang w:val="en-US"/>
        </w:rPr>
        <w:t>,</w:t>
      </w:r>
      <w:r w:rsidRPr="00BE086B">
        <w:rPr>
          <w:rFonts w:ascii="Times New Roman" w:eastAsia="Times New Roman" w:hAnsi="Times New Roman"/>
          <w:sz w:val="28"/>
          <w:szCs w:val="28"/>
          <w:lang w:val="en-US"/>
        </w:rPr>
        <w:t xml:space="preserve"> </w:t>
      </w:r>
      <w:r w:rsidRPr="00BE086B">
        <w:rPr>
          <w:rFonts w:ascii="Times New Roman" w:eastAsia="Times New Roman" w:hAnsi="Times New Roman"/>
          <w:bCs/>
          <w:sz w:val="28"/>
          <w:szCs w:val="28"/>
          <w:lang w:val="en-US"/>
        </w:rPr>
        <w:t xml:space="preserve">Guermazi A. </w:t>
      </w:r>
      <w:r w:rsidRPr="00BE086B">
        <w:rPr>
          <w:rFonts w:ascii="Times New Roman" w:hAnsi="Times New Roman"/>
          <w:bCs/>
          <w:sz w:val="28"/>
          <w:szCs w:val="28"/>
          <w:lang w:val="en-US"/>
        </w:rPr>
        <w:t xml:space="preserve">The association between biochemical markers of bone turnover and bone changes on imaging – data from the osteoarthritis initiative. </w:t>
      </w:r>
      <w:r w:rsidRPr="00BE086B">
        <w:rPr>
          <w:rFonts w:ascii="Times New Roman" w:hAnsi="Times New Roman"/>
          <w:sz w:val="28"/>
          <w:szCs w:val="28"/>
          <w:lang w:val="en-US"/>
        </w:rPr>
        <w:t>Arthritis Care Res (Hoboken). 2017</w:t>
      </w:r>
      <w:r w:rsidRPr="00BE086B">
        <w:rPr>
          <w:rFonts w:ascii="Times New Roman" w:hAnsi="Times New Roman"/>
          <w:sz w:val="28"/>
          <w:szCs w:val="28"/>
          <w:lang w:val="uk-UA"/>
        </w:rPr>
        <w:t>;</w:t>
      </w:r>
      <w:r w:rsidRPr="00BE086B">
        <w:rPr>
          <w:rFonts w:ascii="Times New Roman" w:hAnsi="Times New Roman"/>
          <w:sz w:val="28"/>
          <w:szCs w:val="28"/>
          <w:lang w:val="en-US"/>
        </w:rPr>
        <w:t xml:space="preserve"> 69(8): 1179-</w:t>
      </w:r>
      <w:r w:rsidRPr="00BE086B">
        <w:rPr>
          <w:rFonts w:ascii="Times New Roman" w:hAnsi="Times New Roman"/>
          <w:sz w:val="28"/>
          <w:szCs w:val="28"/>
          <w:lang w:val="uk-UA"/>
        </w:rPr>
        <w:t>11</w:t>
      </w:r>
      <w:r w:rsidRPr="00BE086B">
        <w:rPr>
          <w:rFonts w:ascii="Times New Roman" w:hAnsi="Times New Roman"/>
          <w:sz w:val="28"/>
          <w:szCs w:val="28"/>
          <w:lang w:val="en-US"/>
        </w:rPr>
        <w:t>91.</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en-US"/>
        </w:rPr>
      </w:pPr>
      <w:r w:rsidRPr="00BE086B">
        <w:rPr>
          <w:rFonts w:ascii="Times New Roman" w:eastAsia="Times New Roman" w:hAnsi="Times New Roman"/>
          <w:sz w:val="28"/>
          <w:szCs w:val="28"/>
          <w:lang w:val="en-US"/>
        </w:rPr>
        <w:t>Isaka S</w:t>
      </w:r>
      <w:r w:rsidRPr="00BE086B">
        <w:rPr>
          <w:rFonts w:ascii="Times New Roman" w:eastAsia="Times New Roman" w:hAnsi="Times New Roman"/>
          <w:sz w:val="28"/>
          <w:szCs w:val="28"/>
          <w:lang w:val="uk-UA"/>
        </w:rPr>
        <w:t>.</w:t>
      </w:r>
      <w:r w:rsidRPr="00BE086B">
        <w:rPr>
          <w:rFonts w:ascii="Times New Roman" w:eastAsia="Times New Roman" w:hAnsi="Times New Roman"/>
          <w:sz w:val="28"/>
          <w:szCs w:val="28"/>
          <w:lang w:val="en-US"/>
        </w:rPr>
        <w:t>, Someya A</w:t>
      </w:r>
      <w:r w:rsidRPr="00BE086B">
        <w:rPr>
          <w:rFonts w:ascii="Times New Roman" w:eastAsia="Times New Roman" w:hAnsi="Times New Roman"/>
          <w:sz w:val="28"/>
          <w:szCs w:val="28"/>
          <w:lang w:val="uk-UA"/>
        </w:rPr>
        <w:t>.</w:t>
      </w:r>
      <w:r w:rsidRPr="00BE086B">
        <w:rPr>
          <w:rFonts w:ascii="Times New Roman" w:eastAsia="Times New Roman" w:hAnsi="Times New Roman"/>
          <w:sz w:val="28"/>
          <w:szCs w:val="28"/>
          <w:lang w:val="en-US"/>
        </w:rPr>
        <w:t>, Nakamura S</w:t>
      </w:r>
      <w:r w:rsidRPr="00BE086B">
        <w:rPr>
          <w:rFonts w:ascii="Times New Roman" w:eastAsia="Times New Roman" w:hAnsi="Times New Roman"/>
          <w:sz w:val="28"/>
          <w:szCs w:val="28"/>
          <w:lang w:val="uk-UA"/>
        </w:rPr>
        <w:t>.</w:t>
      </w:r>
      <w:r w:rsidRPr="00BE086B">
        <w:rPr>
          <w:rFonts w:ascii="Times New Roman" w:eastAsia="Times New Roman" w:hAnsi="Times New Roman"/>
          <w:sz w:val="28"/>
          <w:szCs w:val="28"/>
          <w:lang w:val="en-US"/>
        </w:rPr>
        <w:t>, Naito</w:t>
      </w:r>
      <w:r w:rsidRPr="00BE086B">
        <w:rPr>
          <w:rFonts w:ascii="Times New Roman" w:eastAsia="Times New Roman" w:hAnsi="Times New Roman"/>
          <w:sz w:val="28"/>
          <w:szCs w:val="28"/>
          <w:lang w:val="uk-UA"/>
        </w:rPr>
        <w:t xml:space="preserve"> </w:t>
      </w:r>
      <w:r w:rsidRPr="00BE086B">
        <w:rPr>
          <w:rFonts w:ascii="Times New Roman" w:eastAsia="Times New Roman" w:hAnsi="Times New Roman"/>
          <w:sz w:val="28"/>
          <w:szCs w:val="28"/>
          <w:lang w:val="en-US"/>
        </w:rPr>
        <w:t>K.</w:t>
      </w:r>
      <w:r w:rsidRPr="00BE086B">
        <w:rPr>
          <w:rFonts w:ascii="Times New Roman" w:hAnsi="Times New Roman"/>
          <w:sz w:val="28"/>
          <w:szCs w:val="28"/>
          <w:lang w:val="en-US"/>
        </w:rPr>
        <w:t xml:space="preserve"> </w:t>
      </w:r>
      <w:r w:rsidRPr="00BE086B">
        <w:rPr>
          <w:rFonts w:ascii="Times New Roman" w:hAnsi="Times New Roman"/>
          <w:bCs/>
          <w:sz w:val="28"/>
          <w:szCs w:val="28"/>
          <w:lang w:val="en-US"/>
        </w:rPr>
        <w:t xml:space="preserve">Evaluation of the effect of </w:t>
      </w:r>
      <w:r w:rsidRPr="00BE086B">
        <w:rPr>
          <w:rFonts w:ascii="Times New Roman" w:hAnsi="Times New Roman"/>
          <w:bCs/>
          <w:sz w:val="28"/>
          <w:szCs w:val="28"/>
          <w:lang w:val="en-US"/>
        </w:rPr>
        <w:lastRenderedPageBreak/>
        <w:t>oral administration of collagen peptides on an experimental rat osteoarthritis model.</w:t>
      </w:r>
      <w:r w:rsidRPr="00BE086B">
        <w:rPr>
          <w:rFonts w:ascii="Times New Roman" w:hAnsi="Times New Roman"/>
          <w:sz w:val="28"/>
          <w:szCs w:val="28"/>
          <w:lang w:val="en-US"/>
        </w:rPr>
        <w:t xml:space="preserve"> Experimental and therapeutic medicine. 2017</w:t>
      </w:r>
      <w:r w:rsidRPr="00BE086B">
        <w:rPr>
          <w:rFonts w:ascii="Times New Roman" w:hAnsi="Times New Roman"/>
          <w:sz w:val="28"/>
          <w:szCs w:val="28"/>
          <w:lang w:val="uk-UA"/>
        </w:rPr>
        <w:t>;</w:t>
      </w:r>
      <w:r w:rsidRPr="00BE086B">
        <w:rPr>
          <w:rFonts w:ascii="Times New Roman" w:hAnsi="Times New Roman"/>
          <w:sz w:val="28"/>
          <w:szCs w:val="28"/>
          <w:lang w:val="en-US"/>
        </w:rPr>
        <w:t xml:space="preserve"> 13:2699-2706.</w:t>
      </w:r>
    </w:p>
    <w:p w:rsidR="008B13C0" w:rsidRPr="00BE086B" w:rsidRDefault="008B13C0" w:rsidP="00611AFB">
      <w:pPr>
        <w:pStyle w:val="afd"/>
        <w:widowControl w:val="0"/>
        <w:numPr>
          <w:ilvl w:val="0"/>
          <w:numId w:val="19"/>
        </w:numPr>
        <w:suppressAutoHyphens w:val="0"/>
        <w:autoSpaceDE w:val="0"/>
        <w:autoSpaceDN w:val="0"/>
        <w:adjustRightInd w:val="0"/>
        <w:spacing w:after="0" w:line="360" w:lineRule="auto"/>
        <w:ind w:left="0" w:firstLine="709"/>
        <w:jc w:val="both"/>
        <w:rPr>
          <w:rFonts w:ascii="Times New Roman" w:hAnsi="Times New Roman"/>
          <w:sz w:val="28"/>
          <w:szCs w:val="28"/>
          <w:lang w:val="en-US"/>
        </w:rPr>
      </w:pPr>
      <w:r w:rsidRPr="00BE086B">
        <w:rPr>
          <w:rFonts w:ascii="Times New Roman" w:hAnsi="Times New Roman"/>
          <w:sz w:val="28"/>
          <w:szCs w:val="28"/>
          <w:lang w:val="en-US"/>
        </w:rPr>
        <w:t>Nielsen R.H., Bay-Jensen A.-C., Byrjalsen I., Karsdal M.A. Oral salmon calcitonin reduces cartilage and bone pathology in an osteoarthritis rat model with increased subchondral bone turnover. Osteoarthritis Cartilage. 2011</w:t>
      </w:r>
      <w:r w:rsidRPr="00BE086B">
        <w:rPr>
          <w:rFonts w:ascii="Times New Roman" w:hAnsi="Times New Roman"/>
          <w:sz w:val="28"/>
          <w:szCs w:val="28"/>
          <w:lang w:val="uk-UA"/>
        </w:rPr>
        <w:t>;</w:t>
      </w:r>
      <w:r w:rsidRPr="00BE086B">
        <w:rPr>
          <w:rFonts w:ascii="Times New Roman" w:hAnsi="Times New Roman"/>
          <w:sz w:val="28"/>
          <w:szCs w:val="28"/>
          <w:lang w:val="en-US"/>
        </w:rPr>
        <w:t>19</w:t>
      </w:r>
      <w:r w:rsidRPr="00BE086B">
        <w:rPr>
          <w:rFonts w:ascii="Times New Roman" w:hAnsi="Times New Roman"/>
          <w:sz w:val="28"/>
          <w:szCs w:val="28"/>
          <w:lang w:val="uk-UA"/>
        </w:rPr>
        <w:t>:</w:t>
      </w:r>
      <w:r w:rsidRPr="00BE086B">
        <w:rPr>
          <w:rFonts w:ascii="Times New Roman" w:hAnsi="Times New Roman"/>
          <w:sz w:val="28"/>
          <w:szCs w:val="28"/>
          <w:lang w:val="en-US"/>
        </w:rPr>
        <w:t xml:space="preserve"> 466-73.</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lang w:val="uk-UA" w:eastAsia="ru-RU"/>
        </w:rPr>
      </w:pPr>
      <w:r w:rsidRPr="00BE086B">
        <w:rPr>
          <w:sz w:val="28"/>
          <w:szCs w:val="28"/>
          <w:lang w:val="en-US" w:eastAsia="ru-RU"/>
        </w:rPr>
        <w:t>Madzuki I</w:t>
      </w:r>
      <w:r w:rsidRPr="00BE086B">
        <w:rPr>
          <w:sz w:val="28"/>
          <w:szCs w:val="28"/>
          <w:lang w:val="uk-UA" w:eastAsia="ru-RU"/>
        </w:rPr>
        <w:t>.</w:t>
      </w:r>
      <w:r w:rsidRPr="00BE086B">
        <w:rPr>
          <w:sz w:val="28"/>
          <w:szCs w:val="28"/>
          <w:lang w:val="en-US" w:eastAsia="ru-RU"/>
        </w:rPr>
        <w:t>N</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Lau S</w:t>
      </w:r>
      <w:r w:rsidRPr="00BE086B">
        <w:rPr>
          <w:sz w:val="28"/>
          <w:szCs w:val="28"/>
          <w:lang w:val="uk-UA" w:eastAsia="ru-RU"/>
        </w:rPr>
        <w:t>.</w:t>
      </w:r>
      <w:r w:rsidRPr="00BE086B">
        <w:rPr>
          <w:sz w:val="28"/>
          <w:szCs w:val="28"/>
          <w:lang w:val="en-US" w:eastAsia="ru-RU"/>
        </w:rPr>
        <w:t>F</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Che Ahmad Tantowi N</w:t>
      </w:r>
      <w:r w:rsidRPr="00BE086B">
        <w:rPr>
          <w:sz w:val="28"/>
          <w:szCs w:val="28"/>
          <w:lang w:val="uk-UA" w:eastAsia="ru-RU"/>
        </w:rPr>
        <w:t>.</w:t>
      </w:r>
      <w:r w:rsidRPr="00BE086B">
        <w:rPr>
          <w:sz w:val="28"/>
          <w:szCs w:val="28"/>
          <w:lang w:val="en-US" w:eastAsia="ru-RU"/>
        </w:rPr>
        <w:t>A</w:t>
      </w:r>
      <w:r w:rsidRPr="00BE086B">
        <w:rPr>
          <w:sz w:val="28"/>
          <w:szCs w:val="28"/>
          <w:lang w:val="uk-UA" w:eastAsia="ru-RU"/>
        </w:rPr>
        <w:t>.</w:t>
      </w:r>
      <w:r w:rsidRPr="00BE086B">
        <w:rPr>
          <w:sz w:val="28"/>
          <w:szCs w:val="28"/>
          <w:lang w:val="en-US" w:eastAsia="ru-RU"/>
        </w:rPr>
        <w:t>, Mohd Ishak N</w:t>
      </w:r>
      <w:r w:rsidRPr="00BE086B">
        <w:rPr>
          <w:sz w:val="28"/>
          <w:szCs w:val="28"/>
          <w:lang w:val="uk-UA" w:eastAsia="ru-RU"/>
        </w:rPr>
        <w:t>.</w:t>
      </w:r>
      <w:r w:rsidRPr="00BE086B">
        <w:rPr>
          <w:sz w:val="28"/>
          <w:szCs w:val="28"/>
          <w:lang w:val="en-US" w:eastAsia="ru-RU"/>
        </w:rPr>
        <w:t>I</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Mohamed S.</w:t>
      </w:r>
      <w:r w:rsidRPr="00BE086B">
        <w:rPr>
          <w:sz w:val="28"/>
          <w:szCs w:val="28"/>
          <w:lang w:val="uk-UA" w:eastAsia="ru-RU"/>
        </w:rPr>
        <w:t xml:space="preserve"> </w:t>
      </w:r>
      <w:r w:rsidRPr="00BE086B">
        <w:rPr>
          <w:bCs/>
          <w:kern w:val="36"/>
          <w:sz w:val="28"/>
          <w:szCs w:val="28"/>
          <w:lang w:val="en-US" w:eastAsia="ru-RU"/>
        </w:rPr>
        <w:t>Labisia pumila prevented osteoarthritis cartilage degeneration by attenuating joint inflammation and collagen breakdown in postmenopausal rat model.</w:t>
      </w:r>
      <w:r w:rsidRPr="00BE086B">
        <w:rPr>
          <w:bCs/>
          <w:kern w:val="36"/>
          <w:sz w:val="28"/>
          <w:szCs w:val="28"/>
          <w:lang w:val="uk-UA" w:eastAsia="ru-RU"/>
        </w:rPr>
        <w:t xml:space="preserve"> </w:t>
      </w:r>
      <w:r w:rsidRPr="00BE086B">
        <w:rPr>
          <w:sz w:val="28"/>
          <w:szCs w:val="28"/>
          <w:lang w:val="en-US" w:eastAsia="ru-RU"/>
        </w:rPr>
        <w:t>Inflammopharmacology.</w:t>
      </w:r>
      <w:r w:rsidRPr="00BE086B">
        <w:rPr>
          <w:sz w:val="28"/>
          <w:szCs w:val="28"/>
          <w:lang w:val="uk-UA" w:eastAsia="ru-RU"/>
        </w:rPr>
        <w:t xml:space="preserve"> </w:t>
      </w:r>
      <w:r w:rsidRPr="00BE086B">
        <w:rPr>
          <w:sz w:val="28"/>
          <w:szCs w:val="28"/>
          <w:lang w:val="en-US" w:eastAsia="ru-RU"/>
        </w:rPr>
        <w:t>2018</w:t>
      </w:r>
      <w:r w:rsidRPr="00BE086B">
        <w:rPr>
          <w:sz w:val="28"/>
          <w:szCs w:val="28"/>
          <w:lang w:val="uk-UA" w:eastAsia="ru-RU"/>
        </w:rPr>
        <w:t xml:space="preserve">; </w:t>
      </w:r>
      <w:r w:rsidRPr="00BE086B">
        <w:rPr>
          <w:sz w:val="28"/>
          <w:szCs w:val="28"/>
          <w:lang w:val="en-US" w:eastAsia="ru-RU"/>
        </w:rPr>
        <w:t>26(5):1207-</w:t>
      </w:r>
      <w:r w:rsidRPr="00BE086B">
        <w:rPr>
          <w:sz w:val="28"/>
          <w:szCs w:val="28"/>
          <w:lang w:val="uk-UA" w:eastAsia="ru-RU"/>
        </w:rPr>
        <w:t>12</w:t>
      </w:r>
      <w:r w:rsidRPr="00BE086B">
        <w:rPr>
          <w:sz w:val="28"/>
          <w:szCs w:val="28"/>
          <w:lang w:val="en-US" w:eastAsia="ru-RU"/>
        </w:rPr>
        <w:t>17.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eastAsia="ru-RU"/>
        </w:rPr>
      </w:pPr>
      <w:r w:rsidRPr="00BE086B">
        <w:rPr>
          <w:sz w:val="28"/>
          <w:szCs w:val="28"/>
          <w:lang w:val="en-US" w:eastAsia="ru-RU"/>
        </w:rPr>
        <w:t>Madzuki I</w:t>
      </w:r>
      <w:r w:rsidRPr="00BE086B">
        <w:rPr>
          <w:sz w:val="28"/>
          <w:szCs w:val="28"/>
          <w:lang w:val="uk-UA" w:eastAsia="ru-RU"/>
        </w:rPr>
        <w:t>.</w:t>
      </w:r>
      <w:r w:rsidRPr="00BE086B">
        <w:rPr>
          <w:sz w:val="28"/>
          <w:szCs w:val="28"/>
          <w:lang w:val="en-US" w:eastAsia="ru-RU"/>
        </w:rPr>
        <w:t>N</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Lau S</w:t>
      </w:r>
      <w:r w:rsidRPr="00BE086B">
        <w:rPr>
          <w:sz w:val="28"/>
          <w:szCs w:val="28"/>
          <w:lang w:val="uk-UA" w:eastAsia="ru-RU"/>
        </w:rPr>
        <w:t>.</w:t>
      </w:r>
      <w:r w:rsidRPr="00BE086B">
        <w:rPr>
          <w:sz w:val="28"/>
          <w:szCs w:val="28"/>
          <w:lang w:val="en-US" w:eastAsia="ru-RU"/>
        </w:rPr>
        <w:t>F</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Abdullah R</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Mohd Ishak N</w:t>
      </w:r>
      <w:r w:rsidRPr="00BE086B">
        <w:rPr>
          <w:sz w:val="28"/>
          <w:szCs w:val="28"/>
          <w:lang w:val="uk-UA" w:eastAsia="ru-RU"/>
        </w:rPr>
        <w:t>.</w:t>
      </w:r>
      <w:r w:rsidRPr="00BE086B">
        <w:rPr>
          <w:sz w:val="28"/>
          <w:szCs w:val="28"/>
          <w:lang w:val="en-US" w:eastAsia="ru-RU"/>
        </w:rPr>
        <w:t>I</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Mohamed S.</w:t>
      </w:r>
      <w:r w:rsidRPr="00BE086B">
        <w:rPr>
          <w:sz w:val="28"/>
          <w:szCs w:val="28"/>
          <w:lang w:val="uk-UA" w:eastAsia="ru-RU"/>
        </w:rPr>
        <w:t xml:space="preserve"> </w:t>
      </w:r>
      <w:r w:rsidRPr="00BE086B">
        <w:rPr>
          <w:bCs/>
          <w:kern w:val="36"/>
          <w:sz w:val="28"/>
          <w:szCs w:val="28"/>
          <w:lang w:val="en-US" w:eastAsia="ru-RU"/>
        </w:rPr>
        <w:t>Vernonia amygdalina inhibited osteoarthritis development by anti-inflammatory and anticollagenase pathways in cartilage explant and osteoarthritis-induced rat model.</w:t>
      </w:r>
      <w:r w:rsidRPr="00BE086B">
        <w:rPr>
          <w:sz w:val="28"/>
          <w:szCs w:val="28"/>
          <w:lang w:val="en-US" w:eastAsia="ru-RU"/>
        </w:rPr>
        <w:t xml:space="preserve"> Phytother Res.</w:t>
      </w:r>
      <w:r w:rsidRPr="00BE086B">
        <w:rPr>
          <w:sz w:val="28"/>
          <w:szCs w:val="28"/>
          <w:lang w:val="uk-UA" w:eastAsia="ru-RU"/>
        </w:rPr>
        <w:t xml:space="preserve"> </w:t>
      </w:r>
      <w:r w:rsidRPr="00BE086B">
        <w:rPr>
          <w:sz w:val="28"/>
          <w:szCs w:val="28"/>
          <w:lang w:val="en-US" w:eastAsia="ru-RU"/>
        </w:rPr>
        <w:t>2019</w:t>
      </w:r>
      <w:r w:rsidRPr="00BE086B">
        <w:rPr>
          <w:sz w:val="28"/>
          <w:szCs w:val="28"/>
          <w:lang w:val="uk-UA" w:eastAsia="ru-RU"/>
        </w:rPr>
        <w:t xml:space="preserve">; </w:t>
      </w:r>
      <w:r w:rsidRPr="00BE086B">
        <w:rPr>
          <w:sz w:val="28"/>
          <w:szCs w:val="28"/>
          <w:lang w:val="en-US" w:eastAsia="ru-RU"/>
        </w:rPr>
        <w:t>33(7):1784-</w:t>
      </w:r>
      <w:r w:rsidRPr="00BE086B">
        <w:rPr>
          <w:sz w:val="28"/>
          <w:szCs w:val="28"/>
          <w:lang w:val="uk-UA" w:eastAsia="ru-RU"/>
        </w:rPr>
        <w:t>17</w:t>
      </w:r>
      <w:r w:rsidRPr="00BE086B">
        <w:rPr>
          <w:sz w:val="28"/>
          <w:szCs w:val="28"/>
          <w:lang w:val="en-US" w:eastAsia="ru-RU"/>
        </w:rPr>
        <w:t>93.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eastAsia="ru-RU"/>
        </w:rPr>
      </w:pPr>
      <w:r w:rsidRPr="00BE086B">
        <w:rPr>
          <w:sz w:val="28"/>
          <w:szCs w:val="28"/>
          <w:lang w:val="en-US" w:eastAsia="ru-RU"/>
        </w:rPr>
        <w:t>Che Ahmad Tantowi N</w:t>
      </w:r>
      <w:r w:rsidRPr="00BE086B">
        <w:rPr>
          <w:sz w:val="28"/>
          <w:szCs w:val="28"/>
          <w:lang w:val="uk-UA" w:eastAsia="ru-RU"/>
        </w:rPr>
        <w:t>.</w:t>
      </w:r>
      <w:r w:rsidRPr="00BE086B">
        <w:rPr>
          <w:sz w:val="28"/>
          <w:szCs w:val="28"/>
          <w:lang w:val="en-US" w:eastAsia="ru-RU"/>
        </w:rPr>
        <w:t>A</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Lau S</w:t>
      </w:r>
      <w:r w:rsidRPr="00BE086B">
        <w:rPr>
          <w:sz w:val="28"/>
          <w:szCs w:val="28"/>
          <w:lang w:val="uk-UA" w:eastAsia="ru-RU"/>
        </w:rPr>
        <w:t>.</w:t>
      </w:r>
      <w:r w:rsidRPr="00BE086B">
        <w:rPr>
          <w:sz w:val="28"/>
          <w:szCs w:val="28"/>
          <w:lang w:val="en-US" w:eastAsia="ru-RU"/>
        </w:rPr>
        <w:t>F</w:t>
      </w:r>
      <w:r w:rsidRPr="00BE086B">
        <w:rPr>
          <w:sz w:val="28"/>
          <w:szCs w:val="28"/>
          <w:lang w:val="uk-UA" w:eastAsia="ru-RU"/>
        </w:rPr>
        <w:t>.</w:t>
      </w:r>
      <w:r w:rsidRPr="00BE086B">
        <w:rPr>
          <w:sz w:val="28"/>
          <w:szCs w:val="28"/>
          <w:lang w:val="en-US" w:eastAsia="ru-RU"/>
        </w:rPr>
        <w:t>,</w:t>
      </w:r>
      <w:r w:rsidRPr="00BE086B">
        <w:rPr>
          <w:sz w:val="28"/>
          <w:szCs w:val="28"/>
          <w:lang w:val="uk-UA" w:eastAsia="ru-RU"/>
        </w:rPr>
        <w:t xml:space="preserve"> </w:t>
      </w:r>
      <w:r w:rsidRPr="00BE086B">
        <w:rPr>
          <w:sz w:val="28"/>
          <w:szCs w:val="28"/>
          <w:lang w:val="en-US" w:eastAsia="ru-RU"/>
        </w:rPr>
        <w:t>Mohamed S.</w:t>
      </w:r>
      <w:r w:rsidRPr="00BE086B">
        <w:rPr>
          <w:sz w:val="28"/>
          <w:szCs w:val="28"/>
          <w:lang w:val="uk-UA" w:eastAsia="ru-RU"/>
        </w:rPr>
        <w:t xml:space="preserve"> </w:t>
      </w:r>
      <w:r w:rsidRPr="00BE086B">
        <w:rPr>
          <w:bCs/>
          <w:kern w:val="36"/>
          <w:sz w:val="28"/>
          <w:szCs w:val="28"/>
          <w:lang w:val="en-US" w:eastAsia="ru-RU"/>
        </w:rPr>
        <w:t>Ficus deltoidea prevented bone loss in preclinical osteoporosis/osteoarthritis model by suppressing inflammation.</w:t>
      </w:r>
      <w:r w:rsidRPr="00BE086B">
        <w:rPr>
          <w:sz w:val="28"/>
          <w:szCs w:val="28"/>
          <w:lang w:val="en-US" w:eastAsia="ru-RU"/>
        </w:rPr>
        <w:t xml:space="preserve"> Calcif Tissue Int.</w:t>
      </w:r>
      <w:r w:rsidRPr="00BE086B">
        <w:rPr>
          <w:sz w:val="28"/>
          <w:szCs w:val="28"/>
          <w:lang w:val="uk-UA" w:eastAsia="ru-RU"/>
        </w:rPr>
        <w:t xml:space="preserve"> </w:t>
      </w:r>
      <w:r w:rsidRPr="00BE086B">
        <w:rPr>
          <w:sz w:val="28"/>
          <w:szCs w:val="28"/>
          <w:lang w:val="en-US" w:eastAsia="ru-RU"/>
        </w:rPr>
        <w:t>2018</w:t>
      </w:r>
      <w:r w:rsidRPr="00BE086B">
        <w:rPr>
          <w:sz w:val="28"/>
          <w:szCs w:val="28"/>
          <w:lang w:val="uk-UA" w:eastAsia="ru-RU"/>
        </w:rPr>
        <w:t xml:space="preserve">; </w:t>
      </w:r>
      <w:r w:rsidRPr="00BE086B">
        <w:rPr>
          <w:sz w:val="28"/>
          <w:szCs w:val="28"/>
          <w:lang w:val="en-US" w:eastAsia="ru-RU"/>
        </w:rPr>
        <w:t>103(4):388-</w:t>
      </w:r>
      <w:r w:rsidRPr="00BE086B">
        <w:rPr>
          <w:sz w:val="28"/>
          <w:szCs w:val="28"/>
          <w:lang w:val="uk-UA" w:eastAsia="ru-RU"/>
        </w:rPr>
        <w:t>3</w:t>
      </w:r>
      <w:r w:rsidRPr="00BE086B">
        <w:rPr>
          <w:sz w:val="28"/>
          <w:szCs w:val="28"/>
          <w:lang w:val="en-US" w:eastAsia="ru-RU"/>
        </w:rPr>
        <w:t>99.</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bCs/>
          <w:sz w:val="28"/>
          <w:szCs w:val="28"/>
          <w:lang w:val="uk-UA"/>
        </w:rPr>
      </w:pPr>
      <w:r w:rsidRPr="00BE086B">
        <w:rPr>
          <w:sz w:val="28"/>
          <w:szCs w:val="28"/>
          <w:shd w:val="clear" w:color="auto" w:fill="FFFFFF"/>
          <w:lang w:val="uk-UA"/>
        </w:rPr>
        <w:t>Балабанова Р.М. Роль интерлейкина</w:t>
      </w:r>
      <w:r w:rsidRPr="00BE086B">
        <w:rPr>
          <w:sz w:val="28"/>
          <w:szCs w:val="28"/>
          <w:shd w:val="clear" w:color="auto" w:fill="FFFFFF"/>
          <w:lang w:val="la-Latn"/>
        </w:rPr>
        <w:t xml:space="preserve"> 1 </w:t>
      </w:r>
      <w:r w:rsidRPr="00BE086B">
        <w:rPr>
          <w:sz w:val="28"/>
          <w:szCs w:val="28"/>
          <w:shd w:val="clear" w:color="auto" w:fill="FFFFFF"/>
        </w:rPr>
        <w:t>при остеоартрозе и возможности его блокирования</w:t>
      </w:r>
      <w:r w:rsidRPr="00BE086B">
        <w:rPr>
          <w:sz w:val="28"/>
          <w:szCs w:val="28"/>
          <w:shd w:val="clear" w:color="auto" w:fill="FFFFFF"/>
          <w:lang w:val="la-Latn"/>
        </w:rPr>
        <w:t xml:space="preserve">. </w:t>
      </w:r>
      <w:r w:rsidRPr="00BE086B">
        <w:rPr>
          <w:sz w:val="28"/>
          <w:szCs w:val="28"/>
          <w:shd w:val="clear" w:color="auto" w:fill="FFFFFF"/>
        </w:rPr>
        <w:t>Современная ревматология</w:t>
      </w:r>
      <w:r w:rsidRPr="00BE086B">
        <w:rPr>
          <w:sz w:val="28"/>
          <w:szCs w:val="28"/>
          <w:shd w:val="clear" w:color="auto" w:fill="FFFFFF"/>
          <w:lang w:val="la-Latn"/>
        </w:rPr>
        <w:t>.</w:t>
      </w:r>
      <w:r w:rsidRPr="00BE086B">
        <w:rPr>
          <w:sz w:val="28"/>
          <w:szCs w:val="28"/>
          <w:lang w:val="la-Latn"/>
        </w:rPr>
        <w:t xml:space="preserve"> 2011;1:58-62.</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lang w:val="uk-UA"/>
        </w:rPr>
      </w:pPr>
      <w:r w:rsidRPr="00BE086B">
        <w:rPr>
          <w:sz w:val="28"/>
          <w:szCs w:val="28"/>
          <w:lang w:val="uk-UA"/>
        </w:rPr>
        <w:t>Ширинский В.С., Казыгашева Е.В., Ширинский И.В. Воспаление и иммунитет</w:t>
      </w:r>
      <w:r w:rsidRPr="00BE086B">
        <w:rPr>
          <w:sz w:val="28"/>
          <w:szCs w:val="28"/>
          <w:shd w:val="clear" w:color="auto" w:fill="FFFFFF"/>
          <w:lang w:val="la-Latn"/>
        </w:rPr>
        <w:t xml:space="preserve">: </w:t>
      </w:r>
      <w:r w:rsidRPr="00BE086B">
        <w:rPr>
          <w:sz w:val="28"/>
          <w:szCs w:val="28"/>
          <w:shd w:val="clear" w:color="auto" w:fill="FFFFFF"/>
        </w:rPr>
        <w:t>роль в патогенезе остеоартрита</w:t>
      </w:r>
      <w:r w:rsidRPr="00BE086B">
        <w:rPr>
          <w:sz w:val="28"/>
          <w:szCs w:val="28"/>
          <w:shd w:val="clear" w:color="auto" w:fill="FFFFFF"/>
          <w:lang w:val="la-Latn"/>
        </w:rPr>
        <w:t xml:space="preserve">. </w:t>
      </w:r>
      <w:r w:rsidRPr="00BE086B">
        <w:rPr>
          <w:sz w:val="28"/>
          <w:szCs w:val="28"/>
          <w:shd w:val="clear" w:color="auto" w:fill="FFFFFF"/>
        </w:rPr>
        <w:t>Медицинская иммунология</w:t>
      </w:r>
      <w:r w:rsidRPr="00BE086B">
        <w:rPr>
          <w:sz w:val="28"/>
          <w:szCs w:val="28"/>
          <w:shd w:val="clear" w:color="auto" w:fill="FFFFFF"/>
          <w:lang w:val="la-Latn"/>
        </w:rPr>
        <w:t xml:space="preserve">. </w:t>
      </w:r>
      <w:r w:rsidRPr="00BE086B">
        <w:rPr>
          <w:bCs/>
          <w:sz w:val="28"/>
          <w:szCs w:val="28"/>
          <w:lang w:val="la-Latn"/>
        </w:rPr>
        <w:t>2019;21,1:39-48.</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lang w:val="la-Latn"/>
        </w:rPr>
      </w:pPr>
      <w:r w:rsidRPr="00BE086B">
        <w:rPr>
          <w:sz w:val="28"/>
          <w:szCs w:val="28"/>
          <w:shd w:val="clear" w:color="auto" w:fill="FFFFFF"/>
          <w:lang w:val="uk-UA"/>
        </w:rPr>
        <w:t>Стародубцева И.А., Васильева Л.В., Никитин А.В. Коррекция воспалительного процесса с помощью ингибитора интерлейкина-1 в комплексном лечении вторичного остеоартроза на фоне коморбидной патологии. Терапевтический архив. 2015;87,12: 41-48.</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kern w:val="28"/>
          <w:sz w:val="28"/>
          <w:szCs w:val="28"/>
          <w:lang w:val="uk-UA" w:eastAsia="ru-RU"/>
        </w:rPr>
      </w:pPr>
      <w:r w:rsidRPr="00BE086B">
        <w:rPr>
          <w:sz w:val="28"/>
          <w:szCs w:val="28"/>
          <w:lang w:val="la-Latn"/>
        </w:rPr>
        <w:t>Yin J</w:t>
      </w:r>
      <w:r w:rsidRPr="00BE086B">
        <w:rPr>
          <w:sz w:val="28"/>
          <w:szCs w:val="28"/>
          <w:lang w:val="en-US"/>
        </w:rPr>
        <w:t>.</w:t>
      </w:r>
      <w:r w:rsidRPr="00BE086B">
        <w:rPr>
          <w:sz w:val="28"/>
          <w:szCs w:val="28"/>
          <w:shd w:val="clear" w:color="auto" w:fill="FFFFFF"/>
          <w:lang w:val="la-Latn"/>
        </w:rPr>
        <w:t xml:space="preserve">, </w:t>
      </w:r>
      <w:r w:rsidRPr="00BE086B">
        <w:rPr>
          <w:sz w:val="28"/>
          <w:szCs w:val="28"/>
          <w:lang w:val="la-Latn"/>
        </w:rPr>
        <w:t>Huang Y</w:t>
      </w:r>
      <w:r w:rsidRPr="00BE086B">
        <w:rPr>
          <w:sz w:val="28"/>
          <w:szCs w:val="28"/>
          <w:lang w:val="en-US"/>
        </w:rPr>
        <w:t>.</w:t>
      </w:r>
      <w:r w:rsidRPr="00BE086B">
        <w:rPr>
          <w:sz w:val="28"/>
          <w:szCs w:val="28"/>
          <w:lang w:val="la-Latn"/>
        </w:rPr>
        <w:t>, Gao G</w:t>
      </w:r>
      <w:r w:rsidRPr="00BE086B">
        <w:rPr>
          <w:sz w:val="28"/>
          <w:szCs w:val="28"/>
          <w:lang w:val="en-US"/>
        </w:rPr>
        <w:t>.</w:t>
      </w:r>
      <w:r w:rsidRPr="00BE086B">
        <w:rPr>
          <w:sz w:val="28"/>
          <w:szCs w:val="28"/>
          <w:lang w:val="la-Latn"/>
        </w:rPr>
        <w:t>, Nong L</w:t>
      </w:r>
      <w:r w:rsidRPr="00BE086B">
        <w:rPr>
          <w:sz w:val="28"/>
          <w:szCs w:val="28"/>
          <w:lang w:val="en-US"/>
        </w:rPr>
        <w:t>.</w:t>
      </w:r>
      <w:r w:rsidRPr="00BE086B">
        <w:rPr>
          <w:sz w:val="28"/>
          <w:szCs w:val="28"/>
          <w:lang w:val="la-Latn"/>
        </w:rPr>
        <w:t>, Xu N</w:t>
      </w:r>
      <w:r w:rsidRPr="00BE086B">
        <w:rPr>
          <w:sz w:val="28"/>
          <w:szCs w:val="28"/>
          <w:lang w:val="en-US"/>
        </w:rPr>
        <w:t>.</w:t>
      </w:r>
      <w:r w:rsidRPr="00BE086B">
        <w:rPr>
          <w:sz w:val="28"/>
          <w:szCs w:val="28"/>
          <w:lang w:val="la-Latn"/>
        </w:rPr>
        <w:t xml:space="preserve">, Zhou D. </w:t>
      </w:r>
      <w:r w:rsidRPr="00BE086B">
        <w:rPr>
          <w:bCs/>
          <w:sz w:val="28"/>
          <w:szCs w:val="28"/>
          <w:lang w:val="la-Latn"/>
        </w:rPr>
        <w:t xml:space="preserve">Changes and </w:t>
      </w:r>
      <w:r w:rsidRPr="00BE086B">
        <w:rPr>
          <w:bCs/>
          <w:kern w:val="28"/>
          <w:sz w:val="28"/>
          <w:szCs w:val="28"/>
          <w:lang w:val="la-Latn"/>
        </w:rPr>
        <w:t xml:space="preserve">significance of inflammatory cytokines in a rat model of cervical spondylosis. </w:t>
      </w:r>
      <w:r w:rsidRPr="00BE086B">
        <w:rPr>
          <w:kern w:val="28"/>
          <w:sz w:val="28"/>
          <w:szCs w:val="28"/>
          <w:lang w:val="la-Latn"/>
        </w:rPr>
        <w:t>Еxperimental and therapeutic medicine. 2018;15:400-</w:t>
      </w:r>
      <w:r w:rsidRPr="00BE086B">
        <w:rPr>
          <w:kern w:val="28"/>
          <w:sz w:val="28"/>
          <w:szCs w:val="28"/>
        </w:rPr>
        <w:t>40</w:t>
      </w:r>
      <w:r w:rsidRPr="00BE086B">
        <w:rPr>
          <w:kern w:val="28"/>
          <w:sz w:val="28"/>
          <w:szCs w:val="28"/>
          <w:lang w:val="la-Latn"/>
        </w:rPr>
        <w:t>6.</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kern w:val="28"/>
          <w:sz w:val="28"/>
          <w:szCs w:val="28"/>
          <w:lang w:val="uk-UA" w:eastAsia="ru-RU"/>
        </w:rPr>
      </w:pPr>
      <w:r w:rsidRPr="00BE086B">
        <w:rPr>
          <w:kern w:val="28"/>
          <w:sz w:val="28"/>
          <w:szCs w:val="28"/>
          <w:shd w:val="clear" w:color="auto" w:fill="FFFFFF"/>
        </w:rPr>
        <w:t xml:space="preserve">Раскина Т.А., Летаева М.В. Новый взгляд на проблему терапии </w:t>
      </w:r>
      <w:r w:rsidRPr="00BE086B">
        <w:rPr>
          <w:kern w:val="28"/>
          <w:sz w:val="28"/>
          <w:szCs w:val="28"/>
          <w:shd w:val="clear" w:color="auto" w:fill="FFFFFF"/>
        </w:rPr>
        <w:lastRenderedPageBreak/>
        <w:t xml:space="preserve">остеоартроза. </w:t>
      </w:r>
      <w:r w:rsidRPr="00BE086B">
        <w:rPr>
          <w:iCs/>
          <w:kern w:val="28"/>
          <w:sz w:val="28"/>
          <w:szCs w:val="28"/>
          <w:shd w:val="clear" w:color="auto" w:fill="FFFFFF"/>
        </w:rPr>
        <w:t>Современная ревматология</w:t>
      </w:r>
      <w:r w:rsidRPr="00BE086B">
        <w:rPr>
          <w:kern w:val="28"/>
          <w:sz w:val="28"/>
          <w:szCs w:val="28"/>
          <w:shd w:val="clear" w:color="auto" w:fill="FFFFFF"/>
        </w:rPr>
        <w:t>. 2012;6(4):86-89.</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bCs/>
          <w:sz w:val="28"/>
          <w:szCs w:val="28"/>
          <w:lang w:val="uk-UA" w:eastAsia="ru-RU"/>
        </w:rPr>
      </w:pPr>
      <w:r w:rsidRPr="00BE086B">
        <w:rPr>
          <w:sz w:val="28"/>
          <w:szCs w:val="28"/>
          <w:lang w:val="uk-UA"/>
        </w:rPr>
        <w:t xml:space="preserve">Копылова Д.А., Остапенко В.А. </w:t>
      </w:r>
      <w:r w:rsidRPr="00BE086B">
        <w:rPr>
          <w:sz w:val="28"/>
          <w:szCs w:val="28"/>
          <w:shd w:val="clear" w:color="auto" w:fill="FFFFFF"/>
          <w:lang w:val="uk-UA"/>
        </w:rPr>
        <w:t>С</w:t>
      </w:r>
      <w:r w:rsidRPr="00BE086B">
        <w:rPr>
          <w:sz w:val="28"/>
          <w:szCs w:val="28"/>
          <w:shd w:val="clear" w:color="auto" w:fill="FFFFFF"/>
        </w:rPr>
        <w:t xml:space="preserve">вязь клинических проявлений остеоартроза с изменением уровня интерлейкина 6 в крови. </w:t>
      </w:r>
      <w:r w:rsidRPr="00BE086B">
        <w:rPr>
          <w:iCs/>
          <w:sz w:val="28"/>
          <w:szCs w:val="28"/>
          <w:shd w:val="clear" w:color="auto" w:fill="FFFFFF"/>
        </w:rPr>
        <w:t>Научно-практическая ревматология</w:t>
      </w:r>
      <w:r w:rsidRPr="00BE086B">
        <w:rPr>
          <w:sz w:val="28"/>
          <w:szCs w:val="28"/>
          <w:shd w:val="clear" w:color="auto" w:fill="FFFFFF"/>
        </w:rPr>
        <w:t>. 2012;50(5):34-36.</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lang w:val="la-Latn"/>
        </w:rPr>
      </w:pPr>
      <w:r w:rsidRPr="00BE086B">
        <w:rPr>
          <w:rFonts w:eastAsia="NewtonC"/>
          <w:sz w:val="28"/>
          <w:szCs w:val="28"/>
          <w:lang w:val="la-Latn" w:eastAsia="ru-RU"/>
        </w:rPr>
        <w:t>Heinrich P</w:t>
      </w:r>
      <w:r w:rsidRPr="00BE086B">
        <w:rPr>
          <w:rFonts w:eastAsia="NewtonC"/>
          <w:sz w:val="28"/>
          <w:szCs w:val="28"/>
          <w:lang w:val="en-US" w:eastAsia="ru-RU"/>
        </w:rPr>
        <w:t>.</w:t>
      </w:r>
      <w:r w:rsidRPr="00BE086B">
        <w:rPr>
          <w:rFonts w:eastAsia="NewtonC"/>
          <w:sz w:val="28"/>
          <w:szCs w:val="28"/>
          <w:lang w:val="la-Latn" w:eastAsia="ru-RU"/>
        </w:rPr>
        <w:t>C</w:t>
      </w:r>
      <w:r w:rsidRPr="00BE086B">
        <w:rPr>
          <w:rFonts w:eastAsia="NewtonC"/>
          <w:sz w:val="28"/>
          <w:szCs w:val="28"/>
          <w:lang w:val="en-US" w:eastAsia="ru-RU"/>
        </w:rPr>
        <w:t>.</w:t>
      </w:r>
      <w:r w:rsidRPr="00BE086B">
        <w:rPr>
          <w:rFonts w:eastAsia="NewtonC"/>
          <w:sz w:val="28"/>
          <w:szCs w:val="28"/>
          <w:lang w:val="la-Latn" w:eastAsia="ru-RU"/>
        </w:rPr>
        <w:t>, Castell J</w:t>
      </w:r>
      <w:r w:rsidRPr="00BE086B">
        <w:rPr>
          <w:rFonts w:eastAsia="NewtonC"/>
          <w:sz w:val="28"/>
          <w:szCs w:val="28"/>
          <w:lang w:val="en-US" w:eastAsia="ru-RU"/>
        </w:rPr>
        <w:t>.</w:t>
      </w:r>
      <w:r w:rsidRPr="00BE086B">
        <w:rPr>
          <w:rFonts w:eastAsia="NewtonC"/>
          <w:sz w:val="28"/>
          <w:szCs w:val="28"/>
          <w:lang w:val="la-Latn" w:eastAsia="ru-RU"/>
        </w:rPr>
        <w:t>V</w:t>
      </w:r>
      <w:r w:rsidRPr="00BE086B">
        <w:rPr>
          <w:rFonts w:eastAsia="NewtonC"/>
          <w:sz w:val="28"/>
          <w:szCs w:val="28"/>
          <w:lang w:val="en-US" w:eastAsia="ru-RU"/>
        </w:rPr>
        <w:t>.</w:t>
      </w:r>
      <w:r w:rsidRPr="00BE086B">
        <w:rPr>
          <w:rFonts w:eastAsia="NewtonC"/>
          <w:sz w:val="28"/>
          <w:szCs w:val="28"/>
          <w:lang w:val="la-Latn" w:eastAsia="ru-RU"/>
        </w:rPr>
        <w:t>, Andus T. Interleukin 6 and the acute phase response. Biochem J</w:t>
      </w:r>
      <w:r w:rsidRPr="00BE086B">
        <w:rPr>
          <w:rFonts w:eastAsia="NewtonC"/>
          <w:sz w:val="28"/>
          <w:szCs w:val="28"/>
          <w:lang w:val="uk-UA" w:eastAsia="ru-RU"/>
        </w:rPr>
        <w:t>.</w:t>
      </w:r>
      <w:r w:rsidRPr="00BE086B">
        <w:rPr>
          <w:rFonts w:eastAsia="NewtonC"/>
          <w:sz w:val="28"/>
          <w:szCs w:val="28"/>
          <w:lang w:val="la-Latn" w:eastAsia="ru-RU"/>
        </w:rPr>
        <w:t xml:space="preserve"> 2006;265:621-</w:t>
      </w:r>
      <w:r w:rsidRPr="00BE086B">
        <w:rPr>
          <w:rFonts w:eastAsia="NewtonC"/>
          <w:sz w:val="28"/>
          <w:szCs w:val="28"/>
          <w:lang w:eastAsia="ru-RU"/>
        </w:rPr>
        <w:t>6</w:t>
      </w:r>
      <w:r w:rsidRPr="00BE086B">
        <w:rPr>
          <w:rFonts w:eastAsia="NewtonC"/>
          <w:sz w:val="28"/>
          <w:szCs w:val="28"/>
          <w:lang w:val="la-Latn" w:eastAsia="ru-RU"/>
        </w:rPr>
        <w:t>36.</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lang w:val="la-Latn"/>
        </w:rPr>
      </w:pPr>
      <w:r w:rsidRPr="00BE086B">
        <w:rPr>
          <w:rFonts w:eastAsia="NewtonC"/>
          <w:sz w:val="28"/>
          <w:szCs w:val="28"/>
          <w:lang w:val="la-Latn" w:eastAsia="ru-RU"/>
        </w:rPr>
        <w:t>McGee D</w:t>
      </w:r>
      <w:r w:rsidRPr="00BE086B">
        <w:rPr>
          <w:rFonts w:eastAsia="NewtonC"/>
          <w:sz w:val="28"/>
          <w:szCs w:val="28"/>
          <w:lang w:val="en-US" w:eastAsia="ru-RU"/>
        </w:rPr>
        <w:t>.</w:t>
      </w:r>
      <w:r w:rsidRPr="00BE086B">
        <w:rPr>
          <w:rFonts w:eastAsia="NewtonC"/>
          <w:sz w:val="28"/>
          <w:szCs w:val="28"/>
          <w:lang w:val="la-Latn" w:eastAsia="ru-RU"/>
        </w:rPr>
        <w:t>W</w:t>
      </w:r>
      <w:r w:rsidRPr="00BE086B">
        <w:rPr>
          <w:rFonts w:eastAsia="NewtonC"/>
          <w:sz w:val="28"/>
          <w:szCs w:val="28"/>
          <w:lang w:val="en-US" w:eastAsia="ru-RU"/>
        </w:rPr>
        <w:t>.</w:t>
      </w:r>
      <w:r w:rsidRPr="00BE086B">
        <w:rPr>
          <w:rFonts w:eastAsia="NewtonC"/>
          <w:sz w:val="28"/>
          <w:szCs w:val="28"/>
          <w:lang w:val="la-Latn" w:eastAsia="ru-RU"/>
        </w:rPr>
        <w:t>, Beagley K</w:t>
      </w:r>
      <w:r w:rsidRPr="00BE086B">
        <w:rPr>
          <w:rFonts w:eastAsia="NewtonC"/>
          <w:sz w:val="28"/>
          <w:szCs w:val="28"/>
          <w:lang w:val="en-US" w:eastAsia="ru-RU"/>
        </w:rPr>
        <w:t>.</w:t>
      </w:r>
      <w:r w:rsidRPr="00BE086B">
        <w:rPr>
          <w:rFonts w:eastAsia="NewtonC"/>
          <w:sz w:val="28"/>
          <w:szCs w:val="28"/>
          <w:lang w:val="la-Latn" w:eastAsia="ru-RU"/>
        </w:rPr>
        <w:t>W</w:t>
      </w:r>
      <w:r w:rsidRPr="00BE086B">
        <w:rPr>
          <w:rFonts w:eastAsia="NewtonC"/>
          <w:sz w:val="28"/>
          <w:szCs w:val="28"/>
          <w:lang w:val="en-US" w:eastAsia="ru-RU"/>
        </w:rPr>
        <w:t>.</w:t>
      </w:r>
      <w:r w:rsidRPr="00BE086B">
        <w:rPr>
          <w:rFonts w:eastAsia="NewtonC"/>
          <w:sz w:val="28"/>
          <w:szCs w:val="28"/>
          <w:lang w:val="la-Latn" w:eastAsia="ru-RU"/>
        </w:rPr>
        <w:t>, Aicher W</w:t>
      </w:r>
      <w:r w:rsidRPr="00BE086B">
        <w:rPr>
          <w:rFonts w:eastAsia="NewtonC"/>
          <w:sz w:val="28"/>
          <w:szCs w:val="28"/>
          <w:lang w:val="en-US" w:eastAsia="ru-RU"/>
        </w:rPr>
        <w:t>.</w:t>
      </w:r>
      <w:r w:rsidRPr="00BE086B">
        <w:rPr>
          <w:rFonts w:eastAsia="NewtonC"/>
          <w:sz w:val="28"/>
          <w:szCs w:val="28"/>
          <w:lang w:val="la-Latn" w:eastAsia="ru-RU"/>
        </w:rPr>
        <w:t>K</w:t>
      </w:r>
      <w:r w:rsidRPr="00BE086B">
        <w:rPr>
          <w:rFonts w:eastAsia="NewtonC"/>
          <w:sz w:val="28"/>
          <w:szCs w:val="28"/>
          <w:lang w:val="en-US" w:eastAsia="ru-RU"/>
        </w:rPr>
        <w:t>.</w:t>
      </w:r>
      <w:r w:rsidRPr="00BE086B">
        <w:rPr>
          <w:rFonts w:eastAsia="NewtonC"/>
          <w:sz w:val="28"/>
          <w:szCs w:val="28"/>
          <w:lang w:val="la-Latn" w:eastAsia="ru-RU"/>
        </w:rPr>
        <w:t>, McGhee J</w:t>
      </w:r>
      <w:r w:rsidRPr="00BE086B">
        <w:rPr>
          <w:rFonts w:eastAsia="NewtonC"/>
          <w:sz w:val="28"/>
          <w:szCs w:val="28"/>
          <w:lang w:val="en-US" w:eastAsia="ru-RU"/>
        </w:rPr>
        <w:t>.</w:t>
      </w:r>
      <w:r w:rsidRPr="00BE086B">
        <w:rPr>
          <w:rFonts w:eastAsia="NewtonC"/>
          <w:sz w:val="28"/>
          <w:szCs w:val="28"/>
          <w:lang w:val="la-Latn" w:eastAsia="ru-RU"/>
        </w:rPr>
        <w:t>R. Transforming growth factor-beta and IL-1 beta act in synergy to enhance IL 6 secretion by the intestinal epithelial cell line, IEC-6. J Immunol</w:t>
      </w:r>
      <w:r w:rsidRPr="00BE086B">
        <w:rPr>
          <w:rFonts w:eastAsia="NewtonC"/>
          <w:sz w:val="28"/>
          <w:szCs w:val="28"/>
          <w:lang w:val="uk-UA" w:eastAsia="ru-RU"/>
        </w:rPr>
        <w:t>.</w:t>
      </w:r>
      <w:r w:rsidRPr="00BE086B">
        <w:rPr>
          <w:rFonts w:eastAsia="NewtonC"/>
          <w:sz w:val="28"/>
          <w:szCs w:val="28"/>
          <w:lang w:val="la-Latn" w:eastAsia="ru-RU"/>
        </w:rPr>
        <w:t xml:space="preserve"> 2003;151:970-</w:t>
      </w:r>
      <w:r w:rsidRPr="00BE086B">
        <w:rPr>
          <w:rFonts w:eastAsia="NewtonC"/>
          <w:sz w:val="28"/>
          <w:szCs w:val="28"/>
          <w:lang w:eastAsia="ru-RU"/>
        </w:rPr>
        <w:t>97</w:t>
      </w:r>
      <w:r w:rsidRPr="00BE086B">
        <w:rPr>
          <w:rFonts w:eastAsia="NewtonC"/>
          <w:sz w:val="28"/>
          <w:szCs w:val="28"/>
          <w:lang w:val="la-Latn" w:eastAsia="ru-RU"/>
        </w:rPr>
        <w:t>8.</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lang w:val="la-Latn"/>
        </w:rPr>
      </w:pPr>
      <w:r w:rsidRPr="00BE086B">
        <w:rPr>
          <w:sz w:val="28"/>
          <w:szCs w:val="28"/>
          <w:lang w:val="la-Latn"/>
        </w:rPr>
        <w:t>Paquet J</w:t>
      </w:r>
      <w:r w:rsidRPr="00BE086B">
        <w:rPr>
          <w:sz w:val="28"/>
          <w:szCs w:val="28"/>
          <w:lang w:val="en-US"/>
        </w:rPr>
        <w:t>.</w:t>
      </w:r>
      <w:r w:rsidRPr="00BE086B">
        <w:rPr>
          <w:sz w:val="28"/>
          <w:szCs w:val="28"/>
          <w:lang w:val="la-Latn"/>
        </w:rPr>
        <w:t>, Goebel J</w:t>
      </w:r>
      <w:r w:rsidRPr="00BE086B">
        <w:rPr>
          <w:sz w:val="28"/>
          <w:szCs w:val="28"/>
          <w:lang w:val="en-US"/>
        </w:rPr>
        <w:t>.</w:t>
      </w:r>
      <w:r w:rsidRPr="00BE086B">
        <w:rPr>
          <w:sz w:val="28"/>
          <w:szCs w:val="28"/>
          <w:lang w:val="la-Latn"/>
        </w:rPr>
        <w:t>C</w:t>
      </w:r>
      <w:r w:rsidRPr="00BE086B">
        <w:rPr>
          <w:sz w:val="28"/>
          <w:szCs w:val="28"/>
          <w:lang w:val="en-US"/>
        </w:rPr>
        <w:t>.</w:t>
      </w:r>
      <w:r w:rsidRPr="00BE086B">
        <w:rPr>
          <w:sz w:val="28"/>
          <w:szCs w:val="28"/>
          <w:lang w:val="la-Latn"/>
        </w:rPr>
        <w:t>, Delaunay C</w:t>
      </w:r>
      <w:r w:rsidRPr="00BE086B">
        <w:rPr>
          <w:sz w:val="28"/>
          <w:szCs w:val="28"/>
          <w:lang w:val="en-US"/>
        </w:rPr>
        <w:t>.</w:t>
      </w:r>
      <w:r w:rsidRPr="00BE086B">
        <w:rPr>
          <w:sz w:val="28"/>
          <w:szCs w:val="28"/>
          <w:lang w:val="la-Latn"/>
        </w:rPr>
        <w:t>, Pinzano A</w:t>
      </w:r>
      <w:r w:rsidRPr="00BE086B">
        <w:rPr>
          <w:sz w:val="28"/>
          <w:szCs w:val="28"/>
          <w:lang w:val="en-US"/>
        </w:rPr>
        <w:t>.</w:t>
      </w:r>
      <w:r w:rsidRPr="00BE086B">
        <w:rPr>
          <w:sz w:val="28"/>
          <w:szCs w:val="28"/>
          <w:lang w:val="la-Latn"/>
        </w:rPr>
        <w:t>, Grossin L. Cytokines profiling by multiplex analysis in experimental arthritis: which pathophysiological relevance for articular versus systemic mediators? Arthritis Research and Therapy. 2012;14(2):60.</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rFonts w:eastAsia="FreeSetC-Bold"/>
          <w:sz w:val="28"/>
          <w:szCs w:val="28"/>
          <w:lang w:val="la-Latn"/>
        </w:rPr>
        <w:t xml:space="preserve">Ярмолинская М.И., Молотков А.С., Денисова В.М. </w:t>
      </w:r>
      <w:r w:rsidRPr="00BE086B">
        <w:rPr>
          <w:rFonts w:eastAsia="FreeSetC-Bold"/>
          <w:sz w:val="28"/>
          <w:szCs w:val="28"/>
          <w:shd w:val="clear" w:color="auto" w:fill="FFFFFF"/>
          <w:lang w:val="la-Latn"/>
        </w:rPr>
        <w:t xml:space="preserve">Матриксные металлопротеиназы </w:t>
      </w:r>
      <w:r w:rsidRPr="00BE086B">
        <w:rPr>
          <w:rFonts w:eastAsia="FreeSetC-Bold"/>
          <w:sz w:val="28"/>
          <w:szCs w:val="28"/>
          <w:lang w:val="la-Latn"/>
        </w:rPr>
        <w:t xml:space="preserve">и ингибиторы: классификация, механизм действия. </w:t>
      </w:r>
      <w:r w:rsidRPr="00BE086B">
        <w:rPr>
          <w:rFonts w:eastAsia="FreeSetC-Bold"/>
          <w:sz w:val="28"/>
          <w:szCs w:val="28"/>
          <w:lang w:val="uk-UA"/>
        </w:rPr>
        <w:t>Журнал акушерства и женских болезней. 2012; 1(61):113-125.</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sz w:val="28"/>
          <w:szCs w:val="28"/>
          <w:lang w:val="en-US"/>
        </w:rPr>
        <w:t>Li Y</w:t>
      </w:r>
      <w:r w:rsidRPr="00BE086B">
        <w:rPr>
          <w:sz w:val="28"/>
          <w:szCs w:val="28"/>
          <w:lang w:val="uk-UA"/>
        </w:rPr>
        <w:t>.</w:t>
      </w:r>
      <w:r w:rsidRPr="00BE086B">
        <w:rPr>
          <w:sz w:val="28"/>
          <w:szCs w:val="28"/>
          <w:lang w:val="en-US"/>
        </w:rPr>
        <w:t>, Wang G</w:t>
      </w:r>
      <w:r w:rsidRPr="00BE086B">
        <w:rPr>
          <w:sz w:val="28"/>
          <w:szCs w:val="28"/>
          <w:lang w:val="uk-UA"/>
        </w:rPr>
        <w:t>.</w:t>
      </w:r>
      <w:r w:rsidRPr="00BE086B">
        <w:rPr>
          <w:sz w:val="28"/>
          <w:szCs w:val="28"/>
          <w:lang w:val="en-US"/>
        </w:rPr>
        <w:t>, Cao B</w:t>
      </w:r>
      <w:r w:rsidRPr="00BE086B">
        <w:rPr>
          <w:sz w:val="28"/>
          <w:szCs w:val="28"/>
          <w:lang w:val="uk-UA"/>
        </w:rPr>
        <w:t>.</w:t>
      </w:r>
      <w:r w:rsidRPr="00BE086B">
        <w:rPr>
          <w:sz w:val="28"/>
          <w:szCs w:val="28"/>
          <w:lang w:val="en-US"/>
        </w:rPr>
        <w:t>, Gao G</w:t>
      </w:r>
      <w:r w:rsidRPr="00BE086B">
        <w:rPr>
          <w:sz w:val="28"/>
          <w:szCs w:val="28"/>
          <w:lang w:val="uk-UA"/>
        </w:rPr>
        <w:t>.</w:t>
      </w:r>
      <w:r w:rsidRPr="00BE086B">
        <w:rPr>
          <w:sz w:val="28"/>
          <w:szCs w:val="28"/>
          <w:lang w:val="en-US"/>
        </w:rPr>
        <w:t>, Ma K</w:t>
      </w:r>
      <w:r w:rsidRPr="00BE086B">
        <w:rPr>
          <w:sz w:val="28"/>
          <w:szCs w:val="28"/>
          <w:lang w:val="uk-UA"/>
        </w:rPr>
        <w:t>.</w:t>
      </w:r>
      <w:r w:rsidRPr="00BE086B">
        <w:rPr>
          <w:sz w:val="28"/>
          <w:szCs w:val="28"/>
          <w:lang w:val="en-US"/>
        </w:rPr>
        <w:t>, Chen W</w:t>
      </w:r>
      <w:r w:rsidRPr="00BE086B">
        <w:rPr>
          <w:sz w:val="28"/>
          <w:szCs w:val="28"/>
          <w:lang w:val="uk-UA"/>
        </w:rPr>
        <w:t>.</w:t>
      </w:r>
      <w:r w:rsidRPr="00BE086B">
        <w:rPr>
          <w:sz w:val="28"/>
          <w:szCs w:val="28"/>
          <w:lang w:val="en-US"/>
        </w:rPr>
        <w:t>, Xu P</w:t>
      </w:r>
      <w:r w:rsidRPr="00BE086B">
        <w:rPr>
          <w:sz w:val="28"/>
          <w:szCs w:val="28"/>
          <w:lang w:val="uk-UA"/>
        </w:rPr>
        <w:t>.</w:t>
      </w:r>
      <w:r w:rsidRPr="00BE086B">
        <w:rPr>
          <w:sz w:val="28"/>
          <w:szCs w:val="28"/>
          <w:lang w:val="en-US"/>
        </w:rPr>
        <w:t xml:space="preserve">, Yang G. </w:t>
      </w:r>
      <w:r w:rsidRPr="00BE086B">
        <w:rPr>
          <w:sz w:val="28"/>
          <w:szCs w:val="28"/>
          <w:lang w:val="la-Latn"/>
        </w:rPr>
        <w:t xml:space="preserve">Influence on matrix metalloproteinases 3, 9, and 13 levels after blocking stromal cell derived factor 1/chemokine receptor 4 </w:t>
      </w:r>
      <w:r w:rsidRPr="00BE086B">
        <w:rPr>
          <w:sz w:val="28"/>
          <w:szCs w:val="28"/>
          <w:lang w:val="en-US"/>
        </w:rPr>
        <w:t xml:space="preserve">signaling pathway with AMD3100. </w:t>
      </w:r>
      <w:r w:rsidRPr="00BE086B">
        <w:rPr>
          <w:rFonts w:eastAsia="FreeSetC-Bold"/>
          <w:sz w:val="28"/>
          <w:szCs w:val="28"/>
          <w:lang w:val="uk-UA"/>
        </w:rPr>
        <w:t>Zhongguo Xiu Fu Chong Jian Wai Ke Za Zhi. 2012;26(6):</w:t>
      </w:r>
      <w:r w:rsidRPr="00BE086B">
        <w:rPr>
          <w:rFonts w:eastAsia="FreeSetC-Bold"/>
          <w:sz w:val="28"/>
          <w:szCs w:val="28"/>
          <w:lang w:val="en-US"/>
        </w:rPr>
        <w:t xml:space="preserve"> </w:t>
      </w:r>
      <w:r w:rsidRPr="00BE086B">
        <w:rPr>
          <w:rFonts w:eastAsia="FreeSetC-Bold"/>
          <w:sz w:val="28"/>
          <w:szCs w:val="28"/>
          <w:lang w:val="uk-UA"/>
        </w:rPr>
        <w:t>652-656.</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rFonts w:eastAsia="HeliosLight"/>
          <w:sz w:val="28"/>
          <w:szCs w:val="28"/>
          <w:lang w:val="uk-UA"/>
        </w:rPr>
        <w:t xml:space="preserve">Davidson R.K., </w:t>
      </w:r>
      <w:r w:rsidRPr="00BE086B">
        <w:rPr>
          <w:sz w:val="28"/>
          <w:szCs w:val="28"/>
          <w:shd w:val="clear" w:color="auto" w:fill="FFFFFF"/>
          <w:lang w:val="en-US"/>
        </w:rPr>
        <w:t>Waters J.G., Kevorkian L.</w:t>
      </w:r>
      <w:r w:rsidRPr="00BE086B">
        <w:rPr>
          <w:rFonts w:eastAsia="HeliosLight"/>
          <w:sz w:val="28"/>
          <w:szCs w:val="28"/>
          <w:lang w:val="uk-UA"/>
        </w:rPr>
        <w:t xml:space="preserve"> Expression profiling of metalloproteinases and their inhibitors in sinovium and cartilage. Arthritis Research Therapy. 2006;8:124.</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spacing w:line="360" w:lineRule="auto"/>
        <w:ind w:left="0" w:firstLine="709"/>
        <w:jc w:val="both"/>
        <w:rPr>
          <w:rFonts w:eastAsia="HeliosCond-Bold"/>
          <w:sz w:val="28"/>
          <w:szCs w:val="28"/>
          <w:lang w:val="uk-UA"/>
        </w:rPr>
      </w:pPr>
      <w:r w:rsidRPr="00BE086B">
        <w:rPr>
          <w:rFonts w:eastAsia="Arial-BoldItalicMT"/>
          <w:sz w:val="28"/>
          <w:szCs w:val="28"/>
        </w:rPr>
        <w:t xml:space="preserve">Демкин С.А., Маланин Д.А., Рогова Л.Н., Снигур Г.Л., Григорьева Н.В., Байдова К.В. </w:t>
      </w:r>
      <w:r w:rsidRPr="00BE086B">
        <w:rPr>
          <w:rFonts w:eastAsia="Arial-BoldMT"/>
          <w:sz w:val="28"/>
          <w:szCs w:val="28"/>
          <w:lang w:val="uk-UA"/>
        </w:rPr>
        <w:t>Металлопротеиназы 1 и 13 как маркеры деструктивно-</w:t>
      </w:r>
      <w:r w:rsidRPr="00BE086B">
        <w:rPr>
          <w:rFonts w:eastAsia="Arial-BoldMT"/>
          <w:sz w:val="28"/>
          <w:szCs w:val="28"/>
        </w:rPr>
        <w:t>пролиферативного процесса суставного хряща при экспериментальном остеоартрозе.</w:t>
      </w:r>
      <w:r w:rsidRPr="00BE086B">
        <w:rPr>
          <w:rFonts w:eastAsia="Arial-BoldItalicMT"/>
          <w:sz w:val="28"/>
          <w:szCs w:val="28"/>
        </w:rPr>
        <w:t xml:space="preserve"> </w:t>
      </w:r>
      <w:r w:rsidRPr="00BE086B">
        <w:rPr>
          <w:rFonts w:eastAsia="Arial-BoldItalicMT"/>
          <w:sz w:val="28"/>
          <w:szCs w:val="28"/>
          <w:lang w:val="uk-UA"/>
        </w:rPr>
        <w:t>Вестник ВолгГМУ. 2017;1(61):69-73.</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Mehana E</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 xml:space="preserve">., </w:t>
      </w:r>
      <w:r w:rsidRPr="00BE086B">
        <w:rPr>
          <w:sz w:val="28"/>
          <w:szCs w:val="28"/>
          <w:shd w:val="clear" w:color="auto" w:fill="FFFFFF"/>
          <w:lang w:val="en-US"/>
        </w:rPr>
        <w:t>Khafaga A</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 xml:space="preserve">., </w:t>
      </w:r>
      <w:r w:rsidRPr="00BE086B">
        <w:rPr>
          <w:sz w:val="28"/>
          <w:szCs w:val="28"/>
          <w:shd w:val="clear" w:color="auto" w:fill="FFFFFF"/>
          <w:lang w:val="en-US"/>
        </w:rPr>
        <w:t>El-Blehi S</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 xml:space="preserve">. </w:t>
      </w:r>
      <w:r w:rsidRPr="00BE086B">
        <w:rPr>
          <w:sz w:val="28"/>
          <w:szCs w:val="28"/>
          <w:shd w:val="clear" w:color="auto" w:fill="FFFFFF"/>
          <w:lang w:val="en-US"/>
        </w:rPr>
        <w:t>The</w:t>
      </w:r>
      <w:r w:rsidRPr="00BE086B">
        <w:rPr>
          <w:sz w:val="28"/>
          <w:szCs w:val="28"/>
          <w:shd w:val="clear" w:color="auto" w:fill="FFFFFF"/>
          <w:lang w:val="uk-UA"/>
        </w:rPr>
        <w:t xml:space="preserve"> </w:t>
      </w:r>
      <w:r w:rsidRPr="00BE086B">
        <w:rPr>
          <w:sz w:val="28"/>
          <w:szCs w:val="28"/>
          <w:shd w:val="clear" w:color="auto" w:fill="FFFFFF"/>
          <w:lang w:val="en-US"/>
        </w:rPr>
        <w:t>role</w:t>
      </w:r>
      <w:r w:rsidRPr="00BE086B">
        <w:rPr>
          <w:sz w:val="28"/>
          <w:szCs w:val="28"/>
          <w:shd w:val="clear" w:color="auto" w:fill="FFFFFF"/>
          <w:lang w:val="uk-UA"/>
        </w:rPr>
        <w:t xml:space="preserve"> </w:t>
      </w:r>
      <w:r w:rsidRPr="00BE086B">
        <w:rPr>
          <w:sz w:val="28"/>
          <w:szCs w:val="28"/>
          <w:shd w:val="clear" w:color="auto" w:fill="FFFFFF"/>
          <w:lang w:val="en-US"/>
        </w:rPr>
        <w:t>of</w:t>
      </w:r>
      <w:r w:rsidRPr="00BE086B">
        <w:rPr>
          <w:sz w:val="28"/>
          <w:szCs w:val="28"/>
          <w:shd w:val="clear" w:color="auto" w:fill="FFFFFF"/>
          <w:lang w:val="uk-UA"/>
        </w:rPr>
        <w:t xml:space="preserve"> </w:t>
      </w:r>
      <w:r w:rsidRPr="00BE086B">
        <w:rPr>
          <w:sz w:val="28"/>
          <w:szCs w:val="28"/>
          <w:shd w:val="clear" w:color="auto" w:fill="FFFFFF"/>
          <w:lang w:val="en-US"/>
        </w:rPr>
        <w:t>matrix</w:t>
      </w:r>
      <w:r w:rsidRPr="00BE086B">
        <w:rPr>
          <w:sz w:val="28"/>
          <w:szCs w:val="28"/>
          <w:shd w:val="clear" w:color="auto" w:fill="FFFFFF"/>
          <w:lang w:val="uk-UA"/>
        </w:rPr>
        <w:t xml:space="preserve"> </w:t>
      </w:r>
      <w:r w:rsidRPr="00BE086B">
        <w:rPr>
          <w:sz w:val="28"/>
          <w:szCs w:val="28"/>
          <w:shd w:val="clear" w:color="auto" w:fill="FFFFFF"/>
          <w:lang w:val="en-US"/>
        </w:rPr>
        <w:t>metalloproteinases</w:t>
      </w:r>
      <w:r w:rsidRPr="00BE086B">
        <w:rPr>
          <w:sz w:val="28"/>
          <w:szCs w:val="28"/>
          <w:shd w:val="clear" w:color="auto" w:fill="FFFFFF"/>
          <w:lang w:val="uk-UA"/>
        </w:rPr>
        <w:t xml:space="preserve"> </w:t>
      </w:r>
      <w:r w:rsidRPr="00BE086B">
        <w:rPr>
          <w:sz w:val="28"/>
          <w:szCs w:val="28"/>
          <w:shd w:val="clear" w:color="auto" w:fill="FFFFFF"/>
          <w:lang w:val="en-US"/>
        </w:rPr>
        <w:t>in</w:t>
      </w:r>
      <w:r w:rsidRPr="00BE086B">
        <w:rPr>
          <w:sz w:val="28"/>
          <w:szCs w:val="28"/>
          <w:shd w:val="clear" w:color="auto" w:fill="FFFFFF"/>
          <w:lang w:val="uk-UA"/>
        </w:rPr>
        <w:t xml:space="preserve"> </w:t>
      </w:r>
      <w:r w:rsidRPr="00BE086B">
        <w:rPr>
          <w:sz w:val="28"/>
          <w:szCs w:val="28"/>
          <w:shd w:val="clear" w:color="auto" w:fill="FFFFFF"/>
          <w:lang w:val="en-US"/>
        </w:rPr>
        <w:t>osteoarthritis</w:t>
      </w:r>
      <w:r w:rsidRPr="00BE086B">
        <w:rPr>
          <w:sz w:val="28"/>
          <w:szCs w:val="28"/>
          <w:shd w:val="clear" w:color="auto" w:fill="FFFFFF"/>
          <w:lang w:val="uk-UA"/>
        </w:rPr>
        <w:t xml:space="preserve"> </w:t>
      </w:r>
      <w:r w:rsidRPr="00BE086B">
        <w:rPr>
          <w:sz w:val="28"/>
          <w:szCs w:val="28"/>
          <w:shd w:val="clear" w:color="auto" w:fill="FFFFFF"/>
          <w:lang w:val="en-US"/>
        </w:rPr>
        <w:t>pathogenesis</w:t>
      </w:r>
      <w:r w:rsidRPr="00BE086B">
        <w:rPr>
          <w:sz w:val="28"/>
          <w:szCs w:val="28"/>
          <w:shd w:val="clear" w:color="auto" w:fill="FFFFFF"/>
          <w:lang w:val="uk-UA"/>
        </w:rPr>
        <w:t xml:space="preserve">: </w:t>
      </w:r>
      <w:r w:rsidRPr="00BE086B">
        <w:rPr>
          <w:sz w:val="28"/>
          <w:szCs w:val="28"/>
          <w:shd w:val="clear" w:color="auto" w:fill="FFFFFF"/>
          <w:lang w:val="en-US"/>
        </w:rPr>
        <w:t>An</w:t>
      </w:r>
      <w:r w:rsidRPr="00BE086B">
        <w:rPr>
          <w:sz w:val="28"/>
          <w:szCs w:val="28"/>
          <w:shd w:val="clear" w:color="auto" w:fill="FFFFFF"/>
          <w:lang w:val="uk-UA"/>
        </w:rPr>
        <w:t xml:space="preserve"> </w:t>
      </w:r>
      <w:r w:rsidRPr="00BE086B">
        <w:rPr>
          <w:sz w:val="28"/>
          <w:szCs w:val="28"/>
          <w:shd w:val="clear" w:color="auto" w:fill="FFFFFF"/>
          <w:lang w:val="en-US"/>
        </w:rPr>
        <w:t>updated</w:t>
      </w:r>
      <w:r w:rsidRPr="00BE086B">
        <w:rPr>
          <w:sz w:val="28"/>
          <w:szCs w:val="28"/>
          <w:shd w:val="clear" w:color="auto" w:fill="FFFFFF"/>
          <w:lang w:val="uk-UA"/>
        </w:rPr>
        <w:t xml:space="preserve"> </w:t>
      </w:r>
      <w:r w:rsidRPr="00BE086B">
        <w:rPr>
          <w:sz w:val="28"/>
          <w:szCs w:val="28"/>
          <w:shd w:val="clear" w:color="auto" w:fill="FFFFFF"/>
          <w:lang w:val="en-US"/>
        </w:rPr>
        <w:t>review</w:t>
      </w:r>
      <w:r w:rsidRPr="00BE086B">
        <w:rPr>
          <w:sz w:val="28"/>
          <w:szCs w:val="28"/>
          <w:shd w:val="clear" w:color="auto" w:fill="FFFFFF"/>
          <w:lang w:val="uk-UA"/>
        </w:rPr>
        <w:t>.</w:t>
      </w:r>
      <w:r w:rsidRPr="00BE086B">
        <w:rPr>
          <w:sz w:val="28"/>
          <w:szCs w:val="28"/>
          <w:shd w:val="clear" w:color="auto" w:fill="FFFFFF"/>
          <w:lang w:val="en-US"/>
        </w:rPr>
        <w:t xml:space="preserve"> </w:t>
      </w:r>
      <w:r w:rsidRPr="00BE086B">
        <w:rPr>
          <w:rFonts w:eastAsia="NewtonC"/>
          <w:sz w:val="28"/>
          <w:szCs w:val="28"/>
          <w:shd w:val="clear" w:color="auto" w:fill="FFFFFF"/>
          <w:lang w:val="en-US"/>
        </w:rPr>
        <w:t>Life Sci.</w:t>
      </w:r>
      <w:r w:rsidRPr="00BE086B">
        <w:rPr>
          <w:rFonts w:eastAsia="NewtonC"/>
          <w:sz w:val="28"/>
          <w:szCs w:val="28"/>
          <w:shd w:val="clear" w:color="auto" w:fill="FFFFFF"/>
          <w:lang w:val="uk-UA"/>
        </w:rPr>
        <w:t xml:space="preserve"> </w:t>
      </w:r>
      <w:r w:rsidRPr="00BE086B">
        <w:rPr>
          <w:rFonts w:eastAsia="NewtonC"/>
          <w:sz w:val="28"/>
          <w:szCs w:val="28"/>
          <w:shd w:val="clear" w:color="auto" w:fill="FFFFFF"/>
          <w:lang w:val="en-US"/>
        </w:rPr>
        <w:lastRenderedPageBreak/>
        <w:t>2019;1(234):</w:t>
      </w:r>
      <w:r w:rsidRPr="00BE086B">
        <w:rPr>
          <w:rFonts w:eastAsia="NewtonC"/>
          <w:sz w:val="28"/>
          <w:szCs w:val="28"/>
          <w:shd w:val="clear" w:color="auto" w:fill="FFFFFF"/>
          <w:lang w:val="uk-UA"/>
        </w:rPr>
        <w:t>1167-1186</w:t>
      </w:r>
      <w:r w:rsidRPr="00BE086B">
        <w:rPr>
          <w:rFonts w:eastAsia="NewtonC"/>
          <w:sz w:val="28"/>
          <w:szCs w:val="28"/>
          <w:shd w:val="clear" w:color="auto" w:fill="FFFFFF"/>
          <w:lang w:val="en-US"/>
        </w:rPr>
        <w:t>.</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spacing w:line="360" w:lineRule="auto"/>
        <w:ind w:left="0" w:firstLine="709"/>
        <w:jc w:val="both"/>
        <w:rPr>
          <w:sz w:val="28"/>
          <w:szCs w:val="28"/>
          <w:lang w:val="en-US"/>
        </w:rPr>
      </w:pPr>
      <w:r w:rsidRPr="00BE086B">
        <w:rPr>
          <w:sz w:val="28"/>
          <w:szCs w:val="28"/>
          <w:lang w:val="en-US"/>
        </w:rPr>
        <w:t xml:space="preserve">Jackson M.T., Moradi B., Smith M.M., Jackson C.J., Little C.B. Activation of matrix metalloproteinases 2, 9, and 13 by activated protein C in human osteoarthritic cartilage chondrocytes. </w:t>
      </w:r>
      <w:r w:rsidRPr="00BE086B">
        <w:rPr>
          <w:rFonts w:eastAsia="NewtonC"/>
          <w:sz w:val="28"/>
          <w:szCs w:val="28"/>
          <w:lang w:val="en-US"/>
        </w:rPr>
        <w:t>Arthritis Rheumatol. 2014</w:t>
      </w:r>
      <w:r w:rsidRPr="00BE086B">
        <w:rPr>
          <w:rFonts w:eastAsia="NewtonC"/>
          <w:sz w:val="28"/>
          <w:szCs w:val="28"/>
        </w:rPr>
        <w:t>;</w:t>
      </w:r>
      <w:r w:rsidRPr="00BE086B">
        <w:rPr>
          <w:rFonts w:eastAsia="NewtonC"/>
          <w:sz w:val="28"/>
          <w:szCs w:val="28"/>
          <w:lang w:val="en-US"/>
        </w:rPr>
        <w:t>66(6)</w:t>
      </w:r>
      <w:r w:rsidRPr="00BE086B">
        <w:rPr>
          <w:rFonts w:eastAsia="NewtonC"/>
          <w:sz w:val="28"/>
          <w:szCs w:val="28"/>
        </w:rPr>
        <w:t>:</w:t>
      </w:r>
      <w:r w:rsidRPr="00BE086B">
        <w:rPr>
          <w:rFonts w:eastAsia="NewtonC"/>
          <w:sz w:val="28"/>
          <w:szCs w:val="28"/>
          <w:lang w:val="en-US"/>
        </w:rPr>
        <w:t>1525-</w:t>
      </w:r>
      <w:r w:rsidRPr="00BE086B">
        <w:rPr>
          <w:rFonts w:eastAsia="NewtonC"/>
          <w:sz w:val="28"/>
          <w:szCs w:val="28"/>
        </w:rPr>
        <w:t>15</w:t>
      </w:r>
      <w:r w:rsidRPr="00BE086B">
        <w:rPr>
          <w:rFonts w:eastAsia="NewtonC"/>
          <w:sz w:val="28"/>
          <w:szCs w:val="28"/>
          <w:lang w:val="en-US"/>
        </w:rPr>
        <w:t>36.</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spacing w:line="360" w:lineRule="auto"/>
        <w:ind w:left="0" w:firstLine="709"/>
        <w:jc w:val="both"/>
        <w:rPr>
          <w:sz w:val="28"/>
          <w:szCs w:val="28"/>
          <w:lang w:val="en-US" w:eastAsia="ru-RU"/>
        </w:rPr>
      </w:pPr>
      <w:r w:rsidRPr="00BE086B">
        <w:rPr>
          <w:sz w:val="28"/>
          <w:szCs w:val="28"/>
          <w:lang w:val="en-US"/>
        </w:rPr>
        <w:t xml:space="preserve">Burrage P.S., Brinckerhoff C.E. Molecular targets in osteoarthritis: metalloproteinases and their inhibitors. </w:t>
      </w:r>
      <w:r w:rsidRPr="00BE086B">
        <w:rPr>
          <w:rFonts w:eastAsia="NewtonC"/>
          <w:sz w:val="28"/>
          <w:szCs w:val="28"/>
          <w:lang w:val="en-US"/>
        </w:rPr>
        <w:t>Curr Drug Targets. 2007</w:t>
      </w:r>
      <w:r w:rsidRPr="00BE086B">
        <w:rPr>
          <w:rFonts w:eastAsia="NewtonC"/>
          <w:sz w:val="28"/>
          <w:szCs w:val="28"/>
        </w:rPr>
        <w:t>;</w:t>
      </w:r>
      <w:r w:rsidRPr="00BE086B">
        <w:rPr>
          <w:rFonts w:eastAsia="NewtonC"/>
          <w:sz w:val="28"/>
          <w:szCs w:val="28"/>
          <w:lang w:val="en-US"/>
        </w:rPr>
        <w:t>8(2)</w:t>
      </w:r>
      <w:r w:rsidRPr="00BE086B">
        <w:rPr>
          <w:rFonts w:eastAsia="NewtonC"/>
          <w:sz w:val="28"/>
          <w:szCs w:val="28"/>
        </w:rPr>
        <w:t>:</w:t>
      </w:r>
      <w:r w:rsidRPr="00BE086B">
        <w:rPr>
          <w:rFonts w:eastAsia="NewtonC"/>
          <w:sz w:val="28"/>
          <w:szCs w:val="28"/>
          <w:lang w:val="en-US"/>
        </w:rPr>
        <w:t>293-303.</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spacing w:line="360" w:lineRule="auto"/>
        <w:ind w:left="0" w:firstLine="709"/>
        <w:jc w:val="both"/>
        <w:rPr>
          <w:sz w:val="28"/>
          <w:szCs w:val="28"/>
          <w:lang w:val="en-US"/>
        </w:rPr>
      </w:pPr>
      <w:r w:rsidRPr="00BE086B">
        <w:rPr>
          <w:sz w:val="28"/>
          <w:szCs w:val="28"/>
          <w:lang w:val="en-US"/>
        </w:rPr>
        <w:t xml:space="preserve">Burrage P.S., Mix K.S., Brinckerhoff C.E. Matrix metalloproteinases: role in arthritis. </w:t>
      </w:r>
      <w:r w:rsidRPr="00BE086B">
        <w:rPr>
          <w:rFonts w:eastAsia="NewtonC"/>
          <w:sz w:val="28"/>
          <w:szCs w:val="28"/>
          <w:shd w:val="clear" w:color="auto" w:fill="FFFFFF"/>
          <w:lang w:val="uk-UA"/>
        </w:rPr>
        <w:t>Front Biosci. 2006; 1(11): 529-543.</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rFonts w:eastAsia="NewtonC"/>
          <w:sz w:val="28"/>
          <w:szCs w:val="28"/>
          <w:shd w:val="clear" w:color="auto" w:fill="FFFFFF"/>
        </w:rPr>
        <w:t xml:space="preserve">Турна А.А. Активность матриксных металлопротеиназ при различных патогенетических вариантах воспаления. </w:t>
      </w:r>
      <w:r w:rsidRPr="00BE086B">
        <w:rPr>
          <w:kern w:val="28"/>
          <w:sz w:val="28"/>
          <w:szCs w:val="28"/>
        </w:rPr>
        <w:t xml:space="preserve">Автореферат... докт. мед. наук, спец.: </w:t>
      </w:r>
      <w:r w:rsidRPr="00BE086B">
        <w:rPr>
          <w:kern w:val="28"/>
          <w:sz w:val="28"/>
          <w:szCs w:val="28"/>
          <w:lang w:val="uk-UA"/>
        </w:rPr>
        <w:t xml:space="preserve">03.01.04 – </w:t>
      </w:r>
      <w:r w:rsidRPr="00BE086B">
        <w:rPr>
          <w:kern w:val="28"/>
          <w:sz w:val="28"/>
          <w:szCs w:val="28"/>
        </w:rPr>
        <w:t>биохимия; 14.03.10 – лабораторная диагностика.</w:t>
      </w:r>
      <w:r w:rsidRPr="00BE086B">
        <w:rPr>
          <w:rFonts w:eastAsia="NewtonC"/>
          <w:sz w:val="28"/>
          <w:szCs w:val="28"/>
          <w:shd w:val="clear" w:color="auto" w:fill="FFFFFF"/>
        </w:rPr>
        <w:t xml:space="preserve"> Москва, 2010, 50 с.</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spacing w:line="360" w:lineRule="auto"/>
        <w:ind w:left="0" w:firstLine="709"/>
        <w:jc w:val="both"/>
        <w:rPr>
          <w:sz w:val="28"/>
          <w:szCs w:val="28"/>
          <w:lang w:val="en-US"/>
        </w:rPr>
      </w:pPr>
      <w:r w:rsidRPr="00BE086B">
        <w:rPr>
          <w:sz w:val="28"/>
          <w:szCs w:val="28"/>
          <w:lang w:val="en-US"/>
        </w:rPr>
        <w:t>Bluteau G., Conrozier T., Mathieu P., Vignon E., Herbage D., Mallein-Gerin F. Matrix metalloproteinase-1, -3, -13 and aggrecanase-1 and -2 are differentially expressed in experimental osteoarthritis</w:t>
      </w:r>
      <w:r w:rsidRPr="00BE086B">
        <w:rPr>
          <w:sz w:val="28"/>
          <w:szCs w:val="28"/>
          <w:lang w:val="uk-UA"/>
        </w:rPr>
        <w:t>.</w:t>
      </w:r>
      <w:r w:rsidRPr="00BE086B">
        <w:rPr>
          <w:sz w:val="28"/>
          <w:szCs w:val="28"/>
          <w:lang w:val="en-US"/>
        </w:rPr>
        <w:t xml:space="preserve"> </w:t>
      </w:r>
      <w:r w:rsidRPr="00BE086B">
        <w:rPr>
          <w:rFonts w:eastAsia="NewtonC"/>
          <w:sz w:val="28"/>
          <w:szCs w:val="28"/>
          <w:shd w:val="clear" w:color="auto" w:fill="FFFFFF"/>
          <w:lang w:val="uk-UA"/>
        </w:rPr>
        <w:t>Biochim Biophys Acta. 2001;3,1526(2):147-158.</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spacing w:line="360" w:lineRule="auto"/>
        <w:ind w:left="0" w:firstLine="709"/>
        <w:jc w:val="both"/>
        <w:rPr>
          <w:sz w:val="28"/>
          <w:szCs w:val="28"/>
          <w:lang w:val="en-US"/>
        </w:rPr>
      </w:pPr>
      <w:r w:rsidRPr="00BE086B">
        <w:rPr>
          <w:sz w:val="28"/>
          <w:szCs w:val="28"/>
          <w:lang w:val="en-US"/>
        </w:rPr>
        <w:t>Tetlow L.C., Adlam D.J., Woolley D.E. Matrix metalloproteinase and proinflammatory cytokine production by chondrocytes of human osteoarthritic cartilage: associations with degenerative changes</w:t>
      </w:r>
      <w:r w:rsidRPr="00BE086B">
        <w:rPr>
          <w:sz w:val="28"/>
          <w:szCs w:val="28"/>
          <w:lang w:val="uk-UA"/>
        </w:rPr>
        <w:t>.</w:t>
      </w:r>
      <w:r w:rsidRPr="00BE086B">
        <w:rPr>
          <w:sz w:val="28"/>
          <w:szCs w:val="28"/>
          <w:lang w:val="en-US"/>
        </w:rPr>
        <w:t xml:space="preserve"> </w:t>
      </w:r>
      <w:r w:rsidRPr="00BE086B">
        <w:rPr>
          <w:rFonts w:eastAsia="NewtonC"/>
          <w:sz w:val="28"/>
          <w:szCs w:val="28"/>
          <w:shd w:val="clear" w:color="auto" w:fill="FFFFFF"/>
          <w:lang w:val="uk-UA"/>
        </w:rPr>
        <w:t>Arthritis Rheum. 2001;</w:t>
      </w:r>
      <w:r w:rsidRPr="00BE086B">
        <w:rPr>
          <w:rFonts w:eastAsia="HeliosLight"/>
          <w:sz w:val="28"/>
          <w:szCs w:val="28"/>
          <w:lang w:val="en-US"/>
        </w:rPr>
        <w:t xml:space="preserve"> </w:t>
      </w:r>
      <w:r w:rsidRPr="00BE086B">
        <w:rPr>
          <w:rFonts w:eastAsia="NewtonC"/>
          <w:sz w:val="28"/>
          <w:szCs w:val="28"/>
          <w:shd w:val="clear" w:color="auto" w:fill="FFFFFF"/>
          <w:lang w:val="uk-UA"/>
        </w:rPr>
        <w:t>44(3): 585-594.</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spacing w:line="360" w:lineRule="auto"/>
        <w:ind w:left="0" w:firstLine="709"/>
        <w:jc w:val="both"/>
        <w:rPr>
          <w:sz w:val="28"/>
          <w:szCs w:val="28"/>
          <w:lang w:val="en-US"/>
        </w:rPr>
      </w:pPr>
      <w:r w:rsidRPr="00BE086B">
        <w:rPr>
          <w:sz w:val="28"/>
          <w:szCs w:val="28"/>
          <w:lang w:val="en-US"/>
        </w:rPr>
        <w:t>Young D.A., Barter M.J., Wilkinson D.J. Recent advances in understanding the regulation of metalloproteinases</w:t>
      </w:r>
      <w:r w:rsidRPr="00BE086B">
        <w:rPr>
          <w:sz w:val="28"/>
          <w:szCs w:val="28"/>
          <w:lang w:val="uk-UA"/>
        </w:rPr>
        <w:t>.</w:t>
      </w:r>
      <w:r w:rsidRPr="00BE086B">
        <w:rPr>
          <w:sz w:val="28"/>
          <w:szCs w:val="28"/>
          <w:lang w:val="en-US"/>
        </w:rPr>
        <w:t xml:space="preserve"> </w:t>
      </w:r>
      <w:r w:rsidRPr="00BE086B">
        <w:rPr>
          <w:rFonts w:eastAsia="NewtonC"/>
          <w:sz w:val="28"/>
          <w:szCs w:val="28"/>
          <w:shd w:val="clear" w:color="auto" w:fill="FFFFFF"/>
          <w:lang w:val="uk-UA"/>
        </w:rPr>
        <w:t>F1000Res. 2019;</w:t>
      </w:r>
      <w:r w:rsidRPr="00BE086B">
        <w:rPr>
          <w:rFonts w:eastAsia="HeliosLight"/>
          <w:sz w:val="28"/>
          <w:szCs w:val="28"/>
          <w:lang w:val="en-US"/>
        </w:rPr>
        <w:t xml:space="preserve"> </w:t>
      </w:r>
      <w:r w:rsidRPr="00BE086B">
        <w:rPr>
          <w:rFonts w:eastAsia="NewtonC"/>
          <w:sz w:val="28"/>
          <w:szCs w:val="28"/>
          <w:shd w:val="clear" w:color="auto" w:fill="FFFFFF"/>
          <w:lang w:val="uk-UA"/>
        </w:rPr>
        <w:t>18:8.</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lang w:val="en-US"/>
        </w:rPr>
      </w:pPr>
      <w:r w:rsidRPr="00BE086B">
        <w:rPr>
          <w:sz w:val="28"/>
          <w:szCs w:val="28"/>
          <w:shd w:val="clear" w:color="auto" w:fill="FFFFFF"/>
          <w:lang w:val="en-US"/>
        </w:rPr>
        <w:t>Kapoor M., Martel-Pelletier J., Lajeunesse D., Pelletier J-P., Fahmi H. Role of pro-inflammatory cytokines in the pathophysiology of osteoarthritis. Nat Rev Rheumatol. 2011; 7:33-42.</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lang w:val="en-US"/>
        </w:rPr>
      </w:pPr>
      <w:r w:rsidRPr="00BE086B">
        <w:rPr>
          <w:sz w:val="28"/>
          <w:szCs w:val="28"/>
          <w:shd w:val="clear" w:color="auto" w:fill="FFFFFF"/>
          <w:lang w:val="en-US"/>
        </w:rPr>
        <w:t>Fernandes J.C., Martel-Pelletier J., Pelletier J.P. The role of cytokines in osteoarthritis pathophysiology. Biorheology. 2002;39(1-2):237-246.</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lang w:val="en-US"/>
        </w:rPr>
      </w:pPr>
      <w:r w:rsidRPr="00BE086B">
        <w:rPr>
          <w:sz w:val="28"/>
          <w:szCs w:val="28"/>
          <w:shd w:val="clear" w:color="auto" w:fill="FFFFFF"/>
          <w:lang w:val="en-US"/>
        </w:rPr>
        <w:t xml:space="preserve">Sutton S., Clutterbuck A., Harris P., Gent T., Freeman S., Foster N., Barrett-Jolley R., Mobasheri A. The contribution of the synovium, synovial derived </w:t>
      </w:r>
      <w:r w:rsidRPr="00BE086B">
        <w:rPr>
          <w:sz w:val="28"/>
          <w:szCs w:val="28"/>
          <w:shd w:val="clear" w:color="auto" w:fill="FFFFFF"/>
          <w:lang w:val="en-US"/>
        </w:rPr>
        <w:lastRenderedPageBreak/>
        <w:t>inflammatory cytokines and neuropeptides to the pathogenesis of osteoarthritis. Vet J. 2009;179(1):10-24.</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rStyle w:val="ac"/>
          <w:i w:val="0"/>
          <w:sz w:val="28"/>
          <w:szCs w:val="28"/>
        </w:rPr>
        <w:t>Зупанец И</w:t>
      </w:r>
      <w:r w:rsidRPr="00BE086B">
        <w:rPr>
          <w:rStyle w:val="ac"/>
          <w:i w:val="0"/>
          <w:sz w:val="28"/>
          <w:szCs w:val="28"/>
          <w:lang w:val="uk-UA"/>
        </w:rPr>
        <w:t>.</w:t>
      </w:r>
      <w:r w:rsidRPr="00BE086B">
        <w:rPr>
          <w:rStyle w:val="ac"/>
          <w:i w:val="0"/>
          <w:sz w:val="28"/>
          <w:szCs w:val="28"/>
        </w:rPr>
        <w:t>А</w:t>
      </w:r>
      <w:r w:rsidRPr="00BE086B">
        <w:rPr>
          <w:rStyle w:val="ac"/>
          <w:i w:val="0"/>
          <w:sz w:val="28"/>
          <w:szCs w:val="28"/>
          <w:lang w:val="uk-UA"/>
        </w:rPr>
        <w:t>.</w:t>
      </w:r>
      <w:r w:rsidRPr="00BE086B">
        <w:rPr>
          <w:rStyle w:val="ac"/>
          <w:i w:val="0"/>
          <w:sz w:val="28"/>
          <w:szCs w:val="28"/>
        </w:rPr>
        <w:t>, Шебеко С</w:t>
      </w:r>
      <w:r w:rsidRPr="00BE086B">
        <w:rPr>
          <w:rStyle w:val="ac"/>
          <w:i w:val="0"/>
          <w:sz w:val="28"/>
          <w:szCs w:val="28"/>
          <w:lang w:val="uk-UA"/>
        </w:rPr>
        <w:t>.</w:t>
      </w:r>
      <w:r w:rsidRPr="00BE086B">
        <w:rPr>
          <w:rStyle w:val="ac"/>
          <w:i w:val="0"/>
          <w:sz w:val="28"/>
          <w:szCs w:val="28"/>
        </w:rPr>
        <w:t>К</w:t>
      </w:r>
      <w:r w:rsidRPr="00BE086B">
        <w:rPr>
          <w:rStyle w:val="ac"/>
          <w:i w:val="0"/>
          <w:sz w:val="28"/>
          <w:szCs w:val="28"/>
          <w:lang w:val="uk-UA"/>
        </w:rPr>
        <w:t>.</w:t>
      </w:r>
      <w:r w:rsidRPr="00BE086B">
        <w:rPr>
          <w:rStyle w:val="ac"/>
          <w:i w:val="0"/>
          <w:sz w:val="28"/>
          <w:szCs w:val="28"/>
        </w:rPr>
        <w:t>, Шаламай А</w:t>
      </w:r>
      <w:r w:rsidRPr="00BE086B">
        <w:rPr>
          <w:rStyle w:val="ac"/>
          <w:i w:val="0"/>
          <w:sz w:val="28"/>
          <w:szCs w:val="28"/>
          <w:lang w:val="uk-UA"/>
        </w:rPr>
        <w:t>.</w:t>
      </w:r>
      <w:r w:rsidRPr="00BE086B">
        <w:rPr>
          <w:rStyle w:val="ac"/>
          <w:i w:val="0"/>
          <w:sz w:val="28"/>
          <w:szCs w:val="28"/>
        </w:rPr>
        <w:t>С</w:t>
      </w:r>
      <w:r w:rsidRPr="00BE086B">
        <w:rPr>
          <w:rStyle w:val="ac"/>
          <w:i w:val="0"/>
          <w:sz w:val="28"/>
          <w:szCs w:val="28"/>
          <w:lang w:val="uk-UA"/>
        </w:rPr>
        <w:t>.</w:t>
      </w:r>
      <w:r w:rsidRPr="00BE086B">
        <w:rPr>
          <w:rStyle w:val="ac"/>
          <w:i w:val="0"/>
          <w:sz w:val="28"/>
          <w:szCs w:val="28"/>
        </w:rPr>
        <w:t>, Попов</w:t>
      </w:r>
      <w:r w:rsidRPr="00BE086B">
        <w:rPr>
          <w:sz w:val="28"/>
          <w:szCs w:val="28"/>
        </w:rPr>
        <w:t xml:space="preserve"> </w:t>
      </w:r>
      <w:r w:rsidRPr="00BE086B">
        <w:rPr>
          <w:rStyle w:val="ac"/>
          <w:i w:val="0"/>
          <w:sz w:val="28"/>
          <w:szCs w:val="28"/>
        </w:rPr>
        <w:t>А</w:t>
      </w:r>
      <w:r w:rsidRPr="00BE086B">
        <w:rPr>
          <w:rStyle w:val="ac"/>
          <w:i w:val="0"/>
          <w:sz w:val="28"/>
          <w:szCs w:val="28"/>
          <w:lang w:val="uk-UA"/>
        </w:rPr>
        <w:t>.</w:t>
      </w:r>
      <w:r w:rsidRPr="00BE086B">
        <w:rPr>
          <w:rStyle w:val="ac"/>
          <w:i w:val="0"/>
          <w:sz w:val="28"/>
          <w:szCs w:val="28"/>
        </w:rPr>
        <w:t>С</w:t>
      </w:r>
      <w:r w:rsidRPr="00BE086B">
        <w:rPr>
          <w:rStyle w:val="ac"/>
          <w:i w:val="0"/>
          <w:sz w:val="28"/>
          <w:szCs w:val="28"/>
          <w:lang w:val="uk-UA"/>
        </w:rPr>
        <w:t>.</w:t>
      </w:r>
      <w:r w:rsidRPr="00BE086B">
        <w:rPr>
          <w:rStyle w:val="ac"/>
          <w:i w:val="0"/>
          <w:sz w:val="28"/>
          <w:szCs w:val="28"/>
        </w:rPr>
        <w:t xml:space="preserve"> </w:t>
      </w:r>
      <w:r w:rsidRPr="00BE086B">
        <w:rPr>
          <w:sz w:val="28"/>
          <w:szCs w:val="28"/>
        </w:rPr>
        <w:t>О влиянии препарата «Диклокор» на процессы апоптоза в суставном хряще крыс с остеоартрозом</w:t>
      </w:r>
      <w:r w:rsidRPr="00BE086B">
        <w:rPr>
          <w:sz w:val="28"/>
          <w:szCs w:val="28"/>
          <w:lang w:val="uk-UA"/>
        </w:rPr>
        <w:t xml:space="preserve">. </w:t>
      </w:r>
      <w:r w:rsidRPr="00BE086B">
        <w:rPr>
          <w:sz w:val="28"/>
          <w:szCs w:val="28"/>
        </w:rPr>
        <w:t>Экспериментальная и клиническая фармакология. 2015; 78(10):27-30.</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Orhan C., Juturu V., Sahin E., Tuzcu M., Ozercan I.H., Durmus A.S., Sahin N., Sahin K. Undenatured type II collagen ameliorates inflammatory responses and articular cartilage damage in the rat model of osteoarthritis. Front Vet Sci. 2021; 4;8:617-789.</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sz w:val="28"/>
          <w:szCs w:val="28"/>
          <w:lang w:val="uk-UA"/>
        </w:rPr>
        <w:t>El-Tahan R.R., Ghoneim A.M., El-Mashad N. TNF-alpha gene polymorphisms and expression. Springerplus. 2016;5:1508.</w:t>
      </w:r>
    </w:p>
    <w:p w:rsidR="008B13C0" w:rsidRPr="00BE086B" w:rsidRDefault="008B13C0" w:rsidP="00611AFB">
      <w:pPr>
        <w:widowControl w:val="0"/>
        <w:numPr>
          <w:ilvl w:val="0"/>
          <w:numId w:val="19"/>
        </w:numPr>
        <w:pBdr>
          <w:bottom w:val="single" w:sz="6" w:space="12" w:color="008000"/>
        </w:pBdr>
        <w:shd w:val="clear" w:color="auto" w:fill="FFFFFF"/>
        <w:suppressAutoHyphens w:val="0"/>
        <w:autoSpaceDE w:val="0"/>
        <w:autoSpaceDN w:val="0"/>
        <w:adjustRightInd w:val="0"/>
        <w:spacing w:line="360" w:lineRule="auto"/>
        <w:ind w:left="0" w:firstLine="709"/>
        <w:jc w:val="both"/>
        <w:rPr>
          <w:sz w:val="28"/>
          <w:szCs w:val="28"/>
        </w:rPr>
      </w:pPr>
      <w:r w:rsidRPr="00BE086B">
        <w:rPr>
          <w:sz w:val="28"/>
          <w:szCs w:val="28"/>
          <w:lang w:val="uk-UA"/>
        </w:rPr>
        <w:t>Roseti L., Desando G., Cavallo C., Petretta M., Grigolo B. Articular cartilage regeneration in osteoarthritis. Cells. 2019;8</w:t>
      </w:r>
      <w:r w:rsidRPr="00BE086B">
        <w:rPr>
          <w:sz w:val="28"/>
          <w:szCs w:val="28"/>
        </w:rPr>
        <w:t>:</w:t>
      </w:r>
      <w:r w:rsidRPr="00BE086B">
        <w:rPr>
          <w:sz w:val="28"/>
          <w:szCs w:val="28"/>
          <w:lang w:val="uk-UA"/>
        </w:rPr>
        <w:t>1305</w:t>
      </w:r>
      <w:r w:rsidRPr="00BE086B">
        <w:rPr>
          <w:sz w:val="28"/>
          <w:szCs w:val="28"/>
        </w:rPr>
        <w:t>.</w:t>
      </w:r>
    </w:p>
    <w:p w:rsidR="008B13C0" w:rsidRPr="00BE086B" w:rsidRDefault="008B13C0" w:rsidP="00611AFB">
      <w:pPr>
        <w:pStyle w:val="western"/>
        <w:widowControl w:val="0"/>
        <w:numPr>
          <w:ilvl w:val="0"/>
          <w:numId w:val="19"/>
        </w:numPr>
        <w:pBdr>
          <w:bottom w:val="single" w:sz="8" w:space="1" w:color="008000"/>
        </w:pBdr>
        <w:spacing w:before="0" w:after="0" w:line="360" w:lineRule="auto"/>
        <w:ind w:left="0"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Kou S.</w:t>
      </w:r>
      <w:r w:rsidRPr="00BE086B">
        <w:rPr>
          <w:rFonts w:ascii="Times New Roman" w:hAnsi="Times New Roman" w:cs="Times New Roman"/>
          <w:color w:val="auto"/>
          <w:sz w:val="28"/>
          <w:szCs w:val="28"/>
          <w:lang w:val="en-US"/>
        </w:rPr>
        <w:t xml:space="preserve">, </w:t>
      </w:r>
      <w:r w:rsidRPr="00BE086B">
        <w:rPr>
          <w:rFonts w:ascii="Times New Roman" w:hAnsi="Times New Roman" w:cs="Times New Roman"/>
          <w:color w:val="auto"/>
          <w:sz w:val="28"/>
          <w:szCs w:val="28"/>
          <w:lang w:val="uk-UA"/>
        </w:rPr>
        <w:t>Wu Y</w:t>
      </w:r>
      <w:r w:rsidRPr="00BE086B">
        <w:rPr>
          <w:rFonts w:ascii="Times New Roman" w:hAnsi="Times New Roman" w:cs="Times New Roman"/>
          <w:color w:val="auto"/>
          <w:sz w:val="28"/>
          <w:szCs w:val="28"/>
          <w:lang w:val="en-US"/>
        </w:rPr>
        <w:t xml:space="preserve">. </w:t>
      </w:r>
      <w:r w:rsidRPr="00BE086B">
        <w:rPr>
          <w:rFonts w:ascii="Times New Roman" w:hAnsi="Times New Roman" w:cs="Times New Roman"/>
          <w:color w:val="auto"/>
          <w:sz w:val="28"/>
          <w:szCs w:val="28"/>
          <w:lang w:val="uk-UA"/>
        </w:rPr>
        <w:t>Meta-analysis of tumor necrosis factor alpha − 308 polymorphism and knee osteoarthritis risk</w:t>
      </w:r>
      <w:r w:rsidRPr="00BE086B">
        <w:rPr>
          <w:rFonts w:ascii="Times New Roman" w:hAnsi="Times New Roman" w:cs="Times New Roman"/>
          <w:color w:val="auto"/>
          <w:sz w:val="28"/>
          <w:szCs w:val="28"/>
          <w:lang w:val="en-US"/>
        </w:rPr>
        <w:t>.</w:t>
      </w:r>
      <w:r w:rsidRPr="00BE086B">
        <w:rPr>
          <w:rFonts w:ascii="Times New Roman" w:hAnsi="Times New Roman" w:cs="Times New Roman"/>
          <w:color w:val="auto"/>
          <w:sz w:val="28"/>
          <w:szCs w:val="28"/>
          <w:lang w:val="uk-UA"/>
        </w:rPr>
        <w:t xml:space="preserve"> BMC Musculoskeletal Disorders</w:t>
      </w:r>
      <w:r w:rsidRPr="00BE086B">
        <w:rPr>
          <w:rFonts w:ascii="Times New Roman" w:hAnsi="Times New Roman" w:cs="Times New Roman"/>
          <w:color w:val="auto"/>
          <w:sz w:val="28"/>
          <w:szCs w:val="28"/>
          <w:lang w:val="en-US"/>
        </w:rPr>
        <w:t>.</w:t>
      </w:r>
      <w:r w:rsidRPr="00BE086B">
        <w:rPr>
          <w:rFonts w:ascii="Times New Roman" w:hAnsi="Times New Roman" w:cs="Times New Roman"/>
          <w:color w:val="auto"/>
          <w:sz w:val="28"/>
          <w:szCs w:val="28"/>
          <w:lang w:val="uk-UA"/>
        </w:rPr>
        <w:t xml:space="preserve"> 2014; 15:</w:t>
      </w:r>
      <w:r w:rsidRPr="00BE086B">
        <w:rPr>
          <w:rFonts w:ascii="Times New Roman" w:hAnsi="Times New Roman" w:cs="Times New Roman"/>
          <w:color w:val="auto"/>
          <w:sz w:val="28"/>
          <w:szCs w:val="28"/>
          <w:lang w:val="en-US"/>
        </w:rPr>
        <w:t xml:space="preserve"> </w:t>
      </w:r>
      <w:r w:rsidRPr="00BE086B">
        <w:rPr>
          <w:rFonts w:ascii="Times New Roman" w:hAnsi="Times New Roman" w:cs="Times New Roman"/>
          <w:color w:val="auto"/>
          <w:sz w:val="28"/>
          <w:szCs w:val="28"/>
          <w:lang w:val="uk-UA"/>
        </w:rPr>
        <w:t>373</w:t>
      </w:r>
      <w:r w:rsidRPr="00BE086B">
        <w:rPr>
          <w:rFonts w:ascii="Times New Roman" w:hAnsi="Times New Roman" w:cs="Times New Roman"/>
          <w:color w:val="auto"/>
          <w:sz w:val="28"/>
          <w:szCs w:val="28"/>
          <w:lang w:val="en-US"/>
        </w:rPr>
        <w:t>.</w:t>
      </w:r>
    </w:p>
    <w:p w:rsidR="008B13C0" w:rsidRPr="00BE086B" w:rsidRDefault="008B13C0" w:rsidP="00611AFB">
      <w:pPr>
        <w:pStyle w:val="afc"/>
        <w:widowControl w:val="0"/>
        <w:numPr>
          <w:ilvl w:val="0"/>
          <w:numId w:val="19"/>
        </w:numPr>
        <w:pBdr>
          <w:bottom w:val="single" w:sz="6" w:space="12" w:color="008000"/>
        </w:pBdr>
        <w:shd w:val="clear" w:color="auto" w:fill="FFFFFF"/>
        <w:autoSpaceDE w:val="0"/>
        <w:autoSpaceDN w:val="0"/>
        <w:adjustRightInd w:val="0"/>
        <w:spacing w:line="360" w:lineRule="auto"/>
        <w:ind w:left="0" w:right="0" w:firstLine="709"/>
        <w:rPr>
          <w:color w:val="auto"/>
          <w:sz w:val="28"/>
          <w:szCs w:val="28"/>
        </w:rPr>
      </w:pPr>
      <w:r w:rsidRPr="00BE086B">
        <w:rPr>
          <w:color w:val="auto"/>
          <w:sz w:val="28"/>
          <w:szCs w:val="28"/>
        </w:rPr>
        <w:t>Chen J., Wu Y., Yu J., Shen J. Association between tumor necrosis factor alpha rs1800629 polymorphism and risk of osteoarthritis in a Chinese population. Braz J Med Biol Res. 2018; 51(8):7311.</w:t>
      </w:r>
    </w:p>
    <w:p w:rsidR="008B13C0" w:rsidRPr="00BE086B" w:rsidRDefault="008B13C0" w:rsidP="00611AFB">
      <w:pPr>
        <w:pStyle w:val="afc"/>
        <w:widowControl w:val="0"/>
        <w:numPr>
          <w:ilvl w:val="0"/>
          <w:numId w:val="19"/>
        </w:numPr>
        <w:pBdr>
          <w:bottom w:val="single" w:sz="6" w:space="12" w:color="008000"/>
        </w:pBdr>
        <w:shd w:val="clear" w:color="auto" w:fill="FFFFFF"/>
        <w:autoSpaceDE w:val="0"/>
        <w:autoSpaceDN w:val="0"/>
        <w:adjustRightInd w:val="0"/>
        <w:spacing w:line="360" w:lineRule="auto"/>
        <w:ind w:left="0" w:right="0" w:firstLine="709"/>
        <w:rPr>
          <w:color w:val="auto"/>
          <w:sz w:val="28"/>
          <w:szCs w:val="28"/>
        </w:rPr>
      </w:pPr>
      <w:r w:rsidRPr="00BE086B">
        <w:rPr>
          <w:color w:val="auto"/>
          <w:sz w:val="28"/>
          <w:szCs w:val="28"/>
        </w:rPr>
        <w:t>Chen C., Xie J., Rajappa R., Deng L., Fredberg J., Yang L. Interleukin-1beta and tumor necrosis factor-alpha increase stiffness and impair contractile function of articular chondrocytes. Acta Biochim Biophys Sin (Shanghai). 2015; 47:121-129.</w:t>
      </w:r>
    </w:p>
    <w:p w:rsidR="008B13C0" w:rsidRPr="00BE086B" w:rsidRDefault="008B13C0" w:rsidP="00611AFB">
      <w:pPr>
        <w:pStyle w:val="western"/>
        <w:widowControl w:val="0"/>
        <w:numPr>
          <w:ilvl w:val="0"/>
          <w:numId w:val="19"/>
        </w:numPr>
        <w:pBdr>
          <w:bottom w:val="single" w:sz="8" w:space="1" w:color="008000"/>
        </w:pBdr>
        <w:spacing w:before="0" w:after="0" w:line="360" w:lineRule="auto"/>
        <w:ind w:left="0" w:firstLine="709"/>
        <w:jc w:val="both"/>
        <w:rPr>
          <w:rFonts w:ascii="Times New Roman" w:hAnsi="Times New Roman" w:cs="Times New Roman"/>
          <w:color w:val="auto"/>
          <w:sz w:val="28"/>
          <w:szCs w:val="28"/>
          <w:lang w:val="uk-UA"/>
        </w:rPr>
      </w:pPr>
      <w:r w:rsidRPr="00BE086B">
        <w:rPr>
          <w:rFonts w:ascii="Times New Roman" w:hAnsi="Times New Roman" w:cs="Times New Roman"/>
          <w:color w:val="auto"/>
          <w:sz w:val="28"/>
          <w:szCs w:val="28"/>
          <w:lang w:val="uk-UA"/>
        </w:rPr>
        <w:t xml:space="preserve">Stannus O., Jones G., Cicuttini F., Parameswaran V., Quinn S., Burgess J. </w:t>
      </w:r>
      <w:r w:rsidRPr="00BE086B">
        <w:rPr>
          <w:rFonts w:ascii="Times New Roman" w:hAnsi="Times New Roman" w:cs="Times New Roman"/>
          <w:color w:val="auto"/>
          <w:sz w:val="28"/>
          <w:szCs w:val="28"/>
          <w:lang w:val="en-US"/>
        </w:rPr>
        <w:t>[</w:t>
      </w:r>
      <w:r w:rsidRPr="00BE086B">
        <w:rPr>
          <w:rFonts w:ascii="Times New Roman" w:hAnsi="Times New Roman" w:cs="Times New Roman"/>
          <w:color w:val="auto"/>
          <w:sz w:val="28"/>
          <w:szCs w:val="28"/>
          <w:lang w:val="uk-UA"/>
        </w:rPr>
        <w:t>et al.</w:t>
      </w:r>
      <w:r w:rsidRPr="00BE086B">
        <w:rPr>
          <w:rFonts w:ascii="Times New Roman" w:hAnsi="Times New Roman" w:cs="Times New Roman"/>
          <w:color w:val="auto"/>
          <w:sz w:val="28"/>
          <w:szCs w:val="28"/>
          <w:lang w:val="en-US"/>
        </w:rPr>
        <w:t>].</w:t>
      </w:r>
      <w:r w:rsidRPr="00BE086B">
        <w:rPr>
          <w:rFonts w:ascii="Times New Roman" w:hAnsi="Times New Roman" w:cs="Times New Roman"/>
          <w:color w:val="auto"/>
          <w:sz w:val="28"/>
          <w:szCs w:val="28"/>
          <w:lang w:val="uk-UA"/>
        </w:rPr>
        <w:t xml:space="preserve"> Circulating levels of IL-6 and TNF-alpha are associated with knee radiographic osteoarthritis and knee cartilage loss in older adults. Osteoarthritis Cartilage. 2010; 18: 1441-</w:t>
      </w:r>
      <w:r w:rsidRPr="00BE086B">
        <w:rPr>
          <w:rFonts w:ascii="Times New Roman" w:hAnsi="Times New Roman" w:cs="Times New Roman"/>
          <w:color w:val="auto"/>
          <w:sz w:val="28"/>
          <w:szCs w:val="28"/>
          <w:lang w:val="en-US"/>
        </w:rPr>
        <w:t>144</w:t>
      </w:r>
      <w:r w:rsidRPr="00BE086B">
        <w:rPr>
          <w:rFonts w:ascii="Times New Roman" w:hAnsi="Times New Roman" w:cs="Times New Roman"/>
          <w:color w:val="auto"/>
          <w:sz w:val="28"/>
          <w:szCs w:val="28"/>
          <w:lang w:val="uk-UA"/>
        </w:rPr>
        <w:t>7.</w:t>
      </w:r>
    </w:p>
    <w:p w:rsidR="008B13C0" w:rsidRPr="00BE086B" w:rsidRDefault="008B13C0" w:rsidP="00611AFB">
      <w:pPr>
        <w:pStyle w:val="afc"/>
        <w:widowControl w:val="0"/>
        <w:numPr>
          <w:ilvl w:val="0"/>
          <w:numId w:val="19"/>
        </w:numPr>
        <w:pBdr>
          <w:bottom w:val="single" w:sz="8" w:space="1" w:color="008000"/>
        </w:pBdr>
        <w:spacing w:line="360" w:lineRule="auto"/>
        <w:ind w:left="0" w:right="0" w:firstLine="709"/>
        <w:rPr>
          <w:color w:val="auto"/>
          <w:sz w:val="28"/>
          <w:szCs w:val="28"/>
          <w:lang w:eastAsia="ru-RU"/>
        </w:rPr>
      </w:pPr>
      <w:r w:rsidRPr="00BE086B">
        <w:rPr>
          <w:color w:val="auto"/>
          <w:sz w:val="28"/>
          <w:szCs w:val="28"/>
          <w:lang w:eastAsia="ru-RU"/>
        </w:rPr>
        <w:lastRenderedPageBreak/>
        <w:t>Kunisch E</w:t>
      </w:r>
      <w:r w:rsidRPr="00BE086B">
        <w:rPr>
          <w:color w:val="auto"/>
          <w:sz w:val="28"/>
          <w:szCs w:val="28"/>
          <w:lang w:val="en-US" w:eastAsia="ru-RU"/>
        </w:rPr>
        <w:t>.</w:t>
      </w:r>
      <w:r w:rsidRPr="00BE086B">
        <w:rPr>
          <w:color w:val="auto"/>
          <w:sz w:val="28"/>
          <w:szCs w:val="28"/>
          <w:lang w:eastAsia="ru-RU"/>
        </w:rPr>
        <w:t>, Kinne R</w:t>
      </w:r>
      <w:r w:rsidRPr="00BE086B">
        <w:rPr>
          <w:color w:val="auto"/>
          <w:sz w:val="28"/>
          <w:szCs w:val="28"/>
          <w:lang w:val="en-US" w:eastAsia="ru-RU"/>
        </w:rPr>
        <w:t>.</w:t>
      </w:r>
      <w:r w:rsidRPr="00BE086B">
        <w:rPr>
          <w:color w:val="auto"/>
          <w:sz w:val="28"/>
          <w:szCs w:val="28"/>
          <w:lang w:eastAsia="ru-RU"/>
        </w:rPr>
        <w:t>W</w:t>
      </w:r>
      <w:r w:rsidRPr="00BE086B">
        <w:rPr>
          <w:color w:val="auto"/>
          <w:sz w:val="28"/>
          <w:szCs w:val="28"/>
          <w:lang w:val="en-US" w:eastAsia="ru-RU"/>
        </w:rPr>
        <w:t>.</w:t>
      </w:r>
      <w:r w:rsidRPr="00BE086B">
        <w:rPr>
          <w:color w:val="auto"/>
          <w:sz w:val="28"/>
          <w:szCs w:val="28"/>
          <w:lang w:eastAsia="ru-RU"/>
        </w:rPr>
        <w:t>, Alsalameh R</w:t>
      </w:r>
      <w:r w:rsidRPr="00BE086B">
        <w:rPr>
          <w:color w:val="auto"/>
          <w:sz w:val="28"/>
          <w:szCs w:val="28"/>
          <w:lang w:val="en-US" w:eastAsia="ru-RU"/>
        </w:rPr>
        <w:t>.</w:t>
      </w:r>
      <w:r w:rsidRPr="00BE086B">
        <w:rPr>
          <w:color w:val="auto"/>
          <w:sz w:val="28"/>
          <w:szCs w:val="28"/>
          <w:lang w:eastAsia="ru-RU"/>
        </w:rPr>
        <w:t>J</w:t>
      </w:r>
      <w:r w:rsidRPr="00BE086B">
        <w:rPr>
          <w:color w:val="auto"/>
          <w:sz w:val="28"/>
          <w:szCs w:val="28"/>
          <w:lang w:val="en-US" w:eastAsia="ru-RU"/>
        </w:rPr>
        <w:t>.</w:t>
      </w:r>
      <w:r w:rsidRPr="00BE086B">
        <w:rPr>
          <w:color w:val="auto"/>
          <w:sz w:val="28"/>
          <w:szCs w:val="28"/>
          <w:lang w:eastAsia="ru-RU"/>
        </w:rPr>
        <w:t>, Alsalameh S. Pro-inflammatory IL-1beta and/or TNF-alpha up-regulate matrix metalloproteases-1 and -3 mRNA in chondrocyte subpopulations potentially pathogenic in osteoarthritis: in situ hybridization studies on a single cell level. Int J Rheum Dis. 2016; 19: 557</w:t>
      </w:r>
      <w:r w:rsidRPr="00BE086B">
        <w:rPr>
          <w:color w:val="auto"/>
          <w:sz w:val="28"/>
          <w:szCs w:val="28"/>
          <w:lang w:val="en-US" w:eastAsia="ru-RU"/>
        </w:rPr>
        <w:t>-</w:t>
      </w:r>
      <w:r w:rsidRPr="00BE086B">
        <w:rPr>
          <w:color w:val="auto"/>
          <w:sz w:val="28"/>
          <w:szCs w:val="28"/>
          <w:lang w:eastAsia="ru-RU"/>
        </w:rPr>
        <w:t>566.</w:t>
      </w:r>
    </w:p>
    <w:p w:rsidR="008B13C0" w:rsidRPr="00BE086B" w:rsidRDefault="008B13C0" w:rsidP="00611AFB">
      <w:pPr>
        <w:pStyle w:val="afc"/>
        <w:widowControl w:val="0"/>
        <w:numPr>
          <w:ilvl w:val="0"/>
          <w:numId w:val="19"/>
        </w:numPr>
        <w:pBdr>
          <w:bottom w:val="single" w:sz="8" w:space="1" w:color="008000"/>
        </w:pBdr>
        <w:spacing w:line="360" w:lineRule="auto"/>
        <w:ind w:left="0" w:right="0" w:firstLine="709"/>
        <w:rPr>
          <w:color w:val="auto"/>
          <w:sz w:val="28"/>
          <w:szCs w:val="28"/>
          <w:lang w:eastAsia="ru-RU"/>
        </w:rPr>
      </w:pPr>
      <w:r w:rsidRPr="00BE086B">
        <w:rPr>
          <w:color w:val="auto"/>
          <w:sz w:val="28"/>
          <w:szCs w:val="28"/>
          <w:lang w:eastAsia="ru-RU"/>
        </w:rPr>
        <w:t>Richter F</w:t>
      </w:r>
      <w:r w:rsidRPr="00BE086B">
        <w:rPr>
          <w:color w:val="auto"/>
          <w:sz w:val="28"/>
          <w:szCs w:val="28"/>
          <w:lang w:val="en-US" w:eastAsia="ru-RU"/>
        </w:rPr>
        <w:t>.</w:t>
      </w:r>
      <w:r w:rsidRPr="00BE086B">
        <w:rPr>
          <w:color w:val="auto"/>
          <w:sz w:val="28"/>
          <w:szCs w:val="28"/>
          <w:lang w:eastAsia="ru-RU"/>
        </w:rPr>
        <w:t>, Natura G</w:t>
      </w:r>
      <w:r w:rsidRPr="00BE086B">
        <w:rPr>
          <w:color w:val="auto"/>
          <w:sz w:val="28"/>
          <w:szCs w:val="28"/>
          <w:lang w:val="en-US" w:eastAsia="ru-RU"/>
        </w:rPr>
        <w:t>.</w:t>
      </w:r>
      <w:r w:rsidRPr="00BE086B">
        <w:rPr>
          <w:color w:val="auto"/>
          <w:sz w:val="28"/>
          <w:szCs w:val="28"/>
          <w:lang w:eastAsia="ru-RU"/>
        </w:rPr>
        <w:t>, Loser S</w:t>
      </w:r>
      <w:r w:rsidRPr="00BE086B">
        <w:rPr>
          <w:color w:val="auto"/>
          <w:sz w:val="28"/>
          <w:szCs w:val="28"/>
          <w:lang w:val="en-US" w:eastAsia="ru-RU"/>
        </w:rPr>
        <w:t>.</w:t>
      </w:r>
      <w:r w:rsidRPr="00BE086B">
        <w:rPr>
          <w:color w:val="auto"/>
          <w:sz w:val="28"/>
          <w:szCs w:val="28"/>
          <w:lang w:eastAsia="ru-RU"/>
        </w:rPr>
        <w:t>, Schmidt K</w:t>
      </w:r>
      <w:r w:rsidRPr="00BE086B">
        <w:rPr>
          <w:color w:val="auto"/>
          <w:sz w:val="28"/>
          <w:szCs w:val="28"/>
          <w:lang w:val="en-US" w:eastAsia="ru-RU"/>
        </w:rPr>
        <w:t>.</w:t>
      </w:r>
      <w:r w:rsidRPr="00BE086B">
        <w:rPr>
          <w:color w:val="auto"/>
          <w:sz w:val="28"/>
          <w:szCs w:val="28"/>
          <w:lang w:eastAsia="ru-RU"/>
        </w:rPr>
        <w:t>, Viisanen H</w:t>
      </w:r>
      <w:r w:rsidRPr="00BE086B">
        <w:rPr>
          <w:color w:val="auto"/>
          <w:sz w:val="28"/>
          <w:szCs w:val="28"/>
          <w:lang w:val="en-US" w:eastAsia="ru-RU"/>
        </w:rPr>
        <w:t>.</w:t>
      </w:r>
      <w:r w:rsidRPr="00BE086B">
        <w:rPr>
          <w:color w:val="auto"/>
          <w:sz w:val="28"/>
          <w:szCs w:val="28"/>
          <w:lang w:eastAsia="ru-RU"/>
        </w:rPr>
        <w:t>, Schaible H</w:t>
      </w:r>
      <w:r w:rsidRPr="00BE086B">
        <w:rPr>
          <w:color w:val="auto"/>
          <w:sz w:val="28"/>
          <w:szCs w:val="28"/>
          <w:lang w:val="en-US" w:eastAsia="ru-RU"/>
        </w:rPr>
        <w:t>.</w:t>
      </w:r>
      <w:r w:rsidRPr="00BE086B">
        <w:rPr>
          <w:color w:val="auto"/>
          <w:sz w:val="28"/>
          <w:szCs w:val="28"/>
          <w:lang w:eastAsia="ru-RU"/>
        </w:rPr>
        <w:t>G. Tumor necrosis factor causes persistent sensitization of joint nociceptors to mechanical stimuli in rats. Arthritis Rheum. 2010; 62: 3806-</w:t>
      </w:r>
      <w:r w:rsidRPr="00BE086B">
        <w:rPr>
          <w:color w:val="auto"/>
          <w:sz w:val="28"/>
          <w:szCs w:val="28"/>
          <w:lang w:val="en-US" w:eastAsia="ru-RU"/>
        </w:rPr>
        <w:t>38</w:t>
      </w:r>
      <w:r w:rsidRPr="00BE086B">
        <w:rPr>
          <w:color w:val="auto"/>
          <w:sz w:val="28"/>
          <w:szCs w:val="28"/>
          <w:lang w:eastAsia="ru-RU"/>
        </w:rPr>
        <w:t>14.</w:t>
      </w:r>
    </w:p>
    <w:p w:rsidR="008B13C0" w:rsidRPr="00BE086B" w:rsidRDefault="008B13C0" w:rsidP="00611AFB">
      <w:pPr>
        <w:pStyle w:val="afc"/>
        <w:widowControl w:val="0"/>
        <w:numPr>
          <w:ilvl w:val="0"/>
          <w:numId w:val="19"/>
        </w:numPr>
        <w:pBdr>
          <w:bottom w:val="single" w:sz="6" w:space="12" w:color="008000"/>
        </w:pBdr>
        <w:shd w:val="clear" w:color="auto" w:fill="FFFFFF"/>
        <w:autoSpaceDE w:val="0"/>
        <w:autoSpaceDN w:val="0"/>
        <w:adjustRightInd w:val="0"/>
        <w:spacing w:line="360" w:lineRule="auto"/>
        <w:ind w:left="0" w:right="0" w:firstLine="709"/>
        <w:rPr>
          <w:rFonts w:eastAsia="Exo2-Regular"/>
          <w:color w:val="auto"/>
          <w:sz w:val="28"/>
          <w:szCs w:val="28"/>
          <w:lang w:eastAsia="ru-RU"/>
        </w:rPr>
      </w:pPr>
      <w:r w:rsidRPr="00BE086B">
        <w:rPr>
          <w:color w:val="auto"/>
          <w:sz w:val="28"/>
          <w:szCs w:val="28"/>
          <w:lang w:eastAsia="ru-RU"/>
        </w:rPr>
        <w:t>Nees T</w:t>
      </w:r>
      <w:r w:rsidRPr="00BE086B">
        <w:rPr>
          <w:color w:val="auto"/>
          <w:sz w:val="28"/>
          <w:szCs w:val="28"/>
          <w:lang w:val="en-US" w:eastAsia="ru-RU"/>
        </w:rPr>
        <w:t>.</w:t>
      </w:r>
      <w:r w:rsidRPr="00BE086B">
        <w:rPr>
          <w:color w:val="auto"/>
          <w:sz w:val="28"/>
          <w:szCs w:val="28"/>
          <w:lang w:eastAsia="ru-RU"/>
        </w:rPr>
        <w:t>A</w:t>
      </w:r>
      <w:r w:rsidRPr="00BE086B">
        <w:rPr>
          <w:color w:val="auto"/>
          <w:sz w:val="28"/>
          <w:szCs w:val="28"/>
          <w:lang w:val="en-US" w:eastAsia="ru-RU"/>
        </w:rPr>
        <w:t>.</w:t>
      </w:r>
      <w:r w:rsidRPr="00BE086B">
        <w:rPr>
          <w:color w:val="auto"/>
          <w:sz w:val="28"/>
          <w:szCs w:val="28"/>
          <w:lang w:eastAsia="ru-RU"/>
        </w:rPr>
        <w:t>, Rosshirt N</w:t>
      </w:r>
      <w:r w:rsidRPr="00BE086B">
        <w:rPr>
          <w:color w:val="auto"/>
          <w:sz w:val="28"/>
          <w:szCs w:val="28"/>
          <w:lang w:val="en-US" w:eastAsia="ru-RU"/>
        </w:rPr>
        <w:t>.</w:t>
      </w:r>
      <w:r w:rsidRPr="00BE086B">
        <w:rPr>
          <w:color w:val="auto"/>
          <w:sz w:val="28"/>
          <w:szCs w:val="28"/>
          <w:lang w:eastAsia="ru-RU"/>
        </w:rPr>
        <w:t>, Zhang J</w:t>
      </w:r>
      <w:r w:rsidRPr="00BE086B">
        <w:rPr>
          <w:color w:val="auto"/>
          <w:sz w:val="28"/>
          <w:szCs w:val="28"/>
          <w:lang w:val="en-US" w:eastAsia="ru-RU"/>
        </w:rPr>
        <w:t>.</w:t>
      </w:r>
      <w:r w:rsidRPr="00BE086B">
        <w:rPr>
          <w:color w:val="auto"/>
          <w:sz w:val="28"/>
          <w:szCs w:val="28"/>
          <w:lang w:eastAsia="ru-RU"/>
        </w:rPr>
        <w:t>A</w:t>
      </w:r>
      <w:r w:rsidRPr="00BE086B">
        <w:rPr>
          <w:color w:val="auto"/>
          <w:sz w:val="28"/>
          <w:szCs w:val="28"/>
          <w:lang w:val="en-US" w:eastAsia="ru-RU"/>
        </w:rPr>
        <w:t>.</w:t>
      </w:r>
      <w:r w:rsidRPr="00BE086B">
        <w:rPr>
          <w:color w:val="auto"/>
          <w:sz w:val="28"/>
          <w:szCs w:val="28"/>
          <w:lang w:eastAsia="ru-RU"/>
        </w:rPr>
        <w:t>, Reiner T</w:t>
      </w:r>
      <w:r w:rsidRPr="00BE086B">
        <w:rPr>
          <w:color w:val="auto"/>
          <w:sz w:val="28"/>
          <w:szCs w:val="28"/>
          <w:lang w:val="en-US" w:eastAsia="ru-RU"/>
        </w:rPr>
        <w:t>.</w:t>
      </w:r>
      <w:r w:rsidRPr="00BE086B">
        <w:rPr>
          <w:color w:val="auto"/>
          <w:sz w:val="28"/>
          <w:szCs w:val="28"/>
          <w:lang w:eastAsia="ru-RU"/>
        </w:rPr>
        <w:t>, Sorbi R</w:t>
      </w:r>
      <w:r w:rsidRPr="00BE086B">
        <w:rPr>
          <w:color w:val="auto"/>
          <w:sz w:val="28"/>
          <w:szCs w:val="28"/>
          <w:lang w:val="en-US" w:eastAsia="ru-RU"/>
        </w:rPr>
        <w:t>.</w:t>
      </w:r>
      <w:r w:rsidRPr="00BE086B">
        <w:rPr>
          <w:color w:val="auto"/>
          <w:sz w:val="28"/>
          <w:szCs w:val="28"/>
          <w:lang w:eastAsia="ru-RU"/>
        </w:rPr>
        <w:t>, Tripel E</w:t>
      </w:r>
      <w:r w:rsidRPr="00BE086B">
        <w:rPr>
          <w:color w:val="auto"/>
          <w:sz w:val="28"/>
          <w:szCs w:val="28"/>
          <w:lang w:val="en-US" w:eastAsia="ru-RU"/>
        </w:rPr>
        <w:t>.</w:t>
      </w:r>
      <w:r w:rsidRPr="00BE086B">
        <w:rPr>
          <w:color w:val="auto"/>
          <w:sz w:val="28"/>
          <w:szCs w:val="28"/>
          <w:lang w:eastAsia="ru-RU"/>
        </w:rPr>
        <w:t xml:space="preserve"> </w:t>
      </w:r>
      <w:r w:rsidRPr="00BE086B">
        <w:rPr>
          <w:color w:val="auto"/>
          <w:sz w:val="28"/>
          <w:szCs w:val="28"/>
          <w:lang w:val="en-US"/>
        </w:rPr>
        <w:t>[</w:t>
      </w:r>
      <w:r w:rsidRPr="00BE086B">
        <w:rPr>
          <w:color w:val="auto"/>
          <w:sz w:val="28"/>
          <w:szCs w:val="28"/>
        </w:rPr>
        <w:t>et al.</w:t>
      </w:r>
      <w:r w:rsidRPr="00BE086B">
        <w:rPr>
          <w:color w:val="auto"/>
          <w:sz w:val="28"/>
          <w:szCs w:val="28"/>
          <w:lang w:val="en-US"/>
        </w:rPr>
        <w:t>].</w:t>
      </w:r>
      <w:r w:rsidRPr="00BE086B">
        <w:rPr>
          <w:color w:val="auto"/>
          <w:sz w:val="28"/>
          <w:szCs w:val="28"/>
        </w:rPr>
        <w:t xml:space="preserve"> </w:t>
      </w:r>
      <w:r w:rsidRPr="00BE086B">
        <w:rPr>
          <w:color w:val="auto"/>
          <w:sz w:val="28"/>
          <w:szCs w:val="28"/>
          <w:lang w:eastAsia="ru-RU"/>
        </w:rPr>
        <w:t>Synovial cytokines significantly correlate with osteoarthritis-related knee pain and disability: inflammatory mediators of potential clinical relevance. J Clin Med. 2019</w:t>
      </w:r>
      <w:r w:rsidRPr="00BE086B">
        <w:rPr>
          <w:color w:val="auto"/>
          <w:sz w:val="28"/>
          <w:szCs w:val="28"/>
          <w:lang w:val="en-US" w:eastAsia="ru-RU"/>
        </w:rPr>
        <w:t>;</w:t>
      </w:r>
      <w:r w:rsidRPr="00BE086B">
        <w:rPr>
          <w:color w:val="auto"/>
          <w:sz w:val="28"/>
          <w:szCs w:val="28"/>
          <w:lang w:eastAsia="ru-RU"/>
        </w:rPr>
        <w:t xml:space="preserve"> 8</w:t>
      </w:r>
      <w:r w:rsidRPr="00BE086B">
        <w:rPr>
          <w:color w:val="auto"/>
          <w:sz w:val="28"/>
          <w:szCs w:val="28"/>
          <w:lang w:val="en-US" w:eastAsia="ru-RU"/>
        </w:rPr>
        <w:t>:</w:t>
      </w:r>
      <w:r w:rsidRPr="00BE086B">
        <w:rPr>
          <w:color w:val="auto"/>
          <w:sz w:val="28"/>
          <w:szCs w:val="28"/>
          <w:lang w:eastAsia="ru-RU"/>
        </w:rPr>
        <w:t>1343</w:t>
      </w:r>
      <w:r w:rsidRPr="00BE086B">
        <w:rPr>
          <w:color w:val="auto"/>
          <w:sz w:val="28"/>
          <w:szCs w:val="28"/>
          <w:lang w:val="en-US" w:eastAsia="ru-RU"/>
        </w:rPr>
        <w:t>.</w:t>
      </w:r>
    </w:p>
    <w:p w:rsidR="008B13C0" w:rsidRPr="00BE086B" w:rsidRDefault="008B13C0" w:rsidP="00611AFB">
      <w:pPr>
        <w:pStyle w:val="afc"/>
        <w:widowControl w:val="0"/>
        <w:numPr>
          <w:ilvl w:val="0"/>
          <w:numId w:val="19"/>
        </w:numPr>
        <w:autoSpaceDE w:val="0"/>
        <w:autoSpaceDN w:val="0"/>
        <w:adjustRightInd w:val="0"/>
        <w:spacing w:line="360" w:lineRule="auto"/>
        <w:ind w:left="0" w:right="0" w:firstLine="709"/>
        <w:rPr>
          <w:rFonts w:eastAsia="Exo2-Regular"/>
          <w:color w:val="auto"/>
          <w:sz w:val="28"/>
          <w:szCs w:val="28"/>
          <w:lang w:val="en-US" w:eastAsia="ru-RU"/>
        </w:rPr>
      </w:pPr>
      <w:r w:rsidRPr="00BE086B">
        <w:rPr>
          <w:color w:val="auto"/>
          <w:sz w:val="28"/>
          <w:szCs w:val="28"/>
          <w:shd w:val="clear" w:color="auto" w:fill="FFFFFF"/>
          <w:lang w:val="en-US"/>
        </w:rPr>
        <w:t>Millán J</w:t>
      </w:r>
      <w:r w:rsidRPr="00BE086B">
        <w:rPr>
          <w:color w:val="auto"/>
          <w:sz w:val="28"/>
          <w:szCs w:val="28"/>
          <w:shd w:val="clear" w:color="auto" w:fill="FFFFFF"/>
        </w:rPr>
        <w:t>.</w:t>
      </w:r>
      <w:r w:rsidRPr="00BE086B">
        <w:rPr>
          <w:color w:val="auto"/>
          <w:sz w:val="28"/>
          <w:szCs w:val="28"/>
          <w:shd w:val="clear" w:color="auto" w:fill="FFFFFF"/>
          <w:lang w:val="en-US"/>
        </w:rPr>
        <w:t xml:space="preserve">L. Alkaline </w:t>
      </w:r>
      <w:r w:rsidRPr="00BE086B">
        <w:rPr>
          <w:color w:val="auto"/>
          <w:sz w:val="28"/>
          <w:szCs w:val="28"/>
          <w:shd w:val="clear" w:color="auto" w:fill="FFFFFF"/>
        </w:rPr>
        <w:t>р</w:t>
      </w:r>
      <w:r w:rsidRPr="00BE086B">
        <w:rPr>
          <w:color w:val="auto"/>
          <w:sz w:val="28"/>
          <w:szCs w:val="28"/>
          <w:shd w:val="clear" w:color="auto" w:fill="FFFFFF"/>
          <w:lang w:val="en-US"/>
        </w:rPr>
        <w:t>hosphatases: structure, substrate specificity and functional relatedness to other members of a large superfamily of enzymes. Purinergic Signal. 2006;2(2):335-</w:t>
      </w:r>
      <w:r w:rsidRPr="00BE086B">
        <w:rPr>
          <w:color w:val="auto"/>
          <w:sz w:val="28"/>
          <w:szCs w:val="28"/>
          <w:shd w:val="clear" w:color="auto" w:fill="FFFFFF"/>
        </w:rPr>
        <w:t>3</w:t>
      </w:r>
      <w:r w:rsidRPr="00BE086B">
        <w:rPr>
          <w:color w:val="auto"/>
          <w:sz w:val="28"/>
          <w:szCs w:val="28"/>
          <w:shd w:val="clear" w:color="auto" w:fill="FFFFFF"/>
          <w:lang w:val="en-US"/>
        </w:rPr>
        <w:t>41.</w:t>
      </w:r>
    </w:p>
    <w:p w:rsidR="008B13C0" w:rsidRPr="00BE086B" w:rsidRDefault="008B13C0" w:rsidP="00611AFB">
      <w:pPr>
        <w:pStyle w:val="afc"/>
        <w:widowControl w:val="0"/>
        <w:numPr>
          <w:ilvl w:val="0"/>
          <w:numId w:val="19"/>
        </w:numPr>
        <w:spacing w:line="360" w:lineRule="auto"/>
        <w:ind w:left="0" w:right="0" w:firstLine="709"/>
        <w:rPr>
          <w:color w:val="auto"/>
          <w:sz w:val="28"/>
          <w:szCs w:val="28"/>
          <w:lang w:val="en-US" w:eastAsia="ru-RU"/>
        </w:rPr>
      </w:pPr>
      <w:r w:rsidRPr="00BE086B">
        <w:rPr>
          <w:color w:val="auto"/>
          <w:sz w:val="28"/>
          <w:szCs w:val="28"/>
          <w:lang w:val="en-US" w:eastAsia="ru-RU"/>
        </w:rPr>
        <w:t>Vimalraj S. Alkaline phosphatase: structure, expression and its function in bone mineralization. Gene. 2020; 5(754):144</w:t>
      </w:r>
      <w:r w:rsidRPr="00BE086B">
        <w:rPr>
          <w:color w:val="auto"/>
          <w:sz w:val="28"/>
          <w:szCs w:val="28"/>
          <w:lang w:eastAsia="ru-RU"/>
        </w:rPr>
        <w:t>-1</w:t>
      </w:r>
      <w:r w:rsidRPr="00BE086B">
        <w:rPr>
          <w:color w:val="auto"/>
          <w:sz w:val="28"/>
          <w:szCs w:val="28"/>
          <w:lang w:val="en-US" w:eastAsia="ru-RU"/>
        </w:rPr>
        <w:t>55.</w:t>
      </w:r>
    </w:p>
    <w:p w:rsidR="008B13C0" w:rsidRPr="00BE086B" w:rsidRDefault="008B13C0" w:rsidP="00611AFB">
      <w:pPr>
        <w:pStyle w:val="afc"/>
        <w:widowControl w:val="0"/>
        <w:numPr>
          <w:ilvl w:val="0"/>
          <w:numId w:val="19"/>
        </w:numPr>
        <w:pBdr>
          <w:bottom w:val="single" w:sz="6" w:space="12" w:color="008000"/>
        </w:pBdr>
        <w:shd w:val="clear" w:color="auto" w:fill="FFFFFF"/>
        <w:autoSpaceDE w:val="0"/>
        <w:autoSpaceDN w:val="0"/>
        <w:adjustRightInd w:val="0"/>
        <w:spacing w:line="360" w:lineRule="auto"/>
        <w:ind w:left="0" w:right="0" w:firstLine="709"/>
        <w:rPr>
          <w:color w:val="auto"/>
          <w:sz w:val="28"/>
          <w:szCs w:val="28"/>
        </w:rPr>
      </w:pPr>
      <w:r w:rsidRPr="00BE086B">
        <w:rPr>
          <w:color w:val="auto"/>
          <w:sz w:val="28"/>
          <w:szCs w:val="28"/>
          <w:lang w:val="en-US" w:eastAsia="ru-RU"/>
        </w:rPr>
        <w:t>Nizet A</w:t>
      </w:r>
      <w:r w:rsidRPr="00BE086B">
        <w:rPr>
          <w:color w:val="auto"/>
          <w:sz w:val="28"/>
          <w:szCs w:val="28"/>
          <w:lang w:eastAsia="ru-RU"/>
        </w:rPr>
        <w:t>.</w:t>
      </w:r>
      <w:r w:rsidRPr="00BE086B">
        <w:rPr>
          <w:color w:val="auto"/>
          <w:sz w:val="28"/>
          <w:szCs w:val="28"/>
          <w:lang w:val="en-US" w:eastAsia="ru-RU"/>
        </w:rPr>
        <w:t>, Cavalier E</w:t>
      </w:r>
      <w:r w:rsidRPr="00BE086B">
        <w:rPr>
          <w:color w:val="auto"/>
          <w:sz w:val="28"/>
          <w:szCs w:val="28"/>
          <w:lang w:eastAsia="ru-RU"/>
        </w:rPr>
        <w:t>.</w:t>
      </w:r>
      <w:r w:rsidRPr="00BE086B">
        <w:rPr>
          <w:color w:val="auto"/>
          <w:sz w:val="28"/>
          <w:szCs w:val="28"/>
          <w:lang w:val="en-US" w:eastAsia="ru-RU"/>
        </w:rPr>
        <w:t>, Stenvinkel P</w:t>
      </w:r>
      <w:r w:rsidRPr="00BE086B">
        <w:rPr>
          <w:color w:val="auto"/>
          <w:sz w:val="28"/>
          <w:szCs w:val="28"/>
          <w:lang w:eastAsia="ru-RU"/>
        </w:rPr>
        <w:t>.</w:t>
      </w:r>
      <w:r w:rsidRPr="00BE086B">
        <w:rPr>
          <w:color w:val="auto"/>
          <w:sz w:val="28"/>
          <w:szCs w:val="28"/>
          <w:lang w:val="en-US" w:eastAsia="ru-RU"/>
        </w:rPr>
        <w:t>, Haarhaus M</w:t>
      </w:r>
      <w:r w:rsidRPr="00BE086B">
        <w:rPr>
          <w:color w:val="auto"/>
          <w:sz w:val="28"/>
          <w:szCs w:val="28"/>
          <w:lang w:eastAsia="ru-RU"/>
        </w:rPr>
        <w:t>.</w:t>
      </w:r>
      <w:r w:rsidRPr="00BE086B">
        <w:rPr>
          <w:color w:val="auto"/>
          <w:sz w:val="28"/>
          <w:szCs w:val="28"/>
          <w:lang w:val="en-US" w:eastAsia="ru-RU"/>
        </w:rPr>
        <w:t>, Magnusson P. Bone alkaline phosphatase: An important biomarker in chronic kidney disease - mineral and bone disorder. Clin Chim Acta. 2020; 501:198-206.</w:t>
      </w:r>
    </w:p>
    <w:p w:rsidR="008B13C0" w:rsidRPr="00BE086B" w:rsidRDefault="008B13C0" w:rsidP="00611AFB">
      <w:pPr>
        <w:pStyle w:val="afc"/>
        <w:widowControl w:val="0"/>
        <w:numPr>
          <w:ilvl w:val="0"/>
          <w:numId w:val="19"/>
        </w:numPr>
        <w:autoSpaceDE w:val="0"/>
        <w:autoSpaceDN w:val="0"/>
        <w:adjustRightInd w:val="0"/>
        <w:spacing w:line="360" w:lineRule="auto"/>
        <w:ind w:left="0" w:right="0" w:firstLine="709"/>
        <w:rPr>
          <w:color w:val="auto"/>
          <w:sz w:val="28"/>
          <w:szCs w:val="28"/>
          <w:lang w:val="en-US" w:eastAsia="ru-RU"/>
        </w:rPr>
      </w:pPr>
      <w:r w:rsidRPr="00BE086B">
        <w:rPr>
          <w:rFonts w:eastAsia="Exo2-Regular"/>
          <w:color w:val="auto"/>
          <w:sz w:val="28"/>
          <w:szCs w:val="28"/>
          <w:lang w:val="en-US" w:eastAsia="ru-RU"/>
        </w:rPr>
        <w:t>Webber M., Krishnan A., Thomas N.G., Cheung B.M. Association</w:t>
      </w:r>
      <w:r w:rsidRPr="00BE086B">
        <w:rPr>
          <w:rFonts w:eastAsia="Exo2-Regular"/>
          <w:color w:val="auto"/>
          <w:sz w:val="28"/>
          <w:szCs w:val="28"/>
          <w:lang w:eastAsia="ru-RU"/>
        </w:rPr>
        <w:t xml:space="preserve"> </w:t>
      </w:r>
      <w:r w:rsidRPr="00BE086B">
        <w:rPr>
          <w:rFonts w:eastAsia="Exo2-Regular"/>
          <w:color w:val="auto"/>
          <w:sz w:val="28"/>
          <w:szCs w:val="28"/>
          <w:lang w:val="en-US" w:eastAsia="ru-RU"/>
        </w:rPr>
        <w:t>between serum alkaline phosphatase and C-reactive protein in</w:t>
      </w:r>
      <w:r w:rsidRPr="00BE086B">
        <w:rPr>
          <w:rFonts w:eastAsia="Exo2-Regular"/>
          <w:color w:val="auto"/>
          <w:sz w:val="28"/>
          <w:szCs w:val="28"/>
          <w:lang w:eastAsia="ru-RU"/>
        </w:rPr>
        <w:t xml:space="preserve"> </w:t>
      </w:r>
      <w:r w:rsidRPr="00BE086B">
        <w:rPr>
          <w:rFonts w:eastAsia="Exo2-Regular"/>
          <w:color w:val="auto"/>
          <w:sz w:val="28"/>
          <w:szCs w:val="28"/>
          <w:lang w:val="en-US" w:eastAsia="ru-RU"/>
        </w:rPr>
        <w:t>the United States National Health and Nutrition Examination Survey</w:t>
      </w:r>
      <w:r w:rsidRPr="00BE086B">
        <w:rPr>
          <w:rFonts w:eastAsia="Exo2-Regular"/>
          <w:color w:val="auto"/>
          <w:sz w:val="28"/>
          <w:szCs w:val="28"/>
          <w:lang w:eastAsia="ru-RU"/>
        </w:rPr>
        <w:t xml:space="preserve"> </w:t>
      </w:r>
      <w:r w:rsidRPr="00BE086B">
        <w:rPr>
          <w:rFonts w:eastAsia="Exo2-Regular"/>
          <w:color w:val="auto"/>
          <w:sz w:val="28"/>
          <w:szCs w:val="28"/>
          <w:lang w:val="en-US" w:eastAsia="ru-RU"/>
        </w:rPr>
        <w:t>2005</w:t>
      </w:r>
      <w:r w:rsidRPr="00BE086B">
        <w:rPr>
          <w:rFonts w:eastAsia="Exo2-Regular"/>
          <w:color w:val="auto"/>
          <w:sz w:val="28"/>
          <w:szCs w:val="28"/>
          <w:lang w:eastAsia="ru-RU"/>
        </w:rPr>
        <w:t>-</w:t>
      </w:r>
      <w:r w:rsidRPr="00BE086B">
        <w:rPr>
          <w:rFonts w:eastAsia="Exo2-Regular"/>
          <w:color w:val="auto"/>
          <w:sz w:val="28"/>
          <w:szCs w:val="28"/>
          <w:lang w:val="en-US" w:eastAsia="ru-RU"/>
        </w:rPr>
        <w:t xml:space="preserve">2006. </w:t>
      </w:r>
      <w:r w:rsidRPr="00BE086B">
        <w:rPr>
          <w:rFonts w:eastAsia="Exo2-Regular"/>
          <w:iCs/>
          <w:color w:val="auto"/>
          <w:sz w:val="28"/>
          <w:szCs w:val="28"/>
          <w:lang w:val="en-US" w:eastAsia="ru-RU"/>
        </w:rPr>
        <w:t xml:space="preserve">Clinical Chemistry and Laboratory Medicine </w:t>
      </w:r>
      <w:r w:rsidRPr="00BE086B">
        <w:rPr>
          <w:rFonts w:eastAsia="Exo2-Regular"/>
          <w:color w:val="auto"/>
          <w:sz w:val="28"/>
          <w:szCs w:val="28"/>
          <w:lang w:val="en-US" w:eastAsia="ru-RU"/>
        </w:rPr>
        <w:t>2010;48(2):167</w:t>
      </w:r>
      <w:r w:rsidRPr="00BE086B">
        <w:rPr>
          <w:rFonts w:eastAsia="Exo2-Regular"/>
          <w:color w:val="auto"/>
          <w:sz w:val="28"/>
          <w:szCs w:val="28"/>
          <w:lang w:eastAsia="ru-RU"/>
        </w:rPr>
        <w:t>-</w:t>
      </w:r>
      <w:r w:rsidRPr="00BE086B">
        <w:rPr>
          <w:rFonts w:eastAsia="Exo2-Regular"/>
          <w:color w:val="auto"/>
          <w:sz w:val="28"/>
          <w:szCs w:val="28"/>
          <w:lang w:val="en-US" w:eastAsia="ru-RU"/>
        </w:rPr>
        <w:t>173,</w:t>
      </w:r>
    </w:p>
    <w:p w:rsidR="008B13C0" w:rsidRPr="00BE086B" w:rsidRDefault="008B13C0" w:rsidP="00611AFB">
      <w:pPr>
        <w:pStyle w:val="afc"/>
        <w:widowControl w:val="0"/>
        <w:numPr>
          <w:ilvl w:val="0"/>
          <w:numId w:val="19"/>
        </w:numPr>
        <w:spacing w:line="360" w:lineRule="auto"/>
        <w:ind w:left="0" w:right="0" w:firstLine="709"/>
        <w:rPr>
          <w:color w:val="auto"/>
          <w:sz w:val="28"/>
          <w:szCs w:val="28"/>
          <w:lang w:val="en-US" w:eastAsia="ru-RU"/>
        </w:rPr>
      </w:pPr>
      <w:r w:rsidRPr="00BE086B">
        <w:rPr>
          <w:color w:val="auto"/>
          <w:sz w:val="28"/>
          <w:szCs w:val="28"/>
        </w:rPr>
        <w:t>Островська С.С. Вплив важких металів на вміст кальцію та лужної фосфатази в крові щурів. Вісник</w:t>
      </w:r>
      <w:r w:rsidRPr="00BE086B">
        <w:rPr>
          <w:color w:val="auto"/>
          <w:sz w:val="28"/>
          <w:szCs w:val="28"/>
          <w:lang w:val="en-US"/>
        </w:rPr>
        <w:t xml:space="preserve"> </w:t>
      </w:r>
      <w:r w:rsidRPr="00BE086B">
        <w:rPr>
          <w:color w:val="auto"/>
          <w:sz w:val="28"/>
          <w:szCs w:val="28"/>
        </w:rPr>
        <w:t>проблем</w:t>
      </w:r>
      <w:r w:rsidRPr="00BE086B">
        <w:rPr>
          <w:color w:val="auto"/>
          <w:sz w:val="28"/>
          <w:szCs w:val="28"/>
          <w:lang w:val="en-US"/>
        </w:rPr>
        <w:t xml:space="preserve"> </w:t>
      </w:r>
      <w:r w:rsidRPr="00BE086B">
        <w:rPr>
          <w:color w:val="auto"/>
          <w:sz w:val="28"/>
          <w:szCs w:val="28"/>
        </w:rPr>
        <w:t>біології</w:t>
      </w:r>
      <w:r w:rsidRPr="00BE086B">
        <w:rPr>
          <w:color w:val="auto"/>
          <w:sz w:val="28"/>
          <w:szCs w:val="28"/>
          <w:lang w:val="en-US"/>
        </w:rPr>
        <w:t xml:space="preserve"> </w:t>
      </w:r>
      <w:r w:rsidRPr="00BE086B">
        <w:rPr>
          <w:color w:val="auto"/>
          <w:sz w:val="28"/>
          <w:szCs w:val="28"/>
        </w:rPr>
        <w:t>і</w:t>
      </w:r>
      <w:r w:rsidRPr="00BE086B">
        <w:rPr>
          <w:color w:val="auto"/>
          <w:sz w:val="28"/>
          <w:szCs w:val="28"/>
          <w:lang w:val="en-US"/>
        </w:rPr>
        <w:t xml:space="preserve"> </w:t>
      </w:r>
      <w:r w:rsidRPr="00BE086B">
        <w:rPr>
          <w:color w:val="auto"/>
          <w:sz w:val="28"/>
          <w:szCs w:val="28"/>
        </w:rPr>
        <w:t>медицини.</w:t>
      </w:r>
      <w:r w:rsidRPr="00BE086B">
        <w:rPr>
          <w:color w:val="auto"/>
          <w:sz w:val="28"/>
          <w:szCs w:val="28"/>
          <w:lang w:val="en-US"/>
        </w:rPr>
        <w:t xml:space="preserve"> 2014</w:t>
      </w:r>
      <w:r w:rsidRPr="00BE086B">
        <w:rPr>
          <w:color w:val="auto"/>
          <w:sz w:val="28"/>
          <w:szCs w:val="28"/>
        </w:rPr>
        <w:t xml:space="preserve">; </w:t>
      </w:r>
      <w:r w:rsidRPr="00BE086B">
        <w:rPr>
          <w:color w:val="auto"/>
          <w:sz w:val="28"/>
          <w:szCs w:val="28"/>
          <w:lang w:val="en-US"/>
        </w:rPr>
        <w:t>2 (4)</w:t>
      </w:r>
      <w:r w:rsidRPr="00BE086B">
        <w:rPr>
          <w:color w:val="auto"/>
          <w:sz w:val="28"/>
          <w:szCs w:val="28"/>
        </w:rPr>
        <w:t>:</w:t>
      </w:r>
      <w:r w:rsidRPr="00BE086B">
        <w:rPr>
          <w:color w:val="auto"/>
          <w:sz w:val="28"/>
          <w:szCs w:val="28"/>
          <w:lang w:val="en-US"/>
        </w:rPr>
        <w:t xml:space="preserve"> 169-172.</w:t>
      </w:r>
    </w:p>
    <w:p w:rsidR="008B13C0" w:rsidRPr="00BE086B" w:rsidRDefault="008B13C0" w:rsidP="00611AFB">
      <w:pPr>
        <w:pStyle w:val="afc"/>
        <w:widowControl w:val="0"/>
        <w:numPr>
          <w:ilvl w:val="0"/>
          <w:numId w:val="19"/>
        </w:numPr>
        <w:spacing w:line="360" w:lineRule="auto"/>
        <w:ind w:left="0" w:right="0" w:firstLine="709"/>
        <w:rPr>
          <w:color w:val="auto"/>
          <w:sz w:val="28"/>
          <w:szCs w:val="28"/>
          <w:lang w:val="en-US" w:eastAsia="ru-RU"/>
        </w:rPr>
      </w:pPr>
      <w:r w:rsidRPr="00BE086B">
        <w:rPr>
          <w:color w:val="auto"/>
          <w:sz w:val="28"/>
          <w:szCs w:val="28"/>
        </w:rPr>
        <w:t>Накоскин А.Н., Ковинька М.А., Талашова И.А., Тушина Н.В., Лунева С.Н. Биохимические маркеры остеогенеза и воспаления в сыворотке крови при ксеноимплантации. Медицинский</w:t>
      </w:r>
      <w:r w:rsidRPr="00BE086B">
        <w:rPr>
          <w:color w:val="auto"/>
          <w:sz w:val="28"/>
          <w:szCs w:val="28"/>
          <w:lang w:val="en-US"/>
        </w:rPr>
        <w:t xml:space="preserve"> </w:t>
      </w:r>
      <w:r w:rsidRPr="00BE086B">
        <w:rPr>
          <w:color w:val="auto"/>
          <w:sz w:val="28"/>
          <w:szCs w:val="28"/>
        </w:rPr>
        <w:t>вестник</w:t>
      </w:r>
      <w:r w:rsidRPr="00BE086B">
        <w:rPr>
          <w:color w:val="auto"/>
          <w:sz w:val="28"/>
          <w:szCs w:val="28"/>
          <w:lang w:val="en-US"/>
        </w:rPr>
        <w:t xml:space="preserve"> </w:t>
      </w:r>
      <w:r w:rsidRPr="00BE086B">
        <w:rPr>
          <w:color w:val="auto"/>
          <w:sz w:val="28"/>
          <w:szCs w:val="28"/>
        </w:rPr>
        <w:t>Северного</w:t>
      </w:r>
      <w:r w:rsidRPr="00BE086B">
        <w:rPr>
          <w:color w:val="auto"/>
          <w:sz w:val="28"/>
          <w:szCs w:val="28"/>
          <w:lang w:val="en-US"/>
        </w:rPr>
        <w:t xml:space="preserve"> </w:t>
      </w:r>
      <w:r w:rsidRPr="00BE086B">
        <w:rPr>
          <w:color w:val="auto"/>
          <w:sz w:val="28"/>
          <w:szCs w:val="28"/>
        </w:rPr>
        <w:t>Кавказа.</w:t>
      </w:r>
      <w:r w:rsidRPr="00BE086B">
        <w:rPr>
          <w:color w:val="auto"/>
          <w:sz w:val="28"/>
          <w:szCs w:val="28"/>
          <w:lang w:val="en-US"/>
        </w:rPr>
        <w:t xml:space="preserve"> 2018</w:t>
      </w:r>
      <w:r w:rsidRPr="00BE086B">
        <w:rPr>
          <w:color w:val="auto"/>
          <w:sz w:val="28"/>
          <w:szCs w:val="28"/>
        </w:rPr>
        <w:t xml:space="preserve">; </w:t>
      </w:r>
      <w:r w:rsidRPr="00BE086B">
        <w:rPr>
          <w:color w:val="auto"/>
          <w:sz w:val="28"/>
          <w:szCs w:val="28"/>
          <w:lang w:val="en-US"/>
        </w:rPr>
        <w:lastRenderedPageBreak/>
        <w:t>13</w:t>
      </w:r>
      <w:r w:rsidRPr="00BE086B">
        <w:rPr>
          <w:color w:val="auto"/>
          <w:sz w:val="28"/>
          <w:szCs w:val="28"/>
        </w:rPr>
        <w:t>,</w:t>
      </w:r>
      <w:r w:rsidRPr="00BE086B">
        <w:rPr>
          <w:color w:val="auto"/>
          <w:sz w:val="28"/>
          <w:szCs w:val="28"/>
          <w:lang w:val="en-US"/>
        </w:rPr>
        <w:t xml:space="preserve"> (1.1)</w:t>
      </w:r>
      <w:r w:rsidRPr="00BE086B">
        <w:rPr>
          <w:color w:val="auto"/>
          <w:sz w:val="28"/>
          <w:szCs w:val="28"/>
        </w:rPr>
        <w:t>:</w:t>
      </w:r>
      <w:r w:rsidRPr="00BE086B">
        <w:rPr>
          <w:color w:val="auto"/>
          <w:sz w:val="28"/>
          <w:szCs w:val="28"/>
          <w:lang w:val="en-US"/>
        </w:rPr>
        <w:t>82-85.</w:t>
      </w:r>
    </w:p>
    <w:p w:rsidR="008B13C0" w:rsidRPr="00BE086B" w:rsidRDefault="008B13C0" w:rsidP="00611AFB">
      <w:pPr>
        <w:pStyle w:val="afc"/>
        <w:widowControl w:val="0"/>
        <w:numPr>
          <w:ilvl w:val="0"/>
          <w:numId w:val="19"/>
        </w:numPr>
        <w:spacing w:line="360" w:lineRule="auto"/>
        <w:ind w:left="0" w:right="0" w:firstLine="709"/>
        <w:rPr>
          <w:color w:val="auto"/>
          <w:sz w:val="28"/>
          <w:szCs w:val="28"/>
          <w:lang w:val="en-US" w:eastAsia="ru-RU"/>
        </w:rPr>
      </w:pPr>
      <w:r w:rsidRPr="00BE086B">
        <w:rPr>
          <w:color w:val="auto"/>
          <w:sz w:val="28"/>
          <w:szCs w:val="28"/>
          <w:lang w:val="en-US" w:eastAsia="ru-RU"/>
        </w:rPr>
        <w:t>Grote-Koska D</w:t>
      </w:r>
      <w:r w:rsidRPr="00BE086B">
        <w:rPr>
          <w:color w:val="auto"/>
          <w:sz w:val="28"/>
          <w:szCs w:val="28"/>
          <w:lang w:eastAsia="ru-RU"/>
        </w:rPr>
        <w:t>.</w:t>
      </w:r>
      <w:r w:rsidRPr="00BE086B">
        <w:rPr>
          <w:color w:val="auto"/>
          <w:sz w:val="28"/>
          <w:szCs w:val="28"/>
          <w:lang w:val="en-US" w:eastAsia="ru-RU"/>
        </w:rPr>
        <w:t>, Klauke R</w:t>
      </w:r>
      <w:r w:rsidRPr="00BE086B">
        <w:rPr>
          <w:color w:val="auto"/>
          <w:sz w:val="28"/>
          <w:szCs w:val="28"/>
          <w:lang w:eastAsia="ru-RU"/>
        </w:rPr>
        <w:t>.</w:t>
      </w:r>
      <w:r w:rsidRPr="00BE086B">
        <w:rPr>
          <w:color w:val="auto"/>
          <w:sz w:val="28"/>
          <w:szCs w:val="28"/>
          <w:lang w:val="en-US" w:eastAsia="ru-RU"/>
        </w:rPr>
        <w:t>, Brand K</w:t>
      </w:r>
      <w:r w:rsidRPr="00BE086B">
        <w:rPr>
          <w:color w:val="auto"/>
          <w:sz w:val="28"/>
          <w:szCs w:val="28"/>
          <w:lang w:eastAsia="ru-RU"/>
        </w:rPr>
        <w:t>.</w:t>
      </w:r>
      <w:r w:rsidRPr="00BE086B">
        <w:rPr>
          <w:color w:val="auto"/>
          <w:sz w:val="28"/>
          <w:szCs w:val="28"/>
          <w:lang w:val="en-US" w:eastAsia="ru-RU"/>
        </w:rPr>
        <w:t>, Schumann G. Alkaline phosphatase activity - pH impact on the measurement result. Clin Chem Lab Med. 2017; 55(7):146-149.</w:t>
      </w:r>
    </w:p>
    <w:p w:rsidR="008B13C0" w:rsidRPr="00BE086B" w:rsidRDefault="008B13C0" w:rsidP="00611AFB">
      <w:pPr>
        <w:pStyle w:val="afc"/>
        <w:widowControl w:val="0"/>
        <w:numPr>
          <w:ilvl w:val="0"/>
          <w:numId w:val="19"/>
        </w:numPr>
        <w:pBdr>
          <w:bottom w:val="single" w:sz="6" w:space="12" w:color="008000"/>
        </w:pBdr>
        <w:shd w:val="clear" w:color="auto" w:fill="FFFFFF"/>
        <w:autoSpaceDE w:val="0"/>
        <w:autoSpaceDN w:val="0"/>
        <w:adjustRightInd w:val="0"/>
        <w:spacing w:line="360" w:lineRule="auto"/>
        <w:ind w:left="0" w:right="0" w:firstLine="709"/>
        <w:rPr>
          <w:color w:val="auto"/>
          <w:sz w:val="28"/>
          <w:szCs w:val="28"/>
        </w:rPr>
      </w:pPr>
      <w:r w:rsidRPr="00BE086B">
        <w:rPr>
          <w:color w:val="auto"/>
          <w:sz w:val="28"/>
          <w:szCs w:val="28"/>
          <w:lang w:val="en-US" w:eastAsia="ru-RU"/>
        </w:rPr>
        <w:t>Tripathi T</w:t>
      </w:r>
      <w:r w:rsidRPr="00BE086B">
        <w:rPr>
          <w:color w:val="auto"/>
          <w:sz w:val="28"/>
          <w:szCs w:val="28"/>
          <w:lang w:eastAsia="ru-RU"/>
        </w:rPr>
        <w:t>.</w:t>
      </w:r>
      <w:r w:rsidRPr="00BE086B">
        <w:rPr>
          <w:color w:val="auto"/>
          <w:sz w:val="28"/>
          <w:szCs w:val="28"/>
          <w:lang w:val="en-US" w:eastAsia="ru-RU"/>
        </w:rPr>
        <w:t>, Gupta P</w:t>
      </w:r>
      <w:r w:rsidRPr="00BE086B">
        <w:rPr>
          <w:color w:val="auto"/>
          <w:sz w:val="28"/>
          <w:szCs w:val="28"/>
          <w:lang w:eastAsia="ru-RU"/>
        </w:rPr>
        <w:t>.</w:t>
      </w:r>
      <w:r w:rsidRPr="00BE086B">
        <w:rPr>
          <w:color w:val="auto"/>
          <w:sz w:val="28"/>
          <w:szCs w:val="28"/>
          <w:lang w:val="en-US" w:eastAsia="ru-RU"/>
        </w:rPr>
        <w:t>, Sharma J</w:t>
      </w:r>
      <w:r w:rsidRPr="00BE086B">
        <w:rPr>
          <w:color w:val="auto"/>
          <w:sz w:val="28"/>
          <w:szCs w:val="28"/>
          <w:lang w:eastAsia="ru-RU"/>
        </w:rPr>
        <w:t>.</w:t>
      </w:r>
      <w:r w:rsidRPr="00BE086B">
        <w:rPr>
          <w:color w:val="auto"/>
          <w:sz w:val="28"/>
          <w:szCs w:val="28"/>
          <w:lang w:val="en-US" w:eastAsia="ru-RU"/>
        </w:rPr>
        <w:t>, Rai P</w:t>
      </w:r>
      <w:r w:rsidRPr="00BE086B">
        <w:rPr>
          <w:color w:val="auto"/>
          <w:sz w:val="28"/>
          <w:szCs w:val="28"/>
          <w:lang w:eastAsia="ru-RU"/>
        </w:rPr>
        <w:t>.</w:t>
      </w:r>
      <w:r w:rsidRPr="00BE086B">
        <w:rPr>
          <w:color w:val="auto"/>
          <w:sz w:val="28"/>
          <w:szCs w:val="28"/>
          <w:lang w:val="en-US" w:eastAsia="ru-RU"/>
        </w:rPr>
        <w:t>, Gupta V</w:t>
      </w:r>
      <w:r w:rsidRPr="00BE086B">
        <w:rPr>
          <w:color w:val="auto"/>
          <w:sz w:val="28"/>
          <w:szCs w:val="28"/>
          <w:lang w:eastAsia="ru-RU"/>
        </w:rPr>
        <w:t>.</w:t>
      </w:r>
      <w:r w:rsidRPr="00BE086B">
        <w:rPr>
          <w:color w:val="auto"/>
          <w:sz w:val="28"/>
          <w:szCs w:val="28"/>
          <w:lang w:val="en-US" w:eastAsia="ru-RU"/>
        </w:rPr>
        <w:t>K</w:t>
      </w:r>
      <w:r w:rsidRPr="00BE086B">
        <w:rPr>
          <w:color w:val="auto"/>
          <w:sz w:val="28"/>
          <w:szCs w:val="28"/>
          <w:lang w:eastAsia="ru-RU"/>
        </w:rPr>
        <w:t>.</w:t>
      </w:r>
      <w:r w:rsidRPr="00BE086B">
        <w:rPr>
          <w:color w:val="auto"/>
          <w:sz w:val="28"/>
          <w:szCs w:val="28"/>
          <w:lang w:val="en-US" w:eastAsia="ru-RU"/>
        </w:rPr>
        <w:t>, Singh N. Bone-specific alkaline phosphatase - a potential biomarker for skeletal growth assessment. J Orthod. 2018; 45(1): 4-10.</w:t>
      </w:r>
    </w:p>
    <w:p w:rsidR="008B13C0" w:rsidRPr="00BE086B" w:rsidRDefault="008B13C0" w:rsidP="00611AFB">
      <w:pPr>
        <w:pStyle w:val="afc"/>
        <w:widowControl w:val="0"/>
        <w:numPr>
          <w:ilvl w:val="0"/>
          <w:numId w:val="19"/>
        </w:numPr>
        <w:pBdr>
          <w:bottom w:val="single" w:sz="6" w:space="12" w:color="008000"/>
        </w:pBdr>
        <w:shd w:val="clear" w:color="auto" w:fill="FFFFFF"/>
        <w:autoSpaceDE w:val="0"/>
        <w:autoSpaceDN w:val="0"/>
        <w:adjustRightInd w:val="0"/>
        <w:spacing w:line="360" w:lineRule="auto"/>
        <w:ind w:left="0" w:right="0" w:firstLine="709"/>
        <w:rPr>
          <w:color w:val="auto"/>
          <w:sz w:val="28"/>
          <w:szCs w:val="28"/>
        </w:rPr>
      </w:pPr>
      <w:r w:rsidRPr="00BE086B">
        <w:rPr>
          <w:rFonts w:eastAsia="Calibri"/>
          <w:color w:val="auto"/>
          <w:sz w:val="28"/>
          <w:szCs w:val="28"/>
        </w:rPr>
        <w:t xml:space="preserve">Носивец Д.С. Экспериментальные модели патологии хрящевой ткани. Запорожский медицинский журнал. 2019. </w:t>
      </w:r>
      <w:r w:rsidRPr="00BE086B">
        <w:rPr>
          <w:rFonts w:eastAsia="Franklin Gothic Demi"/>
          <w:color w:val="auto"/>
          <w:sz w:val="28"/>
          <w:szCs w:val="28"/>
        </w:rPr>
        <w:t>Т. 21, № 4 (115). С. 554-560.</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rPr>
        <w:t xml:space="preserve">Зупанец И.А., Корж Н.А., Дедух Н.В. Методические рекомендации по экспериментальному исследованию и клиническому изучению противоартрозных (хондромодулирующих) лекарственных средств </w:t>
      </w:r>
      <w:r w:rsidRPr="00BE086B">
        <w:rPr>
          <w:sz w:val="28"/>
          <w:szCs w:val="28"/>
          <w:lang w:val="uk-UA"/>
        </w:rPr>
        <w:t>Киев, 1999. 56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Wu Y.Y., Bai M., Tian S., Miao M.S. Animal model analysis of knee osteoarthritis based on clinical characteristics of Chinese and Western medicine. Zhongguo Zhong Yao Za Zhi. 2020;45(11):2481-2485.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Foxa G.E., Liu Y., Turner L.M., Robling A.G., Yang T., Williams B.O. Generation and characterization of mouse models for skeletal disease. Methods Mol Biol. 2021;2221:165-191.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Eskelinen ASA, Tanska P., Florea C., Orozco G.A., Julkunen P., Grodzinsky A.J., Korhonen R.K. Mechanobiological model for simulation of injured cartilage degradation via pro-inflammatory cytokines and mechanical stimulus. PLoS Comput Biol. 2020</w:t>
      </w:r>
      <w:r w:rsidRPr="00BE086B">
        <w:rPr>
          <w:sz w:val="28"/>
          <w:szCs w:val="28"/>
          <w:shd w:val="clear" w:color="auto" w:fill="FFFFFF"/>
        </w:rPr>
        <w:t>;</w:t>
      </w:r>
      <w:r w:rsidRPr="00BE086B">
        <w:rPr>
          <w:sz w:val="28"/>
          <w:szCs w:val="28"/>
          <w:shd w:val="clear" w:color="auto" w:fill="FFFFFF"/>
          <w:lang w:val="en-US"/>
        </w:rPr>
        <w:t xml:space="preserve"> 25;16(6):10</w:t>
      </w:r>
      <w:r w:rsidRPr="00BE086B">
        <w:rPr>
          <w:sz w:val="28"/>
          <w:szCs w:val="28"/>
          <w:shd w:val="clear" w:color="auto" w:fill="FFFFFF"/>
        </w:rPr>
        <w:t>-</w:t>
      </w:r>
      <w:r w:rsidRPr="00BE086B">
        <w:rPr>
          <w:sz w:val="28"/>
          <w:szCs w:val="28"/>
          <w:shd w:val="clear" w:color="auto" w:fill="FFFFFF"/>
          <w:lang w:val="en-US"/>
        </w:rPr>
        <w:t>79.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Serra C.I., Soler C. Animal models of osteoarthritis in small mammals. Vet Clin North Am Exot Anim Pract. 2019;22(2):211-221.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Scanzello C.R. Chemokines and inflammation in osteoarthritis: Insights from patients and animal models. J Orthop Res. 2017;3</w:t>
      </w:r>
      <w:r w:rsidRPr="00BE086B">
        <w:rPr>
          <w:sz w:val="28"/>
          <w:szCs w:val="28"/>
          <w:shd w:val="clear" w:color="auto" w:fill="FFFFFF"/>
        </w:rPr>
        <w:t>5(4):735-739.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 xml:space="preserve">Hong J.I., Park I.Y., Kim H.A. Understanding the molecular mechanisms underlying the pathogenesis of arthritis pain using animal models. Int J </w:t>
      </w:r>
      <w:r w:rsidRPr="00BE086B">
        <w:rPr>
          <w:sz w:val="28"/>
          <w:szCs w:val="28"/>
          <w:shd w:val="clear" w:color="auto" w:fill="FFFFFF"/>
          <w:lang w:val="en-US"/>
        </w:rPr>
        <w:lastRenderedPageBreak/>
        <w:t>Mol Sci. 2020</w:t>
      </w:r>
      <w:r w:rsidRPr="00BE086B">
        <w:rPr>
          <w:sz w:val="28"/>
          <w:szCs w:val="28"/>
          <w:shd w:val="clear" w:color="auto" w:fill="FFFFFF"/>
        </w:rPr>
        <w:t>;</w:t>
      </w:r>
      <w:r w:rsidRPr="00BE086B">
        <w:rPr>
          <w:sz w:val="28"/>
          <w:szCs w:val="28"/>
          <w:shd w:val="clear" w:color="auto" w:fill="FFFFFF"/>
          <w:lang w:val="en-US"/>
        </w:rPr>
        <w:t xml:space="preserve"> 14;21(2):533.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 xml:space="preserve">Poulet B. Models to define the stages of articular cartilage degradation in osteoarthritis development. Int J </w:t>
      </w:r>
      <w:r w:rsidRPr="00BE086B">
        <w:rPr>
          <w:sz w:val="28"/>
          <w:szCs w:val="28"/>
          <w:shd w:val="clear" w:color="auto" w:fill="FFFFFF"/>
        </w:rPr>
        <w:t>Exp Pathol. 2017;98(3):120-126.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 xml:space="preserve">Piombo V. Small animal models to understand pathogenesis of osteoarthritis and use of stem cell in cartilage regeneration. </w:t>
      </w:r>
      <w:r w:rsidRPr="00BE086B">
        <w:rPr>
          <w:sz w:val="28"/>
          <w:szCs w:val="28"/>
          <w:shd w:val="clear" w:color="auto" w:fill="FFFFFF"/>
        </w:rPr>
        <w:t>Cell Biochem Funct. 2017;35(1):3-11.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lang w:val="uk-UA"/>
        </w:rPr>
        <w:t>Вишневский В.А., Малышкина С.В. Моделирование артроза путем введения дексаметазона в коленный сустав крысы. Ортоп. травмат. протезир. 2004; 4:76-80.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 xml:space="preserve">Gou Y., Tian F., Kong Q., Chen T., Li H., Lv Q., Zhang, L. Salmon calcitonin attenuates degenerative changes in cartilage and subchondral bone in lumbar facet joint in an experimental rat model. </w:t>
      </w:r>
      <w:r w:rsidRPr="00BE086B">
        <w:rPr>
          <w:iCs/>
          <w:sz w:val="28"/>
          <w:szCs w:val="28"/>
          <w:lang w:val="en-US" w:eastAsia="ru-RU"/>
        </w:rPr>
        <w:t>Med Sci Monit</w:t>
      </w:r>
      <w:r w:rsidRPr="00BE086B">
        <w:rPr>
          <w:iCs/>
          <w:sz w:val="28"/>
          <w:szCs w:val="28"/>
          <w:lang w:eastAsia="ru-RU"/>
        </w:rPr>
        <w:t>.</w:t>
      </w:r>
      <w:r w:rsidRPr="00BE086B">
        <w:rPr>
          <w:sz w:val="28"/>
          <w:szCs w:val="28"/>
          <w:lang w:val="en-US" w:eastAsia="ru-RU"/>
        </w:rPr>
        <w:t xml:space="preserve"> 2018</w:t>
      </w:r>
      <w:r w:rsidRPr="00BE086B">
        <w:rPr>
          <w:sz w:val="28"/>
          <w:szCs w:val="28"/>
          <w:lang w:eastAsia="ru-RU"/>
        </w:rPr>
        <w:t>;</w:t>
      </w:r>
      <w:r w:rsidRPr="00BE086B">
        <w:rPr>
          <w:sz w:val="28"/>
          <w:szCs w:val="28"/>
          <w:lang w:val="en-US" w:eastAsia="ru-RU"/>
        </w:rPr>
        <w:t>24, 2849</w:t>
      </w:r>
      <w:r w:rsidRPr="00BE086B">
        <w:rPr>
          <w:sz w:val="28"/>
          <w:szCs w:val="28"/>
          <w:lang w:eastAsia="ru-RU"/>
        </w:rPr>
        <w:t>-</w:t>
      </w:r>
      <w:r w:rsidRPr="00BE086B">
        <w:rPr>
          <w:sz w:val="28"/>
          <w:szCs w:val="28"/>
          <w:lang w:val="en-US" w:eastAsia="ru-RU"/>
        </w:rPr>
        <w:t>2857.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 xml:space="preserve">Baragi V.M., Becher G., Bendele A.M., Biesinger R., Bluhm H., Boer J. [et al.]. A new class of potent matrix metalloproteinase 13 inhibitors for potential treatment of osteoarthritis: Evidence of histologic and clinical efficacy without musculoskeletal toxicity in rat models. </w:t>
      </w:r>
      <w:r w:rsidRPr="00BE086B">
        <w:rPr>
          <w:iCs/>
          <w:sz w:val="28"/>
          <w:szCs w:val="28"/>
          <w:lang w:val="en-US" w:eastAsia="ru-RU"/>
        </w:rPr>
        <w:t>Arthritis Rheum.</w:t>
      </w:r>
      <w:r w:rsidRPr="00BE086B">
        <w:rPr>
          <w:sz w:val="28"/>
          <w:szCs w:val="28"/>
          <w:lang w:val="en-US" w:eastAsia="ru-RU"/>
        </w:rPr>
        <w:t xml:space="preserve"> 2009; 60(7), 2008-2018.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lang w:val="en-US" w:eastAsia="ru-RU"/>
        </w:rPr>
        <w:t xml:space="preserve">Takahashi I., Matsuzaki T., Kuroki H., Hoso M. Induction of osteoarthritis by injecting monosodium iodoacetate into the patellofemoral joint of an experimental rat model. </w:t>
      </w:r>
      <w:r w:rsidRPr="00BE086B">
        <w:rPr>
          <w:iCs/>
          <w:sz w:val="28"/>
          <w:szCs w:val="28"/>
          <w:lang w:val="en-US" w:eastAsia="ru-RU"/>
        </w:rPr>
        <w:t>PLoS One.</w:t>
      </w:r>
      <w:r w:rsidRPr="00BE086B">
        <w:rPr>
          <w:sz w:val="28"/>
          <w:szCs w:val="28"/>
          <w:lang w:val="en-US" w:eastAsia="ru-RU"/>
        </w:rPr>
        <w:t xml:space="preserve"> 2018</w:t>
      </w:r>
      <w:r w:rsidRPr="00BE086B">
        <w:rPr>
          <w:sz w:val="28"/>
          <w:szCs w:val="28"/>
          <w:lang w:val="uk-UA" w:eastAsia="ru-RU"/>
        </w:rPr>
        <w:t>;</w:t>
      </w:r>
      <w:r w:rsidRPr="00BE086B">
        <w:rPr>
          <w:sz w:val="28"/>
          <w:szCs w:val="28"/>
          <w:lang w:val="en-US" w:eastAsia="ru-RU"/>
        </w:rPr>
        <w:t xml:space="preserve"> 13(4)</w:t>
      </w:r>
      <w:r w:rsidRPr="00BE086B">
        <w:rPr>
          <w:sz w:val="28"/>
          <w:szCs w:val="28"/>
          <w:lang w:val="uk-UA" w:eastAsia="ru-RU"/>
        </w:rPr>
        <w:t>:</w:t>
      </w:r>
      <w:r w:rsidRPr="00BE086B">
        <w:rPr>
          <w:sz w:val="28"/>
          <w:szCs w:val="28"/>
          <w:lang w:val="en-US" w:eastAsia="ru-RU"/>
        </w:rPr>
        <w:t>19</w:t>
      </w:r>
      <w:r w:rsidRPr="00BE086B">
        <w:rPr>
          <w:sz w:val="28"/>
          <w:szCs w:val="28"/>
          <w:lang w:val="uk-UA" w:eastAsia="ru-RU"/>
        </w:rPr>
        <w:t>-</w:t>
      </w:r>
      <w:r w:rsidRPr="00BE086B">
        <w:rPr>
          <w:sz w:val="28"/>
          <w:szCs w:val="28"/>
          <w:lang w:val="en-US" w:eastAsia="ru-RU"/>
        </w:rPr>
        <w:t>66.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 xml:space="preserve">Chandran P., Pai M., Blomme E.A., Hsieh G.C., Decker M.W., Honore P. Pharmacological modulation of movement-evoked pain in a rat model of osteoarthritis. </w:t>
      </w:r>
      <w:r w:rsidRPr="00BE086B">
        <w:rPr>
          <w:iCs/>
          <w:sz w:val="28"/>
          <w:szCs w:val="28"/>
          <w:lang w:val="en-US" w:eastAsia="ru-RU"/>
        </w:rPr>
        <w:t>Eur. J. Pharmacol</w:t>
      </w:r>
      <w:r w:rsidRPr="00BE086B">
        <w:rPr>
          <w:iCs/>
          <w:sz w:val="28"/>
          <w:szCs w:val="28"/>
          <w:lang w:val="uk-UA" w:eastAsia="ru-RU"/>
        </w:rPr>
        <w:t>.</w:t>
      </w:r>
      <w:r w:rsidRPr="00BE086B">
        <w:rPr>
          <w:sz w:val="28"/>
          <w:szCs w:val="28"/>
          <w:lang w:val="en-US" w:eastAsia="ru-RU"/>
        </w:rPr>
        <w:t xml:space="preserve"> 2009</w:t>
      </w:r>
      <w:r w:rsidRPr="00BE086B">
        <w:rPr>
          <w:sz w:val="28"/>
          <w:szCs w:val="28"/>
          <w:lang w:val="uk-UA" w:eastAsia="ru-RU"/>
        </w:rPr>
        <w:t>;</w:t>
      </w:r>
      <w:r w:rsidRPr="00BE086B">
        <w:rPr>
          <w:sz w:val="28"/>
          <w:szCs w:val="28"/>
          <w:lang w:val="en-US" w:eastAsia="ru-RU"/>
        </w:rPr>
        <w:t>613(1</w:t>
      </w:r>
      <w:r w:rsidRPr="00BE086B">
        <w:rPr>
          <w:sz w:val="28"/>
          <w:szCs w:val="28"/>
          <w:lang w:val="uk-UA" w:eastAsia="ru-RU"/>
        </w:rPr>
        <w:t>-</w:t>
      </w:r>
      <w:r w:rsidRPr="00BE086B">
        <w:rPr>
          <w:sz w:val="28"/>
          <w:szCs w:val="28"/>
          <w:lang w:val="en-US" w:eastAsia="ru-RU"/>
        </w:rPr>
        <w:t>3)</w:t>
      </w:r>
      <w:r w:rsidRPr="00BE086B">
        <w:rPr>
          <w:sz w:val="28"/>
          <w:szCs w:val="28"/>
          <w:lang w:val="uk-UA" w:eastAsia="ru-RU"/>
        </w:rPr>
        <w:t>:</w:t>
      </w:r>
      <w:r w:rsidRPr="00BE086B">
        <w:rPr>
          <w:sz w:val="28"/>
          <w:szCs w:val="28"/>
          <w:lang w:val="en-US" w:eastAsia="ru-RU"/>
        </w:rPr>
        <w:t>39</w:t>
      </w:r>
      <w:r w:rsidRPr="00BE086B">
        <w:rPr>
          <w:sz w:val="28"/>
          <w:szCs w:val="28"/>
          <w:lang w:val="uk-UA" w:eastAsia="ru-RU"/>
        </w:rPr>
        <w:t>-</w:t>
      </w:r>
      <w:r w:rsidRPr="00BE086B">
        <w:rPr>
          <w:sz w:val="28"/>
          <w:szCs w:val="28"/>
          <w:lang w:val="en-US" w:eastAsia="ru-RU"/>
        </w:rPr>
        <w:t>45.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lang w:val="en-US" w:eastAsia="ru-RU"/>
        </w:rPr>
        <w:t xml:space="preserve">Schuelert N., McDougall J. Grading of monosodium iodoacetate-induced osteoarthritis reveals a concentration-dependent sensitization of nociceptors in the knee joint of the rat. </w:t>
      </w:r>
      <w:r w:rsidRPr="00BE086B">
        <w:rPr>
          <w:iCs/>
          <w:sz w:val="28"/>
          <w:szCs w:val="28"/>
          <w:lang w:val="en-US" w:eastAsia="ru-RU"/>
        </w:rPr>
        <w:t>Neurosci. Lett</w:t>
      </w:r>
      <w:r w:rsidRPr="00BE086B">
        <w:rPr>
          <w:sz w:val="28"/>
          <w:szCs w:val="28"/>
          <w:lang w:val="en-US" w:eastAsia="ru-RU"/>
        </w:rPr>
        <w:t>. 2009</w:t>
      </w:r>
      <w:r w:rsidRPr="00BE086B">
        <w:rPr>
          <w:sz w:val="28"/>
          <w:szCs w:val="28"/>
          <w:lang w:val="uk-UA" w:eastAsia="ru-RU"/>
        </w:rPr>
        <w:t>;</w:t>
      </w:r>
      <w:r w:rsidRPr="00BE086B">
        <w:rPr>
          <w:sz w:val="28"/>
          <w:szCs w:val="28"/>
          <w:lang w:val="en-US" w:eastAsia="ru-RU"/>
        </w:rPr>
        <w:t xml:space="preserve"> 465</w:t>
      </w:r>
      <w:r w:rsidRPr="00BE086B">
        <w:rPr>
          <w:sz w:val="28"/>
          <w:szCs w:val="28"/>
          <w:lang w:val="uk-UA" w:eastAsia="ru-RU"/>
        </w:rPr>
        <w:t>,</w:t>
      </w:r>
      <w:r w:rsidRPr="00BE086B">
        <w:rPr>
          <w:sz w:val="28"/>
          <w:szCs w:val="28"/>
          <w:lang w:val="en-US" w:eastAsia="ru-RU"/>
        </w:rPr>
        <w:t xml:space="preserve"> 2</w:t>
      </w:r>
      <w:r w:rsidRPr="00BE086B">
        <w:rPr>
          <w:sz w:val="28"/>
          <w:szCs w:val="28"/>
          <w:lang w:val="uk-UA" w:eastAsia="ru-RU"/>
        </w:rPr>
        <w:t>:</w:t>
      </w:r>
      <w:r w:rsidRPr="00BE086B">
        <w:rPr>
          <w:sz w:val="28"/>
          <w:szCs w:val="28"/>
          <w:lang w:val="en-US" w:eastAsia="ru-RU"/>
        </w:rPr>
        <w:t>184</w:t>
      </w:r>
      <w:r w:rsidRPr="00BE086B">
        <w:rPr>
          <w:sz w:val="28"/>
          <w:szCs w:val="28"/>
          <w:lang w:val="uk-UA" w:eastAsia="ru-RU"/>
        </w:rPr>
        <w:t>-</w:t>
      </w:r>
      <w:r w:rsidRPr="00BE086B">
        <w:rPr>
          <w:sz w:val="28"/>
          <w:szCs w:val="28"/>
          <w:lang w:val="en-US" w:eastAsia="ru-RU"/>
        </w:rPr>
        <w:t>188.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Yoo S.A., Park B.H., Yoon H</w:t>
      </w:r>
      <w:r w:rsidRPr="00BE086B">
        <w:rPr>
          <w:sz w:val="28"/>
          <w:szCs w:val="28"/>
          <w:lang w:val="uk-UA" w:eastAsia="ru-RU"/>
        </w:rPr>
        <w:t>.</w:t>
      </w:r>
      <w:r w:rsidRPr="00BE086B">
        <w:rPr>
          <w:sz w:val="28"/>
          <w:szCs w:val="28"/>
          <w:lang w:val="en-US" w:eastAsia="ru-RU"/>
        </w:rPr>
        <w:t>J. Calcineurin modulates the catabolic and anabolic activity of chondrocytes and participates in the progression of experimental osteoarthritis</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Arthritis Rheum</w:t>
      </w:r>
      <w:r w:rsidRPr="00BE086B">
        <w:rPr>
          <w:sz w:val="28"/>
          <w:szCs w:val="28"/>
          <w:lang w:val="en-US" w:eastAsia="ru-RU"/>
        </w:rPr>
        <w:t>. 2007</w:t>
      </w:r>
      <w:r w:rsidRPr="00BE086B">
        <w:rPr>
          <w:sz w:val="28"/>
          <w:szCs w:val="28"/>
          <w:lang w:val="uk-UA" w:eastAsia="ru-RU"/>
        </w:rPr>
        <w:t>;</w:t>
      </w:r>
      <w:r w:rsidRPr="00BE086B">
        <w:rPr>
          <w:sz w:val="28"/>
          <w:szCs w:val="28"/>
          <w:lang w:val="en-US" w:eastAsia="ru-RU"/>
        </w:rPr>
        <w:t xml:space="preserve"> 56</w:t>
      </w:r>
      <w:r w:rsidRPr="00BE086B">
        <w:rPr>
          <w:sz w:val="28"/>
          <w:szCs w:val="28"/>
          <w:lang w:val="uk-UA" w:eastAsia="ru-RU"/>
        </w:rPr>
        <w:t>,</w:t>
      </w:r>
      <w:r w:rsidRPr="00BE086B">
        <w:rPr>
          <w:sz w:val="28"/>
          <w:szCs w:val="28"/>
          <w:lang w:val="en-US" w:eastAsia="ru-RU"/>
        </w:rPr>
        <w:t>7</w:t>
      </w:r>
      <w:r w:rsidRPr="00BE086B">
        <w:rPr>
          <w:sz w:val="28"/>
          <w:szCs w:val="28"/>
          <w:lang w:val="uk-UA" w:eastAsia="ru-RU"/>
        </w:rPr>
        <w:t>:</w:t>
      </w:r>
      <w:r w:rsidRPr="00BE086B">
        <w:rPr>
          <w:sz w:val="28"/>
          <w:szCs w:val="28"/>
          <w:lang w:val="en-US" w:eastAsia="ru-RU"/>
        </w:rPr>
        <w:t>2299</w:t>
      </w:r>
      <w:r w:rsidRPr="00BE086B">
        <w:rPr>
          <w:sz w:val="28"/>
          <w:szCs w:val="28"/>
          <w:lang w:val="uk-UA" w:eastAsia="ru-RU"/>
        </w:rPr>
        <w:t>-</w:t>
      </w:r>
      <w:r w:rsidRPr="00BE086B">
        <w:rPr>
          <w:sz w:val="28"/>
          <w:szCs w:val="28"/>
          <w:lang w:val="en-US" w:eastAsia="ru-RU"/>
        </w:rPr>
        <w:t>2311.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 xml:space="preserve">Botter S.M., van Osch G.J., Waarsing J.H. Cartilage damage pattern in </w:t>
      </w:r>
      <w:r w:rsidRPr="00BE086B">
        <w:rPr>
          <w:sz w:val="28"/>
          <w:szCs w:val="28"/>
          <w:lang w:val="en-US" w:eastAsia="ru-RU"/>
        </w:rPr>
        <w:lastRenderedPageBreak/>
        <w:t>relation to subchondral plate thickness in a collagenase-induced model of osteoarthritis</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Osteoarthritis Cartilage</w:t>
      </w:r>
      <w:r w:rsidRPr="00BE086B">
        <w:rPr>
          <w:sz w:val="28"/>
          <w:szCs w:val="28"/>
          <w:lang w:val="en-US" w:eastAsia="ru-RU"/>
        </w:rPr>
        <w:t>. 2008</w:t>
      </w:r>
      <w:r w:rsidRPr="00BE086B">
        <w:rPr>
          <w:sz w:val="28"/>
          <w:szCs w:val="28"/>
          <w:lang w:val="uk-UA" w:eastAsia="ru-RU"/>
        </w:rPr>
        <w:t>;</w:t>
      </w:r>
      <w:r w:rsidRPr="00BE086B">
        <w:rPr>
          <w:sz w:val="28"/>
          <w:szCs w:val="28"/>
          <w:lang w:val="en-US" w:eastAsia="ru-RU"/>
        </w:rPr>
        <w:t xml:space="preserve"> 16</w:t>
      </w:r>
      <w:r w:rsidRPr="00BE086B">
        <w:rPr>
          <w:sz w:val="28"/>
          <w:szCs w:val="28"/>
          <w:lang w:val="uk-UA" w:eastAsia="ru-RU"/>
        </w:rPr>
        <w:t>,</w:t>
      </w:r>
      <w:r w:rsidRPr="00BE086B">
        <w:rPr>
          <w:sz w:val="28"/>
          <w:szCs w:val="28"/>
          <w:lang w:val="en-US" w:eastAsia="ru-RU"/>
        </w:rPr>
        <w:t>4</w:t>
      </w:r>
      <w:r w:rsidRPr="00BE086B">
        <w:rPr>
          <w:sz w:val="28"/>
          <w:szCs w:val="28"/>
          <w:lang w:val="uk-UA" w:eastAsia="ru-RU"/>
        </w:rPr>
        <w:t>:</w:t>
      </w:r>
      <w:r w:rsidRPr="00BE086B">
        <w:rPr>
          <w:sz w:val="28"/>
          <w:szCs w:val="28"/>
          <w:lang w:val="en-US" w:eastAsia="ru-RU"/>
        </w:rPr>
        <w:t>506</w:t>
      </w:r>
      <w:r w:rsidRPr="00BE086B">
        <w:rPr>
          <w:sz w:val="28"/>
          <w:szCs w:val="28"/>
          <w:lang w:val="uk-UA" w:eastAsia="ru-RU"/>
        </w:rPr>
        <w:t>-</w:t>
      </w:r>
      <w:r w:rsidRPr="00BE086B">
        <w:rPr>
          <w:sz w:val="28"/>
          <w:szCs w:val="28"/>
          <w:lang w:val="en-US" w:eastAsia="ru-RU"/>
        </w:rPr>
        <w:t>514.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 xml:space="preserve">Kikuchi T., Sakuta T., Yamaguchi T. Intra-articular injection of collagenase induces experimental osteoarthritis in mature rabbits. </w:t>
      </w:r>
      <w:r w:rsidRPr="00BE086B">
        <w:rPr>
          <w:iCs/>
          <w:sz w:val="28"/>
          <w:szCs w:val="28"/>
          <w:lang w:val="en-US" w:eastAsia="ru-RU"/>
        </w:rPr>
        <w:t>Osteoarthritis Cartilage</w:t>
      </w:r>
      <w:r w:rsidRPr="00BE086B">
        <w:rPr>
          <w:sz w:val="28"/>
          <w:szCs w:val="28"/>
          <w:lang w:val="en-US" w:eastAsia="ru-RU"/>
        </w:rPr>
        <w:t>. 1998</w:t>
      </w:r>
      <w:r w:rsidRPr="00BE086B">
        <w:rPr>
          <w:sz w:val="28"/>
          <w:szCs w:val="28"/>
          <w:lang w:val="uk-UA" w:eastAsia="ru-RU"/>
        </w:rPr>
        <w:t>;</w:t>
      </w:r>
      <w:r w:rsidRPr="00BE086B">
        <w:rPr>
          <w:sz w:val="28"/>
          <w:szCs w:val="28"/>
          <w:lang w:val="en-US" w:eastAsia="ru-RU"/>
        </w:rPr>
        <w:t xml:space="preserve"> 6</w:t>
      </w:r>
      <w:r w:rsidRPr="00BE086B">
        <w:rPr>
          <w:sz w:val="28"/>
          <w:szCs w:val="28"/>
          <w:lang w:val="uk-UA" w:eastAsia="ru-RU"/>
        </w:rPr>
        <w:t>,</w:t>
      </w:r>
      <w:r w:rsidRPr="00BE086B">
        <w:rPr>
          <w:sz w:val="28"/>
          <w:szCs w:val="28"/>
          <w:lang w:val="en-US" w:eastAsia="ru-RU"/>
        </w:rPr>
        <w:t xml:space="preserve"> 3</w:t>
      </w:r>
      <w:r w:rsidRPr="00BE086B">
        <w:rPr>
          <w:sz w:val="28"/>
          <w:szCs w:val="28"/>
          <w:lang w:val="uk-UA" w:eastAsia="ru-RU"/>
        </w:rPr>
        <w:t>:</w:t>
      </w:r>
      <w:r w:rsidRPr="00BE086B">
        <w:rPr>
          <w:sz w:val="28"/>
          <w:szCs w:val="28"/>
          <w:lang w:val="en-US" w:eastAsia="ru-RU"/>
        </w:rPr>
        <w:t>177</w:t>
      </w:r>
      <w:r w:rsidRPr="00BE086B">
        <w:rPr>
          <w:sz w:val="28"/>
          <w:szCs w:val="28"/>
          <w:lang w:val="uk-UA" w:eastAsia="ru-RU"/>
        </w:rPr>
        <w:t>-</w:t>
      </w:r>
      <w:r w:rsidRPr="00BE086B">
        <w:rPr>
          <w:sz w:val="28"/>
          <w:szCs w:val="28"/>
          <w:lang w:val="en-US" w:eastAsia="ru-RU"/>
        </w:rPr>
        <w:t>186.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 xml:space="preserve">Bian Y., Zhang M., Wang K. Taurine protects against knee osteoarthritis development in experimental rat models. </w:t>
      </w:r>
      <w:r w:rsidRPr="00BE086B">
        <w:rPr>
          <w:iCs/>
          <w:sz w:val="28"/>
          <w:szCs w:val="28"/>
          <w:lang w:val="en-US" w:eastAsia="ru-RU"/>
        </w:rPr>
        <w:t>Knee</w:t>
      </w:r>
      <w:r w:rsidRPr="00BE086B">
        <w:rPr>
          <w:sz w:val="28"/>
          <w:szCs w:val="28"/>
          <w:lang w:val="en-US" w:eastAsia="ru-RU"/>
        </w:rPr>
        <w:t>. 2018</w:t>
      </w:r>
      <w:r w:rsidRPr="00BE086B">
        <w:rPr>
          <w:sz w:val="28"/>
          <w:szCs w:val="28"/>
          <w:lang w:val="uk-UA" w:eastAsia="ru-RU"/>
        </w:rPr>
        <w:t>;</w:t>
      </w:r>
      <w:r w:rsidRPr="00BE086B">
        <w:rPr>
          <w:sz w:val="28"/>
          <w:szCs w:val="28"/>
          <w:lang w:val="en-US" w:eastAsia="ru-RU"/>
        </w:rPr>
        <w:t xml:space="preserve"> 25</w:t>
      </w:r>
      <w:r w:rsidRPr="00BE086B">
        <w:rPr>
          <w:sz w:val="28"/>
          <w:szCs w:val="28"/>
          <w:lang w:val="uk-UA" w:eastAsia="ru-RU"/>
        </w:rPr>
        <w:t>,</w:t>
      </w:r>
      <w:r w:rsidRPr="00BE086B">
        <w:rPr>
          <w:sz w:val="28"/>
          <w:szCs w:val="28"/>
          <w:lang w:val="en-US" w:eastAsia="ru-RU"/>
        </w:rPr>
        <w:t xml:space="preserve"> 3</w:t>
      </w:r>
      <w:r w:rsidRPr="00BE086B">
        <w:rPr>
          <w:sz w:val="28"/>
          <w:szCs w:val="28"/>
          <w:lang w:val="uk-UA" w:eastAsia="ru-RU"/>
        </w:rPr>
        <w:t>:</w:t>
      </w:r>
      <w:r w:rsidRPr="00BE086B">
        <w:rPr>
          <w:sz w:val="28"/>
          <w:szCs w:val="28"/>
          <w:lang w:val="en-US" w:eastAsia="ru-RU"/>
        </w:rPr>
        <w:t>374</w:t>
      </w:r>
      <w:r w:rsidRPr="00BE086B">
        <w:rPr>
          <w:sz w:val="28"/>
          <w:szCs w:val="28"/>
          <w:lang w:val="uk-UA" w:eastAsia="ru-RU"/>
        </w:rPr>
        <w:t>-</w:t>
      </w:r>
      <w:r w:rsidRPr="00BE086B">
        <w:rPr>
          <w:sz w:val="28"/>
          <w:szCs w:val="28"/>
          <w:lang w:val="en-US" w:eastAsia="ru-RU"/>
        </w:rPr>
        <w:t>380</w:t>
      </w:r>
      <w:r w:rsidRPr="00BE086B">
        <w:rPr>
          <w:sz w:val="28"/>
          <w:szCs w:val="28"/>
          <w:lang w:val="uk-UA" w:eastAsia="ru-RU"/>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Kim J.E., Song D.H., Kim S.H. Development and characterization of various osteoarthritis models for tissue engineering</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PLoS One</w:t>
      </w:r>
      <w:r w:rsidRPr="00BE086B">
        <w:rPr>
          <w:sz w:val="28"/>
          <w:szCs w:val="28"/>
          <w:lang w:val="en-US" w:eastAsia="ru-RU"/>
        </w:rPr>
        <w:t>. 2018</w:t>
      </w:r>
      <w:r w:rsidRPr="00BE086B">
        <w:rPr>
          <w:sz w:val="28"/>
          <w:szCs w:val="28"/>
          <w:lang w:val="uk-UA" w:eastAsia="ru-RU"/>
        </w:rPr>
        <w:t>;</w:t>
      </w:r>
      <w:r w:rsidRPr="00BE086B">
        <w:rPr>
          <w:sz w:val="28"/>
          <w:szCs w:val="28"/>
          <w:lang w:val="en-US" w:eastAsia="ru-RU"/>
        </w:rPr>
        <w:t xml:space="preserve"> 13</w:t>
      </w:r>
      <w:r w:rsidRPr="00BE086B">
        <w:rPr>
          <w:sz w:val="28"/>
          <w:szCs w:val="28"/>
          <w:lang w:val="uk-UA" w:eastAsia="ru-RU"/>
        </w:rPr>
        <w:t>(</w:t>
      </w:r>
      <w:r w:rsidRPr="00BE086B">
        <w:rPr>
          <w:sz w:val="28"/>
          <w:szCs w:val="28"/>
          <w:lang w:val="en-US" w:eastAsia="ru-RU"/>
        </w:rPr>
        <w:t>3</w:t>
      </w:r>
      <w:r w:rsidRPr="00BE086B">
        <w:rPr>
          <w:sz w:val="28"/>
          <w:szCs w:val="28"/>
          <w:lang w:val="uk-UA" w:eastAsia="ru-RU"/>
        </w:rPr>
        <w:t>):</w:t>
      </w:r>
      <w:r w:rsidRPr="00BE086B">
        <w:rPr>
          <w:sz w:val="28"/>
          <w:szCs w:val="28"/>
          <w:lang w:val="en-US" w:eastAsia="ru-RU"/>
        </w:rPr>
        <w:t>19</w:t>
      </w:r>
      <w:r w:rsidRPr="00BE086B">
        <w:rPr>
          <w:sz w:val="28"/>
          <w:szCs w:val="28"/>
          <w:lang w:val="uk-UA" w:eastAsia="ru-RU"/>
        </w:rPr>
        <w:t>-</w:t>
      </w:r>
      <w:r w:rsidRPr="00BE086B">
        <w:rPr>
          <w:sz w:val="28"/>
          <w:szCs w:val="28"/>
          <w:lang w:val="en-US" w:eastAsia="ru-RU"/>
        </w:rPr>
        <w:t>42.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Lindström E., Rizoska B., Tunblad K.</w:t>
      </w:r>
      <w:r w:rsidRPr="00BE086B">
        <w:rPr>
          <w:sz w:val="28"/>
          <w:szCs w:val="28"/>
          <w:lang w:val="uk-UA" w:eastAsia="ru-RU"/>
        </w:rPr>
        <w:t xml:space="preserve"> </w:t>
      </w:r>
      <w:r w:rsidRPr="00BE086B">
        <w:rPr>
          <w:sz w:val="28"/>
          <w:szCs w:val="28"/>
          <w:lang w:val="en-US" w:eastAsia="ru-RU"/>
        </w:rPr>
        <w:t>The selective cathepsin K inhibitor MIV-711 attenuates joint pathology in experimental animal models of osteoarthritis</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J Transl Med</w:t>
      </w:r>
      <w:r w:rsidRPr="00BE086B">
        <w:rPr>
          <w:sz w:val="28"/>
          <w:szCs w:val="28"/>
          <w:lang w:val="en-US" w:eastAsia="ru-RU"/>
        </w:rPr>
        <w:t>. 2018</w:t>
      </w:r>
      <w:r w:rsidRPr="00BE086B">
        <w:rPr>
          <w:sz w:val="28"/>
          <w:szCs w:val="28"/>
          <w:lang w:val="uk-UA" w:eastAsia="ru-RU"/>
        </w:rPr>
        <w:t>;</w:t>
      </w:r>
      <w:r w:rsidRPr="00BE086B">
        <w:rPr>
          <w:sz w:val="28"/>
          <w:szCs w:val="28"/>
          <w:lang w:val="en-US" w:eastAsia="ru-RU"/>
        </w:rPr>
        <w:t xml:space="preserve"> 16</w:t>
      </w:r>
      <w:r w:rsidRPr="00BE086B">
        <w:rPr>
          <w:sz w:val="28"/>
          <w:szCs w:val="28"/>
          <w:lang w:val="uk-UA" w:eastAsia="ru-RU"/>
        </w:rPr>
        <w:t>,</w:t>
      </w:r>
      <w:r w:rsidRPr="00BE086B">
        <w:rPr>
          <w:sz w:val="28"/>
          <w:szCs w:val="28"/>
          <w:lang w:val="en-US" w:eastAsia="ru-RU"/>
        </w:rPr>
        <w:t xml:space="preserve"> 1</w:t>
      </w:r>
      <w:r w:rsidRPr="00BE086B">
        <w:rPr>
          <w:sz w:val="28"/>
          <w:szCs w:val="28"/>
          <w:lang w:val="uk-UA" w:eastAsia="ru-RU"/>
        </w:rPr>
        <w:t>:</w:t>
      </w:r>
      <w:r w:rsidRPr="00BE086B">
        <w:rPr>
          <w:sz w:val="28"/>
          <w:szCs w:val="28"/>
          <w:lang w:val="en-US" w:eastAsia="ru-RU"/>
        </w:rPr>
        <w:t>56.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Deng S., Zhou J.L., Peng H. Local intraarticular injection of vascular endothelial growth factor accelerates articular cartilage degeneration in rat osteoarthritis model</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Mol Med Rep</w:t>
      </w:r>
      <w:r w:rsidRPr="00BE086B">
        <w:rPr>
          <w:sz w:val="28"/>
          <w:szCs w:val="28"/>
          <w:lang w:val="en-US" w:eastAsia="ru-RU"/>
        </w:rPr>
        <w:t>. 2018</w:t>
      </w:r>
      <w:r w:rsidRPr="00BE086B">
        <w:rPr>
          <w:sz w:val="28"/>
          <w:szCs w:val="28"/>
          <w:lang w:val="uk-UA" w:eastAsia="ru-RU"/>
        </w:rPr>
        <w:t>;</w:t>
      </w:r>
      <w:r w:rsidRPr="00BE086B">
        <w:rPr>
          <w:sz w:val="28"/>
          <w:szCs w:val="28"/>
          <w:lang w:val="en-US" w:eastAsia="ru-RU"/>
        </w:rPr>
        <w:t>17</w:t>
      </w:r>
      <w:r w:rsidRPr="00BE086B">
        <w:rPr>
          <w:sz w:val="28"/>
          <w:szCs w:val="28"/>
          <w:lang w:val="uk-UA" w:eastAsia="ru-RU"/>
        </w:rPr>
        <w:t>,</w:t>
      </w:r>
      <w:r w:rsidRPr="00BE086B">
        <w:rPr>
          <w:sz w:val="28"/>
          <w:szCs w:val="28"/>
          <w:lang w:val="en-US" w:eastAsia="ru-RU"/>
        </w:rPr>
        <w:t xml:space="preserve"> 5</w:t>
      </w:r>
      <w:r w:rsidRPr="00BE086B">
        <w:rPr>
          <w:sz w:val="28"/>
          <w:szCs w:val="28"/>
          <w:lang w:val="uk-UA" w:eastAsia="ru-RU"/>
        </w:rPr>
        <w:t>:</w:t>
      </w:r>
      <w:r w:rsidRPr="00BE086B">
        <w:rPr>
          <w:sz w:val="28"/>
          <w:szCs w:val="28"/>
          <w:lang w:val="en-US" w:eastAsia="ru-RU"/>
        </w:rPr>
        <w:t>6311</w:t>
      </w:r>
      <w:r w:rsidRPr="00BE086B">
        <w:rPr>
          <w:sz w:val="28"/>
          <w:szCs w:val="28"/>
          <w:lang w:val="uk-UA" w:eastAsia="ru-RU"/>
        </w:rPr>
        <w:t>-</w:t>
      </w:r>
      <w:r w:rsidRPr="00BE086B">
        <w:rPr>
          <w:sz w:val="28"/>
          <w:szCs w:val="28"/>
          <w:lang w:val="en-US" w:eastAsia="ru-RU"/>
        </w:rPr>
        <w:t>6318.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Choudhary D., Kothari P., Tripathi A.K. Spinacia oleracea extract attenuates disease progression and sub-chondral bone changes in monosodium iodoacetate-induced osteoarthritis in rats</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BMC Complement Altern Med</w:t>
      </w:r>
      <w:r w:rsidRPr="00BE086B">
        <w:rPr>
          <w:sz w:val="28"/>
          <w:szCs w:val="28"/>
          <w:lang w:val="en-US" w:eastAsia="ru-RU"/>
        </w:rPr>
        <w:t>. 2018</w:t>
      </w:r>
      <w:r w:rsidRPr="00BE086B">
        <w:rPr>
          <w:sz w:val="28"/>
          <w:szCs w:val="28"/>
          <w:lang w:val="uk-UA" w:eastAsia="ru-RU"/>
        </w:rPr>
        <w:t>;</w:t>
      </w:r>
      <w:r w:rsidRPr="00BE086B">
        <w:rPr>
          <w:sz w:val="28"/>
          <w:szCs w:val="28"/>
          <w:lang w:val="en-US" w:eastAsia="ru-RU"/>
        </w:rPr>
        <w:t xml:space="preserve"> 18</w:t>
      </w:r>
      <w:r w:rsidRPr="00BE086B">
        <w:rPr>
          <w:sz w:val="28"/>
          <w:szCs w:val="28"/>
          <w:lang w:val="uk-UA" w:eastAsia="ru-RU"/>
        </w:rPr>
        <w:t>,</w:t>
      </w:r>
      <w:r w:rsidRPr="00BE086B">
        <w:rPr>
          <w:sz w:val="28"/>
          <w:szCs w:val="28"/>
          <w:lang w:val="en-US" w:eastAsia="ru-RU"/>
        </w:rPr>
        <w:t xml:space="preserve"> 1</w:t>
      </w:r>
      <w:r w:rsidRPr="00BE086B">
        <w:rPr>
          <w:sz w:val="28"/>
          <w:szCs w:val="28"/>
          <w:lang w:val="uk-UA" w:eastAsia="ru-RU"/>
        </w:rPr>
        <w:t>:</w:t>
      </w:r>
      <w:r w:rsidRPr="00BE086B">
        <w:rPr>
          <w:sz w:val="28"/>
          <w:szCs w:val="28"/>
          <w:lang w:val="en-US" w:eastAsia="ru-RU"/>
        </w:rPr>
        <w:t>69.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Geest T., Roeleveld D.M., Walgreen B. Imaging fibroblast activation protein to monitor therapeutic effects of neutralizing interleukin-22 in collagen-induced arthritis</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Rheumatology (Oxford)</w:t>
      </w:r>
      <w:r w:rsidRPr="00BE086B">
        <w:rPr>
          <w:sz w:val="28"/>
          <w:szCs w:val="28"/>
          <w:lang w:val="en-US" w:eastAsia="ru-RU"/>
        </w:rPr>
        <w:t>. 2018</w:t>
      </w:r>
      <w:r w:rsidRPr="00BE086B">
        <w:rPr>
          <w:sz w:val="28"/>
          <w:szCs w:val="28"/>
          <w:lang w:val="uk-UA" w:eastAsia="ru-RU"/>
        </w:rPr>
        <w:t>;</w:t>
      </w:r>
      <w:r w:rsidRPr="00BE086B">
        <w:rPr>
          <w:sz w:val="28"/>
          <w:szCs w:val="28"/>
          <w:lang w:val="en-US" w:eastAsia="ru-RU"/>
        </w:rPr>
        <w:t>57</w:t>
      </w:r>
      <w:r w:rsidRPr="00BE086B">
        <w:rPr>
          <w:sz w:val="28"/>
          <w:szCs w:val="28"/>
          <w:lang w:val="uk-UA" w:eastAsia="ru-RU"/>
        </w:rPr>
        <w:t>,</w:t>
      </w:r>
      <w:r w:rsidRPr="00BE086B">
        <w:rPr>
          <w:sz w:val="28"/>
          <w:szCs w:val="28"/>
          <w:lang w:val="en-US" w:eastAsia="ru-RU"/>
        </w:rPr>
        <w:t xml:space="preserve"> 4</w:t>
      </w:r>
      <w:r w:rsidRPr="00BE086B">
        <w:rPr>
          <w:sz w:val="28"/>
          <w:szCs w:val="28"/>
          <w:lang w:val="uk-UA" w:eastAsia="ru-RU"/>
        </w:rPr>
        <w:t>:</w:t>
      </w:r>
      <w:r w:rsidRPr="00BE086B">
        <w:rPr>
          <w:sz w:val="28"/>
          <w:szCs w:val="28"/>
          <w:lang w:val="en-US" w:eastAsia="ru-RU"/>
        </w:rPr>
        <w:t>737</w:t>
      </w:r>
      <w:r w:rsidRPr="00BE086B">
        <w:rPr>
          <w:sz w:val="28"/>
          <w:szCs w:val="28"/>
          <w:lang w:val="uk-UA" w:eastAsia="ru-RU"/>
        </w:rPr>
        <w:t>-</w:t>
      </w:r>
      <w:r w:rsidRPr="00BE086B">
        <w:rPr>
          <w:sz w:val="28"/>
          <w:szCs w:val="28"/>
          <w:lang w:val="en-US" w:eastAsia="ru-RU"/>
        </w:rPr>
        <w:t>747.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lang w:eastAsia="ru-RU"/>
        </w:rPr>
        <w:t xml:space="preserve">Котельников Г.П., Ларцев Ю.В., Махова А.Н. Сравнительная оценка структурных изменений тканей сустава при различных моделях экспериментального артроза. </w:t>
      </w:r>
      <w:r w:rsidRPr="00BE086B">
        <w:rPr>
          <w:iCs/>
          <w:sz w:val="28"/>
          <w:szCs w:val="28"/>
          <w:lang w:eastAsia="ru-RU"/>
        </w:rPr>
        <w:t>Казанский медицинский журнал</w:t>
      </w:r>
      <w:r w:rsidRPr="00BE086B">
        <w:rPr>
          <w:sz w:val="28"/>
          <w:szCs w:val="28"/>
          <w:lang w:eastAsia="ru-RU"/>
        </w:rPr>
        <w:t>. 2006</w:t>
      </w:r>
      <w:r w:rsidRPr="00BE086B">
        <w:rPr>
          <w:sz w:val="28"/>
          <w:szCs w:val="28"/>
          <w:lang w:val="uk-UA" w:eastAsia="ru-RU"/>
        </w:rPr>
        <w:t>;</w:t>
      </w:r>
      <w:r w:rsidRPr="00BE086B">
        <w:rPr>
          <w:sz w:val="28"/>
          <w:szCs w:val="28"/>
          <w:lang w:eastAsia="ru-RU"/>
        </w:rPr>
        <w:t>87</w:t>
      </w:r>
      <w:r w:rsidRPr="00BE086B">
        <w:rPr>
          <w:sz w:val="28"/>
          <w:szCs w:val="28"/>
          <w:lang w:val="uk-UA" w:eastAsia="ru-RU"/>
        </w:rPr>
        <w:t>,</w:t>
      </w:r>
      <w:r w:rsidRPr="00BE086B">
        <w:rPr>
          <w:sz w:val="28"/>
          <w:szCs w:val="28"/>
          <w:lang w:eastAsia="ru-RU"/>
        </w:rPr>
        <w:t>1</w:t>
      </w:r>
      <w:r w:rsidRPr="00BE086B">
        <w:rPr>
          <w:sz w:val="28"/>
          <w:szCs w:val="28"/>
          <w:lang w:val="uk-UA" w:eastAsia="ru-RU"/>
        </w:rPr>
        <w:t>:</w:t>
      </w:r>
      <w:r w:rsidRPr="00BE086B">
        <w:rPr>
          <w:sz w:val="28"/>
          <w:szCs w:val="28"/>
          <w:lang w:eastAsia="ru-RU"/>
        </w:rPr>
        <w:t>31</w:t>
      </w:r>
      <w:r w:rsidRPr="00BE086B">
        <w:rPr>
          <w:sz w:val="28"/>
          <w:szCs w:val="28"/>
          <w:lang w:val="uk-UA" w:eastAsia="ru-RU"/>
        </w:rPr>
        <w:t>-</w:t>
      </w:r>
      <w:r w:rsidRPr="00BE086B">
        <w:rPr>
          <w:sz w:val="28"/>
          <w:szCs w:val="28"/>
          <w:lang w:eastAsia="ru-RU"/>
        </w:rPr>
        <w:t>35.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lang w:eastAsia="ru-RU"/>
        </w:rPr>
        <w:t xml:space="preserve">Ковалев Г.А., Ввведенский Б.П., Сандомирский Б.П. Технология моделирования остеоартроза крупных суставов. </w:t>
      </w:r>
      <w:r w:rsidRPr="00BE086B">
        <w:rPr>
          <w:iCs/>
          <w:sz w:val="28"/>
          <w:szCs w:val="28"/>
          <w:lang w:eastAsia="ru-RU"/>
        </w:rPr>
        <w:t>Біотехнологія</w:t>
      </w:r>
      <w:r w:rsidRPr="00BE086B">
        <w:rPr>
          <w:sz w:val="28"/>
          <w:szCs w:val="28"/>
          <w:lang w:eastAsia="ru-RU"/>
        </w:rPr>
        <w:t>. 2010</w:t>
      </w:r>
      <w:r w:rsidRPr="00BE086B">
        <w:rPr>
          <w:sz w:val="28"/>
          <w:szCs w:val="28"/>
          <w:lang w:val="uk-UA" w:eastAsia="ru-RU"/>
        </w:rPr>
        <w:t>;</w:t>
      </w:r>
      <w:r w:rsidRPr="00BE086B">
        <w:rPr>
          <w:sz w:val="28"/>
          <w:szCs w:val="28"/>
          <w:lang w:eastAsia="ru-RU"/>
        </w:rPr>
        <w:t>3</w:t>
      </w:r>
      <w:r w:rsidRPr="00BE086B">
        <w:rPr>
          <w:sz w:val="28"/>
          <w:szCs w:val="28"/>
          <w:lang w:val="uk-UA" w:eastAsia="ru-RU"/>
        </w:rPr>
        <w:t>(4):</w:t>
      </w:r>
      <w:r w:rsidRPr="00BE086B">
        <w:rPr>
          <w:sz w:val="28"/>
          <w:szCs w:val="28"/>
          <w:lang w:eastAsia="ru-RU"/>
        </w:rPr>
        <w:t>37</w:t>
      </w:r>
      <w:r w:rsidRPr="00BE086B">
        <w:rPr>
          <w:sz w:val="28"/>
          <w:szCs w:val="28"/>
          <w:lang w:val="uk-UA" w:eastAsia="ru-RU"/>
        </w:rPr>
        <w:t>-</w:t>
      </w:r>
      <w:r w:rsidRPr="00BE086B">
        <w:rPr>
          <w:sz w:val="28"/>
          <w:szCs w:val="28"/>
          <w:lang w:eastAsia="ru-RU"/>
        </w:rPr>
        <w:t>43.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 xml:space="preserve">Ma Y., Guo H., Bai F. A rat model of knee osteoarthritis suitable for </w:t>
      </w:r>
      <w:r w:rsidRPr="00BE086B">
        <w:rPr>
          <w:sz w:val="28"/>
          <w:szCs w:val="28"/>
          <w:lang w:val="en-US" w:eastAsia="ru-RU"/>
        </w:rPr>
        <w:lastRenderedPageBreak/>
        <w:t>electroacupuncture study</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Exp Anim</w:t>
      </w:r>
      <w:r w:rsidRPr="00BE086B">
        <w:rPr>
          <w:sz w:val="28"/>
          <w:szCs w:val="28"/>
          <w:lang w:val="en-US" w:eastAsia="ru-RU"/>
        </w:rPr>
        <w:t>. 2018</w:t>
      </w:r>
      <w:r w:rsidRPr="00BE086B">
        <w:rPr>
          <w:sz w:val="28"/>
          <w:szCs w:val="28"/>
          <w:lang w:val="uk-UA" w:eastAsia="ru-RU"/>
        </w:rPr>
        <w:t>;</w:t>
      </w:r>
      <w:r w:rsidRPr="00BE086B">
        <w:rPr>
          <w:sz w:val="28"/>
          <w:szCs w:val="28"/>
          <w:lang w:val="en-US" w:eastAsia="ru-RU"/>
        </w:rPr>
        <w:t xml:space="preserve"> 67</w:t>
      </w:r>
      <w:r w:rsidRPr="00BE086B">
        <w:rPr>
          <w:sz w:val="28"/>
          <w:szCs w:val="28"/>
          <w:lang w:val="uk-UA" w:eastAsia="ru-RU"/>
        </w:rPr>
        <w:t>,</w:t>
      </w:r>
      <w:r w:rsidRPr="00BE086B">
        <w:rPr>
          <w:sz w:val="28"/>
          <w:szCs w:val="28"/>
          <w:lang w:val="en-US" w:eastAsia="ru-RU"/>
        </w:rPr>
        <w:t xml:space="preserve"> 2</w:t>
      </w:r>
      <w:r w:rsidRPr="00BE086B">
        <w:rPr>
          <w:sz w:val="28"/>
          <w:szCs w:val="28"/>
          <w:lang w:val="uk-UA" w:eastAsia="ru-RU"/>
        </w:rPr>
        <w:t>:</w:t>
      </w:r>
      <w:r w:rsidRPr="00BE086B">
        <w:rPr>
          <w:sz w:val="28"/>
          <w:szCs w:val="28"/>
          <w:lang w:val="en-US" w:eastAsia="ru-RU"/>
        </w:rPr>
        <w:t xml:space="preserve"> 271</w:t>
      </w:r>
      <w:r w:rsidRPr="00BE086B">
        <w:rPr>
          <w:sz w:val="28"/>
          <w:szCs w:val="28"/>
          <w:lang w:val="uk-UA" w:eastAsia="ru-RU"/>
        </w:rPr>
        <w:t>-</w:t>
      </w:r>
      <w:r w:rsidRPr="00BE086B">
        <w:rPr>
          <w:sz w:val="28"/>
          <w:szCs w:val="28"/>
          <w:lang w:val="en-US" w:eastAsia="ru-RU"/>
        </w:rPr>
        <w:t>280.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lang w:val="en-US" w:eastAsia="ru-RU"/>
        </w:rPr>
        <w:t>Jean Y.H., Wen Z.H., Chang Y.C. Intraarticular injection of the cyclooxygenase-2 inhibitor parecoxib attenuates osteoarthritis progression in anterior cruciate ligament transected knee in rats: role of excitatory amino acids</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 xml:space="preserve">Osteoarthritis Cartilage. </w:t>
      </w:r>
      <w:r w:rsidRPr="00BE086B">
        <w:rPr>
          <w:sz w:val="28"/>
          <w:szCs w:val="28"/>
          <w:lang w:val="en-US" w:eastAsia="ru-RU"/>
        </w:rPr>
        <w:t>2007</w:t>
      </w:r>
      <w:r w:rsidRPr="00BE086B">
        <w:rPr>
          <w:sz w:val="28"/>
          <w:szCs w:val="28"/>
          <w:lang w:val="uk-UA" w:eastAsia="ru-RU"/>
        </w:rPr>
        <w:t>;</w:t>
      </w:r>
      <w:r w:rsidRPr="00BE086B">
        <w:rPr>
          <w:sz w:val="28"/>
          <w:szCs w:val="28"/>
          <w:lang w:val="en-US" w:eastAsia="ru-RU"/>
        </w:rPr>
        <w:t>15</w:t>
      </w:r>
      <w:r w:rsidRPr="00BE086B">
        <w:rPr>
          <w:sz w:val="28"/>
          <w:szCs w:val="28"/>
          <w:lang w:val="uk-UA" w:eastAsia="ru-RU"/>
        </w:rPr>
        <w:t>,</w:t>
      </w:r>
      <w:r w:rsidRPr="00BE086B">
        <w:rPr>
          <w:sz w:val="28"/>
          <w:szCs w:val="28"/>
          <w:lang w:val="en-US" w:eastAsia="ru-RU"/>
        </w:rPr>
        <w:t xml:space="preserve"> 6</w:t>
      </w:r>
      <w:r w:rsidRPr="00BE086B">
        <w:rPr>
          <w:sz w:val="28"/>
          <w:szCs w:val="28"/>
          <w:lang w:val="uk-UA" w:eastAsia="ru-RU"/>
        </w:rPr>
        <w:t>:</w:t>
      </w:r>
      <w:r w:rsidRPr="00BE086B">
        <w:rPr>
          <w:sz w:val="28"/>
          <w:szCs w:val="28"/>
          <w:lang w:val="en-US" w:eastAsia="ru-RU"/>
        </w:rPr>
        <w:t xml:space="preserve"> 638</w:t>
      </w:r>
      <w:r w:rsidRPr="00BE086B">
        <w:rPr>
          <w:sz w:val="28"/>
          <w:szCs w:val="28"/>
          <w:lang w:val="uk-UA" w:eastAsia="ru-RU"/>
        </w:rPr>
        <w:t>-</w:t>
      </w:r>
      <w:r w:rsidRPr="00BE086B">
        <w:rPr>
          <w:sz w:val="28"/>
          <w:szCs w:val="28"/>
          <w:lang w:val="en-US" w:eastAsia="ru-RU"/>
        </w:rPr>
        <w:t>645.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Smith G.Jr., Myers S.L., Brandt K.D. Effect of intraarticular hyaluronan injection on vertical ground reaction force and progression of osteoarthritis after anterior cruciate ligament transaction</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J. Rheumatol</w:t>
      </w:r>
      <w:r w:rsidRPr="00BE086B">
        <w:rPr>
          <w:sz w:val="28"/>
          <w:szCs w:val="28"/>
          <w:lang w:val="en-US" w:eastAsia="ru-RU"/>
        </w:rPr>
        <w:t>. 2005</w:t>
      </w:r>
      <w:r w:rsidRPr="00BE086B">
        <w:rPr>
          <w:sz w:val="28"/>
          <w:szCs w:val="28"/>
          <w:lang w:val="uk-UA" w:eastAsia="ru-RU"/>
        </w:rPr>
        <w:t>;</w:t>
      </w:r>
      <w:r w:rsidRPr="00BE086B">
        <w:rPr>
          <w:sz w:val="28"/>
          <w:szCs w:val="28"/>
          <w:lang w:val="en-US" w:eastAsia="ru-RU"/>
        </w:rPr>
        <w:t xml:space="preserve"> 32</w:t>
      </w:r>
      <w:r w:rsidRPr="00BE086B">
        <w:rPr>
          <w:sz w:val="28"/>
          <w:szCs w:val="28"/>
          <w:lang w:val="uk-UA" w:eastAsia="ru-RU"/>
        </w:rPr>
        <w:t>(</w:t>
      </w:r>
      <w:r w:rsidRPr="00BE086B">
        <w:rPr>
          <w:sz w:val="28"/>
          <w:szCs w:val="28"/>
          <w:lang w:val="en-US" w:eastAsia="ru-RU"/>
        </w:rPr>
        <w:t>2</w:t>
      </w:r>
      <w:r w:rsidRPr="00BE086B">
        <w:rPr>
          <w:sz w:val="28"/>
          <w:szCs w:val="28"/>
          <w:lang w:val="uk-UA" w:eastAsia="ru-RU"/>
        </w:rPr>
        <w:t>):</w:t>
      </w:r>
      <w:r w:rsidRPr="00BE086B">
        <w:rPr>
          <w:sz w:val="28"/>
          <w:szCs w:val="28"/>
          <w:lang w:val="en-US" w:eastAsia="ru-RU"/>
        </w:rPr>
        <w:t>325</w:t>
      </w:r>
      <w:r w:rsidRPr="00BE086B">
        <w:rPr>
          <w:sz w:val="28"/>
          <w:szCs w:val="28"/>
          <w:lang w:val="uk-UA" w:eastAsia="ru-RU"/>
        </w:rPr>
        <w:t>-</w:t>
      </w:r>
      <w:r w:rsidRPr="00BE086B">
        <w:rPr>
          <w:sz w:val="28"/>
          <w:szCs w:val="28"/>
          <w:lang w:val="en-US" w:eastAsia="ru-RU"/>
        </w:rPr>
        <w:t>334.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Batiste D.L., Kirkley A., Laverty S. Ex</w:t>
      </w:r>
      <w:r w:rsidRPr="00BE086B">
        <w:rPr>
          <w:sz w:val="28"/>
          <w:szCs w:val="28"/>
          <w:lang w:val="uk-UA" w:eastAsia="ru-RU"/>
        </w:rPr>
        <w:t xml:space="preserve"> </w:t>
      </w:r>
      <w:r w:rsidRPr="00BE086B">
        <w:rPr>
          <w:sz w:val="28"/>
          <w:szCs w:val="28"/>
          <w:lang w:val="en-US" w:eastAsia="ru-RU"/>
        </w:rPr>
        <w:t>vivo characterization of articular cartilage and bone lesions in a rabbit ACL transection model of osteoarthritis using MRI and micro-CT</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Osteoarthritis Cartilage</w:t>
      </w:r>
      <w:r w:rsidRPr="00BE086B">
        <w:rPr>
          <w:sz w:val="28"/>
          <w:szCs w:val="28"/>
          <w:lang w:val="en-US" w:eastAsia="ru-RU"/>
        </w:rPr>
        <w:t>. 2004</w:t>
      </w:r>
      <w:r w:rsidRPr="00BE086B">
        <w:rPr>
          <w:sz w:val="28"/>
          <w:szCs w:val="28"/>
          <w:lang w:val="uk-UA" w:eastAsia="ru-RU"/>
        </w:rPr>
        <w:t>;</w:t>
      </w:r>
      <w:r w:rsidRPr="00BE086B">
        <w:rPr>
          <w:sz w:val="28"/>
          <w:szCs w:val="28"/>
          <w:lang w:val="en-US" w:eastAsia="ru-RU"/>
        </w:rPr>
        <w:t xml:space="preserve"> 12</w:t>
      </w:r>
      <w:r w:rsidRPr="00BE086B">
        <w:rPr>
          <w:sz w:val="28"/>
          <w:szCs w:val="28"/>
          <w:lang w:val="uk-UA" w:eastAsia="ru-RU"/>
        </w:rPr>
        <w:t>,</w:t>
      </w:r>
      <w:r w:rsidRPr="00BE086B">
        <w:rPr>
          <w:sz w:val="28"/>
          <w:szCs w:val="28"/>
          <w:lang w:val="en-US" w:eastAsia="ru-RU"/>
        </w:rPr>
        <w:t xml:space="preserve"> 2</w:t>
      </w:r>
      <w:r w:rsidRPr="00BE086B">
        <w:rPr>
          <w:sz w:val="28"/>
          <w:szCs w:val="28"/>
          <w:lang w:val="uk-UA" w:eastAsia="ru-RU"/>
        </w:rPr>
        <w:t>:</w:t>
      </w:r>
      <w:r w:rsidRPr="00BE086B">
        <w:rPr>
          <w:sz w:val="28"/>
          <w:szCs w:val="28"/>
          <w:lang w:val="en-US" w:eastAsia="ru-RU"/>
        </w:rPr>
        <w:t xml:space="preserve"> 986</w:t>
      </w:r>
      <w:r w:rsidRPr="00BE086B">
        <w:rPr>
          <w:sz w:val="28"/>
          <w:szCs w:val="28"/>
          <w:lang w:val="uk-UA" w:eastAsia="ru-RU"/>
        </w:rPr>
        <w:t>-</w:t>
      </w:r>
      <w:r w:rsidRPr="00BE086B">
        <w:rPr>
          <w:sz w:val="28"/>
          <w:szCs w:val="28"/>
          <w:lang w:val="en-US" w:eastAsia="ru-RU"/>
        </w:rPr>
        <w:t>996.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Hayami T., Pickarski M., Wesolowski G.</w:t>
      </w:r>
      <w:r w:rsidRPr="00BE086B">
        <w:rPr>
          <w:sz w:val="28"/>
          <w:szCs w:val="28"/>
          <w:lang w:val="uk-UA" w:eastAsia="ru-RU"/>
        </w:rPr>
        <w:t xml:space="preserve"> </w:t>
      </w:r>
      <w:r w:rsidRPr="00BE086B">
        <w:rPr>
          <w:sz w:val="28"/>
          <w:szCs w:val="28"/>
          <w:lang w:val="en-US" w:eastAsia="ru-RU"/>
        </w:rPr>
        <w:t>The role of subchondral bone remodeling in osteoarthritis: Reduction of cartilage degeneration and prevention of osteophyte formation by alendronate in the rat anterior cruciate ligament transection model</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Arthritis Rheum</w:t>
      </w:r>
      <w:r w:rsidRPr="00BE086B">
        <w:rPr>
          <w:sz w:val="28"/>
          <w:szCs w:val="28"/>
          <w:lang w:val="en-US" w:eastAsia="ru-RU"/>
        </w:rPr>
        <w:t>. 2004</w:t>
      </w:r>
      <w:r w:rsidRPr="00BE086B">
        <w:rPr>
          <w:sz w:val="28"/>
          <w:szCs w:val="28"/>
          <w:lang w:val="uk-UA" w:eastAsia="ru-RU"/>
        </w:rPr>
        <w:t>;</w:t>
      </w:r>
      <w:r w:rsidRPr="00BE086B">
        <w:rPr>
          <w:sz w:val="28"/>
          <w:szCs w:val="28"/>
          <w:lang w:val="en-US" w:eastAsia="ru-RU"/>
        </w:rPr>
        <w:t xml:space="preserve"> 50</w:t>
      </w:r>
      <w:r w:rsidRPr="00BE086B">
        <w:rPr>
          <w:sz w:val="28"/>
          <w:szCs w:val="28"/>
          <w:lang w:val="uk-UA" w:eastAsia="ru-RU"/>
        </w:rPr>
        <w:t>,</w:t>
      </w:r>
      <w:r w:rsidRPr="00BE086B">
        <w:rPr>
          <w:sz w:val="28"/>
          <w:szCs w:val="28"/>
          <w:lang w:val="en-US" w:eastAsia="ru-RU"/>
        </w:rPr>
        <w:t xml:space="preserve"> 4</w:t>
      </w:r>
      <w:r w:rsidRPr="00BE086B">
        <w:rPr>
          <w:sz w:val="28"/>
          <w:szCs w:val="28"/>
          <w:lang w:val="uk-UA" w:eastAsia="ru-RU"/>
        </w:rPr>
        <w:t>:</w:t>
      </w:r>
      <w:r w:rsidRPr="00BE086B">
        <w:rPr>
          <w:sz w:val="28"/>
          <w:szCs w:val="28"/>
          <w:lang w:val="en-US" w:eastAsia="ru-RU"/>
        </w:rPr>
        <w:t>1193</w:t>
      </w:r>
      <w:r w:rsidRPr="00BE086B">
        <w:rPr>
          <w:sz w:val="28"/>
          <w:szCs w:val="28"/>
          <w:lang w:val="uk-UA" w:eastAsia="ru-RU"/>
        </w:rPr>
        <w:t>-</w:t>
      </w:r>
      <w:r w:rsidRPr="00BE086B">
        <w:rPr>
          <w:sz w:val="28"/>
          <w:szCs w:val="28"/>
          <w:lang w:val="en-US" w:eastAsia="ru-RU"/>
        </w:rPr>
        <w:t>1206.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Hayami T., Pickarski M., Zhuo Y. Characterization of articular cartilage and subchondral bone changes in the rat anterior cruciate ligament transection and meniscectomized models of osteoarthritis</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Bone</w:t>
      </w:r>
      <w:r w:rsidRPr="00BE086B">
        <w:rPr>
          <w:sz w:val="28"/>
          <w:szCs w:val="28"/>
          <w:lang w:val="en-US" w:eastAsia="ru-RU"/>
        </w:rPr>
        <w:t>. 2006</w:t>
      </w:r>
      <w:r w:rsidRPr="00BE086B">
        <w:rPr>
          <w:sz w:val="28"/>
          <w:szCs w:val="28"/>
          <w:lang w:val="uk-UA" w:eastAsia="ru-RU"/>
        </w:rPr>
        <w:t>;</w:t>
      </w:r>
      <w:r w:rsidRPr="00BE086B">
        <w:rPr>
          <w:sz w:val="28"/>
          <w:szCs w:val="28"/>
          <w:lang w:val="en-US" w:eastAsia="ru-RU"/>
        </w:rPr>
        <w:t xml:space="preserve"> 38</w:t>
      </w:r>
      <w:r w:rsidRPr="00BE086B">
        <w:rPr>
          <w:sz w:val="28"/>
          <w:szCs w:val="28"/>
          <w:lang w:val="uk-UA" w:eastAsia="ru-RU"/>
        </w:rPr>
        <w:t>,</w:t>
      </w:r>
      <w:r w:rsidRPr="00BE086B">
        <w:rPr>
          <w:sz w:val="28"/>
          <w:szCs w:val="28"/>
          <w:lang w:val="en-US" w:eastAsia="ru-RU"/>
        </w:rPr>
        <w:t xml:space="preserve"> 2</w:t>
      </w:r>
      <w:r w:rsidRPr="00BE086B">
        <w:rPr>
          <w:sz w:val="28"/>
          <w:szCs w:val="28"/>
          <w:lang w:val="uk-UA" w:eastAsia="ru-RU"/>
        </w:rPr>
        <w:t>:</w:t>
      </w:r>
      <w:r w:rsidRPr="00BE086B">
        <w:rPr>
          <w:sz w:val="28"/>
          <w:szCs w:val="28"/>
          <w:lang w:val="en-US" w:eastAsia="ru-RU"/>
        </w:rPr>
        <w:t>234</w:t>
      </w:r>
      <w:r w:rsidRPr="00BE086B">
        <w:rPr>
          <w:sz w:val="28"/>
          <w:szCs w:val="28"/>
          <w:lang w:val="uk-UA" w:eastAsia="ru-RU"/>
        </w:rPr>
        <w:t>-</w:t>
      </w:r>
      <w:r w:rsidRPr="00BE086B">
        <w:rPr>
          <w:sz w:val="28"/>
          <w:szCs w:val="28"/>
          <w:lang w:val="en-US" w:eastAsia="ru-RU"/>
        </w:rPr>
        <w:t>243.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 xml:space="preserve">Janusz M.J., Bendele A.M., Brown K.K. Induction of osteoarthritis in the rat by surgical tear of the meniscus: </w:t>
      </w:r>
      <w:r w:rsidRPr="00BE086B">
        <w:rPr>
          <w:sz w:val="28"/>
          <w:szCs w:val="28"/>
          <w:lang w:eastAsia="ru-RU"/>
        </w:rPr>
        <w:t>і</w:t>
      </w:r>
      <w:r w:rsidRPr="00BE086B">
        <w:rPr>
          <w:sz w:val="28"/>
          <w:szCs w:val="28"/>
          <w:lang w:val="en-US" w:eastAsia="ru-RU"/>
        </w:rPr>
        <w:t>nhibition of joint damage by a matrix metalloproteinase inhibitor</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Osteoarthritis Cartilage</w:t>
      </w:r>
      <w:r w:rsidRPr="00BE086B">
        <w:rPr>
          <w:sz w:val="28"/>
          <w:szCs w:val="28"/>
          <w:lang w:val="en-US" w:eastAsia="ru-RU"/>
        </w:rPr>
        <w:t>. 2002</w:t>
      </w:r>
      <w:r w:rsidRPr="00BE086B">
        <w:rPr>
          <w:sz w:val="28"/>
          <w:szCs w:val="28"/>
          <w:lang w:val="uk-UA" w:eastAsia="ru-RU"/>
        </w:rPr>
        <w:t>;</w:t>
      </w:r>
      <w:r w:rsidRPr="00BE086B">
        <w:rPr>
          <w:sz w:val="28"/>
          <w:szCs w:val="28"/>
          <w:lang w:val="en-US" w:eastAsia="ru-RU"/>
        </w:rPr>
        <w:t xml:space="preserve"> 10</w:t>
      </w:r>
      <w:r w:rsidRPr="00BE086B">
        <w:rPr>
          <w:sz w:val="28"/>
          <w:szCs w:val="28"/>
          <w:lang w:val="uk-UA" w:eastAsia="ru-RU"/>
        </w:rPr>
        <w:t>(</w:t>
      </w:r>
      <w:r w:rsidRPr="00BE086B">
        <w:rPr>
          <w:sz w:val="28"/>
          <w:szCs w:val="28"/>
          <w:lang w:val="en-US" w:eastAsia="ru-RU"/>
        </w:rPr>
        <w:t>8</w:t>
      </w:r>
      <w:r w:rsidRPr="00BE086B">
        <w:rPr>
          <w:sz w:val="28"/>
          <w:szCs w:val="28"/>
          <w:lang w:val="uk-UA" w:eastAsia="ru-RU"/>
        </w:rPr>
        <w:t>):</w:t>
      </w:r>
      <w:r w:rsidRPr="00BE086B">
        <w:rPr>
          <w:sz w:val="28"/>
          <w:szCs w:val="28"/>
          <w:lang w:val="en-US" w:eastAsia="ru-RU"/>
        </w:rPr>
        <w:t>785</w:t>
      </w:r>
      <w:r w:rsidRPr="00BE086B">
        <w:rPr>
          <w:sz w:val="28"/>
          <w:szCs w:val="28"/>
          <w:lang w:val="uk-UA" w:eastAsia="ru-RU"/>
        </w:rPr>
        <w:t>-</w:t>
      </w:r>
      <w:r w:rsidRPr="00BE086B">
        <w:rPr>
          <w:sz w:val="28"/>
          <w:szCs w:val="28"/>
          <w:lang w:val="en-US" w:eastAsia="ru-RU"/>
        </w:rPr>
        <w:t>791.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eastAsia="ru-RU"/>
        </w:rPr>
      </w:pPr>
      <w:r w:rsidRPr="00BE086B">
        <w:rPr>
          <w:sz w:val="28"/>
          <w:szCs w:val="28"/>
          <w:lang w:val="en-US" w:eastAsia="ru-RU"/>
        </w:rPr>
        <w:t>Żylińska B., Stodolak-Zych E., Sobczyńska-Rak A.</w:t>
      </w:r>
      <w:r w:rsidRPr="00BE086B">
        <w:rPr>
          <w:sz w:val="28"/>
          <w:szCs w:val="28"/>
          <w:lang w:val="uk-UA" w:eastAsia="ru-RU"/>
        </w:rPr>
        <w:t xml:space="preserve"> </w:t>
      </w:r>
      <w:r w:rsidRPr="00BE086B">
        <w:rPr>
          <w:sz w:val="28"/>
          <w:szCs w:val="28"/>
          <w:lang w:val="en-US" w:eastAsia="ru-RU"/>
        </w:rPr>
        <w:t>Osteochondral repair using porous three-dimensional nanocomposite scaffolds in a rabbit model</w:t>
      </w:r>
      <w:r w:rsidRPr="00BE086B">
        <w:rPr>
          <w:sz w:val="28"/>
          <w:szCs w:val="28"/>
          <w:lang w:val="uk-UA" w:eastAsia="ru-RU"/>
        </w:rPr>
        <w:t>.</w:t>
      </w:r>
      <w:r w:rsidRPr="00BE086B">
        <w:rPr>
          <w:sz w:val="28"/>
          <w:szCs w:val="28"/>
          <w:lang w:val="en-US" w:eastAsia="ru-RU"/>
        </w:rPr>
        <w:t xml:space="preserve"> </w:t>
      </w:r>
      <w:r w:rsidRPr="00BE086B">
        <w:rPr>
          <w:iCs/>
          <w:sz w:val="28"/>
          <w:szCs w:val="28"/>
          <w:lang w:val="en-US" w:eastAsia="ru-RU"/>
        </w:rPr>
        <w:t>In Vivo</w:t>
      </w:r>
      <w:r w:rsidRPr="00BE086B">
        <w:rPr>
          <w:sz w:val="28"/>
          <w:szCs w:val="28"/>
          <w:lang w:val="en-US" w:eastAsia="ru-RU"/>
        </w:rPr>
        <w:t>. 2017</w:t>
      </w:r>
      <w:r w:rsidRPr="00BE086B">
        <w:rPr>
          <w:sz w:val="28"/>
          <w:szCs w:val="28"/>
          <w:lang w:val="uk-UA" w:eastAsia="ru-RU"/>
        </w:rPr>
        <w:t>;</w:t>
      </w:r>
      <w:r w:rsidRPr="00BE086B">
        <w:rPr>
          <w:sz w:val="28"/>
          <w:szCs w:val="28"/>
          <w:lang w:val="en-US" w:eastAsia="ru-RU"/>
        </w:rPr>
        <w:t xml:space="preserve"> 31</w:t>
      </w:r>
      <w:r w:rsidRPr="00BE086B">
        <w:rPr>
          <w:sz w:val="28"/>
          <w:szCs w:val="28"/>
          <w:lang w:val="uk-UA" w:eastAsia="ru-RU"/>
        </w:rPr>
        <w:t>(</w:t>
      </w:r>
      <w:r w:rsidRPr="00BE086B">
        <w:rPr>
          <w:sz w:val="28"/>
          <w:szCs w:val="28"/>
          <w:lang w:val="en-US" w:eastAsia="ru-RU"/>
        </w:rPr>
        <w:t>5</w:t>
      </w:r>
      <w:r w:rsidRPr="00BE086B">
        <w:rPr>
          <w:sz w:val="28"/>
          <w:szCs w:val="28"/>
          <w:lang w:val="uk-UA" w:eastAsia="ru-RU"/>
        </w:rPr>
        <w:t>):</w:t>
      </w:r>
      <w:r w:rsidRPr="00BE086B">
        <w:rPr>
          <w:sz w:val="28"/>
          <w:szCs w:val="28"/>
          <w:lang w:val="en-US" w:eastAsia="ru-RU"/>
        </w:rPr>
        <w:t>895</w:t>
      </w:r>
      <w:r w:rsidRPr="00BE086B">
        <w:rPr>
          <w:sz w:val="28"/>
          <w:szCs w:val="28"/>
          <w:lang w:val="uk-UA" w:eastAsia="ru-RU"/>
        </w:rPr>
        <w:t>-</w:t>
      </w:r>
      <w:r w:rsidRPr="00BE086B">
        <w:rPr>
          <w:sz w:val="28"/>
          <w:szCs w:val="28"/>
          <w:lang w:val="en-US" w:eastAsia="ru-RU"/>
        </w:rPr>
        <w:t>903.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Veronesi F</w:t>
      </w:r>
      <w:r w:rsidRPr="00BE086B">
        <w:rPr>
          <w:sz w:val="28"/>
          <w:szCs w:val="28"/>
          <w:shd w:val="clear" w:color="auto" w:fill="FFFFFF"/>
          <w:lang w:val="uk-UA"/>
        </w:rPr>
        <w:t>.</w:t>
      </w:r>
      <w:r w:rsidRPr="00BE086B">
        <w:rPr>
          <w:sz w:val="28"/>
          <w:szCs w:val="28"/>
          <w:shd w:val="clear" w:color="auto" w:fill="FFFFFF"/>
          <w:lang w:val="en-US"/>
        </w:rPr>
        <w:t>, Vandenbulcke F</w:t>
      </w:r>
      <w:r w:rsidRPr="00BE086B">
        <w:rPr>
          <w:sz w:val="28"/>
          <w:szCs w:val="28"/>
          <w:shd w:val="clear" w:color="auto" w:fill="FFFFFF"/>
          <w:lang w:val="uk-UA"/>
        </w:rPr>
        <w:t>.</w:t>
      </w:r>
      <w:r w:rsidRPr="00BE086B">
        <w:rPr>
          <w:sz w:val="28"/>
          <w:szCs w:val="28"/>
          <w:shd w:val="clear" w:color="auto" w:fill="FFFFFF"/>
          <w:lang w:val="en-US"/>
        </w:rPr>
        <w:t>, Ashmore K</w:t>
      </w:r>
      <w:r w:rsidRPr="00BE086B">
        <w:rPr>
          <w:sz w:val="28"/>
          <w:szCs w:val="28"/>
          <w:shd w:val="clear" w:color="auto" w:fill="FFFFFF"/>
          <w:lang w:val="uk-UA"/>
        </w:rPr>
        <w:t>.</w:t>
      </w:r>
      <w:r w:rsidRPr="00BE086B">
        <w:rPr>
          <w:sz w:val="28"/>
          <w:szCs w:val="28"/>
          <w:shd w:val="clear" w:color="auto" w:fill="FFFFFF"/>
          <w:lang w:val="en-US"/>
        </w:rPr>
        <w:t>, Di Matteo B</w:t>
      </w:r>
      <w:r w:rsidRPr="00BE086B">
        <w:rPr>
          <w:sz w:val="28"/>
          <w:szCs w:val="28"/>
          <w:shd w:val="clear" w:color="auto" w:fill="FFFFFF"/>
          <w:lang w:val="uk-UA"/>
        </w:rPr>
        <w:t>.</w:t>
      </w:r>
      <w:r w:rsidRPr="00BE086B">
        <w:rPr>
          <w:sz w:val="28"/>
          <w:szCs w:val="28"/>
          <w:shd w:val="clear" w:color="auto" w:fill="FFFFFF"/>
          <w:lang w:val="en-US"/>
        </w:rPr>
        <w:t>, Nicoli Aldini N</w:t>
      </w:r>
      <w:r w:rsidRPr="00BE086B">
        <w:rPr>
          <w:sz w:val="28"/>
          <w:szCs w:val="28"/>
          <w:shd w:val="clear" w:color="auto" w:fill="FFFFFF"/>
          <w:lang w:val="uk-UA"/>
        </w:rPr>
        <w:t>.</w:t>
      </w:r>
      <w:r w:rsidRPr="00BE086B">
        <w:rPr>
          <w:sz w:val="28"/>
          <w:szCs w:val="28"/>
          <w:shd w:val="clear" w:color="auto" w:fill="FFFFFF"/>
          <w:lang w:val="en-US"/>
        </w:rPr>
        <w:t>, Martini L</w:t>
      </w:r>
      <w:r w:rsidRPr="00BE086B">
        <w:rPr>
          <w:sz w:val="28"/>
          <w:szCs w:val="28"/>
          <w:shd w:val="clear" w:color="auto" w:fill="FFFFFF"/>
          <w:lang w:val="uk-UA"/>
        </w:rPr>
        <w:t>.</w:t>
      </w:r>
      <w:r w:rsidRPr="00BE086B">
        <w:rPr>
          <w:sz w:val="28"/>
          <w:szCs w:val="28"/>
          <w:shd w:val="clear" w:color="auto" w:fill="FFFFFF"/>
          <w:lang w:val="en-US"/>
        </w:rPr>
        <w:t>, Fini M</w:t>
      </w:r>
      <w:r w:rsidRPr="00BE086B">
        <w:rPr>
          <w:sz w:val="28"/>
          <w:szCs w:val="28"/>
          <w:shd w:val="clear" w:color="auto" w:fill="FFFFFF"/>
          <w:lang w:val="uk-UA"/>
        </w:rPr>
        <w:t>.</w:t>
      </w:r>
      <w:r w:rsidRPr="00BE086B">
        <w:rPr>
          <w:sz w:val="28"/>
          <w:szCs w:val="28"/>
          <w:shd w:val="clear" w:color="auto" w:fill="FFFFFF"/>
          <w:lang w:val="en-US"/>
        </w:rPr>
        <w:t>, Kon E. Meniscectomy-induced osteoarthritis in the sheep model for the investigation of therapeutic strategies: a systematic review. Int Orthop. 2020;44(4):779-793.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lastRenderedPageBreak/>
        <w:t>Narez G</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w:t>
      </w:r>
      <w:r w:rsidRPr="00BE086B">
        <w:rPr>
          <w:sz w:val="28"/>
          <w:szCs w:val="28"/>
          <w:shd w:val="clear" w:color="auto" w:fill="FFFFFF"/>
          <w:lang w:val="en-US"/>
        </w:rPr>
        <w:t>, Fischenich K</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Donahue TLH. Experimental animal models of post-traumatic osteoarthritis of the knee. Orthop Rev (Pavia). 2020</w:t>
      </w:r>
      <w:r w:rsidRPr="00BE086B">
        <w:rPr>
          <w:sz w:val="28"/>
          <w:szCs w:val="28"/>
          <w:shd w:val="clear" w:color="auto" w:fill="FFFFFF"/>
          <w:lang w:val="uk-UA"/>
        </w:rPr>
        <w:t>;</w:t>
      </w:r>
      <w:r w:rsidRPr="00BE086B">
        <w:rPr>
          <w:sz w:val="28"/>
          <w:szCs w:val="28"/>
          <w:shd w:val="clear" w:color="auto" w:fill="FFFFFF"/>
          <w:lang w:val="en-US"/>
        </w:rPr>
        <w:t>6;12(2):844</w:t>
      </w:r>
      <w:r w:rsidRPr="00BE086B">
        <w:rPr>
          <w:sz w:val="28"/>
          <w:szCs w:val="28"/>
          <w:shd w:val="clear" w:color="auto" w:fill="FFFFFF"/>
          <w:lang w:val="uk-UA"/>
        </w:rPr>
        <w:t>-84</w:t>
      </w:r>
      <w:r w:rsidRPr="00BE086B">
        <w:rPr>
          <w:sz w:val="28"/>
          <w:szCs w:val="28"/>
          <w:shd w:val="clear" w:color="auto" w:fill="FFFFFF"/>
          <w:lang w:val="en-US"/>
        </w:rPr>
        <w:t>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Rai M</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Brophy R</w:t>
      </w:r>
      <w:r w:rsidRPr="00BE086B">
        <w:rPr>
          <w:sz w:val="28"/>
          <w:szCs w:val="28"/>
          <w:shd w:val="clear" w:color="auto" w:fill="FFFFFF"/>
          <w:lang w:val="uk-UA"/>
        </w:rPr>
        <w:t>.</w:t>
      </w:r>
      <w:r w:rsidRPr="00BE086B">
        <w:rPr>
          <w:sz w:val="28"/>
          <w:szCs w:val="28"/>
          <w:shd w:val="clear" w:color="auto" w:fill="FFFFFF"/>
          <w:lang w:val="en-US"/>
        </w:rPr>
        <w:t>H</w:t>
      </w:r>
      <w:r w:rsidRPr="00BE086B">
        <w:rPr>
          <w:sz w:val="28"/>
          <w:szCs w:val="28"/>
          <w:shd w:val="clear" w:color="auto" w:fill="FFFFFF"/>
          <w:lang w:val="uk-UA"/>
        </w:rPr>
        <w:t>.</w:t>
      </w:r>
      <w:r w:rsidRPr="00BE086B">
        <w:rPr>
          <w:sz w:val="28"/>
          <w:szCs w:val="28"/>
          <w:shd w:val="clear" w:color="auto" w:fill="FFFFFF"/>
          <w:lang w:val="en-US"/>
        </w:rPr>
        <w:t>, Sandell L</w:t>
      </w:r>
      <w:r w:rsidRPr="00BE086B">
        <w:rPr>
          <w:sz w:val="28"/>
          <w:szCs w:val="28"/>
          <w:shd w:val="clear" w:color="auto" w:fill="FFFFFF"/>
          <w:lang w:val="uk-UA"/>
        </w:rPr>
        <w:t>.</w:t>
      </w:r>
      <w:r w:rsidRPr="00BE086B">
        <w:rPr>
          <w:sz w:val="28"/>
          <w:szCs w:val="28"/>
          <w:shd w:val="clear" w:color="auto" w:fill="FFFFFF"/>
          <w:lang w:val="en-US"/>
        </w:rPr>
        <w:t>J. Osteoarthritis following meniscus and ligament injury: insights from translational studies and animal models. Curr Opin Rheumatol. 2019;31(1):70-79.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Rebai M</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Sahnoun N</w:t>
      </w:r>
      <w:r w:rsidRPr="00BE086B">
        <w:rPr>
          <w:sz w:val="28"/>
          <w:szCs w:val="28"/>
          <w:shd w:val="clear" w:color="auto" w:fill="FFFFFF"/>
          <w:lang w:val="uk-UA"/>
        </w:rPr>
        <w:t>.</w:t>
      </w:r>
      <w:r w:rsidRPr="00BE086B">
        <w:rPr>
          <w:sz w:val="28"/>
          <w:szCs w:val="28"/>
          <w:shd w:val="clear" w:color="auto" w:fill="FFFFFF"/>
          <w:lang w:val="en-US"/>
        </w:rPr>
        <w:t>, Abdelhedi O</w:t>
      </w:r>
      <w:r w:rsidRPr="00BE086B">
        <w:rPr>
          <w:sz w:val="28"/>
          <w:szCs w:val="28"/>
          <w:shd w:val="clear" w:color="auto" w:fill="FFFFFF"/>
          <w:lang w:val="uk-UA"/>
        </w:rPr>
        <w:t>.</w:t>
      </w:r>
      <w:r w:rsidRPr="00BE086B">
        <w:rPr>
          <w:sz w:val="28"/>
          <w:szCs w:val="28"/>
          <w:shd w:val="clear" w:color="auto" w:fill="FFFFFF"/>
          <w:lang w:val="en-US"/>
        </w:rPr>
        <w:t>, Keskes K</w:t>
      </w:r>
      <w:r w:rsidRPr="00BE086B">
        <w:rPr>
          <w:sz w:val="28"/>
          <w:szCs w:val="28"/>
          <w:shd w:val="clear" w:color="auto" w:fill="FFFFFF"/>
          <w:lang w:val="uk-UA"/>
        </w:rPr>
        <w:t>.</w:t>
      </w:r>
      <w:r w:rsidRPr="00BE086B">
        <w:rPr>
          <w:sz w:val="28"/>
          <w:szCs w:val="28"/>
          <w:shd w:val="clear" w:color="auto" w:fill="FFFFFF"/>
          <w:lang w:val="en-US"/>
        </w:rPr>
        <w:t>, Charfi S</w:t>
      </w:r>
      <w:r w:rsidRPr="00BE086B">
        <w:rPr>
          <w:sz w:val="28"/>
          <w:szCs w:val="28"/>
          <w:shd w:val="clear" w:color="auto" w:fill="FFFFFF"/>
          <w:lang w:val="uk-UA"/>
        </w:rPr>
        <w:t>.</w:t>
      </w:r>
      <w:r w:rsidRPr="00BE086B">
        <w:rPr>
          <w:sz w:val="28"/>
          <w:szCs w:val="28"/>
          <w:shd w:val="clear" w:color="auto" w:fill="FFFFFF"/>
          <w:lang w:val="en-US"/>
        </w:rPr>
        <w:t>, Slimi F</w:t>
      </w:r>
      <w:r w:rsidRPr="00BE086B">
        <w:rPr>
          <w:sz w:val="28"/>
          <w:szCs w:val="28"/>
          <w:shd w:val="clear" w:color="auto" w:fill="FFFFFF"/>
          <w:lang w:val="uk-UA"/>
        </w:rPr>
        <w:t>.</w:t>
      </w:r>
      <w:r w:rsidRPr="00BE086B">
        <w:rPr>
          <w:sz w:val="28"/>
          <w:szCs w:val="28"/>
          <w:shd w:val="clear" w:color="auto" w:fill="FFFFFF"/>
          <w:lang w:val="en-US"/>
        </w:rPr>
        <w:t>, Frikha R</w:t>
      </w:r>
      <w:r w:rsidRPr="00BE086B">
        <w:rPr>
          <w:sz w:val="28"/>
          <w:szCs w:val="28"/>
          <w:shd w:val="clear" w:color="auto" w:fill="FFFFFF"/>
          <w:lang w:val="uk-UA"/>
        </w:rPr>
        <w:t>.</w:t>
      </w:r>
      <w:r w:rsidRPr="00BE086B">
        <w:rPr>
          <w:sz w:val="28"/>
          <w:szCs w:val="28"/>
          <w:shd w:val="clear" w:color="auto" w:fill="FFFFFF"/>
          <w:lang w:val="en-US"/>
        </w:rPr>
        <w:t>, Keskes H. Animal models of osteoarthritis: characterization of a model induced by mono-iodo-acetate injected in rabbits. Libyan J Med. 2020;15(1):175</w:t>
      </w:r>
      <w:r w:rsidRPr="00BE086B">
        <w:rPr>
          <w:sz w:val="28"/>
          <w:szCs w:val="28"/>
          <w:shd w:val="clear" w:color="auto" w:fill="FFFFFF"/>
          <w:lang w:val="uk-UA"/>
        </w:rPr>
        <w:t>-1</w:t>
      </w:r>
      <w:r w:rsidRPr="00BE086B">
        <w:rPr>
          <w:sz w:val="28"/>
          <w:szCs w:val="28"/>
          <w:shd w:val="clear" w:color="auto" w:fill="FFFFFF"/>
          <w:lang w:val="en-US"/>
        </w:rPr>
        <w:t>94.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lang w:val="uk-UA"/>
        </w:rPr>
        <w:t>Dunham H., Hoedt-Schmidt S., Kalbhen D.A. Prolonged effect of iodoacetate on articular cartilage and its modification by an anti-rheumatic drug. Int J Exp Pathol. 1993;74:283-289.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lang w:val="uk-UA"/>
        </w:rPr>
        <w:t>Cournil C., Liagre B., Grosin L., Vol C., Abid A. Overexpression and induction of heat shock protein (Hsp) 70 protects in vitro and in vivo from mono-iodoacetate (MIA)-induced chondrocytes death. Arthritis. 2001;3(1):41.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Vinod E</w:t>
      </w:r>
      <w:r w:rsidRPr="00BE086B">
        <w:rPr>
          <w:sz w:val="28"/>
          <w:szCs w:val="28"/>
          <w:shd w:val="clear" w:color="auto" w:fill="FFFFFF"/>
          <w:lang w:val="uk-UA"/>
        </w:rPr>
        <w:t>.</w:t>
      </w:r>
      <w:r w:rsidRPr="00BE086B">
        <w:rPr>
          <w:sz w:val="28"/>
          <w:szCs w:val="28"/>
          <w:shd w:val="clear" w:color="auto" w:fill="FFFFFF"/>
          <w:lang w:val="en-US"/>
        </w:rPr>
        <w:t>, Boopalan PRJVC, Arumugam S</w:t>
      </w:r>
      <w:r w:rsidRPr="00BE086B">
        <w:rPr>
          <w:sz w:val="28"/>
          <w:szCs w:val="28"/>
          <w:shd w:val="clear" w:color="auto" w:fill="FFFFFF"/>
          <w:lang w:val="uk-UA"/>
        </w:rPr>
        <w:t>.</w:t>
      </w:r>
      <w:r w:rsidRPr="00BE086B">
        <w:rPr>
          <w:sz w:val="28"/>
          <w:szCs w:val="28"/>
          <w:shd w:val="clear" w:color="auto" w:fill="FFFFFF"/>
          <w:lang w:val="en-US"/>
        </w:rPr>
        <w:t>, Sathishkumar S. Creation of monosodium iodoacetate-induced model of osteoarthritis in rabbit knee joint. Indian J Med Res. 2018;147(3):312-314.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Takahashi I</w:t>
      </w:r>
      <w:r w:rsidRPr="00BE086B">
        <w:rPr>
          <w:sz w:val="28"/>
          <w:szCs w:val="28"/>
          <w:shd w:val="clear" w:color="auto" w:fill="FFFFFF"/>
          <w:lang w:val="uk-UA"/>
        </w:rPr>
        <w:t>.</w:t>
      </w:r>
      <w:r w:rsidRPr="00BE086B">
        <w:rPr>
          <w:sz w:val="28"/>
          <w:szCs w:val="28"/>
          <w:shd w:val="clear" w:color="auto" w:fill="FFFFFF"/>
          <w:lang w:val="en-US"/>
        </w:rPr>
        <w:t>, Matsuzaki T</w:t>
      </w:r>
      <w:r w:rsidRPr="00BE086B">
        <w:rPr>
          <w:sz w:val="28"/>
          <w:szCs w:val="28"/>
          <w:shd w:val="clear" w:color="auto" w:fill="FFFFFF"/>
          <w:lang w:val="uk-UA"/>
        </w:rPr>
        <w:t>.</w:t>
      </w:r>
      <w:r w:rsidRPr="00BE086B">
        <w:rPr>
          <w:sz w:val="28"/>
          <w:szCs w:val="28"/>
          <w:shd w:val="clear" w:color="auto" w:fill="FFFFFF"/>
          <w:lang w:val="en-US"/>
        </w:rPr>
        <w:t>, Kuroki H</w:t>
      </w:r>
      <w:r w:rsidRPr="00BE086B">
        <w:rPr>
          <w:sz w:val="28"/>
          <w:szCs w:val="28"/>
          <w:shd w:val="clear" w:color="auto" w:fill="FFFFFF"/>
          <w:lang w:val="uk-UA"/>
        </w:rPr>
        <w:t>.</w:t>
      </w:r>
      <w:r w:rsidRPr="00BE086B">
        <w:rPr>
          <w:sz w:val="28"/>
          <w:szCs w:val="28"/>
          <w:shd w:val="clear" w:color="auto" w:fill="FFFFFF"/>
          <w:lang w:val="en-US"/>
        </w:rPr>
        <w:t>, Hoso M. Joint unloading inhibits articular cartilage degeneration in knee joints of a monosodium iodoacetate-induced rat model of osteoarthritis. Osteoarthritis Cartilage. 2019;27(7):1084-1093.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Ängeby Möller K</w:t>
      </w:r>
      <w:r w:rsidRPr="00BE086B">
        <w:rPr>
          <w:sz w:val="28"/>
          <w:szCs w:val="28"/>
          <w:shd w:val="clear" w:color="auto" w:fill="FFFFFF"/>
          <w:lang w:val="uk-UA"/>
        </w:rPr>
        <w:t>.</w:t>
      </w:r>
      <w:r w:rsidRPr="00BE086B">
        <w:rPr>
          <w:sz w:val="28"/>
          <w:szCs w:val="28"/>
          <w:shd w:val="clear" w:color="auto" w:fill="FFFFFF"/>
          <w:lang w:val="en-US"/>
        </w:rPr>
        <w:t>, Klein S</w:t>
      </w:r>
      <w:r w:rsidRPr="00BE086B">
        <w:rPr>
          <w:sz w:val="28"/>
          <w:szCs w:val="28"/>
          <w:shd w:val="clear" w:color="auto" w:fill="FFFFFF"/>
          <w:lang w:val="uk-UA"/>
        </w:rPr>
        <w:t>.</w:t>
      </w:r>
      <w:r w:rsidRPr="00BE086B">
        <w:rPr>
          <w:sz w:val="28"/>
          <w:szCs w:val="28"/>
          <w:shd w:val="clear" w:color="auto" w:fill="FFFFFF"/>
          <w:lang w:val="en-US"/>
        </w:rPr>
        <w:t>, Seeliger F</w:t>
      </w:r>
      <w:r w:rsidRPr="00BE086B">
        <w:rPr>
          <w:sz w:val="28"/>
          <w:szCs w:val="28"/>
          <w:shd w:val="clear" w:color="auto" w:fill="FFFFFF"/>
          <w:lang w:val="uk-UA"/>
        </w:rPr>
        <w:t>.</w:t>
      </w:r>
      <w:r w:rsidRPr="00BE086B">
        <w:rPr>
          <w:sz w:val="28"/>
          <w:szCs w:val="28"/>
          <w:shd w:val="clear" w:color="auto" w:fill="FFFFFF"/>
          <w:lang w:val="en-US"/>
        </w:rPr>
        <w:t>, Finn A</w:t>
      </w:r>
      <w:r w:rsidRPr="00BE086B">
        <w:rPr>
          <w:sz w:val="28"/>
          <w:szCs w:val="28"/>
          <w:shd w:val="clear" w:color="auto" w:fill="FFFFFF"/>
          <w:lang w:val="uk-UA"/>
        </w:rPr>
        <w:t>.</w:t>
      </w:r>
      <w:r w:rsidRPr="00BE086B">
        <w:rPr>
          <w:sz w:val="28"/>
          <w:szCs w:val="28"/>
          <w:shd w:val="clear" w:color="auto" w:fill="FFFFFF"/>
          <w:lang w:val="en-US"/>
        </w:rPr>
        <w:t>, Stenfors C</w:t>
      </w:r>
      <w:r w:rsidRPr="00BE086B">
        <w:rPr>
          <w:sz w:val="28"/>
          <w:szCs w:val="28"/>
          <w:shd w:val="clear" w:color="auto" w:fill="FFFFFF"/>
          <w:lang w:val="uk-UA"/>
        </w:rPr>
        <w:t>.</w:t>
      </w:r>
      <w:r w:rsidRPr="00BE086B">
        <w:rPr>
          <w:sz w:val="28"/>
          <w:szCs w:val="28"/>
          <w:shd w:val="clear" w:color="auto" w:fill="FFFFFF"/>
          <w:lang w:val="en-US"/>
        </w:rPr>
        <w:t>, Svensson C</w:t>
      </w:r>
      <w:r w:rsidRPr="00BE086B">
        <w:rPr>
          <w:sz w:val="28"/>
          <w:szCs w:val="28"/>
          <w:shd w:val="clear" w:color="auto" w:fill="FFFFFF"/>
          <w:lang w:val="uk-UA"/>
        </w:rPr>
        <w:t>.</w:t>
      </w:r>
      <w:r w:rsidRPr="00BE086B">
        <w:rPr>
          <w:sz w:val="28"/>
          <w:szCs w:val="28"/>
          <w:shd w:val="clear" w:color="auto" w:fill="FFFFFF"/>
          <w:lang w:val="en-US"/>
        </w:rPr>
        <w:t>I. Monosodium iodoacetate-induced monoarthritis develops differently in knee versus ankle joint in rats. Neurobiol Pain. 2019</w:t>
      </w:r>
      <w:r w:rsidRPr="00BE086B">
        <w:rPr>
          <w:sz w:val="28"/>
          <w:szCs w:val="28"/>
          <w:shd w:val="clear" w:color="auto" w:fill="FFFFFF"/>
          <w:lang w:val="uk-UA"/>
        </w:rPr>
        <w:t>;</w:t>
      </w:r>
      <w:r w:rsidRPr="00BE086B">
        <w:rPr>
          <w:sz w:val="28"/>
          <w:szCs w:val="28"/>
          <w:shd w:val="clear" w:color="auto" w:fill="FFFFFF"/>
          <w:lang w:val="en-US"/>
        </w:rPr>
        <w:t>3;6:100</w:t>
      </w:r>
      <w:r w:rsidRPr="00BE086B">
        <w:rPr>
          <w:sz w:val="28"/>
          <w:szCs w:val="28"/>
          <w:shd w:val="clear" w:color="auto" w:fill="FFFFFF"/>
          <w:lang w:val="uk-UA"/>
        </w:rPr>
        <w:t>-1</w:t>
      </w:r>
      <w:r w:rsidRPr="00BE086B">
        <w:rPr>
          <w:sz w:val="28"/>
          <w:szCs w:val="28"/>
          <w:shd w:val="clear" w:color="auto" w:fill="FFFFFF"/>
          <w:lang w:val="en-US"/>
        </w:rPr>
        <w:t>36.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Kawarai Y</w:t>
      </w:r>
      <w:r w:rsidRPr="00BE086B">
        <w:rPr>
          <w:sz w:val="28"/>
          <w:szCs w:val="28"/>
          <w:shd w:val="clear" w:color="auto" w:fill="FFFFFF"/>
          <w:lang w:val="uk-UA"/>
        </w:rPr>
        <w:t>.</w:t>
      </w:r>
      <w:r w:rsidRPr="00BE086B">
        <w:rPr>
          <w:sz w:val="28"/>
          <w:szCs w:val="28"/>
          <w:shd w:val="clear" w:color="auto" w:fill="FFFFFF"/>
          <w:lang w:val="en-US"/>
        </w:rPr>
        <w:t>, Orita S</w:t>
      </w:r>
      <w:r w:rsidRPr="00BE086B">
        <w:rPr>
          <w:sz w:val="28"/>
          <w:szCs w:val="28"/>
          <w:shd w:val="clear" w:color="auto" w:fill="FFFFFF"/>
          <w:lang w:val="uk-UA"/>
        </w:rPr>
        <w:t>.</w:t>
      </w:r>
      <w:r w:rsidRPr="00BE086B">
        <w:rPr>
          <w:sz w:val="28"/>
          <w:szCs w:val="28"/>
          <w:shd w:val="clear" w:color="auto" w:fill="FFFFFF"/>
          <w:lang w:val="en-US"/>
        </w:rPr>
        <w:t>, Nakamura J</w:t>
      </w:r>
      <w:r w:rsidRPr="00BE086B">
        <w:rPr>
          <w:sz w:val="28"/>
          <w:szCs w:val="28"/>
          <w:shd w:val="clear" w:color="auto" w:fill="FFFFFF"/>
          <w:lang w:val="uk-UA"/>
        </w:rPr>
        <w:t>.</w:t>
      </w:r>
      <w:r w:rsidRPr="00BE086B">
        <w:rPr>
          <w:sz w:val="28"/>
          <w:szCs w:val="28"/>
          <w:shd w:val="clear" w:color="auto" w:fill="FFFFFF"/>
          <w:lang w:val="en-US"/>
        </w:rPr>
        <w:t>, Miyamoto S</w:t>
      </w:r>
      <w:r w:rsidRPr="00BE086B">
        <w:rPr>
          <w:sz w:val="28"/>
          <w:szCs w:val="28"/>
          <w:shd w:val="clear" w:color="auto" w:fill="FFFFFF"/>
          <w:lang w:val="uk-UA"/>
        </w:rPr>
        <w:t>.</w:t>
      </w:r>
      <w:r w:rsidRPr="00BE086B">
        <w:rPr>
          <w:sz w:val="28"/>
          <w:szCs w:val="28"/>
          <w:shd w:val="clear" w:color="auto" w:fill="FFFFFF"/>
          <w:lang w:val="en-US"/>
        </w:rPr>
        <w:t>, Suzuki M</w:t>
      </w:r>
      <w:r w:rsidRPr="00BE086B">
        <w:rPr>
          <w:sz w:val="28"/>
          <w:szCs w:val="28"/>
          <w:shd w:val="clear" w:color="auto" w:fill="FFFFFF"/>
          <w:lang w:val="uk-UA"/>
        </w:rPr>
        <w:t>.</w:t>
      </w:r>
      <w:r w:rsidRPr="00BE086B">
        <w:rPr>
          <w:sz w:val="28"/>
          <w:szCs w:val="28"/>
          <w:shd w:val="clear" w:color="auto" w:fill="FFFFFF"/>
          <w:lang w:val="en-US"/>
        </w:rPr>
        <w:t>, Inage K</w:t>
      </w:r>
      <w:r w:rsidRPr="00BE086B">
        <w:rPr>
          <w:sz w:val="28"/>
          <w:szCs w:val="28"/>
          <w:shd w:val="clear" w:color="auto" w:fill="FFFFFF"/>
          <w:lang w:val="uk-UA"/>
        </w:rPr>
        <w:t>.</w:t>
      </w:r>
      <w:r w:rsidRPr="00BE086B">
        <w:rPr>
          <w:sz w:val="28"/>
          <w:szCs w:val="28"/>
          <w:shd w:val="clear" w:color="auto" w:fill="FFFFFF"/>
          <w:lang w:val="en-US"/>
        </w:rPr>
        <w:t>, Hagiwara S</w:t>
      </w:r>
      <w:r w:rsidRPr="00BE086B">
        <w:rPr>
          <w:sz w:val="28"/>
          <w:szCs w:val="28"/>
          <w:shd w:val="clear" w:color="auto" w:fill="FFFFFF"/>
          <w:lang w:val="uk-UA"/>
        </w:rPr>
        <w:t>.</w:t>
      </w:r>
      <w:r w:rsidRPr="00BE086B">
        <w:rPr>
          <w:sz w:val="28"/>
          <w:szCs w:val="28"/>
          <w:shd w:val="clear" w:color="auto" w:fill="FFFFFF"/>
          <w:lang w:val="en-US"/>
        </w:rPr>
        <w:t>, Suzuki T</w:t>
      </w:r>
      <w:r w:rsidRPr="00BE086B">
        <w:rPr>
          <w:sz w:val="28"/>
          <w:szCs w:val="28"/>
          <w:shd w:val="clear" w:color="auto" w:fill="FFFFFF"/>
          <w:lang w:val="uk-UA"/>
        </w:rPr>
        <w:t>.</w:t>
      </w:r>
      <w:r w:rsidRPr="00BE086B">
        <w:rPr>
          <w:sz w:val="28"/>
          <w:szCs w:val="28"/>
          <w:shd w:val="clear" w:color="auto" w:fill="FFFFFF"/>
          <w:lang w:val="en-US"/>
        </w:rPr>
        <w:t>, Nakajima T</w:t>
      </w:r>
      <w:r w:rsidRPr="00BE086B">
        <w:rPr>
          <w:sz w:val="28"/>
          <w:szCs w:val="28"/>
          <w:shd w:val="clear" w:color="auto" w:fill="FFFFFF"/>
          <w:lang w:val="uk-UA"/>
        </w:rPr>
        <w:t>.</w:t>
      </w:r>
      <w:r w:rsidRPr="00BE086B">
        <w:rPr>
          <w:sz w:val="28"/>
          <w:szCs w:val="28"/>
          <w:shd w:val="clear" w:color="auto" w:fill="FFFFFF"/>
          <w:lang w:val="en-US"/>
        </w:rPr>
        <w:t>, Akazawa T</w:t>
      </w:r>
      <w:r w:rsidRPr="00BE086B">
        <w:rPr>
          <w:sz w:val="28"/>
          <w:szCs w:val="28"/>
          <w:shd w:val="clear" w:color="auto" w:fill="FFFFFF"/>
          <w:lang w:val="uk-UA"/>
        </w:rPr>
        <w:t>.</w:t>
      </w:r>
      <w:r w:rsidRPr="00BE086B">
        <w:rPr>
          <w:sz w:val="28"/>
          <w:szCs w:val="28"/>
          <w:shd w:val="clear" w:color="auto" w:fill="FFFFFF"/>
          <w:lang w:val="en-US"/>
        </w:rPr>
        <w:t>, Ohtori S. Changes in proinflammatory cytokines, neuropeptides, and microglia in an animal model of monosodium iodoacetate-induced hip osteoarthritis. J Orthop Res. 2018;36(11):2978-2986.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lastRenderedPageBreak/>
        <w:t>Malfait</w:t>
      </w:r>
      <w:r w:rsidRPr="00BE086B">
        <w:rPr>
          <w:sz w:val="28"/>
          <w:szCs w:val="28"/>
          <w:shd w:val="clear" w:color="auto" w:fill="FFFFFF"/>
          <w:lang w:val="uk-UA"/>
        </w:rPr>
        <w:t xml:space="preserve"> </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 xml:space="preserve">., </w:t>
      </w:r>
      <w:r w:rsidRPr="00BE086B">
        <w:rPr>
          <w:sz w:val="28"/>
          <w:szCs w:val="28"/>
          <w:shd w:val="clear" w:color="auto" w:fill="FFFFFF"/>
          <w:lang w:val="en-US"/>
        </w:rPr>
        <w:t>Miller</w:t>
      </w:r>
      <w:r w:rsidRPr="00BE086B">
        <w:rPr>
          <w:sz w:val="28"/>
          <w:szCs w:val="28"/>
          <w:shd w:val="clear" w:color="auto" w:fill="FFFFFF"/>
          <w:lang w:val="uk-UA"/>
        </w:rPr>
        <w:t xml:space="preserve"> </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 xml:space="preserve">. </w:t>
      </w:r>
      <w:r w:rsidRPr="00BE086B">
        <w:rPr>
          <w:sz w:val="28"/>
          <w:szCs w:val="28"/>
          <w:shd w:val="clear" w:color="auto" w:fill="FFFFFF"/>
          <w:lang w:val="en-US"/>
        </w:rPr>
        <w:t>Why</w:t>
      </w:r>
      <w:r w:rsidRPr="00BE086B">
        <w:rPr>
          <w:sz w:val="28"/>
          <w:szCs w:val="28"/>
          <w:shd w:val="clear" w:color="auto" w:fill="FFFFFF"/>
          <w:lang w:val="uk-UA"/>
        </w:rPr>
        <w:t xml:space="preserve"> </w:t>
      </w:r>
      <w:r w:rsidRPr="00BE086B">
        <w:rPr>
          <w:sz w:val="28"/>
          <w:szCs w:val="28"/>
          <w:shd w:val="clear" w:color="auto" w:fill="FFFFFF"/>
          <w:lang w:val="en-US"/>
        </w:rPr>
        <w:t>we</w:t>
      </w:r>
      <w:r w:rsidRPr="00BE086B">
        <w:rPr>
          <w:sz w:val="28"/>
          <w:szCs w:val="28"/>
          <w:shd w:val="clear" w:color="auto" w:fill="FFFFFF"/>
          <w:lang w:val="uk-UA"/>
        </w:rPr>
        <w:t xml:space="preserve"> </w:t>
      </w:r>
      <w:r w:rsidRPr="00BE086B">
        <w:rPr>
          <w:sz w:val="28"/>
          <w:szCs w:val="28"/>
          <w:shd w:val="clear" w:color="auto" w:fill="FFFFFF"/>
          <w:lang w:val="en-US"/>
        </w:rPr>
        <w:t>should</w:t>
      </w:r>
      <w:r w:rsidRPr="00BE086B">
        <w:rPr>
          <w:sz w:val="28"/>
          <w:szCs w:val="28"/>
          <w:shd w:val="clear" w:color="auto" w:fill="FFFFFF"/>
          <w:lang w:val="uk-UA"/>
        </w:rPr>
        <w:t xml:space="preserve"> </w:t>
      </w:r>
      <w:r w:rsidRPr="00BE086B">
        <w:rPr>
          <w:sz w:val="28"/>
          <w:szCs w:val="28"/>
          <w:shd w:val="clear" w:color="auto" w:fill="FFFFFF"/>
          <w:lang w:val="en-US"/>
        </w:rPr>
        <w:t>study</w:t>
      </w:r>
      <w:r w:rsidRPr="00BE086B">
        <w:rPr>
          <w:sz w:val="28"/>
          <w:szCs w:val="28"/>
          <w:shd w:val="clear" w:color="auto" w:fill="FFFFFF"/>
          <w:lang w:val="uk-UA"/>
        </w:rPr>
        <w:t xml:space="preserve"> </w:t>
      </w:r>
      <w:r w:rsidRPr="00BE086B">
        <w:rPr>
          <w:sz w:val="28"/>
          <w:szCs w:val="28"/>
          <w:shd w:val="clear" w:color="auto" w:fill="FFFFFF"/>
          <w:lang w:val="en-US"/>
        </w:rPr>
        <w:t>osteoarthritis</w:t>
      </w:r>
      <w:r w:rsidRPr="00BE086B">
        <w:rPr>
          <w:sz w:val="28"/>
          <w:szCs w:val="28"/>
          <w:shd w:val="clear" w:color="auto" w:fill="FFFFFF"/>
          <w:lang w:val="uk-UA"/>
        </w:rPr>
        <w:t xml:space="preserve"> </w:t>
      </w:r>
      <w:r w:rsidRPr="00BE086B">
        <w:rPr>
          <w:sz w:val="28"/>
          <w:szCs w:val="28"/>
          <w:shd w:val="clear" w:color="auto" w:fill="FFFFFF"/>
          <w:lang w:val="en-US"/>
        </w:rPr>
        <w:t>pain</w:t>
      </w:r>
      <w:r w:rsidRPr="00BE086B">
        <w:rPr>
          <w:sz w:val="28"/>
          <w:szCs w:val="28"/>
          <w:shd w:val="clear" w:color="auto" w:fill="FFFFFF"/>
          <w:lang w:val="uk-UA"/>
        </w:rPr>
        <w:t xml:space="preserve"> </w:t>
      </w:r>
      <w:r w:rsidRPr="00BE086B">
        <w:rPr>
          <w:sz w:val="28"/>
          <w:szCs w:val="28"/>
          <w:shd w:val="clear" w:color="auto" w:fill="FFFFFF"/>
          <w:lang w:val="en-US"/>
        </w:rPr>
        <w:t>in</w:t>
      </w:r>
      <w:r w:rsidRPr="00BE086B">
        <w:rPr>
          <w:sz w:val="28"/>
          <w:szCs w:val="28"/>
          <w:shd w:val="clear" w:color="auto" w:fill="FFFFFF"/>
          <w:lang w:val="uk-UA"/>
        </w:rPr>
        <w:t xml:space="preserve"> </w:t>
      </w:r>
      <w:r w:rsidRPr="00BE086B">
        <w:rPr>
          <w:sz w:val="28"/>
          <w:szCs w:val="28"/>
          <w:shd w:val="clear" w:color="auto" w:fill="FFFFFF"/>
          <w:lang w:val="en-US"/>
        </w:rPr>
        <w:t>experimental</w:t>
      </w:r>
      <w:r w:rsidRPr="00BE086B">
        <w:rPr>
          <w:sz w:val="28"/>
          <w:szCs w:val="28"/>
          <w:shd w:val="clear" w:color="auto" w:fill="FFFFFF"/>
          <w:lang w:val="uk-UA"/>
        </w:rPr>
        <w:t xml:space="preserve"> </w:t>
      </w:r>
      <w:r w:rsidRPr="00BE086B">
        <w:rPr>
          <w:sz w:val="28"/>
          <w:szCs w:val="28"/>
          <w:shd w:val="clear" w:color="auto" w:fill="FFFFFF"/>
          <w:lang w:val="en-US"/>
        </w:rPr>
        <w:t>models</w:t>
      </w:r>
      <w:r w:rsidRPr="00BE086B">
        <w:rPr>
          <w:sz w:val="28"/>
          <w:szCs w:val="28"/>
          <w:shd w:val="clear" w:color="auto" w:fill="FFFFFF"/>
          <w:lang w:val="uk-UA"/>
        </w:rPr>
        <w:t xml:space="preserve"> </w:t>
      </w:r>
      <w:r w:rsidRPr="00BE086B">
        <w:rPr>
          <w:sz w:val="28"/>
          <w:szCs w:val="28"/>
          <w:shd w:val="clear" w:color="auto" w:fill="FFFFFF"/>
          <w:lang w:val="en-US"/>
        </w:rPr>
        <w:t>in</w:t>
      </w:r>
      <w:r w:rsidRPr="00BE086B">
        <w:rPr>
          <w:sz w:val="28"/>
          <w:szCs w:val="28"/>
          <w:shd w:val="clear" w:color="auto" w:fill="FFFFFF"/>
          <w:lang w:val="uk-UA"/>
        </w:rPr>
        <w:t xml:space="preserve"> </w:t>
      </w:r>
      <w:r w:rsidRPr="00BE086B">
        <w:rPr>
          <w:sz w:val="28"/>
          <w:szCs w:val="28"/>
          <w:shd w:val="clear" w:color="auto" w:fill="FFFFFF"/>
          <w:lang w:val="en-US"/>
        </w:rPr>
        <w:t>both</w:t>
      </w:r>
      <w:r w:rsidRPr="00BE086B">
        <w:rPr>
          <w:sz w:val="28"/>
          <w:szCs w:val="28"/>
          <w:shd w:val="clear" w:color="auto" w:fill="FFFFFF"/>
          <w:lang w:val="uk-UA"/>
        </w:rPr>
        <w:t xml:space="preserve"> </w:t>
      </w:r>
      <w:r w:rsidRPr="00BE086B">
        <w:rPr>
          <w:sz w:val="28"/>
          <w:szCs w:val="28"/>
          <w:shd w:val="clear" w:color="auto" w:fill="FFFFFF"/>
          <w:lang w:val="en-US"/>
        </w:rPr>
        <w:t>sexes</w:t>
      </w:r>
      <w:r w:rsidRPr="00BE086B">
        <w:rPr>
          <w:sz w:val="28"/>
          <w:szCs w:val="28"/>
          <w:shd w:val="clear" w:color="auto" w:fill="FFFFFF"/>
          <w:lang w:val="uk-UA"/>
        </w:rPr>
        <w:t xml:space="preserve">. </w:t>
      </w:r>
      <w:r w:rsidRPr="00BE086B">
        <w:rPr>
          <w:sz w:val="28"/>
          <w:szCs w:val="28"/>
          <w:shd w:val="clear" w:color="auto" w:fill="FFFFFF"/>
          <w:lang w:val="en-US"/>
        </w:rPr>
        <w:t>Osteoarthritis</w:t>
      </w:r>
      <w:r w:rsidRPr="00BE086B">
        <w:rPr>
          <w:sz w:val="28"/>
          <w:szCs w:val="28"/>
          <w:shd w:val="clear" w:color="auto" w:fill="FFFFFF"/>
          <w:lang w:val="uk-UA"/>
        </w:rPr>
        <w:t xml:space="preserve"> </w:t>
      </w:r>
      <w:r w:rsidRPr="00BE086B">
        <w:rPr>
          <w:sz w:val="28"/>
          <w:szCs w:val="28"/>
          <w:shd w:val="clear" w:color="auto" w:fill="FFFFFF"/>
          <w:lang w:val="en-US"/>
        </w:rPr>
        <w:t>Cartilage</w:t>
      </w:r>
      <w:r w:rsidRPr="00BE086B">
        <w:rPr>
          <w:sz w:val="28"/>
          <w:szCs w:val="28"/>
          <w:shd w:val="clear" w:color="auto" w:fill="FFFFFF"/>
          <w:lang w:val="uk-UA"/>
        </w:rPr>
        <w:t>. 2020;28(4):397-399.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Miller R</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w:t>
      </w:r>
      <w:r w:rsidRPr="00BE086B">
        <w:rPr>
          <w:sz w:val="28"/>
          <w:szCs w:val="28"/>
          <w:shd w:val="clear" w:color="auto" w:fill="FFFFFF"/>
          <w:lang w:val="en-US"/>
        </w:rPr>
        <w:t>, Malfait A</w:t>
      </w:r>
      <w:r w:rsidRPr="00BE086B">
        <w:rPr>
          <w:sz w:val="28"/>
          <w:szCs w:val="28"/>
          <w:shd w:val="clear" w:color="auto" w:fill="FFFFFF"/>
          <w:lang w:val="uk-UA"/>
        </w:rPr>
        <w:t>.</w:t>
      </w:r>
      <w:r w:rsidRPr="00BE086B">
        <w:rPr>
          <w:sz w:val="28"/>
          <w:szCs w:val="28"/>
          <w:shd w:val="clear" w:color="auto" w:fill="FFFFFF"/>
          <w:lang w:val="en-US"/>
        </w:rPr>
        <w:t>M. Osteoarthritis pain: What are we learning from animal models? Best Pract Res Clin Rheumatol. 2017;31(5):676-687.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Syx D</w:t>
      </w:r>
      <w:r w:rsidRPr="00BE086B">
        <w:rPr>
          <w:sz w:val="28"/>
          <w:szCs w:val="28"/>
          <w:shd w:val="clear" w:color="auto" w:fill="FFFFFF"/>
          <w:lang w:val="uk-UA"/>
        </w:rPr>
        <w:t>.</w:t>
      </w:r>
      <w:r w:rsidRPr="00BE086B">
        <w:rPr>
          <w:sz w:val="28"/>
          <w:szCs w:val="28"/>
          <w:shd w:val="clear" w:color="auto" w:fill="FFFFFF"/>
          <w:lang w:val="en-US"/>
        </w:rPr>
        <w:t>, Tran P</w:t>
      </w:r>
      <w:r w:rsidRPr="00BE086B">
        <w:rPr>
          <w:sz w:val="28"/>
          <w:szCs w:val="28"/>
          <w:shd w:val="clear" w:color="auto" w:fill="FFFFFF"/>
          <w:lang w:val="uk-UA"/>
        </w:rPr>
        <w:t>.</w:t>
      </w:r>
      <w:r w:rsidRPr="00BE086B">
        <w:rPr>
          <w:sz w:val="28"/>
          <w:szCs w:val="28"/>
          <w:shd w:val="clear" w:color="auto" w:fill="FFFFFF"/>
          <w:lang w:val="en-US"/>
        </w:rPr>
        <w:t>B</w:t>
      </w:r>
      <w:r w:rsidRPr="00BE086B">
        <w:rPr>
          <w:sz w:val="28"/>
          <w:szCs w:val="28"/>
          <w:shd w:val="clear" w:color="auto" w:fill="FFFFFF"/>
          <w:lang w:val="uk-UA"/>
        </w:rPr>
        <w:t>.</w:t>
      </w:r>
      <w:r w:rsidRPr="00BE086B">
        <w:rPr>
          <w:sz w:val="28"/>
          <w:szCs w:val="28"/>
          <w:shd w:val="clear" w:color="auto" w:fill="FFFFFF"/>
          <w:lang w:val="en-US"/>
        </w:rPr>
        <w:t>, Miller R</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w:t>
      </w:r>
      <w:r w:rsidRPr="00BE086B">
        <w:rPr>
          <w:sz w:val="28"/>
          <w:szCs w:val="28"/>
          <w:shd w:val="clear" w:color="auto" w:fill="FFFFFF"/>
          <w:lang w:val="en-US"/>
        </w:rPr>
        <w:t>, Malfait A</w:t>
      </w:r>
      <w:r w:rsidRPr="00BE086B">
        <w:rPr>
          <w:sz w:val="28"/>
          <w:szCs w:val="28"/>
          <w:shd w:val="clear" w:color="auto" w:fill="FFFFFF"/>
          <w:lang w:val="uk-UA"/>
        </w:rPr>
        <w:t>.</w:t>
      </w:r>
      <w:r w:rsidRPr="00BE086B">
        <w:rPr>
          <w:sz w:val="28"/>
          <w:szCs w:val="28"/>
          <w:shd w:val="clear" w:color="auto" w:fill="FFFFFF"/>
          <w:lang w:val="en-US"/>
        </w:rPr>
        <w:t>M. Peripheral mechanisms contributing to osteoarthritis pain. Curr Rheumatol Rep. 2018</w:t>
      </w:r>
      <w:r w:rsidRPr="00BE086B">
        <w:rPr>
          <w:sz w:val="28"/>
          <w:szCs w:val="28"/>
          <w:shd w:val="clear" w:color="auto" w:fill="FFFFFF"/>
          <w:lang w:val="uk-UA"/>
        </w:rPr>
        <w:t>;</w:t>
      </w:r>
      <w:r w:rsidRPr="00BE086B">
        <w:rPr>
          <w:sz w:val="28"/>
          <w:szCs w:val="28"/>
          <w:shd w:val="clear" w:color="auto" w:fill="FFFFFF"/>
          <w:lang w:val="en-US"/>
        </w:rPr>
        <w:t>26;20(2):9.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shd w:val="clear" w:color="auto" w:fill="FFFFFF"/>
          <w:lang w:val="en-US"/>
        </w:rPr>
        <w:t>Kelly</w:t>
      </w:r>
      <w:r w:rsidRPr="00BE086B">
        <w:rPr>
          <w:sz w:val="28"/>
          <w:szCs w:val="28"/>
          <w:shd w:val="clear" w:color="auto" w:fill="FFFFFF"/>
          <w:lang w:val="uk-UA"/>
        </w:rPr>
        <w:t xml:space="preserve"> </w:t>
      </w:r>
      <w:r w:rsidRPr="00BE086B">
        <w:rPr>
          <w:sz w:val="28"/>
          <w:szCs w:val="28"/>
          <w:shd w:val="clear" w:color="auto" w:fill="FFFFFF"/>
          <w:lang w:val="en-US"/>
        </w:rPr>
        <w:t>S</w:t>
      </w:r>
      <w:r w:rsidRPr="00BE086B">
        <w:rPr>
          <w:sz w:val="28"/>
          <w:szCs w:val="28"/>
          <w:shd w:val="clear" w:color="auto" w:fill="FFFFFF"/>
          <w:lang w:val="uk-UA"/>
        </w:rPr>
        <w:t xml:space="preserve">., </w:t>
      </w:r>
      <w:r w:rsidRPr="00BE086B">
        <w:rPr>
          <w:sz w:val="28"/>
          <w:szCs w:val="28"/>
          <w:shd w:val="clear" w:color="auto" w:fill="FFFFFF"/>
          <w:lang w:val="en-US"/>
        </w:rPr>
        <w:t>Dobson</w:t>
      </w:r>
      <w:r w:rsidRPr="00BE086B">
        <w:rPr>
          <w:sz w:val="28"/>
          <w:szCs w:val="28"/>
          <w:shd w:val="clear" w:color="auto" w:fill="FFFFFF"/>
          <w:lang w:val="uk-UA"/>
        </w:rPr>
        <w:t xml:space="preserve"> </w:t>
      </w:r>
      <w:r w:rsidRPr="00BE086B">
        <w:rPr>
          <w:sz w:val="28"/>
          <w:szCs w:val="28"/>
          <w:shd w:val="clear" w:color="auto" w:fill="FFFFFF"/>
          <w:lang w:val="en-US"/>
        </w:rPr>
        <w:t>K</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 xml:space="preserve">., </w:t>
      </w:r>
      <w:r w:rsidRPr="00BE086B">
        <w:rPr>
          <w:sz w:val="28"/>
          <w:szCs w:val="28"/>
          <w:shd w:val="clear" w:color="auto" w:fill="FFFFFF"/>
          <w:lang w:val="en-US"/>
        </w:rPr>
        <w:t>Harris</w:t>
      </w:r>
      <w:r w:rsidRPr="00BE086B">
        <w:rPr>
          <w:sz w:val="28"/>
          <w:szCs w:val="28"/>
          <w:shd w:val="clear" w:color="auto" w:fill="FFFFFF"/>
          <w:lang w:val="uk-UA"/>
        </w:rPr>
        <w:t xml:space="preserve"> </w:t>
      </w:r>
      <w:r w:rsidRPr="00BE086B">
        <w:rPr>
          <w:sz w:val="28"/>
          <w:szCs w:val="28"/>
          <w:shd w:val="clear" w:color="auto" w:fill="FFFFFF"/>
          <w:lang w:val="en-US"/>
        </w:rPr>
        <w:t>J</w:t>
      </w:r>
      <w:r w:rsidRPr="00BE086B">
        <w:rPr>
          <w:sz w:val="28"/>
          <w:szCs w:val="28"/>
          <w:shd w:val="clear" w:color="auto" w:fill="FFFFFF"/>
          <w:lang w:val="uk-UA"/>
        </w:rPr>
        <w:t xml:space="preserve">. </w:t>
      </w:r>
      <w:r w:rsidRPr="00BE086B">
        <w:rPr>
          <w:sz w:val="28"/>
          <w:szCs w:val="28"/>
          <w:shd w:val="clear" w:color="auto" w:fill="FFFFFF"/>
          <w:lang w:val="en-US"/>
        </w:rPr>
        <w:t>Spinal</w:t>
      </w:r>
      <w:r w:rsidRPr="00BE086B">
        <w:rPr>
          <w:sz w:val="28"/>
          <w:szCs w:val="28"/>
          <w:shd w:val="clear" w:color="auto" w:fill="FFFFFF"/>
          <w:lang w:val="uk-UA"/>
        </w:rPr>
        <w:t xml:space="preserve"> </w:t>
      </w:r>
      <w:r w:rsidRPr="00BE086B">
        <w:rPr>
          <w:sz w:val="28"/>
          <w:szCs w:val="28"/>
          <w:shd w:val="clear" w:color="auto" w:fill="FFFFFF"/>
          <w:lang w:val="en-US"/>
        </w:rPr>
        <w:t>nociceptive</w:t>
      </w:r>
      <w:r w:rsidRPr="00BE086B">
        <w:rPr>
          <w:sz w:val="28"/>
          <w:szCs w:val="28"/>
          <w:shd w:val="clear" w:color="auto" w:fill="FFFFFF"/>
          <w:lang w:val="uk-UA"/>
        </w:rPr>
        <w:t xml:space="preserve"> </w:t>
      </w:r>
      <w:r w:rsidRPr="00BE086B">
        <w:rPr>
          <w:sz w:val="28"/>
          <w:szCs w:val="28"/>
          <w:shd w:val="clear" w:color="auto" w:fill="FFFFFF"/>
          <w:lang w:val="en-US"/>
        </w:rPr>
        <w:t>reflexes</w:t>
      </w:r>
      <w:r w:rsidRPr="00BE086B">
        <w:rPr>
          <w:sz w:val="28"/>
          <w:szCs w:val="28"/>
          <w:shd w:val="clear" w:color="auto" w:fill="FFFFFF"/>
          <w:lang w:val="uk-UA"/>
        </w:rPr>
        <w:t xml:space="preserve"> </w:t>
      </w:r>
      <w:r w:rsidRPr="00BE086B">
        <w:rPr>
          <w:sz w:val="28"/>
          <w:szCs w:val="28"/>
          <w:shd w:val="clear" w:color="auto" w:fill="FFFFFF"/>
          <w:lang w:val="en-US"/>
        </w:rPr>
        <w:t>are</w:t>
      </w:r>
      <w:r w:rsidRPr="00BE086B">
        <w:rPr>
          <w:sz w:val="28"/>
          <w:szCs w:val="28"/>
          <w:shd w:val="clear" w:color="auto" w:fill="FFFFFF"/>
          <w:lang w:val="uk-UA"/>
        </w:rPr>
        <w:t xml:space="preserve"> </w:t>
      </w:r>
      <w:r w:rsidRPr="00BE086B">
        <w:rPr>
          <w:sz w:val="28"/>
          <w:szCs w:val="28"/>
          <w:shd w:val="clear" w:color="auto" w:fill="FFFFFF"/>
          <w:lang w:val="en-US"/>
        </w:rPr>
        <w:t>sensitized</w:t>
      </w:r>
      <w:r w:rsidRPr="00BE086B">
        <w:rPr>
          <w:sz w:val="28"/>
          <w:szCs w:val="28"/>
          <w:shd w:val="clear" w:color="auto" w:fill="FFFFFF"/>
          <w:lang w:val="uk-UA"/>
        </w:rPr>
        <w:t xml:space="preserve"> </w:t>
      </w:r>
      <w:r w:rsidRPr="00BE086B">
        <w:rPr>
          <w:sz w:val="28"/>
          <w:szCs w:val="28"/>
          <w:shd w:val="clear" w:color="auto" w:fill="FFFFFF"/>
          <w:lang w:val="en-US"/>
        </w:rPr>
        <w:t>in</w:t>
      </w:r>
      <w:r w:rsidRPr="00BE086B">
        <w:rPr>
          <w:sz w:val="28"/>
          <w:szCs w:val="28"/>
          <w:shd w:val="clear" w:color="auto" w:fill="FFFFFF"/>
          <w:lang w:val="uk-UA"/>
        </w:rPr>
        <w:t xml:space="preserve"> </w:t>
      </w:r>
      <w:r w:rsidRPr="00BE086B">
        <w:rPr>
          <w:sz w:val="28"/>
          <w:szCs w:val="28"/>
          <w:shd w:val="clear" w:color="auto" w:fill="FFFFFF"/>
          <w:lang w:val="en-US"/>
        </w:rPr>
        <w:t>the</w:t>
      </w:r>
      <w:r w:rsidRPr="00BE086B">
        <w:rPr>
          <w:sz w:val="28"/>
          <w:szCs w:val="28"/>
          <w:shd w:val="clear" w:color="auto" w:fill="FFFFFF"/>
          <w:lang w:val="uk-UA"/>
        </w:rPr>
        <w:t xml:space="preserve"> </w:t>
      </w:r>
      <w:r w:rsidRPr="00BE086B">
        <w:rPr>
          <w:sz w:val="28"/>
          <w:szCs w:val="28"/>
          <w:shd w:val="clear" w:color="auto" w:fill="FFFFFF"/>
          <w:lang w:val="en-US"/>
        </w:rPr>
        <w:t>monosodium</w:t>
      </w:r>
      <w:r w:rsidRPr="00BE086B">
        <w:rPr>
          <w:sz w:val="28"/>
          <w:szCs w:val="28"/>
          <w:shd w:val="clear" w:color="auto" w:fill="FFFFFF"/>
          <w:lang w:val="uk-UA"/>
        </w:rPr>
        <w:t xml:space="preserve"> </w:t>
      </w:r>
      <w:r w:rsidRPr="00BE086B">
        <w:rPr>
          <w:sz w:val="28"/>
          <w:szCs w:val="28"/>
          <w:shd w:val="clear" w:color="auto" w:fill="FFFFFF"/>
          <w:lang w:val="en-US"/>
        </w:rPr>
        <w:t>iodoacetate</w:t>
      </w:r>
      <w:r w:rsidRPr="00BE086B">
        <w:rPr>
          <w:sz w:val="28"/>
          <w:szCs w:val="28"/>
          <w:shd w:val="clear" w:color="auto" w:fill="FFFFFF"/>
          <w:lang w:val="uk-UA"/>
        </w:rPr>
        <w:t xml:space="preserve"> </w:t>
      </w:r>
      <w:r w:rsidRPr="00BE086B">
        <w:rPr>
          <w:sz w:val="28"/>
          <w:szCs w:val="28"/>
          <w:shd w:val="clear" w:color="auto" w:fill="FFFFFF"/>
          <w:lang w:val="en-US"/>
        </w:rPr>
        <w:t>model</w:t>
      </w:r>
      <w:r w:rsidRPr="00BE086B">
        <w:rPr>
          <w:sz w:val="28"/>
          <w:szCs w:val="28"/>
          <w:shd w:val="clear" w:color="auto" w:fill="FFFFFF"/>
          <w:lang w:val="uk-UA"/>
        </w:rPr>
        <w:t xml:space="preserve"> </w:t>
      </w:r>
      <w:r w:rsidRPr="00BE086B">
        <w:rPr>
          <w:sz w:val="28"/>
          <w:szCs w:val="28"/>
          <w:shd w:val="clear" w:color="auto" w:fill="FFFFFF"/>
          <w:lang w:val="en-US"/>
        </w:rPr>
        <w:t>of</w:t>
      </w:r>
      <w:r w:rsidRPr="00BE086B">
        <w:rPr>
          <w:sz w:val="28"/>
          <w:szCs w:val="28"/>
          <w:shd w:val="clear" w:color="auto" w:fill="FFFFFF"/>
          <w:lang w:val="uk-UA"/>
        </w:rPr>
        <w:t xml:space="preserve"> </w:t>
      </w:r>
      <w:r w:rsidRPr="00BE086B">
        <w:rPr>
          <w:sz w:val="28"/>
          <w:szCs w:val="28"/>
          <w:shd w:val="clear" w:color="auto" w:fill="FFFFFF"/>
          <w:lang w:val="en-US"/>
        </w:rPr>
        <w:t>osteoarthritis</w:t>
      </w:r>
      <w:r w:rsidRPr="00BE086B">
        <w:rPr>
          <w:sz w:val="28"/>
          <w:szCs w:val="28"/>
          <w:shd w:val="clear" w:color="auto" w:fill="FFFFFF"/>
          <w:lang w:val="uk-UA"/>
        </w:rPr>
        <w:t xml:space="preserve"> </w:t>
      </w:r>
      <w:r w:rsidRPr="00BE086B">
        <w:rPr>
          <w:sz w:val="28"/>
          <w:szCs w:val="28"/>
          <w:shd w:val="clear" w:color="auto" w:fill="FFFFFF"/>
          <w:lang w:val="en-US"/>
        </w:rPr>
        <w:t>pain</w:t>
      </w:r>
      <w:r w:rsidRPr="00BE086B">
        <w:rPr>
          <w:sz w:val="28"/>
          <w:szCs w:val="28"/>
          <w:shd w:val="clear" w:color="auto" w:fill="FFFFFF"/>
          <w:lang w:val="uk-UA"/>
        </w:rPr>
        <w:t xml:space="preserve"> </w:t>
      </w:r>
      <w:r w:rsidRPr="00BE086B">
        <w:rPr>
          <w:sz w:val="28"/>
          <w:szCs w:val="28"/>
          <w:shd w:val="clear" w:color="auto" w:fill="FFFFFF"/>
          <w:lang w:val="en-US"/>
        </w:rPr>
        <w:t>in</w:t>
      </w:r>
      <w:r w:rsidRPr="00BE086B">
        <w:rPr>
          <w:sz w:val="28"/>
          <w:szCs w:val="28"/>
          <w:shd w:val="clear" w:color="auto" w:fill="FFFFFF"/>
          <w:lang w:val="uk-UA"/>
        </w:rPr>
        <w:t xml:space="preserve"> </w:t>
      </w:r>
      <w:r w:rsidRPr="00BE086B">
        <w:rPr>
          <w:sz w:val="28"/>
          <w:szCs w:val="28"/>
          <w:shd w:val="clear" w:color="auto" w:fill="FFFFFF"/>
          <w:lang w:val="en-US"/>
        </w:rPr>
        <w:t>the</w:t>
      </w:r>
      <w:r w:rsidRPr="00BE086B">
        <w:rPr>
          <w:sz w:val="28"/>
          <w:szCs w:val="28"/>
          <w:shd w:val="clear" w:color="auto" w:fill="FFFFFF"/>
          <w:lang w:val="uk-UA"/>
        </w:rPr>
        <w:t xml:space="preserve"> </w:t>
      </w:r>
      <w:r w:rsidRPr="00BE086B">
        <w:rPr>
          <w:sz w:val="28"/>
          <w:szCs w:val="28"/>
          <w:shd w:val="clear" w:color="auto" w:fill="FFFFFF"/>
          <w:lang w:val="en-US"/>
        </w:rPr>
        <w:t>rat</w:t>
      </w:r>
      <w:r w:rsidRPr="00BE086B">
        <w:rPr>
          <w:sz w:val="28"/>
          <w:szCs w:val="28"/>
          <w:shd w:val="clear" w:color="auto" w:fill="FFFFFF"/>
          <w:lang w:val="uk-UA"/>
        </w:rPr>
        <w:t xml:space="preserve">. </w:t>
      </w:r>
      <w:r w:rsidRPr="00BE086B">
        <w:rPr>
          <w:sz w:val="28"/>
          <w:szCs w:val="28"/>
          <w:shd w:val="clear" w:color="auto" w:fill="FFFFFF"/>
        </w:rPr>
        <w:t>Osteoarthritis</w:t>
      </w:r>
      <w:r w:rsidRPr="00BE086B">
        <w:rPr>
          <w:sz w:val="28"/>
          <w:szCs w:val="28"/>
          <w:shd w:val="clear" w:color="auto" w:fill="FFFFFF"/>
          <w:lang w:val="uk-UA"/>
        </w:rPr>
        <w:t xml:space="preserve"> </w:t>
      </w:r>
      <w:r w:rsidRPr="00BE086B">
        <w:rPr>
          <w:sz w:val="28"/>
          <w:szCs w:val="28"/>
          <w:shd w:val="clear" w:color="auto" w:fill="FFFFFF"/>
        </w:rPr>
        <w:t>Cartilage</w:t>
      </w:r>
      <w:r w:rsidRPr="00BE086B">
        <w:rPr>
          <w:sz w:val="28"/>
          <w:szCs w:val="28"/>
          <w:shd w:val="clear" w:color="auto" w:fill="FFFFFF"/>
          <w:lang w:val="uk-UA"/>
        </w:rPr>
        <w:t>. 2013;21(9):1327-1335.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uk-UA"/>
        </w:rPr>
      </w:pPr>
      <w:r w:rsidRPr="00BE086B">
        <w:rPr>
          <w:sz w:val="28"/>
          <w:szCs w:val="28"/>
          <w:lang w:val="uk-UA"/>
        </w:rPr>
        <w:t>Moilanen L.J., Hämäläinen M., Nummenmaa E., Ilmarinen P., Vuolteenaho K., Nieminen R.M., Lehtimäki L., Moilanen E. Monosodium iodoacetate-induced inflammation and joint pain are reduced in TRPA1 deficient mice – potential role of TRPA1 in osteoarthritis. Osteoarthritis Cartilage. 2015; 23, 11:2017-2026.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lang w:val="uk-UA"/>
        </w:rPr>
        <w:t>Combe R., Bramwell S., Field M. The monosodium iodoacetate model of osteoarthritis: A model of chronic nociceptive pain in rats? Neuroscience letters. 2004;370:236-40.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1142BF">
        <w:rPr>
          <w:sz w:val="28"/>
          <w:szCs w:val="28"/>
          <w:lang w:val="en-US"/>
        </w:rPr>
        <w:t xml:space="preserve">Xu J., Yan L., Yan B., Zhou L., Tong P., Shan L. Osteoarthritis pain model induced by intra-articular injection of mono-iodoacetate in rats. </w:t>
      </w:r>
      <w:r w:rsidRPr="00BE086B">
        <w:rPr>
          <w:sz w:val="28"/>
          <w:szCs w:val="28"/>
        </w:rPr>
        <w:t>J. Vis. Exp.</w:t>
      </w:r>
      <w:r w:rsidRPr="00BE086B">
        <w:rPr>
          <w:sz w:val="28"/>
          <w:szCs w:val="28"/>
          <w:lang w:val="uk-UA"/>
        </w:rPr>
        <w:t xml:space="preserve"> 2020;</w:t>
      </w:r>
      <w:r w:rsidRPr="00BE086B">
        <w:rPr>
          <w:sz w:val="28"/>
          <w:szCs w:val="28"/>
        </w:rPr>
        <w:t>159</w:t>
      </w:r>
      <w:r w:rsidRPr="00BE086B">
        <w:rPr>
          <w:sz w:val="28"/>
          <w:szCs w:val="28"/>
          <w:lang w:val="uk-UA"/>
        </w:rPr>
        <w:t>:</w:t>
      </w:r>
      <w:r w:rsidRPr="00BE086B">
        <w:rPr>
          <w:sz w:val="28"/>
          <w:szCs w:val="28"/>
        </w:rPr>
        <w:t>606</w:t>
      </w:r>
      <w:r w:rsidRPr="00BE086B">
        <w:rPr>
          <w:sz w:val="28"/>
          <w:szCs w:val="28"/>
          <w:lang w:val="uk-UA"/>
        </w:rPr>
        <w:t>-6</w:t>
      </w:r>
      <w:r w:rsidRPr="00BE086B">
        <w:rPr>
          <w:sz w:val="28"/>
          <w:szCs w:val="28"/>
        </w:rPr>
        <w:t>49.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Dawes J</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Kiesewetter H</w:t>
      </w:r>
      <w:r w:rsidRPr="00BE086B">
        <w:rPr>
          <w:sz w:val="28"/>
          <w:szCs w:val="28"/>
          <w:shd w:val="clear" w:color="auto" w:fill="FFFFFF"/>
          <w:lang w:val="uk-UA"/>
        </w:rPr>
        <w:t>.</w:t>
      </w:r>
      <w:r w:rsidRPr="00BE086B">
        <w:rPr>
          <w:sz w:val="28"/>
          <w:szCs w:val="28"/>
          <w:shd w:val="clear" w:color="auto" w:fill="FFFFFF"/>
          <w:lang w:val="en-US"/>
        </w:rPr>
        <w:t>, Perkins J</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Bennett D</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McMahon S</w:t>
      </w:r>
      <w:r w:rsidRPr="00BE086B">
        <w:rPr>
          <w:sz w:val="28"/>
          <w:szCs w:val="28"/>
          <w:shd w:val="clear" w:color="auto" w:fill="FFFFFF"/>
          <w:lang w:val="uk-UA"/>
        </w:rPr>
        <w:t>.</w:t>
      </w:r>
      <w:r w:rsidRPr="00BE086B">
        <w:rPr>
          <w:sz w:val="28"/>
          <w:szCs w:val="28"/>
          <w:shd w:val="clear" w:color="auto" w:fill="FFFFFF"/>
          <w:lang w:val="en-US"/>
        </w:rPr>
        <w:t>B. Chemokine expression in peripheral tissues from the monosodium iodoacetate model of chronic joint pain. Mol Pain. 2013</w:t>
      </w:r>
      <w:r w:rsidRPr="00BE086B">
        <w:rPr>
          <w:sz w:val="28"/>
          <w:szCs w:val="28"/>
          <w:shd w:val="clear" w:color="auto" w:fill="FFFFFF"/>
          <w:lang w:val="uk-UA"/>
        </w:rPr>
        <w:t>;</w:t>
      </w:r>
      <w:r w:rsidRPr="00BE086B">
        <w:rPr>
          <w:sz w:val="28"/>
          <w:szCs w:val="28"/>
          <w:shd w:val="clear" w:color="auto" w:fill="FFFFFF"/>
          <w:lang w:val="en-US"/>
        </w:rPr>
        <w:t xml:space="preserve"> 8;9:57.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lang w:val="en-US"/>
        </w:rPr>
        <w:t xml:space="preserve">Nosivets D., Montell E., Opryshko V. </w:t>
      </w:r>
      <w:r w:rsidRPr="00BE086B">
        <w:rPr>
          <w:rFonts w:eastAsia="Calibri"/>
          <w:sz w:val="28"/>
          <w:szCs w:val="28"/>
          <w:lang w:val="en-US"/>
        </w:rPr>
        <w:t>Histological changes following the administration of two different chondroitin sulfate products in experimental osteoarthritis models in rats</w:t>
      </w:r>
      <w:r w:rsidRPr="00BE086B">
        <w:rPr>
          <w:bCs/>
          <w:sz w:val="28"/>
          <w:szCs w:val="28"/>
          <w:lang w:val="en-US" w:eastAsia="ru-RU"/>
        </w:rPr>
        <w:t xml:space="preserve">. </w:t>
      </w:r>
      <w:r w:rsidRPr="00BE086B">
        <w:rPr>
          <w:iCs/>
          <w:sz w:val="28"/>
          <w:szCs w:val="28"/>
          <w:lang w:val="en-US" w:eastAsia="ru-RU"/>
        </w:rPr>
        <w:t>European Journal of Clinical and Experimental Medicine. 2021</w:t>
      </w:r>
      <w:r w:rsidRPr="00BE086B">
        <w:rPr>
          <w:iCs/>
          <w:sz w:val="28"/>
          <w:szCs w:val="28"/>
          <w:lang w:val="uk-UA" w:eastAsia="ru-RU"/>
        </w:rPr>
        <w:t>;</w:t>
      </w:r>
      <w:r w:rsidRPr="00BE086B">
        <w:rPr>
          <w:sz w:val="28"/>
          <w:szCs w:val="28"/>
          <w:lang w:val="en-US" w:eastAsia="ru-RU"/>
        </w:rPr>
        <w:t xml:space="preserve"> 19(1)</w:t>
      </w:r>
      <w:r w:rsidRPr="00BE086B">
        <w:rPr>
          <w:sz w:val="28"/>
          <w:szCs w:val="28"/>
          <w:lang w:val="uk-UA" w:eastAsia="ru-RU"/>
        </w:rPr>
        <w:t>:</w:t>
      </w:r>
      <w:r w:rsidRPr="00BE086B">
        <w:rPr>
          <w:sz w:val="28"/>
          <w:szCs w:val="28"/>
          <w:lang w:val="en-US" w:eastAsia="ru-RU"/>
        </w:rPr>
        <w:t>23-32.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Naveen S</w:t>
      </w:r>
      <w:r w:rsidRPr="00BE086B">
        <w:rPr>
          <w:sz w:val="28"/>
          <w:szCs w:val="28"/>
          <w:shd w:val="clear" w:color="auto" w:fill="FFFFFF"/>
          <w:lang w:val="uk-UA"/>
        </w:rPr>
        <w:t>.</w:t>
      </w:r>
      <w:r w:rsidRPr="00BE086B">
        <w:rPr>
          <w:sz w:val="28"/>
          <w:szCs w:val="28"/>
          <w:shd w:val="clear" w:color="auto" w:fill="FFFFFF"/>
          <w:lang w:val="en-US"/>
        </w:rPr>
        <w:t>V</w:t>
      </w:r>
      <w:r w:rsidRPr="00BE086B">
        <w:rPr>
          <w:sz w:val="28"/>
          <w:szCs w:val="28"/>
          <w:shd w:val="clear" w:color="auto" w:fill="FFFFFF"/>
          <w:lang w:val="uk-UA"/>
        </w:rPr>
        <w:t>.</w:t>
      </w:r>
      <w:r w:rsidRPr="00BE086B">
        <w:rPr>
          <w:sz w:val="28"/>
          <w:szCs w:val="28"/>
          <w:shd w:val="clear" w:color="auto" w:fill="FFFFFF"/>
          <w:lang w:val="en-US"/>
        </w:rPr>
        <w:t>, Ahmad R</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w:t>
      </w:r>
      <w:r w:rsidRPr="00BE086B">
        <w:rPr>
          <w:sz w:val="28"/>
          <w:szCs w:val="28"/>
          <w:shd w:val="clear" w:color="auto" w:fill="FFFFFF"/>
          <w:lang w:val="en-US"/>
        </w:rPr>
        <w:t>, Hui W</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Suhaeb A</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Murali M</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Shanmugam R</w:t>
      </w:r>
      <w:r w:rsidRPr="00BE086B">
        <w:rPr>
          <w:sz w:val="28"/>
          <w:szCs w:val="28"/>
          <w:shd w:val="clear" w:color="auto" w:fill="FFFFFF"/>
          <w:lang w:val="uk-UA"/>
        </w:rPr>
        <w:t>.</w:t>
      </w:r>
      <w:r w:rsidRPr="00BE086B">
        <w:rPr>
          <w:sz w:val="28"/>
          <w:szCs w:val="28"/>
          <w:shd w:val="clear" w:color="auto" w:fill="FFFFFF"/>
          <w:lang w:val="en-US"/>
        </w:rPr>
        <w:t xml:space="preserve">, Kamarul T. Histology, glycosaminoglycan level and cartilage stiffness in monoiodoacetate-induced osteoarthritis: comparative analysis with </w:t>
      </w:r>
      <w:r w:rsidRPr="00BE086B">
        <w:rPr>
          <w:sz w:val="28"/>
          <w:szCs w:val="28"/>
          <w:shd w:val="clear" w:color="auto" w:fill="FFFFFF"/>
          <w:lang w:val="en-US"/>
        </w:rPr>
        <w:lastRenderedPageBreak/>
        <w:t>anterior cruciate ligament transection in rat model and human osteoarthritis. Int J Med Sci. 2013</w:t>
      </w:r>
      <w:r w:rsidRPr="00BE086B">
        <w:rPr>
          <w:sz w:val="28"/>
          <w:szCs w:val="28"/>
          <w:shd w:val="clear" w:color="auto" w:fill="FFFFFF"/>
          <w:lang w:val="uk-UA"/>
        </w:rPr>
        <w:t>;</w:t>
      </w:r>
      <w:r w:rsidRPr="00BE086B">
        <w:rPr>
          <w:sz w:val="28"/>
          <w:szCs w:val="28"/>
          <w:shd w:val="clear" w:color="auto" w:fill="FFFFFF"/>
          <w:lang w:val="en-US"/>
        </w:rPr>
        <w:t xml:space="preserve"> 21;11(1):97-105.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rPr>
        <w:t>Орел К.С., Савицкий И.В., Якимчук Н.В., Кузьменко И.А., Мястковская И.В. Сравнительная характеристика моделей экспериментального артроза. Актуальні проблеми сучасної медицини: Вісник Української медичної стоматологічної академії. 2017; 17, 4(60): 330-333.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1142BF">
        <w:rPr>
          <w:sz w:val="28"/>
          <w:szCs w:val="28"/>
          <w:shd w:val="clear" w:color="auto" w:fill="FFFFFF"/>
          <w:lang w:val="en-US"/>
        </w:rPr>
        <w:t>Yang X</w:t>
      </w:r>
      <w:r w:rsidRPr="00BE086B">
        <w:rPr>
          <w:sz w:val="28"/>
          <w:szCs w:val="28"/>
          <w:shd w:val="clear" w:color="auto" w:fill="FFFFFF"/>
          <w:lang w:val="uk-UA"/>
        </w:rPr>
        <w:t>.</w:t>
      </w:r>
      <w:r w:rsidRPr="001142BF">
        <w:rPr>
          <w:sz w:val="28"/>
          <w:szCs w:val="28"/>
          <w:shd w:val="clear" w:color="auto" w:fill="FFFFFF"/>
          <w:lang w:val="en-US"/>
        </w:rPr>
        <w:t>, He H</w:t>
      </w:r>
      <w:r w:rsidRPr="00BE086B">
        <w:rPr>
          <w:sz w:val="28"/>
          <w:szCs w:val="28"/>
          <w:shd w:val="clear" w:color="auto" w:fill="FFFFFF"/>
          <w:lang w:val="uk-UA"/>
        </w:rPr>
        <w:t>.</w:t>
      </w:r>
      <w:r w:rsidRPr="001142BF">
        <w:rPr>
          <w:sz w:val="28"/>
          <w:szCs w:val="28"/>
          <w:shd w:val="clear" w:color="auto" w:fill="FFFFFF"/>
          <w:lang w:val="en-US"/>
        </w:rPr>
        <w:t>, Zhou Y</w:t>
      </w:r>
      <w:r w:rsidRPr="00BE086B">
        <w:rPr>
          <w:sz w:val="28"/>
          <w:szCs w:val="28"/>
          <w:shd w:val="clear" w:color="auto" w:fill="FFFFFF"/>
          <w:lang w:val="uk-UA"/>
        </w:rPr>
        <w:t>.</w:t>
      </w:r>
      <w:r w:rsidRPr="001142BF">
        <w:rPr>
          <w:sz w:val="28"/>
          <w:szCs w:val="28"/>
          <w:shd w:val="clear" w:color="auto" w:fill="FFFFFF"/>
          <w:lang w:val="en-US"/>
        </w:rPr>
        <w:t>, Zhou Y</w:t>
      </w:r>
      <w:r w:rsidRPr="00BE086B">
        <w:rPr>
          <w:sz w:val="28"/>
          <w:szCs w:val="28"/>
          <w:shd w:val="clear" w:color="auto" w:fill="FFFFFF"/>
          <w:lang w:val="uk-UA"/>
        </w:rPr>
        <w:t>.</w:t>
      </w:r>
      <w:r w:rsidRPr="001142BF">
        <w:rPr>
          <w:sz w:val="28"/>
          <w:szCs w:val="28"/>
          <w:shd w:val="clear" w:color="auto" w:fill="FFFFFF"/>
          <w:lang w:val="en-US"/>
        </w:rPr>
        <w:t>, Gao Q</w:t>
      </w:r>
      <w:r w:rsidRPr="00BE086B">
        <w:rPr>
          <w:sz w:val="28"/>
          <w:szCs w:val="28"/>
          <w:shd w:val="clear" w:color="auto" w:fill="FFFFFF"/>
          <w:lang w:val="uk-UA"/>
        </w:rPr>
        <w:t>.</w:t>
      </w:r>
      <w:r w:rsidRPr="001142BF">
        <w:rPr>
          <w:sz w:val="28"/>
          <w:szCs w:val="28"/>
          <w:shd w:val="clear" w:color="auto" w:fill="FFFFFF"/>
          <w:lang w:val="en-US"/>
        </w:rPr>
        <w:t>, Wang P</w:t>
      </w:r>
      <w:r w:rsidRPr="00BE086B">
        <w:rPr>
          <w:sz w:val="28"/>
          <w:szCs w:val="28"/>
          <w:shd w:val="clear" w:color="auto" w:fill="FFFFFF"/>
          <w:lang w:val="uk-UA"/>
        </w:rPr>
        <w:t>.</w:t>
      </w:r>
      <w:r w:rsidRPr="001142BF">
        <w:rPr>
          <w:sz w:val="28"/>
          <w:szCs w:val="28"/>
          <w:shd w:val="clear" w:color="auto" w:fill="FFFFFF"/>
          <w:lang w:val="en-US"/>
        </w:rPr>
        <w:t>, He C. Pulsed electromagnetic field at different stages of knee osteoarthrit</w:t>
      </w:r>
      <w:r w:rsidRPr="00BE086B">
        <w:rPr>
          <w:sz w:val="28"/>
          <w:szCs w:val="28"/>
          <w:shd w:val="clear" w:color="auto" w:fill="FFFFFF"/>
          <w:lang w:val="en-US"/>
        </w:rPr>
        <w:t>is in rats induced by low-dose monosodium iodoacetate: Effect on subchondral trabecular bone microarchitecture and cartilage degradation. Bioelectromagnetics. 2017;38(3):227-238.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1142BF">
        <w:rPr>
          <w:sz w:val="28"/>
          <w:szCs w:val="28"/>
          <w:shd w:val="clear" w:color="auto" w:fill="FFFFFF"/>
          <w:lang w:val="en-US"/>
        </w:rPr>
        <w:t>Wang X</w:t>
      </w:r>
      <w:r w:rsidRPr="00BE086B">
        <w:rPr>
          <w:sz w:val="28"/>
          <w:szCs w:val="28"/>
          <w:shd w:val="clear" w:color="auto" w:fill="FFFFFF"/>
          <w:lang w:val="uk-UA"/>
        </w:rPr>
        <w:t>.</w:t>
      </w:r>
      <w:r w:rsidRPr="001142BF">
        <w:rPr>
          <w:sz w:val="28"/>
          <w:szCs w:val="28"/>
          <w:shd w:val="clear" w:color="auto" w:fill="FFFFFF"/>
          <w:lang w:val="en-US"/>
        </w:rPr>
        <w:t>D</w:t>
      </w:r>
      <w:r w:rsidRPr="00BE086B">
        <w:rPr>
          <w:sz w:val="28"/>
          <w:szCs w:val="28"/>
          <w:shd w:val="clear" w:color="auto" w:fill="FFFFFF"/>
          <w:lang w:val="uk-UA"/>
        </w:rPr>
        <w:t>.</w:t>
      </w:r>
      <w:r w:rsidRPr="001142BF">
        <w:rPr>
          <w:sz w:val="28"/>
          <w:szCs w:val="28"/>
          <w:shd w:val="clear" w:color="auto" w:fill="FFFFFF"/>
          <w:lang w:val="en-US"/>
        </w:rPr>
        <w:t>, Kou X</w:t>
      </w:r>
      <w:r w:rsidRPr="00BE086B">
        <w:rPr>
          <w:sz w:val="28"/>
          <w:szCs w:val="28"/>
          <w:shd w:val="clear" w:color="auto" w:fill="FFFFFF"/>
          <w:lang w:val="uk-UA"/>
        </w:rPr>
        <w:t>.</w:t>
      </w:r>
      <w:r w:rsidRPr="001142BF">
        <w:rPr>
          <w:sz w:val="28"/>
          <w:szCs w:val="28"/>
          <w:shd w:val="clear" w:color="auto" w:fill="FFFFFF"/>
          <w:lang w:val="en-US"/>
        </w:rPr>
        <w:t>X</w:t>
      </w:r>
      <w:r w:rsidRPr="00BE086B">
        <w:rPr>
          <w:sz w:val="28"/>
          <w:szCs w:val="28"/>
          <w:shd w:val="clear" w:color="auto" w:fill="FFFFFF"/>
          <w:lang w:val="uk-UA"/>
        </w:rPr>
        <w:t>.</w:t>
      </w:r>
      <w:r w:rsidRPr="001142BF">
        <w:rPr>
          <w:sz w:val="28"/>
          <w:szCs w:val="28"/>
          <w:shd w:val="clear" w:color="auto" w:fill="FFFFFF"/>
          <w:lang w:val="en-US"/>
        </w:rPr>
        <w:t>, He D</w:t>
      </w:r>
      <w:r w:rsidRPr="00BE086B">
        <w:rPr>
          <w:sz w:val="28"/>
          <w:szCs w:val="28"/>
          <w:shd w:val="clear" w:color="auto" w:fill="FFFFFF"/>
          <w:lang w:val="uk-UA"/>
        </w:rPr>
        <w:t>.</w:t>
      </w:r>
      <w:r w:rsidRPr="001142BF">
        <w:rPr>
          <w:sz w:val="28"/>
          <w:szCs w:val="28"/>
          <w:shd w:val="clear" w:color="auto" w:fill="FFFFFF"/>
          <w:lang w:val="en-US"/>
        </w:rPr>
        <w:t>Q</w:t>
      </w:r>
      <w:r w:rsidRPr="00BE086B">
        <w:rPr>
          <w:sz w:val="28"/>
          <w:szCs w:val="28"/>
          <w:shd w:val="clear" w:color="auto" w:fill="FFFFFF"/>
          <w:lang w:val="uk-UA"/>
        </w:rPr>
        <w:t>.</w:t>
      </w:r>
      <w:r w:rsidRPr="001142BF">
        <w:rPr>
          <w:sz w:val="28"/>
          <w:szCs w:val="28"/>
          <w:shd w:val="clear" w:color="auto" w:fill="FFFFFF"/>
          <w:lang w:val="en-US"/>
        </w:rPr>
        <w:t>, Zeng M</w:t>
      </w:r>
      <w:r w:rsidRPr="00BE086B">
        <w:rPr>
          <w:sz w:val="28"/>
          <w:szCs w:val="28"/>
          <w:shd w:val="clear" w:color="auto" w:fill="FFFFFF"/>
          <w:lang w:val="uk-UA"/>
        </w:rPr>
        <w:t>.</w:t>
      </w:r>
      <w:r w:rsidRPr="001142BF">
        <w:rPr>
          <w:sz w:val="28"/>
          <w:szCs w:val="28"/>
          <w:shd w:val="clear" w:color="auto" w:fill="FFFFFF"/>
          <w:lang w:val="en-US"/>
        </w:rPr>
        <w:t>M</w:t>
      </w:r>
      <w:r w:rsidRPr="00BE086B">
        <w:rPr>
          <w:sz w:val="28"/>
          <w:szCs w:val="28"/>
          <w:shd w:val="clear" w:color="auto" w:fill="FFFFFF"/>
          <w:lang w:val="uk-UA"/>
        </w:rPr>
        <w:t>.</w:t>
      </w:r>
      <w:r w:rsidRPr="001142BF">
        <w:rPr>
          <w:sz w:val="28"/>
          <w:szCs w:val="28"/>
          <w:shd w:val="clear" w:color="auto" w:fill="FFFFFF"/>
          <w:lang w:val="en-US"/>
        </w:rPr>
        <w:t>, Meng Z</w:t>
      </w:r>
      <w:r w:rsidRPr="00BE086B">
        <w:rPr>
          <w:sz w:val="28"/>
          <w:szCs w:val="28"/>
          <w:shd w:val="clear" w:color="auto" w:fill="FFFFFF"/>
          <w:lang w:val="uk-UA"/>
        </w:rPr>
        <w:t>.</w:t>
      </w:r>
      <w:r w:rsidRPr="001142BF">
        <w:rPr>
          <w:sz w:val="28"/>
          <w:szCs w:val="28"/>
          <w:shd w:val="clear" w:color="auto" w:fill="FFFFFF"/>
          <w:lang w:val="en-US"/>
        </w:rPr>
        <w:t>, Bi R</w:t>
      </w:r>
      <w:r w:rsidRPr="00BE086B">
        <w:rPr>
          <w:sz w:val="28"/>
          <w:szCs w:val="28"/>
          <w:shd w:val="clear" w:color="auto" w:fill="FFFFFF"/>
          <w:lang w:val="uk-UA"/>
        </w:rPr>
        <w:t>.</w:t>
      </w:r>
      <w:r w:rsidRPr="001142BF">
        <w:rPr>
          <w:sz w:val="28"/>
          <w:szCs w:val="28"/>
          <w:shd w:val="clear" w:color="auto" w:fill="FFFFFF"/>
          <w:lang w:val="en-US"/>
        </w:rPr>
        <w:t>Y</w:t>
      </w:r>
      <w:r w:rsidRPr="00BE086B">
        <w:rPr>
          <w:sz w:val="28"/>
          <w:szCs w:val="28"/>
          <w:shd w:val="clear" w:color="auto" w:fill="FFFFFF"/>
          <w:lang w:val="uk-UA"/>
        </w:rPr>
        <w:t>.</w:t>
      </w:r>
      <w:r w:rsidRPr="001142BF">
        <w:rPr>
          <w:sz w:val="28"/>
          <w:szCs w:val="28"/>
          <w:shd w:val="clear" w:color="auto" w:fill="FFFFFF"/>
          <w:lang w:val="en-US"/>
        </w:rPr>
        <w:t>, Liu Y</w:t>
      </w:r>
      <w:r w:rsidRPr="00BE086B">
        <w:rPr>
          <w:sz w:val="28"/>
          <w:szCs w:val="28"/>
          <w:shd w:val="clear" w:color="auto" w:fill="FFFFFF"/>
          <w:lang w:val="uk-UA"/>
        </w:rPr>
        <w:t>.</w:t>
      </w:r>
      <w:r w:rsidRPr="001142BF">
        <w:rPr>
          <w:sz w:val="28"/>
          <w:szCs w:val="28"/>
          <w:shd w:val="clear" w:color="auto" w:fill="FFFFFF"/>
          <w:lang w:val="en-US"/>
        </w:rPr>
        <w:t>, Zhang J</w:t>
      </w:r>
      <w:r w:rsidRPr="00BE086B">
        <w:rPr>
          <w:sz w:val="28"/>
          <w:szCs w:val="28"/>
          <w:shd w:val="clear" w:color="auto" w:fill="FFFFFF"/>
          <w:lang w:val="uk-UA"/>
        </w:rPr>
        <w:t>.</w:t>
      </w:r>
      <w:r w:rsidRPr="001142BF">
        <w:rPr>
          <w:sz w:val="28"/>
          <w:szCs w:val="28"/>
          <w:shd w:val="clear" w:color="auto" w:fill="FFFFFF"/>
          <w:lang w:val="en-US"/>
        </w:rPr>
        <w:t>N</w:t>
      </w:r>
      <w:r w:rsidRPr="00BE086B">
        <w:rPr>
          <w:sz w:val="28"/>
          <w:szCs w:val="28"/>
          <w:shd w:val="clear" w:color="auto" w:fill="FFFFFF"/>
          <w:lang w:val="uk-UA"/>
        </w:rPr>
        <w:t>.</w:t>
      </w:r>
      <w:r w:rsidRPr="001142BF">
        <w:rPr>
          <w:sz w:val="28"/>
          <w:szCs w:val="28"/>
          <w:shd w:val="clear" w:color="auto" w:fill="FFFFFF"/>
          <w:lang w:val="en-US"/>
        </w:rPr>
        <w:t>, Gan Y</w:t>
      </w:r>
      <w:r w:rsidRPr="00BE086B">
        <w:rPr>
          <w:sz w:val="28"/>
          <w:szCs w:val="28"/>
          <w:shd w:val="clear" w:color="auto" w:fill="FFFFFF"/>
          <w:lang w:val="uk-UA"/>
        </w:rPr>
        <w:t>.</w:t>
      </w:r>
      <w:r w:rsidRPr="001142BF">
        <w:rPr>
          <w:sz w:val="28"/>
          <w:szCs w:val="28"/>
          <w:shd w:val="clear" w:color="auto" w:fill="FFFFFF"/>
          <w:lang w:val="en-US"/>
        </w:rPr>
        <w:t>H</w:t>
      </w:r>
      <w:r w:rsidRPr="00BE086B">
        <w:rPr>
          <w:sz w:val="28"/>
          <w:szCs w:val="28"/>
          <w:shd w:val="clear" w:color="auto" w:fill="FFFFFF"/>
          <w:lang w:val="uk-UA"/>
        </w:rPr>
        <w:t>.</w:t>
      </w:r>
      <w:r w:rsidRPr="001142BF">
        <w:rPr>
          <w:sz w:val="28"/>
          <w:szCs w:val="28"/>
          <w:shd w:val="clear" w:color="auto" w:fill="FFFFFF"/>
          <w:lang w:val="en-US"/>
        </w:rPr>
        <w:t>, Zhou Y</w:t>
      </w:r>
      <w:r w:rsidRPr="00BE086B">
        <w:rPr>
          <w:sz w:val="28"/>
          <w:szCs w:val="28"/>
          <w:shd w:val="clear" w:color="auto" w:fill="FFFFFF"/>
          <w:lang w:val="uk-UA"/>
        </w:rPr>
        <w:t>.</w:t>
      </w:r>
      <w:r w:rsidRPr="001142BF">
        <w:rPr>
          <w:sz w:val="28"/>
          <w:szCs w:val="28"/>
          <w:shd w:val="clear" w:color="auto" w:fill="FFFFFF"/>
          <w:lang w:val="en-US"/>
        </w:rPr>
        <w:t xml:space="preserve">H. </w:t>
      </w:r>
      <w:r w:rsidRPr="00BE086B">
        <w:rPr>
          <w:sz w:val="28"/>
          <w:szCs w:val="28"/>
          <w:shd w:val="clear" w:color="auto" w:fill="FFFFFF"/>
          <w:lang w:val="en-US"/>
        </w:rPr>
        <w:t>Progression of cartilage degradation, bone resorption and pain in rat temporomandibular joint osteoarthritis induced by injection of iodoacetate. PLoS One. 2012;7(9):45</w:t>
      </w:r>
      <w:r w:rsidRPr="00BE086B">
        <w:rPr>
          <w:sz w:val="28"/>
          <w:szCs w:val="28"/>
          <w:shd w:val="clear" w:color="auto" w:fill="FFFFFF"/>
          <w:lang w:val="uk-UA"/>
        </w:rPr>
        <w:t>-5</w:t>
      </w:r>
      <w:r w:rsidRPr="00BE086B">
        <w:rPr>
          <w:sz w:val="28"/>
          <w:szCs w:val="28"/>
          <w:shd w:val="clear" w:color="auto" w:fill="FFFFFF"/>
          <w:lang w:val="en-US"/>
        </w:rPr>
        <w:t>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1142BF">
        <w:rPr>
          <w:sz w:val="28"/>
          <w:szCs w:val="28"/>
          <w:shd w:val="clear" w:color="auto" w:fill="FFFFFF"/>
          <w:lang w:val="en-US"/>
        </w:rPr>
        <w:t>Chin K</w:t>
      </w:r>
      <w:r w:rsidRPr="00BE086B">
        <w:rPr>
          <w:sz w:val="28"/>
          <w:szCs w:val="28"/>
          <w:shd w:val="clear" w:color="auto" w:fill="FFFFFF"/>
          <w:lang w:val="uk-UA"/>
        </w:rPr>
        <w:t>.</w:t>
      </w:r>
      <w:r w:rsidRPr="001142BF">
        <w:rPr>
          <w:sz w:val="28"/>
          <w:szCs w:val="28"/>
          <w:shd w:val="clear" w:color="auto" w:fill="FFFFFF"/>
          <w:lang w:val="en-US"/>
        </w:rPr>
        <w:t>Y</w:t>
      </w:r>
      <w:r w:rsidRPr="00BE086B">
        <w:rPr>
          <w:sz w:val="28"/>
          <w:szCs w:val="28"/>
          <w:shd w:val="clear" w:color="auto" w:fill="FFFFFF"/>
          <w:lang w:val="uk-UA"/>
        </w:rPr>
        <w:t>.</w:t>
      </w:r>
      <w:r w:rsidRPr="001142BF">
        <w:rPr>
          <w:sz w:val="28"/>
          <w:szCs w:val="28"/>
          <w:shd w:val="clear" w:color="auto" w:fill="FFFFFF"/>
          <w:lang w:val="en-US"/>
        </w:rPr>
        <w:t>, Wong S</w:t>
      </w:r>
      <w:r w:rsidRPr="00BE086B">
        <w:rPr>
          <w:sz w:val="28"/>
          <w:szCs w:val="28"/>
          <w:shd w:val="clear" w:color="auto" w:fill="FFFFFF"/>
          <w:lang w:val="uk-UA"/>
        </w:rPr>
        <w:t>.</w:t>
      </w:r>
      <w:r w:rsidRPr="001142BF">
        <w:rPr>
          <w:sz w:val="28"/>
          <w:szCs w:val="28"/>
          <w:shd w:val="clear" w:color="auto" w:fill="FFFFFF"/>
          <w:lang w:val="en-US"/>
        </w:rPr>
        <w:t>K</w:t>
      </w:r>
      <w:r w:rsidRPr="00BE086B">
        <w:rPr>
          <w:sz w:val="28"/>
          <w:szCs w:val="28"/>
          <w:shd w:val="clear" w:color="auto" w:fill="FFFFFF"/>
          <w:lang w:val="uk-UA"/>
        </w:rPr>
        <w:t>.</w:t>
      </w:r>
      <w:r w:rsidRPr="001142BF">
        <w:rPr>
          <w:sz w:val="28"/>
          <w:szCs w:val="28"/>
          <w:shd w:val="clear" w:color="auto" w:fill="FFFFFF"/>
          <w:lang w:val="en-US"/>
        </w:rPr>
        <w:t>, Japar Sidik F</w:t>
      </w:r>
      <w:r w:rsidRPr="00BE086B">
        <w:rPr>
          <w:sz w:val="28"/>
          <w:szCs w:val="28"/>
          <w:shd w:val="clear" w:color="auto" w:fill="FFFFFF"/>
          <w:lang w:val="uk-UA"/>
        </w:rPr>
        <w:t>.</w:t>
      </w:r>
      <w:r w:rsidRPr="001142BF">
        <w:rPr>
          <w:sz w:val="28"/>
          <w:szCs w:val="28"/>
          <w:shd w:val="clear" w:color="auto" w:fill="FFFFFF"/>
          <w:lang w:val="en-US"/>
        </w:rPr>
        <w:t>Z</w:t>
      </w:r>
      <w:r w:rsidRPr="00BE086B">
        <w:rPr>
          <w:sz w:val="28"/>
          <w:szCs w:val="28"/>
          <w:shd w:val="clear" w:color="auto" w:fill="FFFFFF"/>
          <w:lang w:val="uk-UA"/>
        </w:rPr>
        <w:t>.</w:t>
      </w:r>
      <w:r w:rsidRPr="001142BF">
        <w:rPr>
          <w:sz w:val="28"/>
          <w:szCs w:val="28"/>
          <w:shd w:val="clear" w:color="auto" w:fill="FFFFFF"/>
          <w:lang w:val="en-US"/>
        </w:rPr>
        <w:t>, Abdul Hamid J</w:t>
      </w:r>
      <w:r w:rsidRPr="00BE086B">
        <w:rPr>
          <w:sz w:val="28"/>
          <w:szCs w:val="28"/>
          <w:shd w:val="clear" w:color="auto" w:fill="FFFFFF"/>
          <w:lang w:val="uk-UA"/>
        </w:rPr>
        <w:t>.</w:t>
      </w:r>
      <w:r w:rsidRPr="001142BF">
        <w:rPr>
          <w:sz w:val="28"/>
          <w:szCs w:val="28"/>
          <w:shd w:val="clear" w:color="auto" w:fill="FFFFFF"/>
          <w:lang w:val="en-US"/>
        </w:rPr>
        <w:t>, Abas N</w:t>
      </w:r>
      <w:r w:rsidRPr="00BE086B">
        <w:rPr>
          <w:sz w:val="28"/>
          <w:szCs w:val="28"/>
          <w:shd w:val="clear" w:color="auto" w:fill="FFFFFF"/>
          <w:lang w:val="uk-UA"/>
        </w:rPr>
        <w:t>.</w:t>
      </w:r>
      <w:r w:rsidRPr="001142BF">
        <w:rPr>
          <w:sz w:val="28"/>
          <w:szCs w:val="28"/>
          <w:shd w:val="clear" w:color="auto" w:fill="FFFFFF"/>
          <w:lang w:val="en-US"/>
        </w:rPr>
        <w:t>H</w:t>
      </w:r>
      <w:r w:rsidRPr="00BE086B">
        <w:rPr>
          <w:sz w:val="28"/>
          <w:szCs w:val="28"/>
          <w:shd w:val="clear" w:color="auto" w:fill="FFFFFF"/>
          <w:lang w:val="uk-UA"/>
        </w:rPr>
        <w:t>.</w:t>
      </w:r>
      <w:r w:rsidRPr="001142BF">
        <w:rPr>
          <w:sz w:val="28"/>
          <w:szCs w:val="28"/>
          <w:shd w:val="clear" w:color="auto" w:fill="FFFFFF"/>
          <w:lang w:val="en-US"/>
        </w:rPr>
        <w:t>, Mohd Ramli E</w:t>
      </w:r>
      <w:r w:rsidRPr="00BE086B">
        <w:rPr>
          <w:sz w:val="28"/>
          <w:szCs w:val="28"/>
          <w:shd w:val="clear" w:color="auto" w:fill="FFFFFF"/>
          <w:lang w:val="uk-UA"/>
        </w:rPr>
        <w:t>.</w:t>
      </w:r>
      <w:r w:rsidRPr="001142BF">
        <w:rPr>
          <w:sz w:val="28"/>
          <w:szCs w:val="28"/>
          <w:shd w:val="clear" w:color="auto" w:fill="FFFFFF"/>
          <w:lang w:val="en-US"/>
        </w:rPr>
        <w:t>S</w:t>
      </w:r>
      <w:r w:rsidRPr="00BE086B">
        <w:rPr>
          <w:sz w:val="28"/>
          <w:szCs w:val="28"/>
          <w:shd w:val="clear" w:color="auto" w:fill="FFFFFF"/>
          <w:lang w:val="uk-UA"/>
        </w:rPr>
        <w:t>.</w:t>
      </w:r>
      <w:r w:rsidRPr="001142BF">
        <w:rPr>
          <w:sz w:val="28"/>
          <w:szCs w:val="28"/>
          <w:shd w:val="clear" w:color="auto" w:fill="FFFFFF"/>
          <w:lang w:val="en-US"/>
        </w:rPr>
        <w:t>, Afian Mokhtar S</w:t>
      </w:r>
      <w:r w:rsidRPr="00BE086B">
        <w:rPr>
          <w:sz w:val="28"/>
          <w:szCs w:val="28"/>
          <w:shd w:val="clear" w:color="auto" w:fill="FFFFFF"/>
          <w:lang w:val="uk-UA"/>
        </w:rPr>
        <w:t>.</w:t>
      </w:r>
      <w:r w:rsidRPr="001142BF">
        <w:rPr>
          <w:sz w:val="28"/>
          <w:szCs w:val="28"/>
          <w:shd w:val="clear" w:color="auto" w:fill="FFFFFF"/>
          <w:lang w:val="en-US"/>
        </w:rPr>
        <w:t>, Rajalingham S</w:t>
      </w:r>
      <w:r w:rsidRPr="00BE086B">
        <w:rPr>
          <w:sz w:val="28"/>
          <w:szCs w:val="28"/>
          <w:shd w:val="clear" w:color="auto" w:fill="FFFFFF"/>
          <w:lang w:val="uk-UA"/>
        </w:rPr>
        <w:t>.</w:t>
      </w:r>
      <w:r w:rsidRPr="001142BF">
        <w:rPr>
          <w:sz w:val="28"/>
          <w:szCs w:val="28"/>
          <w:shd w:val="clear" w:color="auto" w:fill="FFFFFF"/>
          <w:lang w:val="en-US"/>
        </w:rPr>
        <w:t>, Ima Nirwana S</w:t>
      </w:r>
      <w:r w:rsidRPr="00BE086B">
        <w:rPr>
          <w:sz w:val="28"/>
          <w:szCs w:val="28"/>
          <w:shd w:val="clear" w:color="auto" w:fill="FFFFFF"/>
          <w:lang w:val="uk-UA"/>
        </w:rPr>
        <w:t>.</w:t>
      </w:r>
      <w:r w:rsidRPr="001142BF">
        <w:rPr>
          <w:sz w:val="28"/>
          <w:szCs w:val="28"/>
          <w:shd w:val="clear" w:color="auto" w:fill="FFFFFF"/>
          <w:lang w:val="en-US"/>
        </w:rPr>
        <w:t xml:space="preserve"> The effects of annatto tocotrienol supplementation on cartilage and subchondral bone in an animal model of osteoarthritis induced by monosodium iodoacetate. </w:t>
      </w:r>
      <w:r w:rsidRPr="00BE086B">
        <w:rPr>
          <w:sz w:val="28"/>
          <w:szCs w:val="28"/>
          <w:shd w:val="clear" w:color="auto" w:fill="FFFFFF"/>
        </w:rPr>
        <w:t>Int J Environ Res Public Health. 2019</w:t>
      </w:r>
      <w:r w:rsidRPr="00BE086B">
        <w:rPr>
          <w:sz w:val="28"/>
          <w:szCs w:val="28"/>
          <w:shd w:val="clear" w:color="auto" w:fill="FFFFFF"/>
          <w:lang w:val="uk-UA"/>
        </w:rPr>
        <w:t>;</w:t>
      </w:r>
      <w:r w:rsidRPr="00BE086B">
        <w:rPr>
          <w:sz w:val="28"/>
          <w:szCs w:val="28"/>
          <w:shd w:val="clear" w:color="auto" w:fill="FFFFFF"/>
        </w:rPr>
        <w:t>13;16(16):2897.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rPr>
        <w:t xml:space="preserve">Шевцов В.И., </w:t>
      </w:r>
      <w:r w:rsidRPr="00BE086B">
        <w:rPr>
          <w:iCs/>
          <w:sz w:val="28"/>
          <w:szCs w:val="28"/>
          <w:shd w:val="clear" w:color="auto" w:fill="FFFFFF"/>
        </w:rPr>
        <w:t xml:space="preserve">Макушин В.Д., Степанов М.А., Ступина Т.А. </w:t>
      </w:r>
      <w:r w:rsidRPr="00BE086B">
        <w:rPr>
          <w:sz w:val="28"/>
          <w:szCs w:val="28"/>
        </w:rPr>
        <w:t>К вопросу моделирования остеоартроза коленного сустава у собак для изучения патогенеза (экспериментально-морфологическое исследование). Гений ортопедии. 2012;1:38-42.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1142BF">
        <w:rPr>
          <w:sz w:val="28"/>
          <w:szCs w:val="28"/>
          <w:shd w:val="clear" w:color="auto" w:fill="FFFFFF"/>
          <w:lang w:val="en-US"/>
        </w:rPr>
        <w:t>Shen J</w:t>
      </w:r>
      <w:r w:rsidRPr="00BE086B">
        <w:rPr>
          <w:sz w:val="28"/>
          <w:szCs w:val="28"/>
          <w:shd w:val="clear" w:color="auto" w:fill="FFFFFF"/>
          <w:lang w:val="uk-UA"/>
        </w:rPr>
        <w:t>.</w:t>
      </w:r>
      <w:r w:rsidRPr="001142BF">
        <w:rPr>
          <w:sz w:val="28"/>
          <w:szCs w:val="28"/>
          <w:shd w:val="clear" w:color="auto" w:fill="FFFFFF"/>
          <w:lang w:val="en-US"/>
        </w:rPr>
        <w:t>, Abu-Amer Y</w:t>
      </w:r>
      <w:r w:rsidRPr="00BE086B">
        <w:rPr>
          <w:sz w:val="28"/>
          <w:szCs w:val="28"/>
          <w:shd w:val="clear" w:color="auto" w:fill="FFFFFF"/>
          <w:lang w:val="uk-UA"/>
        </w:rPr>
        <w:t>.</w:t>
      </w:r>
      <w:r w:rsidRPr="001142BF">
        <w:rPr>
          <w:sz w:val="28"/>
          <w:szCs w:val="28"/>
          <w:shd w:val="clear" w:color="auto" w:fill="FFFFFF"/>
          <w:lang w:val="en-US"/>
        </w:rPr>
        <w:t>, O'Keefe R</w:t>
      </w:r>
      <w:r w:rsidRPr="00BE086B">
        <w:rPr>
          <w:sz w:val="28"/>
          <w:szCs w:val="28"/>
          <w:shd w:val="clear" w:color="auto" w:fill="FFFFFF"/>
          <w:lang w:val="uk-UA"/>
        </w:rPr>
        <w:t>.</w:t>
      </w:r>
      <w:r w:rsidRPr="001142BF">
        <w:rPr>
          <w:sz w:val="28"/>
          <w:szCs w:val="28"/>
          <w:shd w:val="clear" w:color="auto" w:fill="FFFFFF"/>
          <w:lang w:val="en-US"/>
        </w:rPr>
        <w:t>J</w:t>
      </w:r>
      <w:r w:rsidRPr="00BE086B">
        <w:rPr>
          <w:sz w:val="28"/>
          <w:szCs w:val="28"/>
          <w:shd w:val="clear" w:color="auto" w:fill="FFFFFF"/>
          <w:lang w:val="uk-UA"/>
        </w:rPr>
        <w:t>.</w:t>
      </w:r>
      <w:r w:rsidRPr="001142BF">
        <w:rPr>
          <w:sz w:val="28"/>
          <w:szCs w:val="28"/>
          <w:shd w:val="clear" w:color="auto" w:fill="FFFFFF"/>
          <w:lang w:val="en-US"/>
        </w:rPr>
        <w:t xml:space="preserve">, McAlinden A. Inflammation and epigenetic regulation in osteoarthritis. </w:t>
      </w:r>
      <w:r w:rsidRPr="00BE086B">
        <w:rPr>
          <w:sz w:val="28"/>
          <w:szCs w:val="28"/>
          <w:shd w:val="clear" w:color="auto" w:fill="FFFFFF"/>
        </w:rPr>
        <w:t xml:space="preserve">Connect Tissue Res. </w:t>
      </w:r>
      <w:r w:rsidRPr="00BE086B">
        <w:rPr>
          <w:sz w:val="28"/>
          <w:szCs w:val="28"/>
          <w:shd w:val="clear" w:color="auto" w:fill="FFFFFF"/>
          <w:lang w:val="en-US"/>
        </w:rPr>
        <w:t>2017;58(1):49-63.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Morais S</w:t>
      </w:r>
      <w:r w:rsidRPr="00BE086B">
        <w:rPr>
          <w:sz w:val="28"/>
          <w:szCs w:val="28"/>
          <w:shd w:val="clear" w:color="auto" w:fill="FFFFFF"/>
          <w:lang w:val="uk-UA"/>
        </w:rPr>
        <w:t>.</w:t>
      </w:r>
      <w:r w:rsidRPr="00BE086B">
        <w:rPr>
          <w:sz w:val="28"/>
          <w:szCs w:val="28"/>
          <w:shd w:val="clear" w:color="auto" w:fill="FFFFFF"/>
          <w:lang w:val="en-US"/>
        </w:rPr>
        <w:t>V</w:t>
      </w:r>
      <w:r w:rsidRPr="00BE086B">
        <w:rPr>
          <w:sz w:val="28"/>
          <w:szCs w:val="28"/>
          <w:shd w:val="clear" w:color="auto" w:fill="FFFFFF"/>
          <w:lang w:val="uk-UA"/>
        </w:rPr>
        <w:t>.</w:t>
      </w:r>
      <w:r w:rsidRPr="00BE086B">
        <w:rPr>
          <w:sz w:val="28"/>
          <w:szCs w:val="28"/>
          <w:shd w:val="clear" w:color="auto" w:fill="FFFFFF"/>
          <w:lang w:val="en-US"/>
        </w:rPr>
        <w:t>, Czeczko N</w:t>
      </w:r>
      <w:r w:rsidRPr="00BE086B">
        <w:rPr>
          <w:sz w:val="28"/>
          <w:szCs w:val="28"/>
          <w:shd w:val="clear" w:color="auto" w:fill="FFFFFF"/>
          <w:lang w:val="uk-UA"/>
        </w:rPr>
        <w:t>.</w:t>
      </w:r>
      <w:r w:rsidRPr="00BE086B">
        <w:rPr>
          <w:sz w:val="28"/>
          <w:szCs w:val="28"/>
          <w:shd w:val="clear" w:color="auto" w:fill="FFFFFF"/>
          <w:lang w:val="en-US"/>
        </w:rPr>
        <w:t>G</w:t>
      </w:r>
      <w:r w:rsidRPr="00BE086B">
        <w:rPr>
          <w:sz w:val="28"/>
          <w:szCs w:val="28"/>
          <w:shd w:val="clear" w:color="auto" w:fill="FFFFFF"/>
          <w:lang w:val="uk-UA"/>
        </w:rPr>
        <w:t>.</w:t>
      </w:r>
      <w:r w:rsidRPr="00BE086B">
        <w:rPr>
          <w:sz w:val="28"/>
          <w:szCs w:val="28"/>
          <w:shd w:val="clear" w:color="auto" w:fill="FFFFFF"/>
          <w:lang w:val="en-US"/>
        </w:rPr>
        <w:t>, Malafaia O</w:t>
      </w:r>
      <w:r w:rsidRPr="00BE086B">
        <w:rPr>
          <w:sz w:val="28"/>
          <w:szCs w:val="28"/>
          <w:shd w:val="clear" w:color="auto" w:fill="FFFFFF"/>
          <w:lang w:val="uk-UA"/>
        </w:rPr>
        <w:t>.</w:t>
      </w:r>
      <w:r w:rsidRPr="00BE086B">
        <w:rPr>
          <w:sz w:val="28"/>
          <w:szCs w:val="28"/>
          <w:shd w:val="clear" w:color="auto" w:fill="FFFFFF"/>
          <w:lang w:val="en-US"/>
        </w:rPr>
        <w:t>, Ribas J</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xml:space="preserve"> Filho, Garcia J</w:t>
      </w:r>
      <w:r w:rsidRPr="00BE086B">
        <w:rPr>
          <w:sz w:val="28"/>
          <w:szCs w:val="28"/>
          <w:shd w:val="clear" w:color="auto" w:fill="FFFFFF"/>
          <w:lang w:val="uk-UA"/>
        </w:rPr>
        <w:t>.</w:t>
      </w:r>
      <w:r w:rsidRPr="00BE086B">
        <w:rPr>
          <w:sz w:val="28"/>
          <w:szCs w:val="28"/>
          <w:shd w:val="clear" w:color="auto" w:fill="FFFFFF"/>
          <w:lang w:val="en-US"/>
        </w:rPr>
        <w:t>B</w:t>
      </w:r>
      <w:r w:rsidRPr="00BE086B">
        <w:rPr>
          <w:sz w:val="28"/>
          <w:szCs w:val="28"/>
          <w:shd w:val="clear" w:color="auto" w:fill="FFFFFF"/>
          <w:lang w:val="uk-UA"/>
        </w:rPr>
        <w:t>.</w:t>
      </w:r>
      <w:r w:rsidRPr="00BE086B">
        <w:rPr>
          <w:sz w:val="28"/>
          <w:szCs w:val="28"/>
          <w:shd w:val="clear" w:color="auto" w:fill="FFFFFF"/>
          <w:lang w:val="en-US"/>
        </w:rPr>
        <w:t>, Miguel M</w:t>
      </w:r>
      <w:r w:rsidRPr="00BE086B">
        <w:rPr>
          <w:sz w:val="28"/>
          <w:szCs w:val="28"/>
          <w:shd w:val="clear" w:color="auto" w:fill="FFFFFF"/>
          <w:lang w:val="uk-UA"/>
        </w:rPr>
        <w:t>.</w:t>
      </w:r>
      <w:r w:rsidRPr="00BE086B">
        <w:rPr>
          <w:sz w:val="28"/>
          <w:szCs w:val="28"/>
          <w:shd w:val="clear" w:color="auto" w:fill="FFFFFF"/>
          <w:lang w:val="en-US"/>
        </w:rPr>
        <w:t>T</w:t>
      </w:r>
      <w:r w:rsidRPr="00BE086B">
        <w:rPr>
          <w:sz w:val="28"/>
          <w:szCs w:val="28"/>
          <w:shd w:val="clear" w:color="auto" w:fill="FFFFFF"/>
          <w:lang w:val="uk-UA"/>
        </w:rPr>
        <w:t>.</w:t>
      </w:r>
      <w:r w:rsidRPr="00BE086B">
        <w:rPr>
          <w:sz w:val="28"/>
          <w:szCs w:val="28"/>
          <w:shd w:val="clear" w:color="auto" w:fill="FFFFFF"/>
          <w:lang w:val="en-US"/>
        </w:rPr>
        <w:t>, Zini C</w:t>
      </w:r>
      <w:r w:rsidRPr="00BE086B">
        <w:rPr>
          <w:sz w:val="28"/>
          <w:szCs w:val="28"/>
          <w:shd w:val="clear" w:color="auto" w:fill="FFFFFF"/>
          <w:lang w:val="uk-UA"/>
        </w:rPr>
        <w:t>.</w:t>
      </w:r>
      <w:r w:rsidRPr="00BE086B">
        <w:rPr>
          <w:sz w:val="28"/>
          <w:szCs w:val="28"/>
          <w:shd w:val="clear" w:color="auto" w:fill="FFFFFF"/>
          <w:lang w:val="en-US"/>
        </w:rPr>
        <w:t>, Massignan A</w:t>
      </w:r>
      <w:r w:rsidRPr="00BE086B">
        <w:rPr>
          <w:sz w:val="28"/>
          <w:szCs w:val="28"/>
          <w:shd w:val="clear" w:color="auto" w:fill="FFFFFF"/>
          <w:lang w:val="uk-UA"/>
        </w:rPr>
        <w:t>.</w:t>
      </w:r>
      <w:r w:rsidRPr="00BE086B">
        <w:rPr>
          <w:sz w:val="28"/>
          <w:szCs w:val="28"/>
          <w:shd w:val="clear" w:color="auto" w:fill="FFFFFF"/>
          <w:lang w:val="en-US"/>
        </w:rPr>
        <w:t>G. Osteoarthritis model induced by intra-articular monosodium iodoacetate in rats knee. Acta Cir Bras. 2016;31(11):765-773.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1142BF">
        <w:rPr>
          <w:sz w:val="28"/>
          <w:szCs w:val="28"/>
          <w:shd w:val="clear" w:color="auto" w:fill="FFFFFF"/>
          <w:lang w:val="en-US"/>
        </w:rPr>
        <w:t>Ogbonna A</w:t>
      </w:r>
      <w:r w:rsidRPr="00BE086B">
        <w:rPr>
          <w:sz w:val="28"/>
          <w:szCs w:val="28"/>
          <w:shd w:val="clear" w:color="auto" w:fill="FFFFFF"/>
          <w:lang w:val="uk-UA"/>
        </w:rPr>
        <w:t>.</w:t>
      </w:r>
      <w:r w:rsidRPr="001142BF">
        <w:rPr>
          <w:sz w:val="28"/>
          <w:szCs w:val="28"/>
          <w:shd w:val="clear" w:color="auto" w:fill="FFFFFF"/>
          <w:lang w:val="en-US"/>
        </w:rPr>
        <w:t>C</w:t>
      </w:r>
      <w:r w:rsidRPr="00BE086B">
        <w:rPr>
          <w:sz w:val="28"/>
          <w:szCs w:val="28"/>
          <w:shd w:val="clear" w:color="auto" w:fill="FFFFFF"/>
          <w:lang w:val="uk-UA"/>
        </w:rPr>
        <w:t>.</w:t>
      </w:r>
      <w:r w:rsidRPr="001142BF">
        <w:rPr>
          <w:sz w:val="28"/>
          <w:szCs w:val="28"/>
          <w:shd w:val="clear" w:color="auto" w:fill="FFFFFF"/>
          <w:lang w:val="en-US"/>
        </w:rPr>
        <w:t>, Clark A</w:t>
      </w:r>
      <w:r w:rsidRPr="00BE086B">
        <w:rPr>
          <w:sz w:val="28"/>
          <w:szCs w:val="28"/>
          <w:shd w:val="clear" w:color="auto" w:fill="FFFFFF"/>
          <w:lang w:val="uk-UA"/>
        </w:rPr>
        <w:t>.</w:t>
      </w:r>
      <w:r w:rsidRPr="001142BF">
        <w:rPr>
          <w:sz w:val="28"/>
          <w:szCs w:val="28"/>
          <w:shd w:val="clear" w:color="auto" w:fill="FFFFFF"/>
          <w:lang w:val="en-US"/>
        </w:rPr>
        <w:t>K</w:t>
      </w:r>
      <w:r w:rsidRPr="00BE086B">
        <w:rPr>
          <w:sz w:val="28"/>
          <w:szCs w:val="28"/>
          <w:shd w:val="clear" w:color="auto" w:fill="FFFFFF"/>
          <w:lang w:val="uk-UA"/>
        </w:rPr>
        <w:t>.</w:t>
      </w:r>
      <w:r w:rsidRPr="001142BF">
        <w:rPr>
          <w:sz w:val="28"/>
          <w:szCs w:val="28"/>
          <w:shd w:val="clear" w:color="auto" w:fill="FFFFFF"/>
          <w:lang w:val="en-US"/>
        </w:rPr>
        <w:t xml:space="preserve">, Malcangio M. Development of </w:t>
      </w:r>
      <w:r w:rsidRPr="001142BF">
        <w:rPr>
          <w:sz w:val="28"/>
          <w:szCs w:val="28"/>
          <w:shd w:val="clear" w:color="auto" w:fill="FFFFFF"/>
          <w:lang w:val="en-US"/>
        </w:rPr>
        <w:lastRenderedPageBreak/>
        <w:t xml:space="preserve">monosodium acetate-induced osteoarthritis and inflammatory pain in ageing mice. </w:t>
      </w:r>
      <w:r w:rsidRPr="00BE086B">
        <w:rPr>
          <w:sz w:val="28"/>
          <w:szCs w:val="28"/>
          <w:shd w:val="clear" w:color="auto" w:fill="FFFFFF"/>
        </w:rPr>
        <w:t>Age (Dordr). 2015;37(3):979</w:t>
      </w:r>
      <w:r w:rsidRPr="00BE086B">
        <w:rPr>
          <w:sz w:val="28"/>
          <w:szCs w:val="28"/>
          <w:shd w:val="clear" w:color="auto" w:fill="FFFFFF"/>
          <w:lang w:val="uk-UA"/>
        </w:rPr>
        <w:t>-98</w:t>
      </w:r>
      <w:r w:rsidRPr="00BE086B">
        <w:rPr>
          <w:sz w:val="28"/>
          <w:szCs w:val="28"/>
          <w:shd w:val="clear" w:color="auto" w:fill="FFFFFF"/>
        </w:rPr>
        <w:t>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Brederson J</w:t>
      </w:r>
      <w:r w:rsidRPr="00BE086B">
        <w:rPr>
          <w:sz w:val="28"/>
          <w:szCs w:val="28"/>
          <w:shd w:val="clear" w:color="auto" w:fill="FFFFFF"/>
          <w:lang w:val="uk-UA"/>
        </w:rPr>
        <w:t>.</w:t>
      </w:r>
      <w:r w:rsidRPr="00BE086B">
        <w:rPr>
          <w:sz w:val="28"/>
          <w:szCs w:val="28"/>
          <w:shd w:val="clear" w:color="auto" w:fill="FFFFFF"/>
          <w:lang w:val="en-US"/>
        </w:rPr>
        <w:t>D</w:t>
      </w:r>
      <w:r w:rsidRPr="00BE086B">
        <w:rPr>
          <w:sz w:val="28"/>
          <w:szCs w:val="28"/>
          <w:shd w:val="clear" w:color="auto" w:fill="FFFFFF"/>
          <w:lang w:val="uk-UA"/>
        </w:rPr>
        <w:t>.</w:t>
      </w:r>
      <w:r w:rsidRPr="00BE086B">
        <w:rPr>
          <w:sz w:val="28"/>
          <w:szCs w:val="28"/>
          <w:shd w:val="clear" w:color="auto" w:fill="FFFFFF"/>
          <w:lang w:val="en-US"/>
        </w:rPr>
        <w:t>, Chu K</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Xu J</w:t>
      </w:r>
      <w:r w:rsidRPr="00BE086B">
        <w:rPr>
          <w:sz w:val="28"/>
          <w:szCs w:val="28"/>
          <w:shd w:val="clear" w:color="auto" w:fill="FFFFFF"/>
          <w:lang w:val="uk-UA"/>
        </w:rPr>
        <w:t>.</w:t>
      </w:r>
      <w:r w:rsidRPr="00BE086B">
        <w:rPr>
          <w:sz w:val="28"/>
          <w:szCs w:val="28"/>
          <w:shd w:val="clear" w:color="auto" w:fill="FFFFFF"/>
          <w:lang w:val="en-US"/>
        </w:rPr>
        <w:t>, Nikkel A</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Markosyan S</w:t>
      </w:r>
      <w:r w:rsidRPr="00BE086B">
        <w:rPr>
          <w:sz w:val="28"/>
          <w:szCs w:val="28"/>
          <w:shd w:val="clear" w:color="auto" w:fill="FFFFFF"/>
          <w:lang w:val="uk-UA"/>
        </w:rPr>
        <w:t>.</w:t>
      </w:r>
      <w:r w:rsidRPr="00BE086B">
        <w:rPr>
          <w:sz w:val="28"/>
          <w:szCs w:val="28"/>
          <w:shd w:val="clear" w:color="auto" w:fill="FFFFFF"/>
          <w:lang w:val="en-US"/>
        </w:rPr>
        <w:t>, Jarvis M</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Edelmayer R</w:t>
      </w:r>
      <w:r w:rsidRPr="00BE086B">
        <w:rPr>
          <w:sz w:val="28"/>
          <w:szCs w:val="28"/>
          <w:shd w:val="clear" w:color="auto" w:fill="FFFFFF"/>
          <w:lang w:val="uk-UA"/>
        </w:rPr>
        <w:t>.</w:t>
      </w:r>
      <w:r w:rsidRPr="00BE086B">
        <w:rPr>
          <w:sz w:val="28"/>
          <w:szCs w:val="28"/>
          <w:shd w:val="clear" w:color="auto" w:fill="FFFFFF"/>
          <w:lang w:val="en-US"/>
        </w:rPr>
        <w:t>, Bitner R</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 McGaraughty S. Characterization and comparison of rat monosodium iodoacetate and medial meniscal tear models of osteoarthritic pain. J Orthop Res. 2018</w:t>
      </w:r>
      <w:r w:rsidRPr="00BE086B">
        <w:rPr>
          <w:sz w:val="28"/>
          <w:szCs w:val="28"/>
          <w:shd w:val="clear" w:color="auto" w:fill="FFFFFF"/>
          <w:lang w:val="uk-UA"/>
        </w:rPr>
        <w:t>;</w:t>
      </w:r>
      <w:r w:rsidRPr="00BE086B">
        <w:rPr>
          <w:sz w:val="28"/>
          <w:szCs w:val="28"/>
          <w:shd w:val="clear" w:color="auto" w:fill="FFFFFF"/>
          <w:lang w:val="en-US"/>
        </w:rPr>
        <w:t>11</w:t>
      </w:r>
      <w:r w:rsidRPr="00BE086B">
        <w:rPr>
          <w:sz w:val="28"/>
          <w:szCs w:val="28"/>
          <w:shd w:val="clear" w:color="auto" w:fill="FFFFFF"/>
          <w:lang w:val="uk-UA"/>
        </w:rPr>
        <w:t>:54-68</w:t>
      </w:r>
      <w:r w:rsidRPr="00BE086B">
        <w:rPr>
          <w:sz w:val="28"/>
          <w:szCs w:val="28"/>
          <w:shd w:val="clear" w:color="auto" w:fill="FFFFFF"/>
          <w:lang w:val="en-US"/>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Yamada E</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Salgueiro A</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Goulart ADS, Mendes V</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Anjos B</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Folmer V</w:t>
      </w:r>
      <w:r w:rsidRPr="00BE086B">
        <w:rPr>
          <w:sz w:val="28"/>
          <w:szCs w:val="28"/>
          <w:shd w:val="clear" w:color="auto" w:fill="FFFFFF"/>
          <w:lang w:val="uk-UA"/>
        </w:rPr>
        <w:t>.</w:t>
      </w:r>
      <w:r w:rsidRPr="00BE086B">
        <w:rPr>
          <w:sz w:val="28"/>
          <w:szCs w:val="28"/>
          <w:shd w:val="clear" w:color="auto" w:fill="FFFFFF"/>
          <w:lang w:val="en-US"/>
        </w:rPr>
        <w:t>, da Silva M</w:t>
      </w:r>
      <w:r w:rsidRPr="00BE086B">
        <w:rPr>
          <w:sz w:val="28"/>
          <w:szCs w:val="28"/>
          <w:shd w:val="clear" w:color="auto" w:fill="FFFFFF"/>
          <w:lang w:val="uk-UA"/>
        </w:rPr>
        <w:t>.</w:t>
      </w:r>
      <w:r w:rsidRPr="00BE086B">
        <w:rPr>
          <w:sz w:val="28"/>
          <w:szCs w:val="28"/>
          <w:shd w:val="clear" w:color="auto" w:fill="FFFFFF"/>
          <w:lang w:val="en-US"/>
        </w:rPr>
        <w:t>D. Evaluation of monosodium iodoacetate dosage to induce knee osteoarthritis: Relation with oxidative stress and pain. Int J Rheum Dis. 2019;22(3):399-410.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Otis C</w:t>
      </w:r>
      <w:r w:rsidRPr="00BE086B">
        <w:rPr>
          <w:sz w:val="28"/>
          <w:szCs w:val="28"/>
          <w:shd w:val="clear" w:color="auto" w:fill="FFFFFF"/>
          <w:lang w:val="uk-UA"/>
        </w:rPr>
        <w:t>.</w:t>
      </w:r>
      <w:r w:rsidRPr="00BE086B">
        <w:rPr>
          <w:sz w:val="28"/>
          <w:szCs w:val="28"/>
          <w:shd w:val="clear" w:color="auto" w:fill="FFFFFF"/>
          <w:lang w:val="en-US"/>
        </w:rPr>
        <w:t>, Gervais J</w:t>
      </w:r>
      <w:r w:rsidRPr="00BE086B">
        <w:rPr>
          <w:sz w:val="28"/>
          <w:szCs w:val="28"/>
          <w:shd w:val="clear" w:color="auto" w:fill="FFFFFF"/>
          <w:lang w:val="uk-UA"/>
        </w:rPr>
        <w:t>.</w:t>
      </w:r>
      <w:r w:rsidRPr="00BE086B">
        <w:rPr>
          <w:sz w:val="28"/>
          <w:szCs w:val="28"/>
          <w:shd w:val="clear" w:color="auto" w:fill="FFFFFF"/>
          <w:lang w:val="en-US"/>
        </w:rPr>
        <w:t>, Guillot M</w:t>
      </w:r>
      <w:r w:rsidRPr="00BE086B">
        <w:rPr>
          <w:sz w:val="28"/>
          <w:szCs w:val="28"/>
          <w:shd w:val="clear" w:color="auto" w:fill="FFFFFF"/>
          <w:lang w:val="uk-UA"/>
        </w:rPr>
        <w:t>.</w:t>
      </w:r>
      <w:r w:rsidRPr="00BE086B">
        <w:rPr>
          <w:sz w:val="28"/>
          <w:szCs w:val="28"/>
          <w:shd w:val="clear" w:color="auto" w:fill="FFFFFF"/>
          <w:lang w:val="en-US"/>
        </w:rPr>
        <w:t>, Gervais J</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Gauvin D</w:t>
      </w:r>
      <w:r w:rsidRPr="00BE086B">
        <w:rPr>
          <w:sz w:val="28"/>
          <w:szCs w:val="28"/>
          <w:shd w:val="clear" w:color="auto" w:fill="FFFFFF"/>
          <w:lang w:val="uk-UA"/>
        </w:rPr>
        <w:t>.</w:t>
      </w:r>
      <w:r w:rsidRPr="00BE086B">
        <w:rPr>
          <w:sz w:val="28"/>
          <w:szCs w:val="28"/>
          <w:shd w:val="clear" w:color="auto" w:fill="FFFFFF"/>
          <w:lang w:val="en-US"/>
        </w:rPr>
        <w:t>, Péthel C</w:t>
      </w:r>
      <w:r w:rsidRPr="00BE086B">
        <w:rPr>
          <w:sz w:val="28"/>
          <w:szCs w:val="28"/>
          <w:shd w:val="clear" w:color="auto" w:fill="FFFFFF"/>
          <w:lang w:val="uk-UA"/>
        </w:rPr>
        <w:t>.</w:t>
      </w:r>
      <w:r w:rsidRPr="00BE086B">
        <w:rPr>
          <w:sz w:val="28"/>
          <w:szCs w:val="28"/>
          <w:shd w:val="clear" w:color="auto" w:fill="FFFFFF"/>
          <w:lang w:val="en-US"/>
        </w:rPr>
        <w:t>, Authier S</w:t>
      </w:r>
      <w:r w:rsidRPr="00BE086B">
        <w:rPr>
          <w:sz w:val="28"/>
          <w:szCs w:val="28"/>
          <w:shd w:val="clear" w:color="auto" w:fill="FFFFFF"/>
          <w:lang w:val="uk-UA"/>
        </w:rPr>
        <w:t>.</w:t>
      </w:r>
      <w:r w:rsidRPr="00BE086B">
        <w:rPr>
          <w:sz w:val="28"/>
          <w:szCs w:val="28"/>
          <w:shd w:val="clear" w:color="auto" w:fill="FFFFFF"/>
          <w:lang w:val="en-US"/>
        </w:rPr>
        <w:t>, Dansereau M</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Sarret P</w:t>
      </w:r>
      <w:r w:rsidRPr="00BE086B">
        <w:rPr>
          <w:sz w:val="28"/>
          <w:szCs w:val="28"/>
          <w:shd w:val="clear" w:color="auto" w:fill="FFFFFF"/>
          <w:lang w:val="uk-UA"/>
        </w:rPr>
        <w:t>.</w:t>
      </w:r>
      <w:r w:rsidRPr="00BE086B">
        <w:rPr>
          <w:sz w:val="28"/>
          <w:szCs w:val="28"/>
          <w:shd w:val="clear" w:color="auto" w:fill="FFFFFF"/>
          <w:lang w:val="en-US"/>
        </w:rPr>
        <w:t>, Martel-Pelletier J</w:t>
      </w:r>
      <w:r w:rsidRPr="00BE086B">
        <w:rPr>
          <w:sz w:val="28"/>
          <w:szCs w:val="28"/>
          <w:shd w:val="clear" w:color="auto" w:fill="FFFFFF"/>
          <w:lang w:val="uk-UA"/>
        </w:rPr>
        <w:t>.</w:t>
      </w:r>
      <w:r w:rsidRPr="00BE086B">
        <w:rPr>
          <w:sz w:val="28"/>
          <w:szCs w:val="28"/>
          <w:shd w:val="clear" w:color="auto" w:fill="FFFFFF"/>
          <w:lang w:val="en-US"/>
        </w:rPr>
        <w:t>, Pelletier J</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Beaudry F</w:t>
      </w:r>
      <w:r w:rsidRPr="00BE086B">
        <w:rPr>
          <w:sz w:val="28"/>
          <w:szCs w:val="28"/>
          <w:shd w:val="clear" w:color="auto" w:fill="FFFFFF"/>
          <w:lang w:val="uk-UA"/>
        </w:rPr>
        <w:t>.</w:t>
      </w:r>
      <w:r w:rsidRPr="00BE086B">
        <w:rPr>
          <w:sz w:val="28"/>
          <w:szCs w:val="28"/>
          <w:shd w:val="clear" w:color="auto" w:fill="FFFFFF"/>
          <w:lang w:val="en-US"/>
        </w:rPr>
        <w:t>, Troncy E. Concurrent validity of different functional and neuroproteomic pain assessment methods in the rat osteoarthritis monosodium iodoacetate (MIA) model. Arthritis Res Ther. 2016</w:t>
      </w:r>
      <w:r w:rsidRPr="00BE086B">
        <w:rPr>
          <w:sz w:val="28"/>
          <w:szCs w:val="28"/>
          <w:shd w:val="clear" w:color="auto" w:fill="FFFFFF"/>
          <w:lang w:val="uk-UA"/>
        </w:rPr>
        <w:t>;</w:t>
      </w:r>
      <w:r w:rsidRPr="00BE086B">
        <w:rPr>
          <w:sz w:val="28"/>
          <w:szCs w:val="28"/>
          <w:shd w:val="clear" w:color="auto" w:fill="FFFFFF"/>
          <w:lang w:val="en-US"/>
        </w:rPr>
        <w:t>23;18:150.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Marker C</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Pomonis J</w:t>
      </w:r>
      <w:r w:rsidRPr="00BE086B">
        <w:rPr>
          <w:sz w:val="28"/>
          <w:szCs w:val="28"/>
          <w:shd w:val="clear" w:color="auto" w:fill="FFFFFF"/>
          <w:lang w:val="uk-UA"/>
        </w:rPr>
        <w:t>.</w:t>
      </w:r>
      <w:r w:rsidRPr="00BE086B">
        <w:rPr>
          <w:sz w:val="28"/>
          <w:szCs w:val="28"/>
          <w:shd w:val="clear" w:color="auto" w:fill="FFFFFF"/>
          <w:lang w:val="en-US"/>
        </w:rPr>
        <w:t>D. The monosodium iodoacetate model of osteoarthritis pain in the rat. Methods Mol Biol. 2012;851:239-</w:t>
      </w:r>
      <w:r w:rsidRPr="00BE086B">
        <w:rPr>
          <w:sz w:val="28"/>
          <w:szCs w:val="28"/>
          <w:shd w:val="clear" w:color="auto" w:fill="FFFFFF"/>
          <w:lang w:val="uk-UA"/>
        </w:rPr>
        <w:t>2</w:t>
      </w:r>
      <w:r w:rsidRPr="00BE086B">
        <w:rPr>
          <w:sz w:val="28"/>
          <w:szCs w:val="28"/>
          <w:shd w:val="clear" w:color="auto" w:fill="FFFFFF"/>
          <w:lang w:val="en-US"/>
        </w:rPr>
        <w:t>48.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Ogbonna A</w:t>
      </w:r>
      <w:r w:rsidRPr="00BE086B">
        <w:rPr>
          <w:sz w:val="28"/>
          <w:szCs w:val="28"/>
          <w:shd w:val="clear" w:color="auto" w:fill="FFFFFF"/>
          <w:lang w:val="uk-UA"/>
        </w:rPr>
        <w:t>.</w:t>
      </w:r>
      <w:r w:rsidRPr="00BE086B">
        <w:rPr>
          <w:sz w:val="28"/>
          <w:szCs w:val="28"/>
          <w:shd w:val="clear" w:color="auto" w:fill="FFFFFF"/>
          <w:lang w:val="en-US"/>
        </w:rPr>
        <w:t>C</w:t>
      </w:r>
      <w:r w:rsidRPr="00BE086B">
        <w:rPr>
          <w:sz w:val="28"/>
          <w:szCs w:val="28"/>
          <w:shd w:val="clear" w:color="auto" w:fill="FFFFFF"/>
          <w:lang w:val="uk-UA"/>
        </w:rPr>
        <w:t>.</w:t>
      </w:r>
      <w:r w:rsidRPr="00BE086B">
        <w:rPr>
          <w:sz w:val="28"/>
          <w:szCs w:val="28"/>
          <w:shd w:val="clear" w:color="auto" w:fill="FFFFFF"/>
          <w:lang w:val="en-US"/>
        </w:rPr>
        <w:t>, Clark A</w:t>
      </w:r>
      <w:r w:rsidRPr="00BE086B">
        <w:rPr>
          <w:sz w:val="28"/>
          <w:szCs w:val="28"/>
          <w:shd w:val="clear" w:color="auto" w:fill="FFFFFF"/>
          <w:lang w:val="uk-UA"/>
        </w:rPr>
        <w:t>.</w:t>
      </w:r>
      <w:r w:rsidRPr="00BE086B">
        <w:rPr>
          <w:sz w:val="28"/>
          <w:szCs w:val="28"/>
          <w:shd w:val="clear" w:color="auto" w:fill="FFFFFF"/>
          <w:lang w:val="en-US"/>
        </w:rPr>
        <w:t>K</w:t>
      </w:r>
      <w:r w:rsidRPr="00BE086B">
        <w:rPr>
          <w:sz w:val="28"/>
          <w:szCs w:val="28"/>
          <w:shd w:val="clear" w:color="auto" w:fill="FFFFFF"/>
          <w:lang w:val="uk-UA"/>
        </w:rPr>
        <w:t>.</w:t>
      </w:r>
      <w:r w:rsidRPr="00BE086B">
        <w:rPr>
          <w:sz w:val="28"/>
          <w:szCs w:val="28"/>
          <w:shd w:val="clear" w:color="auto" w:fill="FFFFFF"/>
          <w:lang w:val="en-US"/>
        </w:rPr>
        <w:t>, Gentry C</w:t>
      </w:r>
      <w:r w:rsidRPr="00BE086B">
        <w:rPr>
          <w:sz w:val="28"/>
          <w:szCs w:val="28"/>
          <w:shd w:val="clear" w:color="auto" w:fill="FFFFFF"/>
          <w:lang w:val="uk-UA"/>
        </w:rPr>
        <w:t>.</w:t>
      </w:r>
      <w:r w:rsidRPr="00BE086B">
        <w:rPr>
          <w:sz w:val="28"/>
          <w:szCs w:val="28"/>
          <w:shd w:val="clear" w:color="auto" w:fill="FFFFFF"/>
          <w:lang w:val="en-US"/>
        </w:rPr>
        <w:t>, Hobbs C</w:t>
      </w:r>
      <w:r w:rsidRPr="00BE086B">
        <w:rPr>
          <w:sz w:val="28"/>
          <w:szCs w:val="28"/>
          <w:shd w:val="clear" w:color="auto" w:fill="FFFFFF"/>
          <w:lang w:val="uk-UA"/>
        </w:rPr>
        <w:t>.</w:t>
      </w:r>
      <w:r w:rsidRPr="00BE086B">
        <w:rPr>
          <w:sz w:val="28"/>
          <w:szCs w:val="28"/>
          <w:shd w:val="clear" w:color="auto" w:fill="FFFFFF"/>
          <w:lang w:val="en-US"/>
        </w:rPr>
        <w:t>, Malcangio M. Pain-like behaviour and spinal changes in the monosodium iodoacetate model of osteoarthritis in C57Bl/6 mice. Eur J Pain. 2013;17(4):514-</w:t>
      </w:r>
      <w:r w:rsidRPr="00BE086B">
        <w:rPr>
          <w:sz w:val="28"/>
          <w:szCs w:val="28"/>
          <w:shd w:val="clear" w:color="auto" w:fill="FFFFFF"/>
          <w:lang w:val="uk-UA"/>
        </w:rPr>
        <w:t>5</w:t>
      </w:r>
      <w:r w:rsidRPr="00BE086B">
        <w:rPr>
          <w:sz w:val="28"/>
          <w:szCs w:val="28"/>
          <w:shd w:val="clear" w:color="auto" w:fill="FFFFFF"/>
          <w:lang w:val="en-US"/>
        </w:rPr>
        <w:t>26.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Lee Y</w:t>
      </w:r>
      <w:r w:rsidRPr="00BE086B">
        <w:rPr>
          <w:sz w:val="28"/>
          <w:szCs w:val="28"/>
          <w:shd w:val="clear" w:color="auto" w:fill="FFFFFF"/>
          <w:lang w:val="uk-UA"/>
        </w:rPr>
        <w:t>.</w:t>
      </w:r>
      <w:r w:rsidRPr="00BE086B">
        <w:rPr>
          <w:sz w:val="28"/>
          <w:szCs w:val="28"/>
          <w:shd w:val="clear" w:color="auto" w:fill="FFFFFF"/>
          <w:lang w:val="en-US"/>
        </w:rPr>
        <w:t>, Pai M</w:t>
      </w:r>
      <w:r w:rsidRPr="00BE086B">
        <w:rPr>
          <w:sz w:val="28"/>
          <w:szCs w:val="28"/>
          <w:shd w:val="clear" w:color="auto" w:fill="FFFFFF"/>
          <w:lang w:val="uk-UA"/>
        </w:rPr>
        <w:t>.</w:t>
      </w:r>
      <w:r w:rsidRPr="00BE086B">
        <w:rPr>
          <w:sz w:val="28"/>
          <w:szCs w:val="28"/>
          <w:shd w:val="clear" w:color="auto" w:fill="FFFFFF"/>
          <w:lang w:val="en-US"/>
        </w:rPr>
        <w:t>, Brederson J</w:t>
      </w:r>
      <w:r w:rsidRPr="00BE086B">
        <w:rPr>
          <w:sz w:val="28"/>
          <w:szCs w:val="28"/>
          <w:shd w:val="clear" w:color="auto" w:fill="FFFFFF"/>
          <w:lang w:val="uk-UA"/>
        </w:rPr>
        <w:t>.</w:t>
      </w:r>
      <w:r w:rsidRPr="00BE086B">
        <w:rPr>
          <w:sz w:val="28"/>
          <w:szCs w:val="28"/>
          <w:shd w:val="clear" w:color="auto" w:fill="FFFFFF"/>
          <w:lang w:val="en-US"/>
        </w:rPr>
        <w:t>D</w:t>
      </w:r>
      <w:r w:rsidRPr="00BE086B">
        <w:rPr>
          <w:sz w:val="28"/>
          <w:szCs w:val="28"/>
          <w:shd w:val="clear" w:color="auto" w:fill="FFFFFF"/>
          <w:lang w:val="uk-UA"/>
        </w:rPr>
        <w:t>.</w:t>
      </w:r>
      <w:r w:rsidRPr="00BE086B">
        <w:rPr>
          <w:sz w:val="28"/>
          <w:szCs w:val="28"/>
          <w:shd w:val="clear" w:color="auto" w:fill="FFFFFF"/>
          <w:lang w:val="en-US"/>
        </w:rPr>
        <w:t>, Wilcox D</w:t>
      </w:r>
      <w:r w:rsidRPr="00BE086B">
        <w:rPr>
          <w:sz w:val="28"/>
          <w:szCs w:val="28"/>
          <w:shd w:val="clear" w:color="auto" w:fill="FFFFFF"/>
          <w:lang w:val="uk-UA"/>
        </w:rPr>
        <w:t>.</w:t>
      </w:r>
      <w:r w:rsidRPr="00BE086B">
        <w:rPr>
          <w:sz w:val="28"/>
          <w:szCs w:val="28"/>
          <w:shd w:val="clear" w:color="auto" w:fill="FFFFFF"/>
          <w:lang w:val="en-US"/>
        </w:rPr>
        <w:t>, Hsieh G</w:t>
      </w:r>
      <w:r w:rsidRPr="00BE086B">
        <w:rPr>
          <w:sz w:val="28"/>
          <w:szCs w:val="28"/>
          <w:shd w:val="clear" w:color="auto" w:fill="FFFFFF"/>
          <w:lang w:val="uk-UA"/>
        </w:rPr>
        <w:t>.</w:t>
      </w:r>
      <w:r w:rsidRPr="00BE086B">
        <w:rPr>
          <w:sz w:val="28"/>
          <w:szCs w:val="28"/>
          <w:shd w:val="clear" w:color="auto" w:fill="FFFFFF"/>
          <w:lang w:val="en-US"/>
        </w:rPr>
        <w:t>, Jarvis M</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Bitner R</w:t>
      </w:r>
      <w:r w:rsidRPr="00BE086B">
        <w:rPr>
          <w:sz w:val="28"/>
          <w:szCs w:val="28"/>
          <w:shd w:val="clear" w:color="auto" w:fill="FFFFFF"/>
          <w:lang w:val="uk-UA"/>
        </w:rPr>
        <w:t>.</w:t>
      </w:r>
      <w:r w:rsidRPr="00BE086B">
        <w:rPr>
          <w:sz w:val="28"/>
          <w:szCs w:val="28"/>
          <w:shd w:val="clear" w:color="auto" w:fill="FFFFFF"/>
          <w:lang w:val="en-US"/>
        </w:rPr>
        <w:t>S. Monosodium iodoacetate-induced joint pain is associated with increased phosphorylation of mitogen activated protein kinases in the rat spinal cord. Mol Pain. 2011</w:t>
      </w:r>
      <w:r w:rsidRPr="00BE086B">
        <w:rPr>
          <w:sz w:val="28"/>
          <w:szCs w:val="28"/>
          <w:shd w:val="clear" w:color="auto" w:fill="FFFFFF"/>
          <w:lang w:val="uk-UA"/>
        </w:rPr>
        <w:t>;</w:t>
      </w:r>
      <w:r w:rsidRPr="00BE086B">
        <w:rPr>
          <w:sz w:val="28"/>
          <w:szCs w:val="28"/>
          <w:shd w:val="clear" w:color="auto" w:fill="FFFFFF"/>
          <w:lang w:val="en-US"/>
        </w:rPr>
        <w:t>20;7:39.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Sagar D</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Burston J</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Hathway G</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Woodhams S</w:t>
      </w:r>
      <w:r w:rsidRPr="00BE086B">
        <w:rPr>
          <w:sz w:val="28"/>
          <w:szCs w:val="28"/>
          <w:shd w:val="clear" w:color="auto" w:fill="FFFFFF"/>
          <w:lang w:val="uk-UA"/>
        </w:rPr>
        <w:t>.</w:t>
      </w:r>
      <w:r w:rsidRPr="00BE086B">
        <w:rPr>
          <w:sz w:val="28"/>
          <w:szCs w:val="28"/>
          <w:shd w:val="clear" w:color="auto" w:fill="FFFFFF"/>
          <w:lang w:val="en-US"/>
        </w:rPr>
        <w:t>G</w:t>
      </w:r>
      <w:r w:rsidRPr="00BE086B">
        <w:rPr>
          <w:sz w:val="28"/>
          <w:szCs w:val="28"/>
          <w:shd w:val="clear" w:color="auto" w:fill="FFFFFF"/>
          <w:lang w:val="uk-UA"/>
        </w:rPr>
        <w:t>.</w:t>
      </w:r>
      <w:r w:rsidRPr="00BE086B">
        <w:rPr>
          <w:sz w:val="28"/>
          <w:szCs w:val="28"/>
          <w:shd w:val="clear" w:color="auto" w:fill="FFFFFF"/>
          <w:lang w:val="en-US"/>
        </w:rPr>
        <w:t>, Pearson R</w:t>
      </w:r>
      <w:r w:rsidRPr="00BE086B">
        <w:rPr>
          <w:sz w:val="28"/>
          <w:szCs w:val="28"/>
          <w:shd w:val="clear" w:color="auto" w:fill="FFFFFF"/>
          <w:lang w:val="uk-UA"/>
        </w:rPr>
        <w:t>.</w:t>
      </w:r>
      <w:r w:rsidRPr="00BE086B">
        <w:rPr>
          <w:sz w:val="28"/>
          <w:szCs w:val="28"/>
          <w:shd w:val="clear" w:color="auto" w:fill="FFFFFF"/>
          <w:lang w:val="en-US"/>
        </w:rPr>
        <w:t>G</w:t>
      </w:r>
      <w:r w:rsidRPr="00BE086B">
        <w:rPr>
          <w:sz w:val="28"/>
          <w:szCs w:val="28"/>
          <w:shd w:val="clear" w:color="auto" w:fill="FFFFFF"/>
          <w:lang w:val="uk-UA"/>
        </w:rPr>
        <w:t>.</w:t>
      </w:r>
      <w:r w:rsidRPr="00BE086B">
        <w:rPr>
          <w:sz w:val="28"/>
          <w:szCs w:val="28"/>
          <w:shd w:val="clear" w:color="auto" w:fill="FFFFFF"/>
          <w:lang w:val="en-US"/>
        </w:rPr>
        <w:t>, Bennett A</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Kendall D</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Scammell B</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w:t>
      </w:r>
      <w:r w:rsidRPr="00BE086B">
        <w:rPr>
          <w:sz w:val="28"/>
          <w:szCs w:val="28"/>
          <w:shd w:val="clear" w:color="auto" w:fill="FFFFFF"/>
          <w:lang w:val="en-US"/>
        </w:rPr>
        <w:t>, Chapman V. The contribution of spinal glial cells to chronic pain behaviour in the monosodium iodoacetate model of osteoarthritic pain. Mol Pain. 2011</w:t>
      </w:r>
      <w:r w:rsidRPr="00BE086B">
        <w:rPr>
          <w:sz w:val="28"/>
          <w:szCs w:val="28"/>
          <w:shd w:val="clear" w:color="auto" w:fill="FFFFFF"/>
          <w:lang w:val="uk-UA"/>
        </w:rPr>
        <w:t>;</w:t>
      </w:r>
      <w:r w:rsidRPr="00BE086B">
        <w:rPr>
          <w:sz w:val="28"/>
          <w:szCs w:val="28"/>
          <w:shd w:val="clear" w:color="auto" w:fill="FFFFFF"/>
          <w:lang w:val="en-US"/>
        </w:rPr>
        <w:t>17;7:88.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1142BF">
        <w:rPr>
          <w:sz w:val="28"/>
          <w:szCs w:val="28"/>
          <w:shd w:val="clear" w:color="auto" w:fill="FFFFFF"/>
          <w:lang w:val="en-US"/>
        </w:rPr>
        <w:t>Otis C</w:t>
      </w:r>
      <w:r w:rsidRPr="00BE086B">
        <w:rPr>
          <w:sz w:val="28"/>
          <w:szCs w:val="28"/>
          <w:shd w:val="clear" w:color="auto" w:fill="FFFFFF"/>
          <w:lang w:val="uk-UA"/>
        </w:rPr>
        <w:t>.</w:t>
      </w:r>
      <w:r w:rsidRPr="001142BF">
        <w:rPr>
          <w:sz w:val="28"/>
          <w:szCs w:val="28"/>
          <w:shd w:val="clear" w:color="auto" w:fill="FFFFFF"/>
          <w:lang w:val="en-US"/>
        </w:rPr>
        <w:t>, Guillot M</w:t>
      </w:r>
      <w:r w:rsidRPr="00BE086B">
        <w:rPr>
          <w:sz w:val="28"/>
          <w:szCs w:val="28"/>
          <w:shd w:val="clear" w:color="auto" w:fill="FFFFFF"/>
          <w:lang w:val="uk-UA"/>
        </w:rPr>
        <w:t>.</w:t>
      </w:r>
      <w:r w:rsidRPr="001142BF">
        <w:rPr>
          <w:sz w:val="28"/>
          <w:szCs w:val="28"/>
          <w:shd w:val="clear" w:color="auto" w:fill="FFFFFF"/>
          <w:lang w:val="en-US"/>
        </w:rPr>
        <w:t>, Moreau M</w:t>
      </w:r>
      <w:r w:rsidRPr="00BE086B">
        <w:rPr>
          <w:sz w:val="28"/>
          <w:szCs w:val="28"/>
          <w:shd w:val="clear" w:color="auto" w:fill="FFFFFF"/>
          <w:lang w:val="uk-UA"/>
        </w:rPr>
        <w:t>.</w:t>
      </w:r>
      <w:r w:rsidRPr="001142BF">
        <w:rPr>
          <w:sz w:val="28"/>
          <w:szCs w:val="28"/>
          <w:shd w:val="clear" w:color="auto" w:fill="FFFFFF"/>
          <w:lang w:val="en-US"/>
        </w:rPr>
        <w:t>, Martel-Pelletier J</w:t>
      </w:r>
      <w:r w:rsidRPr="00BE086B">
        <w:rPr>
          <w:sz w:val="28"/>
          <w:szCs w:val="28"/>
          <w:shd w:val="clear" w:color="auto" w:fill="FFFFFF"/>
          <w:lang w:val="uk-UA"/>
        </w:rPr>
        <w:t>.</w:t>
      </w:r>
      <w:r w:rsidRPr="001142BF">
        <w:rPr>
          <w:sz w:val="28"/>
          <w:szCs w:val="28"/>
          <w:shd w:val="clear" w:color="auto" w:fill="FFFFFF"/>
          <w:lang w:val="en-US"/>
        </w:rPr>
        <w:t>, Pelletier J</w:t>
      </w:r>
      <w:r w:rsidRPr="00BE086B">
        <w:rPr>
          <w:sz w:val="28"/>
          <w:szCs w:val="28"/>
          <w:shd w:val="clear" w:color="auto" w:fill="FFFFFF"/>
          <w:lang w:val="uk-UA"/>
        </w:rPr>
        <w:t>.</w:t>
      </w:r>
      <w:r w:rsidRPr="001142BF">
        <w:rPr>
          <w:sz w:val="28"/>
          <w:szCs w:val="28"/>
          <w:shd w:val="clear" w:color="auto" w:fill="FFFFFF"/>
          <w:lang w:val="en-US"/>
        </w:rPr>
        <w:t>P</w:t>
      </w:r>
      <w:r w:rsidRPr="00BE086B">
        <w:rPr>
          <w:sz w:val="28"/>
          <w:szCs w:val="28"/>
          <w:shd w:val="clear" w:color="auto" w:fill="FFFFFF"/>
          <w:lang w:val="uk-UA"/>
        </w:rPr>
        <w:t>.</w:t>
      </w:r>
      <w:r w:rsidRPr="001142BF">
        <w:rPr>
          <w:sz w:val="28"/>
          <w:szCs w:val="28"/>
          <w:shd w:val="clear" w:color="auto" w:fill="FFFFFF"/>
          <w:lang w:val="en-US"/>
        </w:rPr>
        <w:t>, Beaudry F</w:t>
      </w:r>
      <w:r w:rsidRPr="00BE086B">
        <w:rPr>
          <w:sz w:val="28"/>
          <w:szCs w:val="28"/>
          <w:shd w:val="clear" w:color="auto" w:fill="FFFFFF"/>
          <w:lang w:val="uk-UA"/>
        </w:rPr>
        <w:t>.</w:t>
      </w:r>
      <w:r w:rsidRPr="001142BF">
        <w:rPr>
          <w:sz w:val="28"/>
          <w:szCs w:val="28"/>
          <w:shd w:val="clear" w:color="auto" w:fill="FFFFFF"/>
          <w:lang w:val="en-US"/>
        </w:rPr>
        <w:t xml:space="preserve">, Troncy E. Spinal neuropeptide modulation, functional assessment and </w:t>
      </w:r>
      <w:r w:rsidRPr="001142BF">
        <w:rPr>
          <w:sz w:val="28"/>
          <w:szCs w:val="28"/>
          <w:shd w:val="clear" w:color="auto" w:fill="FFFFFF"/>
          <w:lang w:val="en-US"/>
        </w:rPr>
        <w:lastRenderedPageBreak/>
        <w:t xml:space="preserve">cartilage lesions in a monosodium iodoacetate rat model of osteoarthritis. </w:t>
      </w:r>
      <w:r w:rsidRPr="00BE086B">
        <w:rPr>
          <w:sz w:val="28"/>
          <w:szCs w:val="28"/>
          <w:shd w:val="clear" w:color="auto" w:fill="FFFFFF"/>
        </w:rPr>
        <w:t>Neuropeptides. 2017;65:56-62.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rPr>
        <w:t xml:space="preserve">Компендіум 2019 </w:t>
      </w:r>
      <w:r w:rsidRPr="00BE086B">
        <w:rPr>
          <w:sz w:val="28"/>
          <w:szCs w:val="28"/>
          <w:shd w:val="clear" w:color="auto" w:fill="FFFFFF"/>
          <w:lang w:val="uk-UA"/>
        </w:rPr>
        <w:t>-</w:t>
      </w:r>
      <w:r w:rsidRPr="00BE086B">
        <w:rPr>
          <w:sz w:val="28"/>
          <w:szCs w:val="28"/>
          <w:shd w:val="clear" w:color="auto" w:fill="FFFFFF"/>
        </w:rPr>
        <w:t xml:space="preserve"> лікарські препарати</w:t>
      </w:r>
      <w:r w:rsidRPr="00BE086B">
        <w:rPr>
          <w:sz w:val="28"/>
          <w:szCs w:val="28"/>
          <w:shd w:val="clear" w:color="auto" w:fill="FFFFFF"/>
          <w:lang w:val="uk-UA"/>
        </w:rPr>
        <w:t>.</w:t>
      </w:r>
      <w:r w:rsidRPr="00BE086B">
        <w:rPr>
          <w:sz w:val="28"/>
          <w:szCs w:val="28"/>
          <w:shd w:val="clear" w:color="auto" w:fill="FFFFFF"/>
        </w:rPr>
        <w:t xml:space="preserve"> За ред. В.М. Коваленка</w:t>
      </w:r>
      <w:r w:rsidRPr="00BE086B">
        <w:rPr>
          <w:sz w:val="28"/>
          <w:szCs w:val="28"/>
          <w:shd w:val="clear" w:color="auto" w:fill="FFFFFF"/>
          <w:lang w:val="uk-UA"/>
        </w:rPr>
        <w:t>.</w:t>
      </w:r>
      <w:r w:rsidRPr="00BE086B">
        <w:rPr>
          <w:sz w:val="28"/>
          <w:szCs w:val="28"/>
          <w:shd w:val="clear" w:color="auto" w:fill="FFFFFF"/>
        </w:rPr>
        <w:t xml:space="preserve"> К</w:t>
      </w:r>
      <w:r w:rsidRPr="00BE086B">
        <w:rPr>
          <w:sz w:val="28"/>
          <w:szCs w:val="28"/>
          <w:shd w:val="clear" w:color="auto" w:fill="FFFFFF"/>
          <w:lang w:val="uk-UA"/>
        </w:rPr>
        <w:t>иїв</w:t>
      </w:r>
      <w:r w:rsidRPr="00BE086B">
        <w:rPr>
          <w:sz w:val="28"/>
          <w:szCs w:val="28"/>
          <w:shd w:val="clear" w:color="auto" w:fill="FFFFFF"/>
        </w:rPr>
        <w:t>: Моріон, 2019</w:t>
      </w:r>
      <w:r w:rsidRPr="00BE086B">
        <w:rPr>
          <w:sz w:val="28"/>
          <w:szCs w:val="28"/>
          <w:shd w:val="clear" w:color="auto" w:fill="FFFFFF"/>
          <w:lang w:val="uk-UA"/>
        </w:rPr>
        <w:t>,</w:t>
      </w:r>
      <w:r w:rsidRPr="00BE086B">
        <w:rPr>
          <w:sz w:val="28"/>
          <w:szCs w:val="28"/>
          <w:shd w:val="clear" w:color="auto" w:fill="FFFFFF"/>
        </w:rPr>
        <w:t xml:space="preserve"> 2480 с.</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lang w:val="en-US"/>
        </w:rPr>
        <w:t>Felson D</w:t>
      </w:r>
      <w:r w:rsidRPr="00BE086B">
        <w:rPr>
          <w:sz w:val="28"/>
          <w:szCs w:val="28"/>
          <w:lang w:val="uk-UA"/>
        </w:rPr>
        <w:t>.</w:t>
      </w:r>
      <w:r w:rsidRPr="00BE086B">
        <w:rPr>
          <w:sz w:val="28"/>
          <w:szCs w:val="28"/>
          <w:lang w:val="en-US"/>
        </w:rPr>
        <w:t>T</w:t>
      </w:r>
      <w:r w:rsidRPr="00BE086B">
        <w:rPr>
          <w:sz w:val="28"/>
          <w:szCs w:val="28"/>
          <w:lang w:val="uk-UA"/>
        </w:rPr>
        <w:t>.</w:t>
      </w:r>
      <w:r w:rsidRPr="00BE086B">
        <w:rPr>
          <w:sz w:val="28"/>
          <w:szCs w:val="28"/>
          <w:lang w:val="en-US"/>
        </w:rPr>
        <w:t>, McLaughlin S</w:t>
      </w:r>
      <w:r w:rsidRPr="00BE086B">
        <w:rPr>
          <w:sz w:val="28"/>
          <w:szCs w:val="28"/>
          <w:lang w:val="uk-UA"/>
        </w:rPr>
        <w:t>.</w:t>
      </w:r>
      <w:r w:rsidRPr="00BE086B">
        <w:rPr>
          <w:sz w:val="28"/>
          <w:szCs w:val="28"/>
          <w:lang w:val="en-US"/>
        </w:rPr>
        <w:t>, Goggins J</w:t>
      </w:r>
      <w:r w:rsidRPr="00BE086B">
        <w:rPr>
          <w:sz w:val="28"/>
          <w:szCs w:val="28"/>
          <w:lang w:val="uk-UA"/>
        </w:rPr>
        <w:t>.</w:t>
      </w:r>
      <w:r w:rsidRPr="00BE086B">
        <w:rPr>
          <w:sz w:val="28"/>
          <w:szCs w:val="28"/>
          <w:lang w:val="en-US"/>
        </w:rPr>
        <w:t xml:space="preserve"> Bone marrow oedema and its relation to progression of knee osteoarthritis. Ann Intern Med 2003;139(51):330</w:t>
      </w:r>
      <w:r w:rsidRPr="00BE086B">
        <w:rPr>
          <w:sz w:val="28"/>
          <w:szCs w:val="28"/>
          <w:lang w:val="uk-UA"/>
        </w:rPr>
        <w:t>-33</w:t>
      </w:r>
      <w:r w:rsidRPr="00BE086B">
        <w:rPr>
          <w:sz w:val="28"/>
          <w:szCs w:val="28"/>
          <w:lang w:val="en-US"/>
        </w:rPr>
        <w:t>6.</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Crema M</w:t>
      </w:r>
      <w:r w:rsidRPr="00BE086B">
        <w:rPr>
          <w:sz w:val="28"/>
          <w:szCs w:val="28"/>
          <w:lang w:val="uk-UA"/>
        </w:rPr>
        <w:t>.</w:t>
      </w:r>
      <w:r w:rsidRPr="00BE086B">
        <w:rPr>
          <w:sz w:val="28"/>
          <w:szCs w:val="28"/>
          <w:lang w:val="en-US"/>
        </w:rPr>
        <w:t>D</w:t>
      </w:r>
      <w:r w:rsidRPr="00BE086B">
        <w:rPr>
          <w:sz w:val="28"/>
          <w:szCs w:val="28"/>
          <w:lang w:val="uk-UA"/>
        </w:rPr>
        <w:t>.</w:t>
      </w:r>
      <w:r w:rsidRPr="00BE086B">
        <w:rPr>
          <w:sz w:val="28"/>
          <w:szCs w:val="28"/>
          <w:lang w:val="en-US"/>
        </w:rPr>
        <w:t>, Roemer F</w:t>
      </w:r>
      <w:r w:rsidRPr="00BE086B">
        <w:rPr>
          <w:sz w:val="28"/>
          <w:szCs w:val="28"/>
          <w:lang w:val="uk-UA"/>
        </w:rPr>
        <w:t>.</w:t>
      </w:r>
      <w:r w:rsidRPr="00BE086B">
        <w:rPr>
          <w:sz w:val="28"/>
          <w:szCs w:val="28"/>
          <w:lang w:val="en-US"/>
        </w:rPr>
        <w:t>W</w:t>
      </w:r>
      <w:r w:rsidRPr="00BE086B">
        <w:rPr>
          <w:sz w:val="28"/>
          <w:szCs w:val="28"/>
          <w:lang w:val="uk-UA"/>
        </w:rPr>
        <w:t>.</w:t>
      </w:r>
      <w:r w:rsidRPr="00BE086B">
        <w:rPr>
          <w:sz w:val="28"/>
          <w:szCs w:val="28"/>
          <w:lang w:val="en-US"/>
        </w:rPr>
        <w:t>, Zhu Y</w:t>
      </w:r>
      <w:r w:rsidRPr="00BE086B">
        <w:rPr>
          <w:sz w:val="28"/>
          <w:szCs w:val="28"/>
          <w:lang w:val="uk-UA"/>
        </w:rPr>
        <w:t>.</w:t>
      </w:r>
      <w:r w:rsidRPr="00BE086B">
        <w:rPr>
          <w:sz w:val="28"/>
          <w:szCs w:val="28"/>
          <w:lang w:val="en-US"/>
        </w:rPr>
        <w:t xml:space="preserve"> Subchondral cystlike lesions develop longitudinally in areas of bone edema-like lesions in patients with or at risk for knee osteoarthritis: detection with MR imaging the MOST study. Radiology 2010;256:855</w:t>
      </w:r>
      <w:r w:rsidRPr="00BE086B">
        <w:rPr>
          <w:sz w:val="28"/>
          <w:szCs w:val="28"/>
          <w:lang w:val="uk-UA"/>
        </w:rPr>
        <w:t>-8</w:t>
      </w:r>
      <w:r w:rsidRPr="00BE086B">
        <w:rPr>
          <w:sz w:val="28"/>
          <w:szCs w:val="28"/>
          <w:lang w:val="en-US"/>
        </w:rPr>
        <w:t>61.</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Baker K</w:t>
      </w:r>
      <w:r w:rsidRPr="00BE086B">
        <w:rPr>
          <w:sz w:val="28"/>
          <w:szCs w:val="28"/>
          <w:lang w:val="uk-UA"/>
        </w:rPr>
        <w:t>.</w:t>
      </w:r>
      <w:r w:rsidRPr="00BE086B">
        <w:rPr>
          <w:sz w:val="28"/>
          <w:szCs w:val="28"/>
          <w:lang w:val="en-US"/>
        </w:rPr>
        <w:t>, Grainger A</w:t>
      </w:r>
      <w:r w:rsidRPr="00BE086B">
        <w:rPr>
          <w:sz w:val="28"/>
          <w:szCs w:val="28"/>
          <w:lang w:val="uk-UA"/>
        </w:rPr>
        <w:t>.</w:t>
      </w:r>
      <w:r w:rsidRPr="00BE086B">
        <w:rPr>
          <w:sz w:val="28"/>
          <w:szCs w:val="28"/>
          <w:lang w:val="en-US"/>
        </w:rPr>
        <w:t>, Niu J</w:t>
      </w:r>
      <w:r w:rsidRPr="00BE086B">
        <w:rPr>
          <w:sz w:val="28"/>
          <w:szCs w:val="28"/>
          <w:lang w:val="uk-UA"/>
        </w:rPr>
        <w:t>.</w:t>
      </w:r>
      <w:r w:rsidRPr="00BE086B">
        <w:rPr>
          <w:sz w:val="28"/>
          <w:szCs w:val="28"/>
          <w:lang w:val="en-US"/>
        </w:rPr>
        <w:t xml:space="preserve"> Relation of synovitis to knee pain using contrast-enhanced MRIs. Ann Rheum Dis 2010;69:1779</w:t>
      </w:r>
      <w:r w:rsidRPr="00BE086B">
        <w:rPr>
          <w:sz w:val="28"/>
          <w:szCs w:val="28"/>
          <w:lang w:val="uk-UA"/>
        </w:rPr>
        <w:t>-17</w:t>
      </w:r>
      <w:r w:rsidRPr="00BE086B">
        <w:rPr>
          <w:sz w:val="28"/>
          <w:szCs w:val="28"/>
          <w:lang w:val="en-US"/>
        </w:rPr>
        <w:t>83.</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Maihofner C</w:t>
      </w:r>
      <w:r w:rsidRPr="00BE086B">
        <w:rPr>
          <w:sz w:val="28"/>
          <w:szCs w:val="28"/>
          <w:lang w:val="uk-UA"/>
        </w:rPr>
        <w:t>.</w:t>
      </w:r>
      <w:r w:rsidRPr="00BE086B">
        <w:rPr>
          <w:sz w:val="28"/>
          <w:szCs w:val="28"/>
          <w:lang w:val="en-US"/>
        </w:rPr>
        <w:t>, Handwerker H</w:t>
      </w:r>
      <w:r w:rsidRPr="00BE086B">
        <w:rPr>
          <w:sz w:val="28"/>
          <w:szCs w:val="28"/>
          <w:lang w:val="uk-UA"/>
        </w:rPr>
        <w:t>.</w:t>
      </w:r>
      <w:r w:rsidRPr="00BE086B">
        <w:rPr>
          <w:sz w:val="28"/>
          <w:szCs w:val="28"/>
          <w:lang w:val="en-US"/>
        </w:rPr>
        <w:t>O</w:t>
      </w:r>
      <w:r w:rsidRPr="00BE086B">
        <w:rPr>
          <w:sz w:val="28"/>
          <w:szCs w:val="28"/>
          <w:lang w:val="uk-UA"/>
        </w:rPr>
        <w:t>.</w:t>
      </w:r>
      <w:r w:rsidRPr="00BE086B">
        <w:rPr>
          <w:sz w:val="28"/>
          <w:szCs w:val="28"/>
          <w:lang w:val="en-US"/>
        </w:rPr>
        <w:t>, Birklein F. Functional Iamging of allodynia in complex regional pain syndrome. Neurology 2006;66:711</w:t>
      </w:r>
      <w:r w:rsidRPr="00BE086B">
        <w:rPr>
          <w:sz w:val="28"/>
          <w:szCs w:val="28"/>
          <w:lang w:val="uk-UA"/>
        </w:rPr>
        <w:t>-71</w:t>
      </w:r>
      <w:r w:rsidRPr="00BE086B">
        <w:rPr>
          <w:sz w:val="28"/>
          <w:szCs w:val="28"/>
          <w:lang w:val="en-US"/>
        </w:rPr>
        <w:t>7.</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rPr>
        <w:t>Кукушкин М.Л.</w:t>
      </w:r>
      <w:r w:rsidRPr="00BE086B">
        <w:rPr>
          <w:sz w:val="28"/>
          <w:szCs w:val="28"/>
          <w:lang w:val="uk-UA"/>
        </w:rPr>
        <w:t xml:space="preserve">, </w:t>
      </w:r>
      <w:r w:rsidRPr="00BE086B">
        <w:rPr>
          <w:sz w:val="28"/>
          <w:szCs w:val="28"/>
        </w:rPr>
        <w:t>Решетняк В.К. Патофизиология боли при воспалении</w:t>
      </w:r>
      <w:r w:rsidRPr="00BE086B">
        <w:rPr>
          <w:sz w:val="28"/>
          <w:szCs w:val="28"/>
          <w:lang w:val="uk-UA"/>
        </w:rPr>
        <w:t>.</w:t>
      </w:r>
      <w:r w:rsidRPr="00BE086B">
        <w:rPr>
          <w:sz w:val="28"/>
          <w:szCs w:val="28"/>
        </w:rPr>
        <w:t xml:space="preserve"> РМЖ</w:t>
      </w:r>
      <w:r w:rsidRPr="00BE086B">
        <w:rPr>
          <w:sz w:val="28"/>
          <w:szCs w:val="28"/>
          <w:lang w:val="uk-UA"/>
        </w:rPr>
        <w:t>.</w:t>
      </w:r>
      <w:r w:rsidRPr="00BE086B">
        <w:rPr>
          <w:sz w:val="28"/>
          <w:szCs w:val="28"/>
          <w:lang w:val="en-US"/>
        </w:rPr>
        <w:t xml:space="preserve"> </w:t>
      </w:r>
      <w:r w:rsidRPr="00BE086B">
        <w:rPr>
          <w:sz w:val="28"/>
          <w:szCs w:val="28"/>
        </w:rPr>
        <w:t>Неврология</w:t>
      </w:r>
      <w:r w:rsidRPr="00BE086B">
        <w:rPr>
          <w:sz w:val="28"/>
          <w:szCs w:val="28"/>
          <w:lang w:val="en-US"/>
        </w:rPr>
        <w:t xml:space="preserve">. </w:t>
      </w:r>
      <w:r w:rsidRPr="00BE086B">
        <w:rPr>
          <w:sz w:val="28"/>
          <w:szCs w:val="28"/>
        </w:rPr>
        <w:t>Психиатрия</w:t>
      </w:r>
      <w:r w:rsidRPr="00BE086B">
        <w:rPr>
          <w:sz w:val="28"/>
          <w:szCs w:val="28"/>
          <w:lang w:val="en-US"/>
        </w:rPr>
        <w:t>. 2004</w:t>
      </w:r>
      <w:r w:rsidRPr="00BE086B">
        <w:rPr>
          <w:sz w:val="28"/>
          <w:szCs w:val="28"/>
          <w:lang w:val="uk-UA"/>
        </w:rPr>
        <w:t>;</w:t>
      </w:r>
      <w:r w:rsidRPr="00BE086B">
        <w:rPr>
          <w:sz w:val="28"/>
          <w:szCs w:val="28"/>
          <w:lang w:val="en-US"/>
        </w:rPr>
        <w:t xml:space="preserve"> 12,</w:t>
      </w:r>
      <w:r w:rsidRPr="00BE086B">
        <w:rPr>
          <w:sz w:val="28"/>
          <w:szCs w:val="28"/>
          <w:lang w:val="uk-UA"/>
        </w:rPr>
        <w:t xml:space="preserve"> </w:t>
      </w:r>
      <w:r w:rsidRPr="00BE086B">
        <w:rPr>
          <w:sz w:val="28"/>
          <w:szCs w:val="28"/>
          <w:lang w:val="en-US"/>
        </w:rPr>
        <w:t>22</w:t>
      </w:r>
      <w:r w:rsidRPr="00BE086B">
        <w:rPr>
          <w:sz w:val="28"/>
          <w:szCs w:val="28"/>
          <w:lang w:val="uk-UA"/>
        </w:rPr>
        <w:t>: 5-14.</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lang w:val="en-US"/>
        </w:rPr>
        <w:t>Kidd B</w:t>
      </w:r>
      <w:r w:rsidRPr="00BE086B">
        <w:rPr>
          <w:sz w:val="28"/>
          <w:szCs w:val="28"/>
          <w:lang w:val="uk-UA"/>
        </w:rPr>
        <w:t>.</w:t>
      </w:r>
      <w:r w:rsidRPr="00BE086B">
        <w:rPr>
          <w:sz w:val="28"/>
          <w:szCs w:val="28"/>
          <w:lang w:val="en-US"/>
        </w:rPr>
        <w:t>L. Osteoarthritis and joint pain. Pain 2006;123:69</w:t>
      </w:r>
      <w:r w:rsidRPr="00BE086B">
        <w:rPr>
          <w:sz w:val="28"/>
          <w:szCs w:val="28"/>
          <w:lang w:val="uk-UA"/>
        </w:rPr>
        <w:t>.</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Sofat N. Analysing the role of endogenous matrix molecules in the development of osteoarthritis. Int J Exp Pathol 2009;90:463</w:t>
      </w:r>
      <w:r w:rsidRPr="00BE086B">
        <w:rPr>
          <w:sz w:val="28"/>
          <w:szCs w:val="28"/>
          <w:lang w:val="uk-UA"/>
        </w:rPr>
        <w:t>-4</w:t>
      </w:r>
      <w:r w:rsidRPr="00BE086B">
        <w:rPr>
          <w:sz w:val="28"/>
          <w:szCs w:val="28"/>
          <w:lang w:val="en-US"/>
        </w:rPr>
        <w:t>79</w:t>
      </w:r>
      <w:r w:rsidRPr="00BE086B">
        <w:rPr>
          <w:sz w:val="28"/>
          <w:szCs w:val="28"/>
          <w:lang w:val="uk-UA"/>
        </w:rPr>
        <w:t>.</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Fitzcharles M</w:t>
      </w:r>
      <w:r w:rsidRPr="00BE086B">
        <w:rPr>
          <w:sz w:val="28"/>
          <w:szCs w:val="28"/>
          <w:lang w:val="uk-UA"/>
        </w:rPr>
        <w:t>.</w:t>
      </w:r>
      <w:r w:rsidRPr="00BE086B">
        <w:rPr>
          <w:sz w:val="28"/>
          <w:szCs w:val="28"/>
          <w:lang w:val="en-US"/>
        </w:rPr>
        <w:t>H</w:t>
      </w:r>
      <w:r w:rsidRPr="00BE086B">
        <w:rPr>
          <w:sz w:val="28"/>
          <w:szCs w:val="28"/>
          <w:lang w:val="uk-UA"/>
        </w:rPr>
        <w:t>.</w:t>
      </w:r>
      <w:r w:rsidRPr="00BE086B">
        <w:rPr>
          <w:sz w:val="28"/>
          <w:szCs w:val="28"/>
          <w:lang w:val="en-US"/>
        </w:rPr>
        <w:t>, Almahrezi A</w:t>
      </w:r>
      <w:r w:rsidRPr="00BE086B">
        <w:rPr>
          <w:sz w:val="28"/>
          <w:szCs w:val="28"/>
          <w:lang w:val="uk-UA"/>
        </w:rPr>
        <w:t>.</w:t>
      </w:r>
      <w:r w:rsidRPr="00BE086B">
        <w:rPr>
          <w:sz w:val="28"/>
          <w:szCs w:val="28"/>
          <w:lang w:val="en-US"/>
        </w:rPr>
        <w:t>, Shir Y. Pain: understanding and challenges for the rheumatologist. Arthritis Rheum 2005;52:3685</w:t>
      </w:r>
      <w:r w:rsidRPr="00BE086B">
        <w:rPr>
          <w:sz w:val="28"/>
          <w:szCs w:val="28"/>
          <w:lang w:val="uk-UA"/>
        </w:rPr>
        <w:t>-36</w:t>
      </w:r>
      <w:r w:rsidRPr="00BE086B">
        <w:rPr>
          <w:sz w:val="28"/>
          <w:szCs w:val="28"/>
          <w:lang w:val="en-US"/>
        </w:rPr>
        <w:t>92.</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Kidd B</w:t>
      </w:r>
      <w:r w:rsidRPr="00BE086B">
        <w:rPr>
          <w:sz w:val="28"/>
          <w:szCs w:val="28"/>
          <w:lang w:val="uk-UA"/>
        </w:rPr>
        <w:t>.</w:t>
      </w:r>
      <w:r w:rsidRPr="00BE086B">
        <w:rPr>
          <w:sz w:val="28"/>
          <w:szCs w:val="28"/>
          <w:lang w:val="en-US"/>
        </w:rPr>
        <w:t>L</w:t>
      </w:r>
      <w:r w:rsidRPr="00BE086B">
        <w:rPr>
          <w:sz w:val="28"/>
          <w:szCs w:val="28"/>
          <w:lang w:val="uk-UA"/>
        </w:rPr>
        <w:t>.</w:t>
      </w:r>
      <w:r w:rsidRPr="00BE086B">
        <w:rPr>
          <w:sz w:val="28"/>
          <w:szCs w:val="28"/>
          <w:lang w:val="en-US"/>
        </w:rPr>
        <w:t>, Urban L</w:t>
      </w:r>
      <w:r w:rsidRPr="00BE086B">
        <w:rPr>
          <w:sz w:val="28"/>
          <w:szCs w:val="28"/>
          <w:lang w:val="uk-UA"/>
        </w:rPr>
        <w:t>.</w:t>
      </w:r>
      <w:r w:rsidRPr="00BE086B">
        <w:rPr>
          <w:sz w:val="28"/>
          <w:szCs w:val="28"/>
          <w:lang w:val="en-US"/>
        </w:rPr>
        <w:t>A. Mechanisms of inflammatory pain. Br J Anaes 2001;87:311.</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en-US"/>
        </w:rPr>
      </w:pPr>
      <w:r w:rsidRPr="00BE086B">
        <w:rPr>
          <w:sz w:val="28"/>
          <w:szCs w:val="28"/>
          <w:lang w:val="en-US"/>
        </w:rPr>
        <w:t>Ji R</w:t>
      </w:r>
      <w:r w:rsidRPr="00BE086B">
        <w:rPr>
          <w:sz w:val="28"/>
          <w:szCs w:val="28"/>
          <w:lang w:val="uk-UA"/>
        </w:rPr>
        <w:t>.</w:t>
      </w:r>
      <w:r w:rsidRPr="00BE086B">
        <w:rPr>
          <w:sz w:val="28"/>
          <w:szCs w:val="28"/>
          <w:lang w:val="en-US"/>
        </w:rPr>
        <w:t>R</w:t>
      </w:r>
      <w:r w:rsidRPr="00BE086B">
        <w:rPr>
          <w:sz w:val="28"/>
          <w:szCs w:val="28"/>
          <w:lang w:val="uk-UA"/>
        </w:rPr>
        <w:t>.</w:t>
      </w:r>
      <w:r w:rsidRPr="00BE086B">
        <w:rPr>
          <w:sz w:val="28"/>
          <w:szCs w:val="28"/>
          <w:lang w:val="en-US"/>
        </w:rPr>
        <w:t>, Befort K</w:t>
      </w:r>
      <w:r w:rsidRPr="00BE086B">
        <w:rPr>
          <w:sz w:val="28"/>
          <w:szCs w:val="28"/>
          <w:lang w:val="uk-UA"/>
        </w:rPr>
        <w:t>.</w:t>
      </w:r>
      <w:r w:rsidRPr="00BE086B">
        <w:rPr>
          <w:sz w:val="28"/>
          <w:szCs w:val="28"/>
          <w:lang w:val="en-US"/>
        </w:rPr>
        <w:t>, Brenner G</w:t>
      </w:r>
      <w:r w:rsidRPr="00BE086B">
        <w:rPr>
          <w:sz w:val="28"/>
          <w:szCs w:val="28"/>
          <w:lang w:val="uk-UA"/>
        </w:rPr>
        <w:t>.</w:t>
      </w:r>
      <w:r w:rsidRPr="00BE086B">
        <w:rPr>
          <w:sz w:val="28"/>
          <w:szCs w:val="28"/>
          <w:lang w:val="en-US"/>
        </w:rPr>
        <w:t>J</w:t>
      </w:r>
      <w:r w:rsidRPr="00BE086B">
        <w:rPr>
          <w:sz w:val="28"/>
          <w:szCs w:val="28"/>
          <w:lang w:val="uk-UA"/>
        </w:rPr>
        <w:t>.</w:t>
      </w:r>
      <w:r w:rsidRPr="00BE086B">
        <w:rPr>
          <w:sz w:val="28"/>
          <w:szCs w:val="28"/>
          <w:lang w:val="en-US"/>
        </w:rPr>
        <w:t>, Woolf C</w:t>
      </w:r>
      <w:r w:rsidRPr="00BE086B">
        <w:rPr>
          <w:sz w:val="28"/>
          <w:szCs w:val="28"/>
          <w:lang w:val="uk-UA"/>
        </w:rPr>
        <w:t>.</w:t>
      </w:r>
      <w:r w:rsidRPr="00BE086B">
        <w:rPr>
          <w:sz w:val="28"/>
          <w:szCs w:val="28"/>
          <w:lang w:val="en-US"/>
        </w:rPr>
        <w:t>J. Erk M</w:t>
      </w:r>
      <w:r w:rsidRPr="00BE086B">
        <w:rPr>
          <w:sz w:val="28"/>
          <w:szCs w:val="28"/>
          <w:lang w:val="uk-UA"/>
        </w:rPr>
        <w:t>.</w:t>
      </w:r>
      <w:r w:rsidRPr="00BE086B">
        <w:rPr>
          <w:sz w:val="28"/>
          <w:szCs w:val="28"/>
          <w:lang w:val="en-US"/>
        </w:rPr>
        <w:t>A</w:t>
      </w:r>
      <w:r w:rsidRPr="00BE086B">
        <w:rPr>
          <w:sz w:val="28"/>
          <w:szCs w:val="28"/>
          <w:lang w:val="uk-UA"/>
        </w:rPr>
        <w:t xml:space="preserve">. </w:t>
      </w:r>
      <w:r w:rsidRPr="00BE086B">
        <w:rPr>
          <w:sz w:val="28"/>
          <w:szCs w:val="28"/>
          <w:lang w:val="en-US"/>
        </w:rPr>
        <w:t>P kinase activation in superficial spinal cord neurons induces prodynorphin and NK-1 upregulation and contributes to persistent inflammatory pain hypersensitivity. J Neurosci 2002;22:478</w:t>
      </w:r>
      <w:r w:rsidRPr="00BE086B">
        <w:rPr>
          <w:sz w:val="28"/>
          <w:szCs w:val="28"/>
          <w:lang w:val="uk-UA"/>
        </w:rPr>
        <w:t>-4</w:t>
      </w:r>
      <w:r w:rsidRPr="00BE086B">
        <w:rPr>
          <w:sz w:val="28"/>
          <w:szCs w:val="28"/>
          <w:lang w:val="en-US"/>
        </w:rPr>
        <w:t>85.</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Walsh D</w:t>
      </w:r>
      <w:r w:rsidRPr="00BE086B">
        <w:rPr>
          <w:sz w:val="28"/>
          <w:szCs w:val="28"/>
          <w:lang w:val="uk-UA"/>
        </w:rPr>
        <w:t>.</w:t>
      </w:r>
      <w:r w:rsidRPr="00BE086B">
        <w:rPr>
          <w:sz w:val="28"/>
          <w:szCs w:val="28"/>
          <w:lang w:val="en-US"/>
        </w:rPr>
        <w:t>A</w:t>
      </w:r>
      <w:r w:rsidRPr="00BE086B">
        <w:rPr>
          <w:sz w:val="28"/>
          <w:szCs w:val="28"/>
          <w:lang w:val="uk-UA"/>
        </w:rPr>
        <w:t>.</w:t>
      </w:r>
      <w:r w:rsidRPr="00BE086B">
        <w:rPr>
          <w:sz w:val="28"/>
          <w:szCs w:val="28"/>
          <w:lang w:val="en-US"/>
        </w:rPr>
        <w:t>, McWilliams D</w:t>
      </w:r>
      <w:r w:rsidRPr="00BE086B">
        <w:rPr>
          <w:sz w:val="28"/>
          <w:szCs w:val="28"/>
          <w:lang w:val="uk-UA"/>
        </w:rPr>
        <w:t>.</w:t>
      </w:r>
      <w:r w:rsidRPr="00BE086B">
        <w:rPr>
          <w:sz w:val="28"/>
          <w:szCs w:val="28"/>
          <w:lang w:val="en-US"/>
        </w:rPr>
        <w:t>F</w:t>
      </w:r>
      <w:r w:rsidRPr="00BE086B">
        <w:rPr>
          <w:sz w:val="28"/>
          <w:szCs w:val="28"/>
          <w:lang w:val="uk-UA"/>
        </w:rPr>
        <w:t>.</w:t>
      </w:r>
      <w:r w:rsidRPr="00BE086B">
        <w:rPr>
          <w:sz w:val="28"/>
          <w:szCs w:val="28"/>
          <w:lang w:val="en-US"/>
        </w:rPr>
        <w:t>, Turley M</w:t>
      </w:r>
      <w:r w:rsidRPr="00BE086B">
        <w:rPr>
          <w:sz w:val="28"/>
          <w:szCs w:val="28"/>
          <w:lang w:val="uk-UA"/>
        </w:rPr>
        <w:t>.</w:t>
      </w:r>
      <w:r w:rsidRPr="00BE086B">
        <w:rPr>
          <w:sz w:val="28"/>
          <w:szCs w:val="28"/>
          <w:lang w:val="en-US"/>
        </w:rPr>
        <w:t>J</w:t>
      </w:r>
      <w:r w:rsidRPr="00BE086B">
        <w:rPr>
          <w:sz w:val="28"/>
          <w:szCs w:val="28"/>
          <w:lang w:val="uk-UA"/>
        </w:rPr>
        <w:t>.</w:t>
      </w:r>
      <w:r w:rsidRPr="00BE086B">
        <w:rPr>
          <w:sz w:val="28"/>
          <w:szCs w:val="28"/>
          <w:lang w:val="en-US"/>
        </w:rPr>
        <w:t xml:space="preserve"> Angiogenesis and nerve growth factor at the osteochondral junction in rheumatoid arthritis and osteoarthritis. </w:t>
      </w:r>
      <w:r w:rsidRPr="00BE086B">
        <w:rPr>
          <w:sz w:val="28"/>
          <w:szCs w:val="28"/>
          <w:lang w:val="en-US"/>
        </w:rPr>
        <w:lastRenderedPageBreak/>
        <w:t>Rheumatology 2010;49:185</w:t>
      </w:r>
      <w:r w:rsidRPr="00BE086B">
        <w:rPr>
          <w:sz w:val="28"/>
          <w:szCs w:val="28"/>
          <w:lang w:val="uk-UA"/>
        </w:rPr>
        <w:t>-</w:t>
      </w:r>
      <w:r w:rsidRPr="00BE086B">
        <w:rPr>
          <w:sz w:val="28"/>
          <w:szCs w:val="28"/>
          <w:lang w:val="en-US"/>
        </w:rPr>
        <w:t>261.</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Niisalo S</w:t>
      </w:r>
      <w:r w:rsidRPr="00BE086B">
        <w:rPr>
          <w:sz w:val="28"/>
          <w:szCs w:val="28"/>
          <w:lang w:val="uk-UA"/>
        </w:rPr>
        <w:t>.</w:t>
      </w:r>
      <w:r w:rsidRPr="00BE086B">
        <w:rPr>
          <w:sz w:val="28"/>
          <w:szCs w:val="28"/>
          <w:lang w:val="en-US"/>
        </w:rPr>
        <w:t>, Hukannen M</w:t>
      </w:r>
      <w:r w:rsidRPr="00BE086B">
        <w:rPr>
          <w:sz w:val="28"/>
          <w:szCs w:val="28"/>
          <w:lang w:val="uk-UA"/>
        </w:rPr>
        <w:t>.</w:t>
      </w:r>
      <w:r w:rsidRPr="00BE086B">
        <w:rPr>
          <w:sz w:val="28"/>
          <w:szCs w:val="28"/>
          <w:lang w:val="en-US"/>
        </w:rPr>
        <w:t>, Imai S</w:t>
      </w:r>
      <w:r w:rsidRPr="00BE086B">
        <w:rPr>
          <w:sz w:val="28"/>
          <w:szCs w:val="28"/>
          <w:lang w:val="uk-UA"/>
        </w:rPr>
        <w:t>.</w:t>
      </w:r>
      <w:r w:rsidRPr="00BE086B">
        <w:rPr>
          <w:sz w:val="28"/>
          <w:szCs w:val="28"/>
          <w:lang w:val="en-US"/>
        </w:rPr>
        <w:t>, Tornwall J</w:t>
      </w:r>
      <w:r w:rsidRPr="00BE086B">
        <w:rPr>
          <w:sz w:val="28"/>
          <w:szCs w:val="28"/>
          <w:lang w:val="uk-UA"/>
        </w:rPr>
        <w:t>.</w:t>
      </w:r>
      <w:r w:rsidRPr="00BE086B">
        <w:rPr>
          <w:sz w:val="28"/>
          <w:szCs w:val="28"/>
          <w:lang w:val="en-US"/>
        </w:rPr>
        <w:t>, Konttinen Y</w:t>
      </w:r>
      <w:r w:rsidRPr="00BE086B">
        <w:rPr>
          <w:sz w:val="28"/>
          <w:szCs w:val="28"/>
          <w:lang w:val="uk-UA"/>
        </w:rPr>
        <w:t>.</w:t>
      </w:r>
      <w:r w:rsidRPr="00BE086B">
        <w:rPr>
          <w:sz w:val="28"/>
          <w:szCs w:val="28"/>
          <w:lang w:val="en-US"/>
        </w:rPr>
        <w:t>T. Neuropeptides in experimental and degenerative arthritis. Ann N Y Acad Sci 2002;966:384</w:t>
      </w:r>
      <w:r w:rsidRPr="00BE086B">
        <w:rPr>
          <w:sz w:val="28"/>
          <w:szCs w:val="28"/>
          <w:lang w:val="uk-UA"/>
        </w:rPr>
        <w:t>-3</w:t>
      </w:r>
      <w:r w:rsidRPr="00BE086B">
        <w:rPr>
          <w:sz w:val="28"/>
          <w:szCs w:val="28"/>
          <w:lang w:val="en-US"/>
        </w:rPr>
        <w:t>99.</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Kulkarni B</w:t>
      </w:r>
      <w:r w:rsidRPr="00BE086B">
        <w:rPr>
          <w:sz w:val="28"/>
          <w:szCs w:val="28"/>
          <w:lang w:val="uk-UA"/>
        </w:rPr>
        <w:t>.</w:t>
      </w:r>
      <w:r w:rsidRPr="00BE086B">
        <w:rPr>
          <w:sz w:val="28"/>
          <w:szCs w:val="28"/>
          <w:lang w:val="en-US"/>
        </w:rPr>
        <w:t>, Bentley D</w:t>
      </w:r>
      <w:r w:rsidRPr="00BE086B">
        <w:rPr>
          <w:sz w:val="28"/>
          <w:szCs w:val="28"/>
          <w:lang w:val="uk-UA"/>
        </w:rPr>
        <w:t>.</w:t>
      </w:r>
      <w:r w:rsidRPr="00BE086B">
        <w:rPr>
          <w:sz w:val="28"/>
          <w:szCs w:val="28"/>
          <w:lang w:val="en-US"/>
        </w:rPr>
        <w:t>E</w:t>
      </w:r>
      <w:r w:rsidRPr="00BE086B">
        <w:rPr>
          <w:sz w:val="28"/>
          <w:szCs w:val="28"/>
          <w:lang w:val="uk-UA"/>
        </w:rPr>
        <w:t>.</w:t>
      </w:r>
      <w:r w:rsidRPr="00BE086B">
        <w:rPr>
          <w:sz w:val="28"/>
          <w:szCs w:val="28"/>
          <w:lang w:val="en-US"/>
        </w:rPr>
        <w:t>, Elliott R</w:t>
      </w:r>
      <w:r w:rsidRPr="00BE086B">
        <w:rPr>
          <w:sz w:val="28"/>
          <w:szCs w:val="28"/>
          <w:lang w:val="uk-UA"/>
        </w:rPr>
        <w:t>.</w:t>
      </w:r>
      <w:r w:rsidRPr="00BE086B">
        <w:rPr>
          <w:sz w:val="28"/>
          <w:szCs w:val="28"/>
          <w:lang w:val="en-US"/>
        </w:rPr>
        <w:t xml:space="preserve"> Arthritic pain is processed in brain areas concerned with emotions and fear. Arthritis Rheum 2007;56:1345</w:t>
      </w:r>
      <w:r w:rsidRPr="00BE086B">
        <w:rPr>
          <w:sz w:val="28"/>
          <w:szCs w:val="28"/>
          <w:lang w:val="uk-UA"/>
        </w:rPr>
        <w:t>-13</w:t>
      </w:r>
      <w:r w:rsidRPr="00BE086B">
        <w:rPr>
          <w:sz w:val="28"/>
          <w:szCs w:val="28"/>
          <w:lang w:val="en-US"/>
        </w:rPr>
        <w:t>54.</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Ivanavicius S</w:t>
      </w:r>
      <w:r w:rsidRPr="00BE086B">
        <w:rPr>
          <w:sz w:val="28"/>
          <w:szCs w:val="28"/>
          <w:lang w:val="uk-UA"/>
        </w:rPr>
        <w:t>.</w:t>
      </w:r>
      <w:r w:rsidRPr="00BE086B">
        <w:rPr>
          <w:sz w:val="28"/>
          <w:szCs w:val="28"/>
          <w:lang w:val="en-US"/>
        </w:rPr>
        <w:t>P</w:t>
      </w:r>
      <w:r w:rsidRPr="00BE086B">
        <w:rPr>
          <w:sz w:val="28"/>
          <w:szCs w:val="28"/>
          <w:lang w:val="uk-UA"/>
        </w:rPr>
        <w:t>.</w:t>
      </w:r>
      <w:r w:rsidRPr="00BE086B">
        <w:rPr>
          <w:sz w:val="28"/>
          <w:szCs w:val="28"/>
          <w:lang w:val="en-US"/>
        </w:rPr>
        <w:t>, Ball A</w:t>
      </w:r>
      <w:r w:rsidRPr="00BE086B">
        <w:rPr>
          <w:sz w:val="28"/>
          <w:szCs w:val="28"/>
          <w:lang w:val="uk-UA"/>
        </w:rPr>
        <w:t>.</w:t>
      </w:r>
      <w:r w:rsidRPr="00BE086B">
        <w:rPr>
          <w:sz w:val="28"/>
          <w:szCs w:val="28"/>
          <w:lang w:val="en-US"/>
        </w:rPr>
        <w:t>D</w:t>
      </w:r>
      <w:r w:rsidRPr="00BE086B">
        <w:rPr>
          <w:sz w:val="28"/>
          <w:szCs w:val="28"/>
          <w:lang w:val="uk-UA"/>
        </w:rPr>
        <w:t>.</w:t>
      </w:r>
      <w:r w:rsidRPr="00BE086B">
        <w:rPr>
          <w:sz w:val="28"/>
          <w:szCs w:val="28"/>
          <w:lang w:val="en-US"/>
        </w:rPr>
        <w:t>, Heapy C</w:t>
      </w:r>
      <w:r w:rsidRPr="00BE086B">
        <w:rPr>
          <w:sz w:val="28"/>
          <w:szCs w:val="28"/>
          <w:lang w:val="uk-UA"/>
        </w:rPr>
        <w:t>.</w:t>
      </w:r>
      <w:r w:rsidRPr="00BE086B">
        <w:rPr>
          <w:sz w:val="28"/>
          <w:szCs w:val="28"/>
          <w:lang w:val="en-US"/>
        </w:rPr>
        <w:t>G</w:t>
      </w:r>
      <w:r w:rsidRPr="00BE086B">
        <w:rPr>
          <w:sz w:val="28"/>
          <w:szCs w:val="28"/>
          <w:lang w:val="uk-UA"/>
        </w:rPr>
        <w:t>.</w:t>
      </w:r>
      <w:r w:rsidRPr="00BE086B">
        <w:rPr>
          <w:sz w:val="28"/>
          <w:szCs w:val="28"/>
          <w:lang w:val="en-US"/>
        </w:rPr>
        <w:t>, Westwood F</w:t>
      </w:r>
      <w:r w:rsidRPr="00BE086B">
        <w:rPr>
          <w:sz w:val="28"/>
          <w:szCs w:val="28"/>
          <w:lang w:val="uk-UA"/>
        </w:rPr>
        <w:t>.</w:t>
      </w:r>
      <w:r w:rsidRPr="00BE086B">
        <w:rPr>
          <w:sz w:val="28"/>
          <w:szCs w:val="28"/>
          <w:lang w:val="en-US"/>
        </w:rPr>
        <w:t>R</w:t>
      </w:r>
      <w:r w:rsidRPr="00BE086B">
        <w:rPr>
          <w:sz w:val="28"/>
          <w:szCs w:val="28"/>
          <w:lang w:val="uk-UA"/>
        </w:rPr>
        <w:t>.</w:t>
      </w:r>
      <w:r w:rsidRPr="00BE086B">
        <w:rPr>
          <w:sz w:val="28"/>
          <w:szCs w:val="28"/>
          <w:lang w:val="en-US"/>
        </w:rPr>
        <w:t>, Murray F</w:t>
      </w:r>
      <w:r w:rsidRPr="00BE086B">
        <w:rPr>
          <w:sz w:val="28"/>
          <w:szCs w:val="28"/>
          <w:lang w:val="uk-UA"/>
        </w:rPr>
        <w:t>.</w:t>
      </w:r>
      <w:r w:rsidRPr="00BE086B">
        <w:rPr>
          <w:sz w:val="28"/>
          <w:szCs w:val="28"/>
          <w:lang w:val="en-US"/>
        </w:rPr>
        <w:t>, Read S</w:t>
      </w:r>
      <w:r w:rsidRPr="00BE086B">
        <w:rPr>
          <w:sz w:val="28"/>
          <w:szCs w:val="28"/>
          <w:lang w:val="uk-UA"/>
        </w:rPr>
        <w:t>.</w:t>
      </w:r>
      <w:r w:rsidRPr="00BE086B">
        <w:rPr>
          <w:sz w:val="28"/>
          <w:szCs w:val="28"/>
          <w:lang w:val="en-US"/>
        </w:rPr>
        <w:t>J. Structural pathology in a rodent model of osteoarthritis is associated with neuropathic pain: increased expression of ATF-3 and pharmacological characterisation. Pain 2007;128:272</w:t>
      </w:r>
      <w:r w:rsidRPr="00BE086B">
        <w:rPr>
          <w:sz w:val="28"/>
          <w:szCs w:val="28"/>
          <w:lang w:val="uk-UA"/>
        </w:rPr>
        <w:t>-2</w:t>
      </w:r>
      <w:r w:rsidRPr="00BE086B">
        <w:rPr>
          <w:sz w:val="28"/>
          <w:szCs w:val="28"/>
          <w:lang w:val="en-US"/>
        </w:rPr>
        <w:t>82.</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en-US"/>
        </w:rPr>
      </w:pPr>
      <w:r w:rsidRPr="00BE086B">
        <w:rPr>
          <w:sz w:val="28"/>
          <w:szCs w:val="28"/>
          <w:shd w:val="clear" w:color="auto" w:fill="FFFFFF"/>
          <w:lang w:val="en-US"/>
        </w:rPr>
        <w:t>Lockwood S</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Lopes D</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McMahon S</w:t>
      </w:r>
      <w:r w:rsidRPr="00BE086B">
        <w:rPr>
          <w:sz w:val="28"/>
          <w:szCs w:val="28"/>
          <w:shd w:val="clear" w:color="auto" w:fill="FFFFFF"/>
          <w:lang w:val="uk-UA"/>
        </w:rPr>
        <w:t>.</w:t>
      </w:r>
      <w:r w:rsidRPr="00BE086B">
        <w:rPr>
          <w:sz w:val="28"/>
          <w:szCs w:val="28"/>
          <w:shd w:val="clear" w:color="auto" w:fill="FFFFFF"/>
          <w:lang w:val="en-US"/>
        </w:rPr>
        <w:t>B</w:t>
      </w:r>
      <w:r w:rsidRPr="00BE086B">
        <w:rPr>
          <w:sz w:val="28"/>
          <w:szCs w:val="28"/>
          <w:shd w:val="clear" w:color="auto" w:fill="FFFFFF"/>
          <w:lang w:val="uk-UA"/>
        </w:rPr>
        <w:t>.</w:t>
      </w:r>
      <w:r w:rsidRPr="00BE086B">
        <w:rPr>
          <w:sz w:val="28"/>
          <w:szCs w:val="28"/>
          <w:shd w:val="clear" w:color="auto" w:fill="FFFFFF"/>
          <w:lang w:val="en-US"/>
        </w:rPr>
        <w:t>, Dickenson A</w:t>
      </w:r>
      <w:r w:rsidRPr="00BE086B">
        <w:rPr>
          <w:sz w:val="28"/>
          <w:szCs w:val="28"/>
          <w:shd w:val="clear" w:color="auto" w:fill="FFFFFF"/>
          <w:lang w:val="uk-UA"/>
        </w:rPr>
        <w:t>.</w:t>
      </w:r>
      <w:r w:rsidRPr="00BE086B">
        <w:rPr>
          <w:sz w:val="28"/>
          <w:szCs w:val="28"/>
          <w:shd w:val="clear" w:color="auto" w:fill="FFFFFF"/>
          <w:lang w:val="en-US"/>
        </w:rPr>
        <w:t>H. Characterisation of peripheral and central components of the rat monoiodoacetate model of Osteoarthritis. Osteoarthritis Cartilage. 2019;27(4):712-722.</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shd w:val="clear" w:color="auto" w:fill="FFFFFF"/>
          <w:lang w:val="en-US"/>
        </w:rPr>
        <w:t>O'Neill T</w:t>
      </w:r>
      <w:r w:rsidRPr="00BE086B">
        <w:rPr>
          <w:sz w:val="28"/>
          <w:szCs w:val="28"/>
          <w:shd w:val="clear" w:color="auto" w:fill="FFFFFF"/>
          <w:lang w:val="uk-UA"/>
        </w:rPr>
        <w:t>.</w:t>
      </w:r>
      <w:r w:rsidRPr="00BE086B">
        <w:rPr>
          <w:sz w:val="28"/>
          <w:szCs w:val="28"/>
          <w:shd w:val="clear" w:color="auto" w:fill="FFFFFF"/>
          <w:lang w:val="en-US"/>
        </w:rPr>
        <w:t>W</w:t>
      </w:r>
      <w:r w:rsidRPr="00BE086B">
        <w:rPr>
          <w:sz w:val="28"/>
          <w:szCs w:val="28"/>
          <w:shd w:val="clear" w:color="auto" w:fill="FFFFFF"/>
          <w:lang w:val="uk-UA"/>
        </w:rPr>
        <w:t>.</w:t>
      </w:r>
      <w:r w:rsidRPr="00BE086B">
        <w:rPr>
          <w:sz w:val="28"/>
          <w:szCs w:val="28"/>
          <w:shd w:val="clear" w:color="auto" w:fill="FFFFFF"/>
          <w:lang w:val="en-US"/>
        </w:rPr>
        <w:t>, Felson D</w:t>
      </w:r>
      <w:r w:rsidRPr="00BE086B">
        <w:rPr>
          <w:sz w:val="28"/>
          <w:szCs w:val="28"/>
          <w:shd w:val="clear" w:color="auto" w:fill="FFFFFF"/>
          <w:lang w:val="uk-UA"/>
        </w:rPr>
        <w:t>.</w:t>
      </w:r>
      <w:r w:rsidRPr="00BE086B">
        <w:rPr>
          <w:sz w:val="28"/>
          <w:szCs w:val="28"/>
          <w:shd w:val="clear" w:color="auto" w:fill="FFFFFF"/>
          <w:lang w:val="en-US"/>
        </w:rPr>
        <w:t>T. Mechanisms of Osteoarthritis (OA) Pain. Curr Osteoporos Rep. 2018;16(5):611-616.</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shd w:val="clear" w:color="auto" w:fill="FFFFFF"/>
          <w:lang w:val="en-US"/>
        </w:rPr>
        <w:t>Pitcher T</w:t>
      </w:r>
      <w:r w:rsidRPr="00BE086B">
        <w:rPr>
          <w:sz w:val="28"/>
          <w:szCs w:val="28"/>
          <w:shd w:val="clear" w:color="auto" w:fill="FFFFFF"/>
          <w:lang w:val="uk-UA"/>
        </w:rPr>
        <w:t>.</w:t>
      </w:r>
      <w:r w:rsidRPr="00BE086B">
        <w:rPr>
          <w:sz w:val="28"/>
          <w:szCs w:val="28"/>
          <w:shd w:val="clear" w:color="auto" w:fill="FFFFFF"/>
          <w:lang w:val="en-US"/>
        </w:rPr>
        <w:t>, Sousa-Valente J</w:t>
      </w:r>
      <w:r w:rsidRPr="00BE086B">
        <w:rPr>
          <w:sz w:val="28"/>
          <w:szCs w:val="28"/>
          <w:shd w:val="clear" w:color="auto" w:fill="FFFFFF"/>
          <w:lang w:val="uk-UA"/>
        </w:rPr>
        <w:t>.</w:t>
      </w:r>
      <w:r w:rsidRPr="00BE086B">
        <w:rPr>
          <w:sz w:val="28"/>
          <w:szCs w:val="28"/>
          <w:shd w:val="clear" w:color="auto" w:fill="FFFFFF"/>
          <w:lang w:val="en-US"/>
        </w:rPr>
        <w:t>, Malcangio M. The monoiodoacetate model of osteoarthritis pain in the mouse. J Vis Exp. 2016</w:t>
      </w:r>
      <w:r w:rsidRPr="00BE086B">
        <w:rPr>
          <w:sz w:val="28"/>
          <w:szCs w:val="28"/>
          <w:shd w:val="clear" w:color="auto" w:fill="FFFFFF"/>
          <w:lang w:val="uk-UA"/>
        </w:rPr>
        <w:t>;</w:t>
      </w:r>
      <w:r w:rsidRPr="00BE086B">
        <w:rPr>
          <w:sz w:val="28"/>
          <w:szCs w:val="28"/>
          <w:shd w:val="clear" w:color="auto" w:fill="FFFFFF"/>
          <w:lang w:val="en-US"/>
        </w:rPr>
        <w:t>16;(111):537</w:t>
      </w:r>
      <w:r w:rsidRPr="00BE086B">
        <w:rPr>
          <w:sz w:val="28"/>
          <w:szCs w:val="28"/>
          <w:shd w:val="clear" w:color="auto" w:fill="FFFFFF"/>
          <w:lang w:val="uk-UA"/>
        </w:rPr>
        <w:t>-5</w:t>
      </w:r>
      <w:r w:rsidRPr="00BE086B">
        <w:rPr>
          <w:sz w:val="28"/>
          <w:szCs w:val="28"/>
          <w:shd w:val="clear" w:color="auto" w:fill="FFFFFF"/>
          <w:lang w:val="en-US"/>
        </w:rPr>
        <w:t>46.</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Dimitroulas</w:t>
      </w:r>
      <w:r w:rsidRPr="00BE086B">
        <w:rPr>
          <w:sz w:val="28"/>
          <w:szCs w:val="28"/>
          <w:shd w:val="clear" w:color="auto" w:fill="FFFFFF"/>
          <w:lang w:val="uk-UA"/>
        </w:rPr>
        <w:t xml:space="preserve"> </w:t>
      </w:r>
      <w:r w:rsidRPr="00BE086B">
        <w:rPr>
          <w:sz w:val="28"/>
          <w:szCs w:val="28"/>
          <w:shd w:val="clear" w:color="auto" w:fill="FFFFFF"/>
          <w:lang w:val="en-US"/>
        </w:rPr>
        <w:t>T</w:t>
      </w:r>
      <w:r w:rsidRPr="00BE086B">
        <w:rPr>
          <w:sz w:val="28"/>
          <w:szCs w:val="28"/>
          <w:shd w:val="clear" w:color="auto" w:fill="FFFFFF"/>
          <w:lang w:val="uk-UA"/>
        </w:rPr>
        <w:t xml:space="preserve">., </w:t>
      </w:r>
      <w:r w:rsidRPr="00BE086B">
        <w:rPr>
          <w:sz w:val="28"/>
          <w:szCs w:val="28"/>
          <w:shd w:val="clear" w:color="auto" w:fill="FFFFFF"/>
          <w:lang w:val="en-US"/>
        </w:rPr>
        <w:t>Duarte</w:t>
      </w:r>
      <w:r w:rsidRPr="00BE086B">
        <w:rPr>
          <w:sz w:val="28"/>
          <w:szCs w:val="28"/>
          <w:shd w:val="clear" w:color="auto" w:fill="FFFFFF"/>
          <w:lang w:val="uk-UA"/>
        </w:rPr>
        <w:t xml:space="preserve"> </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V</w:t>
      </w:r>
      <w:r w:rsidRPr="00BE086B">
        <w:rPr>
          <w:sz w:val="28"/>
          <w:szCs w:val="28"/>
          <w:shd w:val="clear" w:color="auto" w:fill="FFFFFF"/>
          <w:lang w:val="uk-UA"/>
        </w:rPr>
        <w:t xml:space="preserve">., </w:t>
      </w:r>
      <w:r w:rsidRPr="00BE086B">
        <w:rPr>
          <w:sz w:val="28"/>
          <w:szCs w:val="28"/>
          <w:shd w:val="clear" w:color="auto" w:fill="FFFFFF"/>
          <w:lang w:val="en-US"/>
        </w:rPr>
        <w:t>Behura</w:t>
      </w:r>
      <w:r w:rsidRPr="00BE086B">
        <w:rPr>
          <w:sz w:val="28"/>
          <w:szCs w:val="28"/>
          <w:shd w:val="clear" w:color="auto" w:fill="FFFFFF"/>
          <w:lang w:val="uk-UA"/>
        </w:rPr>
        <w:t xml:space="preserve"> </w:t>
      </w:r>
      <w:r w:rsidRPr="00BE086B">
        <w:rPr>
          <w:sz w:val="28"/>
          <w:szCs w:val="28"/>
          <w:shd w:val="clear" w:color="auto" w:fill="FFFFFF"/>
          <w:lang w:val="en-US"/>
        </w:rPr>
        <w:t>A</w:t>
      </w:r>
      <w:r w:rsidRPr="00BE086B">
        <w:rPr>
          <w:sz w:val="28"/>
          <w:szCs w:val="28"/>
          <w:shd w:val="clear" w:color="auto" w:fill="FFFFFF"/>
          <w:lang w:val="uk-UA"/>
        </w:rPr>
        <w:t xml:space="preserve">., </w:t>
      </w:r>
      <w:r w:rsidRPr="00BE086B">
        <w:rPr>
          <w:sz w:val="28"/>
          <w:szCs w:val="28"/>
          <w:shd w:val="clear" w:color="auto" w:fill="FFFFFF"/>
          <w:lang w:val="en-US"/>
        </w:rPr>
        <w:t>Kitas</w:t>
      </w:r>
      <w:r w:rsidRPr="00BE086B">
        <w:rPr>
          <w:sz w:val="28"/>
          <w:szCs w:val="28"/>
          <w:shd w:val="clear" w:color="auto" w:fill="FFFFFF"/>
          <w:lang w:val="uk-UA"/>
        </w:rPr>
        <w:t xml:space="preserve"> </w:t>
      </w:r>
      <w:r w:rsidRPr="00BE086B">
        <w:rPr>
          <w:sz w:val="28"/>
          <w:szCs w:val="28"/>
          <w:shd w:val="clear" w:color="auto" w:fill="FFFFFF"/>
          <w:lang w:val="en-US"/>
        </w:rPr>
        <w:t>G</w:t>
      </w:r>
      <w:r w:rsidRPr="00BE086B">
        <w:rPr>
          <w:sz w:val="28"/>
          <w:szCs w:val="28"/>
          <w:shd w:val="clear" w:color="auto" w:fill="FFFFFF"/>
          <w:lang w:val="uk-UA"/>
        </w:rPr>
        <w:t>.</w:t>
      </w:r>
      <w:r w:rsidRPr="00BE086B">
        <w:rPr>
          <w:sz w:val="28"/>
          <w:szCs w:val="28"/>
          <w:shd w:val="clear" w:color="auto" w:fill="FFFFFF"/>
          <w:lang w:val="en-US"/>
        </w:rPr>
        <w:t>D</w:t>
      </w:r>
      <w:r w:rsidRPr="00BE086B">
        <w:rPr>
          <w:sz w:val="28"/>
          <w:szCs w:val="28"/>
          <w:shd w:val="clear" w:color="auto" w:fill="FFFFFF"/>
          <w:lang w:val="uk-UA"/>
        </w:rPr>
        <w:t xml:space="preserve">., </w:t>
      </w:r>
      <w:r w:rsidRPr="00BE086B">
        <w:rPr>
          <w:sz w:val="28"/>
          <w:szCs w:val="28"/>
          <w:shd w:val="clear" w:color="auto" w:fill="FFFFFF"/>
          <w:lang w:val="en-US"/>
        </w:rPr>
        <w:t>Raphael</w:t>
      </w:r>
      <w:r w:rsidRPr="00BE086B">
        <w:rPr>
          <w:sz w:val="28"/>
          <w:szCs w:val="28"/>
          <w:shd w:val="clear" w:color="auto" w:fill="FFFFFF"/>
          <w:lang w:val="uk-UA"/>
        </w:rPr>
        <w:t xml:space="preserve"> </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H</w:t>
      </w:r>
      <w:r w:rsidRPr="00BE086B">
        <w:rPr>
          <w:sz w:val="28"/>
          <w:szCs w:val="28"/>
          <w:shd w:val="clear" w:color="auto" w:fill="FFFFFF"/>
          <w:lang w:val="uk-UA"/>
        </w:rPr>
        <w:t xml:space="preserve">. </w:t>
      </w:r>
      <w:r w:rsidRPr="00BE086B">
        <w:rPr>
          <w:sz w:val="28"/>
          <w:szCs w:val="28"/>
          <w:shd w:val="clear" w:color="auto" w:fill="FFFFFF"/>
          <w:lang w:val="en-US"/>
        </w:rPr>
        <w:t>Neuropathic</w:t>
      </w:r>
      <w:r w:rsidRPr="00BE086B">
        <w:rPr>
          <w:sz w:val="28"/>
          <w:szCs w:val="28"/>
          <w:shd w:val="clear" w:color="auto" w:fill="FFFFFF"/>
          <w:lang w:val="uk-UA"/>
        </w:rPr>
        <w:t xml:space="preserve"> </w:t>
      </w:r>
      <w:r w:rsidRPr="00BE086B">
        <w:rPr>
          <w:sz w:val="28"/>
          <w:szCs w:val="28"/>
          <w:shd w:val="clear" w:color="auto" w:fill="FFFFFF"/>
          <w:lang w:val="en-US"/>
        </w:rPr>
        <w:t>pain</w:t>
      </w:r>
      <w:r w:rsidRPr="00BE086B">
        <w:rPr>
          <w:sz w:val="28"/>
          <w:szCs w:val="28"/>
          <w:shd w:val="clear" w:color="auto" w:fill="FFFFFF"/>
          <w:lang w:val="uk-UA"/>
        </w:rPr>
        <w:t xml:space="preserve"> </w:t>
      </w:r>
      <w:r w:rsidRPr="00BE086B">
        <w:rPr>
          <w:sz w:val="28"/>
          <w:szCs w:val="28"/>
          <w:shd w:val="clear" w:color="auto" w:fill="FFFFFF"/>
          <w:lang w:val="en-US"/>
        </w:rPr>
        <w:t>in</w:t>
      </w:r>
      <w:r w:rsidRPr="00BE086B">
        <w:rPr>
          <w:sz w:val="28"/>
          <w:szCs w:val="28"/>
          <w:shd w:val="clear" w:color="auto" w:fill="FFFFFF"/>
          <w:lang w:val="uk-UA"/>
        </w:rPr>
        <w:t xml:space="preserve"> </w:t>
      </w:r>
      <w:r w:rsidRPr="00BE086B">
        <w:rPr>
          <w:sz w:val="28"/>
          <w:szCs w:val="28"/>
          <w:shd w:val="clear" w:color="auto" w:fill="FFFFFF"/>
          <w:lang w:val="en-US"/>
        </w:rPr>
        <w:t>osteoarthritis</w:t>
      </w:r>
      <w:r w:rsidRPr="00BE086B">
        <w:rPr>
          <w:sz w:val="28"/>
          <w:szCs w:val="28"/>
          <w:shd w:val="clear" w:color="auto" w:fill="FFFFFF"/>
          <w:lang w:val="uk-UA"/>
        </w:rPr>
        <w:t xml:space="preserve">: </w:t>
      </w:r>
      <w:r w:rsidRPr="00BE086B">
        <w:rPr>
          <w:sz w:val="28"/>
          <w:szCs w:val="28"/>
          <w:shd w:val="clear" w:color="auto" w:fill="FFFFFF"/>
          <w:lang w:val="en-US"/>
        </w:rPr>
        <w:t>a</w:t>
      </w:r>
      <w:r w:rsidRPr="00BE086B">
        <w:rPr>
          <w:sz w:val="28"/>
          <w:szCs w:val="28"/>
          <w:shd w:val="clear" w:color="auto" w:fill="FFFFFF"/>
          <w:lang w:val="uk-UA"/>
        </w:rPr>
        <w:t xml:space="preserve"> </w:t>
      </w:r>
      <w:r w:rsidRPr="00BE086B">
        <w:rPr>
          <w:sz w:val="28"/>
          <w:szCs w:val="28"/>
          <w:shd w:val="clear" w:color="auto" w:fill="FFFFFF"/>
          <w:lang w:val="en-US"/>
        </w:rPr>
        <w:t>review</w:t>
      </w:r>
      <w:r w:rsidRPr="00BE086B">
        <w:rPr>
          <w:sz w:val="28"/>
          <w:szCs w:val="28"/>
          <w:shd w:val="clear" w:color="auto" w:fill="FFFFFF"/>
          <w:lang w:val="uk-UA"/>
        </w:rPr>
        <w:t xml:space="preserve"> </w:t>
      </w:r>
      <w:r w:rsidRPr="00BE086B">
        <w:rPr>
          <w:sz w:val="28"/>
          <w:szCs w:val="28"/>
          <w:shd w:val="clear" w:color="auto" w:fill="FFFFFF"/>
          <w:lang w:val="en-US"/>
        </w:rPr>
        <w:t>of</w:t>
      </w:r>
      <w:r w:rsidRPr="00BE086B">
        <w:rPr>
          <w:sz w:val="28"/>
          <w:szCs w:val="28"/>
          <w:shd w:val="clear" w:color="auto" w:fill="FFFFFF"/>
          <w:lang w:val="uk-UA"/>
        </w:rPr>
        <w:t xml:space="preserve"> </w:t>
      </w:r>
      <w:r w:rsidRPr="00BE086B">
        <w:rPr>
          <w:sz w:val="28"/>
          <w:szCs w:val="28"/>
          <w:shd w:val="clear" w:color="auto" w:fill="FFFFFF"/>
          <w:lang w:val="en-US"/>
        </w:rPr>
        <w:t>pathophysiological mechanisms and implications for treatment. Semin Arthritis Rheum. 2014;44(2):145-</w:t>
      </w:r>
      <w:r w:rsidRPr="00BE086B">
        <w:rPr>
          <w:sz w:val="28"/>
          <w:szCs w:val="28"/>
          <w:shd w:val="clear" w:color="auto" w:fill="FFFFFF"/>
          <w:lang w:val="uk-UA"/>
        </w:rPr>
        <w:t>1</w:t>
      </w:r>
      <w:r w:rsidRPr="00BE086B">
        <w:rPr>
          <w:sz w:val="28"/>
          <w:szCs w:val="28"/>
          <w:shd w:val="clear" w:color="auto" w:fill="FFFFFF"/>
          <w:lang w:val="en-US"/>
        </w:rPr>
        <w:t>54.</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Sofat N</w:t>
      </w:r>
      <w:r w:rsidRPr="00BE086B">
        <w:rPr>
          <w:sz w:val="28"/>
          <w:szCs w:val="28"/>
          <w:shd w:val="clear" w:color="auto" w:fill="FFFFFF"/>
          <w:lang w:val="uk-UA"/>
        </w:rPr>
        <w:t>.</w:t>
      </w:r>
      <w:r w:rsidRPr="00BE086B">
        <w:rPr>
          <w:sz w:val="28"/>
          <w:szCs w:val="28"/>
          <w:shd w:val="clear" w:color="auto" w:fill="FFFFFF"/>
          <w:lang w:val="en-US"/>
        </w:rPr>
        <w:t>, Ejindu V</w:t>
      </w:r>
      <w:r w:rsidRPr="00BE086B">
        <w:rPr>
          <w:sz w:val="28"/>
          <w:szCs w:val="28"/>
          <w:shd w:val="clear" w:color="auto" w:fill="FFFFFF"/>
          <w:lang w:val="uk-UA"/>
        </w:rPr>
        <w:t>.</w:t>
      </w:r>
      <w:r w:rsidRPr="00BE086B">
        <w:rPr>
          <w:sz w:val="28"/>
          <w:szCs w:val="28"/>
          <w:shd w:val="clear" w:color="auto" w:fill="FFFFFF"/>
          <w:lang w:val="en-US"/>
        </w:rPr>
        <w:t>, Kiely P. What makes osteoarthritis painful? The evidence for local and central pain processing. Rheumatology (Oxford). 2011;50(12):2157-</w:t>
      </w:r>
      <w:r w:rsidRPr="00BE086B">
        <w:rPr>
          <w:sz w:val="28"/>
          <w:szCs w:val="28"/>
          <w:shd w:val="clear" w:color="auto" w:fill="FFFFFF"/>
          <w:lang w:val="uk-UA"/>
        </w:rPr>
        <w:t>21</w:t>
      </w:r>
      <w:r w:rsidRPr="00BE086B">
        <w:rPr>
          <w:sz w:val="28"/>
          <w:szCs w:val="28"/>
          <w:shd w:val="clear" w:color="auto" w:fill="FFFFFF"/>
          <w:lang w:val="en-US"/>
        </w:rPr>
        <w:t>65.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lang w:val="uk-UA"/>
        </w:rPr>
        <w:t xml:space="preserve">Остеоартроз: клінічна настанова. Київ, 2017 </w:t>
      </w:r>
      <w:r w:rsidRPr="00BE086B">
        <w:rPr>
          <w:sz w:val="28"/>
          <w:szCs w:val="28"/>
        </w:rPr>
        <w:t xml:space="preserve">[Електронний ресурс]. – Режим доступу: </w:t>
      </w:r>
      <w:hyperlink r:id="rId110" w:history="1">
        <w:r w:rsidRPr="00BE086B">
          <w:rPr>
            <w:rStyle w:val="a9"/>
            <w:color w:val="auto"/>
            <w:sz w:val="28"/>
            <w:szCs w:val="28"/>
            <w:lang w:bidi="hi-IN"/>
          </w:rPr>
          <w:t>https://www.dec.gov.ua/wp-content/uploads/2019/11/akn_osteo.pdf</w:t>
        </w:r>
      </w:hyperlink>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rPr>
        <w:t>Bannuru R</w:t>
      </w:r>
      <w:r w:rsidRPr="00BE086B">
        <w:rPr>
          <w:sz w:val="28"/>
          <w:szCs w:val="28"/>
          <w:shd w:val="clear" w:color="auto" w:fill="FFFFFF"/>
          <w:lang w:val="uk-UA"/>
        </w:rPr>
        <w:t>.</w:t>
      </w:r>
      <w:r w:rsidRPr="00BE086B">
        <w:rPr>
          <w:sz w:val="28"/>
          <w:szCs w:val="28"/>
          <w:shd w:val="clear" w:color="auto" w:fill="FFFFFF"/>
        </w:rPr>
        <w:t>R</w:t>
      </w:r>
      <w:r w:rsidRPr="00BE086B">
        <w:rPr>
          <w:sz w:val="28"/>
          <w:szCs w:val="28"/>
          <w:shd w:val="clear" w:color="auto" w:fill="FFFFFF"/>
          <w:lang w:val="uk-UA"/>
        </w:rPr>
        <w:t>.</w:t>
      </w:r>
      <w:r w:rsidRPr="00BE086B">
        <w:rPr>
          <w:sz w:val="28"/>
          <w:szCs w:val="28"/>
          <w:shd w:val="clear" w:color="auto" w:fill="FFFFFF"/>
        </w:rPr>
        <w:t>, Osani M</w:t>
      </w:r>
      <w:r w:rsidRPr="00BE086B">
        <w:rPr>
          <w:sz w:val="28"/>
          <w:szCs w:val="28"/>
          <w:shd w:val="clear" w:color="auto" w:fill="FFFFFF"/>
          <w:lang w:val="uk-UA"/>
        </w:rPr>
        <w:t>.</w:t>
      </w:r>
      <w:r w:rsidRPr="00BE086B">
        <w:rPr>
          <w:sz w:val="28"/>
          <w:szCs w:val="28"/>
          <w:shd w:val="clear" w:color="auto" w:fill="FFFFFF"/>
        </w:rPr>
        <w:t>C</w:t>
      </w:r>
      <w:r w:rsidRPr="00BE086B">
        <w:rPr>
          <w:sz w:val="28"/>
          <w:szCs w:val="28"/>
          <w:shd w:val="clear" w:color="auto" w:fill="FFFFFF"/>
          <w:lang w:val="uk-UA"/>
        </w:rPr>
        <w:t>.</w:t>
      </w:r>
      <w:r w:rsidRPr="00BE086B">
        <w:rPr>
          <w:sz w:val="28"/>
          <w:szCs w:val="28"/>
          <w:shd w:val="clear" w:color="auto" w:fill="FFFFFF"/>
        </w:rPr>
        <w:t>, Vaysbrot E</w:t>
      </w:r>
      <w:r w:rsidRPr="00BE086B">
        <w:rPr>
          <w:sz w:val="28"/>
          <w:szCs w:val="28"/>
          <w:shd w:val="clear" w:color="auto" w:fill="FFFFFF"/>
          <w:lang w:val="uk-UA"/>
        </w:rPr>
        <w:t>.</w:t>
      </w:r>
      <w:r w:rsidRPr="00BE086B">
        <w:rPr>
          <w:sz w:val="28"/>
          <w:szCs w:val="28"/>
          <w:shd w:val="clear" w:color="auto" w:fill="FFFFFF"/>
        </w:rPr>
        <w:t>E</w:t>
      </w:r>
      <w:r w:rsidRPr="00BE086B">
        <w:rPr>
          <w:sz w:val="28"/>
          <w:szCs w:val="28"/>
          <w:shd w:val="clear" w:color="auto" w:fill="FFFFFF"/>
          <w:lang w:val="uk-UA"/>
        </w:rPr>
        <w:t>.</w:t>
      </w:r>
      <w:r w:rsidRPr="00BE086B">
        <w:rPr>
          <w:sz w:val="28"/>
          <w:szCs w:val="28"/>
          <w:shd w:val="clear" w:color="auto" w:fill="FFFFFF"/>
        </w:rPr>
        <w:t>, Arden N</w:t>
      </w:r>
      <w:r w:rsidRPr="00BE086B">
        <w:rPr>
          <w:sz w:val="28"/>
          <w:szCs w:val="28"/>
          <w:shd w:val="clear" w:color="auto" w:fill="FFFFFF"/>
          <w:lang w:val="uk-UA"/>
        </w:rPr>
        <w:t>.</w:t>
      </w:r>
      <w:r w:rsidRPr="00BE086B">
        <w:rPr>
          <w:sz w:val="28"/>
          <w:szCs w:val="28"/>
          <w:shd w:val="clear" w:color="auto" w:fill="FFFFFF"/>
        </w:rPr>
        <w:t>K</w:t>
      </w:r>
      <w:r w:rsidRPr="00BE086B">
        <w:rPr>
          <w:sz w:val="28"/>
          <w:szCs w:val="28"/>
          <w:shd w:val="clear" w:color="auto" w:fill="FFFFFF"/>
          <w:lang w:val="uk-UA"/>
        </w:rPr>
        <w:t>.</w:t>
      </w:r>
      <w:r w:rsidRPr="00BE086B">
        <w:rPr>
          <w:sz w:val="28"/>
          <w:szCs w:val="28"/>
          <w:shd w:val="clear" w:color="auto" w:fill="FFFFFF"/>
        </w:rPr>
        <w:t>, Bennell K</w:t>
      </w:r>
      <w:r w:rsidRPr="00BE086B">
        <w:rPr>
          <w:sz w:val="28"/>
          <w:szCs w:val="28"/>
          <w:shd w:val="clear" w:color="auto" w:fill="FFFFFF"/>
          <w:lang w:val="uk-UA"/>
        </w:rPr>
        <w:t>.</w:t>
      </w:r>
      <w:r w:rsidRPr="00BE086B">
        <w:rPr>
          <w:sz w:val="28"/>
          <w:szCs w:val="28"/>
          <w:shd w:val="clear" w:color="auto" w:fill="FFFFFF"/>
        </w:rPr>
        <w:t>, Bierma-Zeinstra SMA, Kraus V</w:t>
      </w:r>
      <w:r w:rsidRPr="00BE086B">
        <w:rPr>
          <w:sz w:val="28"/>
          <w:szCs w:val="28"/>
          <w:shd w:val="clear" w:color="auto" w:fill="FFFFFF"/>
          <w:lang w:val="uk-UA"/>
        </w:rPr>
        <w:t>.</w:t>
      </w:r>
      <w:r w:rsidRPr="00BE086B">
        <w:rPr>
          <w:sz w:val="28"/>
          <w:szCs w:val="28"/>
          <w:shd w:val="clear" w:color="auto" w:fill="FFFFFF"/>
        </w:rPr>
        <w:t>B</w:t>
      </w:r>
      <w:r w:rsidRPr="00BE086B">
        <w:rPr>
          <w:sz w:val="28"/>
          <w:szCs w:val="28"/>
          <w:shd w:val="clear" w:color="auto" w:fill="FFFFFF"/>
          <w:lang w:val="uk-UA"/>
        </w:rPr>
        <w:t>.</w:t>
      </w:r>
      <w:r w:rsidRPr="00BE086B">
        <w:rPr>
          <w:sz w:val="28"/>
          <w:szCs w:val="28"/>
          <w:shd w:val="clear" w:color="auto" w:fill="FFFFFF"/>
        </w:rPr>
        <w:t>, Lohmander L</w:t>
      </w:r>
      <w:r w:rsidRPr="00BE086B">
        <w:rPr>
          <w:sz w:val="28"/>
          <w:szCs w:val="28"/>
          <w:shd w:val="clear" w:color="auto" w:fill="FFFFFF"/>
          <w:lang w:val="uk-UA"/>
        </w:rPr>
        <w:t>.</w:t>
      </w:r>
      <w:r w:rsidRPr="00BE086B">
        <w:rPr>
          <w:sz w:val="28"/>
          <w:szCs w:val="28"/>
          <w:shd w:val="clear" w:color="auto" w:fill="FFFFFF"/>
        </w:rPr>
        <w:t>S</w:t>
      </w:r>
      <w:r w:rsidRPr="00BE086B">
        <w:rPr>
          <w:sz w:val="28"/>
          <w:szCs w:val="28"/>
          <w:shd w:val="clear" w:color="auto" w:fill="FFFFFF"/>
          <w:lang w:val="uk-UA"/>
        </w:rPr>
        <w:t>.</w:t>
      </w:r>
      <w:r w:rsidRPr="00BE086B">
        <w:rPr>
          <w:sz w:val="28"/>
          <w:szCs w:val="28"/>
          <w:shd w:val="clear" w:color="auto" w:fill="FFFFFF"/>
        </w:rPr>
        <w:t>, Abbott J</w:t>
      </w:r>
      <w:r w:rsidRPr="00BE086B">
        <w:rPr>
          <w:sz w:val="28"/>
          <w:szCs w:val="28"/>
          <w:shd w:val="clear" w:color="auto" w:fill="FFFFFF"/>
          <w:lang w:val="uk-UA"/>
        </w:rPr>
        <w:t>.</w:t>
      </w:r>
      <w:r w:rsidRPr="00BE086B">
        <w:rPr>
          <w:sz w:val="28"/>
          <w:szCs w:val="28"/>
          <w:shd w:val="clear" w:color="auto" w:fill="FFFFFF"/>
        </w:rPr>
        <w:t>H</w:t>
      </w:r>
      <w:r w:rsidRPr="00BE086B">
        <w:rPr>
          <w:sz w:val="28"/>
          <w:szCs w:val="28"/>
          <w:shd w:val="clear" w:color="auto" w:fill="FFFFFF"/>
          <w:lang w:val="uk-UA"/>
        </w:rPr>
        <w:t>.</w:t>
      </w:r>
      <w:r w:rsidRPr="00BE086B">
        <w:rPr>
          <w:sz w:val="28"/>
          <w:szCs w:val="28"/>
          <w:shd w:val="clear" w:color="auto" w:fill="FFFFFF"/>
        </w:rPr>
        <w:t>, Bhandari M</w:t>
      </w:r>
      <w:r w:rsidRPr="00BE086B">
        <w:rPr>
          <w:sz w:val="28"/>
          <w:szCs w:val="28"/>
          <w:shd w:val="clear" w:color="auto" w:fill="FFFFFF"/>
          <w:lang w:val="uk-UA"/>
        </w:rPr>
        <w:t>.</w:t>
      </w:r>
      <w:r w:rsidRPr="00BE086B">
        <w:rPr>
          <w:sz w:val="28"/>
          <w:szCs w:val="28"/>
          <w:shd w:val="clear" w:color="auto" w:fill="FFFFFF"/>
        </w:rPr>
        <w:t xml:space="preserve"> [et all.]. </w:t>
      </w:r>
      <w:r w:rsidRPr="00BE086B">
        <w:rPr>
          <w:sz w:val="28"/>
          <w:szCs w:val="28"/>
          <w:shd w:val="clear" w:color="auto" w:fill="FFFFFF"/>
          <w:lang w:val="en-US"/>
        </w:rPr>
        <w:t>OARSI guidelines for the non-surgical management of knee, hip, and polyarticular osteoarthritis. Osteoarthritis Cartilage. 2019;27(11):1578-1589.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lastRenderedPageBreak/>
        <w:t>Reginster J</w:t>
      </w:r>
      <w:r w:rsidRPr="00BE086B">
        <w:rPr>
          <w:sz w:val="28"/>
          <w:szCs w:val="28"/>
          <w:shd w:val="clear" w:color="auto" w:fill="FFFFFF"/>
          <w:lang w:val="uk-UA"/>
        </w:rPr>
        <w:t>.</w:t>
      </w:r>
      <w:r w:rsidRPr="00BE086B">
        <w:rPr>
          <w:sz w:val="28"/>
          <w:szCs w:val="28"/>
          <w:shd w:val="clear" w:color="auto" w:fill="FFFFFF"/>
          <w:lang w:val="en-US"/>
        </w:rPr>
        <w:t>Y</w:t>
      </w:r>
      <w:r w:rsidRPr="00BE086B">
        <w:rPr>
          <w:sz w:val="28"/>
          <w:szCs w:val="28"/>
          <w:shd w:val="clear" w:color="auto" w:fill="FFFFFF"/>
          <w:lang w:val="uk-UA"/>
        </w:rPr>
        <w:t>.</w:t>
      </w:r>
      <w:r w:rsidRPr="00BE086B">
        <w:rPr>
          <w:sz w:val="28"/>
          <w:szCs w:val="28"/>
          <w:shd w:val="clear" w:color="auto" w:fill="FFFFFF"/>
          <w:lang w:val="en-US"/>
        </w:rPr>
        <w:t>, Beaudart C</w:t>
      </w:r>
      <w:r w:rsidRPr="00BE086B">
        <w:rPr>
          <w:sz w:val="28"/>
          <w:szCs w:val="28"/>
          <w:shd w:val="clear" w:color="auto" w:fill="FFFFFF"/>
          <w:lang w:val="uk-UA"/>
        </w:rPr>
        <w:t>.</w:t>
      </w:r>
      <w:r w:rsidRPr="00BE086B">
        <w:rPr>
          <w:sz w:val="28"/>
          <w:szCs w:val="28"/>
          <w:shd w:val="clear" w:color="auto" w:fill="FFFFFF"/>
          <w:lang w:val="en-US"/>
        </w:rPr>
        <w:t>, Al-Daghri N</w:t>
      </w:r>
      <w:r w:rsidRPr="00BE086B">
        <w:rPr>
          <w:sz w:val="28"/>
          <w:szCs w:val="28"/>
          <w:shd w:val="clear" w:color="auto" w:fill="FFFFFF"/>
          <w:lang w:val="uk-UA"/>
        </w:rPr>
        <w:t>.</w:t>
      </w:r>
      <w:r w:rsidRPr="00BE086B">
        <w:rPr>
          <w:sz w:val="28"/>
          <w:szCs w:val="28"/>
          <w:shd w:val="clear" w:color="auto" w:fill="FFFFFF"/>
          <w:lang w:val="en-US"/>
        </w:rPr>
        <w:t>, Avouac B</w:t>
      </w:r>
      <w:r w:rsidRPr="00BE086B">
        <w:rPr>
          <w:sz w:val="28"/>
          <w:szCs w:val="28"/>
          <w:shd w:val="clear" w:color="auto" w:fill="FFFFFF"/>
          <w:lang w:val="uk-UA"/>
        </w:rPr>
        <w:t>.</w:t>
      </w:r>
      <w:r w:rsidRPr="00BE086B">
        <w:rPr>
          <w:sz w:val="28"/>
          <w:szCs w:val="28"/>
          <w:shd w:val="clear" w:color="auto" w:fill="FFFFFF"/>
          <w:lang w:val="en-US"/>
        </w:rPr>
        <w:t>, Bauer J</w:t>
      </w:r>
      <w:r w:rsidRPr="00BE086B">
        <w:rPr>
          <w:sz w:val="28"/>
          <w:szCs w:val="28"/>
          <w:shd w:val="clear" w:color="auto" w:fill="FFFFFF"/>
          <w:lang w:val="uk-UA"/>
        </w:rPr>
        <w:t>.</w:t>
      </w:r>
      <w:r w:rsidRPr="00BE086B">
        <w:rPr>
          <w:sz w:val="28"/>
          <w:szCs w:val="28"/>
          <w:shd w:val="clear" w:color="auto" w:fill="FFFFFF"/>
          <w:lang w:val="en-US"/>
        </w:rPr>
        <w:t>, Bere N</w:t>
      </w:r>
      <w:r w:rsidRPr="00BE086B">
        <w:rPr>
          <w:sz w:val="28"/>
          <w:szCs w:val="28"/>
          <w:shd w:val="clear" w:color="auto" w:fill="FFFFFF"/>
          <w:lang w:val="uk-UA"/>
        </w:rPr>
        <w:t>.</w:t>
      </w:r>
      <w:r w:rsidRPr="00BE086B">
        <w:rPr>
          <w:sz w:val="28"/>
          <w:szCs w:val="28"/>
          <w:shd w:val="clear" w:color="auto" w:fill="FFFFFF"/>
          <w:lang w:val="en-US"/>
        </w:rPr>
        <w:t>, Bruyère O</w:t>
      </w:r>
      <w:r w:rsidRPr="00BE086B">
        <w:rPr>
          <w:sz w:val="28"/>
          <w:szCs w:val="28"/>
          <w:shd w:val="clear" w:color="auto" w:fill="FFFFFF"/>
          <w:lang w:val="uk-UA"/>
        </w:rPr>
        <w:t>.</w:t>
      </w:r>
      <w:r w:rsidRPr="00BE086B">
        <w:rPr>
          <w:sz w:val="28"/>
          <w:szCs w:val="28"/>
          <w:shd w:val="clear" w:color="auto" w:fill="FFFFFF"/>
          <w:lang w:val="en-US"/>
        </w:rPr>
        <w:t>, Cerreta F</w:t>
      </w:r>
      <w:r w:rsidRPr="00BE086B">
        <w:rPr>
          <w:sz w:val="28"/>
          <w:szCs w:val="28"/>
          <w:shd w:val="clear" w:color="auto" w:fill="FFFFFF"/>
          <w:lang w:val="uk-UA"/>
        </w:rPr>
        <w:t>.</w:t>
      </w:r>
      <w:r w:rsidRPr="00BE086B">
        <w:rPr>
          <w:sz w:val="28"/>
          <w:szCs w:val="28"/>
          <w:shd w:val="clear" w:color="auto" w:fill="FFFFFF"/>
          <w:lang w:val="en-US"/>
        </w:rPr>
        <w:t>, Cesari M</w:t>
      </w:r>
      <w:r w:rsidRPr="00BE086B">
        <w:rPr>
          <w:sz w:val="28"/>
          <w:szCs w:val="28"/>
          <w:shd w:val="clear" w:color="auto" w:fill="FFFFFF"/>
          <w:lang w:val="uk-UA"/>
        </w:rPr>
        <w:t>.</w:t>
      </w:r>
      <w:r w:rsidRPr="00BE086B">
        <w:rPr>
          <w:sz w:val="28"/>
          <w:szCs w:val="28"/>
          <w:shd w:val="clear" w:color="auto" w:fill="FFFFFF"/>
          <w:lang w:val="en-US"/>
        </w:rPr>
        <w:t>, Rosa M</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xml:space="preserve"> [et all.].</w:t>
      </w:r>
      <w:r w:rsidRPr="001142BF">
        <w:rPr>
          <w:sz w:val="28"/>
          <w:szCs w:val="28"/>
          <w:shd w:val="clear" w:color="auto" w:fill="FFFFFF"/>
          <w:lang w:val="en-US"/>
        </w:rPr>
        <w:t xml:space="preserve"> </w:t>
      </w:r>
      <w:r w:rsidRPr="00BE086B">
        <w:rPr>
          <w:sz w:val="28"/>
          <w:szCs w:val="28"/>
          <w:shd w:val="clear" w:color="auto" w:fill="FFFFFF"/>
          <w:lang w:val="en-US"/>
        </w:rPr>
        <w:t>Update on the ESCEO recommendation for the conduct of clinical trials for drugs aiming at the treatment of sarcopenia in older adults. Aging Clin Exp Res. 2021;33(1):3-17.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val="en-US"/>
        </w:rPr>
      </w:pPr>
      <w:r w:rsidRPr="001142BF">
        <w:rPr>
          <w:sz w:val="28"/>
          <w:szCs w:val="28"/>
          <w:shd w:val="clear" w:color="auto" w:fill="FFFFFF"/>
          <w:lang w:val="en-US"/>
        </w:rPr>
        <w:t>Smolen J</w:t>
      </w:r>
      <w:r w:rsidRPr="00BE086B">
        <w:rPr>
          <w:sz w:val="28"/>
          <w:szCs w:val="28"/>
          <w:shd w:val="clear" w:color="auto" w:fill="FFFFFF"/>
          <w:lang w:val="uk-UA"/>
        </w:rPr>
        <w:t>.</w:t>
      </w:r>
      <w:r w:rsidRPr="001142BF">
        <w:rPr>
          <w:sz w:val="28"/>
          <w:szCs w:val="28"/>
          <w:shd w:val="clear" w:color="auto" w:fill="FFFFFF"/>
          <w:lang w:val="en-US"/>
        </w:rPr>
        <w:t>S</w:t>
      </w:r>
      <w:r w:rsidRPr="00BE086B">
        <w:rPr>
          <w:sz w:val="28"/>
          <w:szCs w:val="28"/>
          <w:shd w:val="clear" w:color="auto" w:fill="FFFFFF"/>
          <w:lang w:val="uk-UA"/>
        </w:rPr>
        <w:t>.</w:t>
      </w:r>
      <w:r w:rsidRPr="001142BF">
        <w:rPr>
          <w:sz w:val="28"/>
          <w:szCs w:val="28"/>
          <w:shd w:val="clear" w:color="auto" w:fill="FFFFFF"/>
          <w:lang w:val="en-US"/>
        </w:rPr>
        <w:t>, Landewé RBM, Bijlsma JWJ, Burmester G</w:t>
      </w:r>
      <w:r w:rsidRPr="00BE086B">
        <w:rPr>
          <w:sz w:val="28"/>
          <w:szCs w:val="28"/>
          <w:shd w:val="clear" w:color="auto" w:fill="FFFFFF"/>
          <w:lang w:val="uk-UA"/>
        </w:rPr>
        <w:t>.</w:t>
      </w:r>
      <w:r w:rsidRPr="001142BF">
        <w:rPr>
          <w:sz w:val="28"/>
          <w:szCs w:val="28"/>
          <w:shd w:val="clear" w:color="auto" w:fill="FFFFFF"/>
          <w:lang w:val="en-US"/>
        </w:rPr>
        <w:t>R</w:t>
      </w:r>
      <w:r w:rsidRPr="00BE086B">
        <w:rPr>
          <w:sz w:val="28"/>
          <w:szCs w:val="28"/>
          <w:shd w:val="clear" w:color="auto" w:fill="FFFFFF"/>
          <w:lang w:val="uk-UA"/>
        </w:rPr>
        <w:t>.</w:t>
      </w:r>
      <w:r w:rsidRPr="001142BF">
        <w:rPr>
          <w:sz w:val="28"/>
          <w:szCs w:val="28"/>
          <w:shd w:val="clear" w:color="auto" w:fill="FFFFFF"/>
          <w:lang w:val="en-US"/>
        </w:rPr>
        <w:t>, Dougados M</w:t>
      </w:r>
      <w:r w:rsidRPr="00BE086B">
        <w:rPr>
          <w:sz w:val="28"/>
          <w:szCs w:val="28"/>
          <w:shd w:val="clear" w:color="auto" w:fill="FFFFFF"/>
          <w:lang w:val="uk-UA"/>
        </w:rPr>
        <w:t>.</w:t>
      </w:r>
      <w:r w:rsidRPr="001142BF">
        <w:rPr>
          <w:sz w:val="28"/>
          <w:szCs w:val="28"/>
          <w:shd w:val="clear" w:color="auto" w:fill="FFFFFF"/>
          <w:lang w:val="en-US"/>
        </w:rPr>
        <w:t>, Kerschbaumer A</w:t>
      </w:r>
      <w:r w:rsidRPr="00BE086B">
        <w:rPr>
          <w:sz w:val="28"/>
          <w:szCs w:val="28"/>
          <w:shd w:val="clear" w:color="auto" w:fill="FFFFFF"/>
          <w:lang w:val="uk-UA"/>
        </w:rPr>
        <w:t>.</w:t>
      </w:r>
      <w:r w:rsidRPr="001142BF">
        <w:rPr>
          <w:sz w:val="28"/>
          <w:szCs w:val="28"/>
          <w:shd w:val="clear" w:color="auto" w:fill="FFFFFF"/>
          <w:lang w:val="en-US"/>
        </w:rPr>
        <w:t>, McInnes I</w:t>
      </w:r>
      <w:r w:rsidRPr="00BE086B">
        <w:rPr>
          <w:sz w:val="28"/>
          <w:szCs w:val="28"/>
          <w:shd w:val="clear" w:color="auto" w:fill="FFFFFF"/>
          <w:lang w:val="uk-UA"/>
        </w:rPr>
        <w:t>.</w:t>
      </w:r>
      <w:r w:rsidRPr="001142BF">
        <w:rPr>
          <w:sz w:val="28"/>
          <w:szCs w:val="28"/>
          <w:shd w:val="clear" w:color="auto" w:fill="FFFFFF"/>
          <w:lang w:val="en-US"/>
        </w:rPr>
        <w:t>B</w:t>
      </w:r>
      <w:r w:rsidRPr="00BE086B">
        <w:rPr>
          <w:sz w:val="28"/>
          <w:szCs w:val="28"/>
          <w:shd w:val="clear" w:color="auto" w:fill="FFFFFF"/>
          <w:lang w:val="uk-UA"/>
        </w:rPr>
        <w:t>.</w:t>
      </w:r>
      <w:r w:rsidRPr="001142BF">
        <w:rPr>
          <w:sz w:val="28"/>
          <w:szCs w:val="28"/>
          <w:shd w:val="clear" w:color="auto" w:fill="FFFFFF"/>
          <w:lang w:val="en-US"/>
        </w:rPr>
        <w:t>, Sepriano A</w:t>
      </w:r>
      <w:r w:rsidRPr="00BE086B">
        <w:rPr>
          <w:sz w:val="28"/>
          <w:szCs w:val="28"/>
          <w:shd w:val="clear" w:color="auto" w:fill="FFFFFF"/>
          <w:lang w:val="uk-UA"/>
        </w:rPr>
        <w:t>.</w:t>
      </w:r>
      <w:r w:rsidRPr="001142BF">
        <w:rPr>
          <w:sz w:val="28"/>
          <w:szCs w:val="28"/>
          <w:shd w:val="clear" w:color="auto" w:fill="FFFFFF"/>
          <w:lang w:val="en-US"/>
        </w:rPr>
        <w:t>, van Vollenhoven R</w:t>
      </w:r>
      <w:r w:rsidRPr="00BE086B">
        <w:rPr>
          <w:sz w:val="28"/>
          <w:szCs w:val="28"/>
          <w:shd w:val="clear" w:color="auto" w:fill="FFFFFF"/>
          <w:lang w:val="uk-UA"/>
        </w:rPr>
        <w:t>.</w:t>
      </w:r>
      <w:r w:rsidRPr="001142BF">
        <w:rPr>
          <w:sz w:val="28"/>
          <w:szCs w:val="28"/>
          <w:shd w:val="clear" w:color="auto" w:fill="FFFFFF"/>
          <w:lang w:val="en-US"/>
        </w:rPr>
        <w:t>F</w:t>
      </w:r>
      <w:r w:rsidRPr="00BE086B">
        <w:rPr>
          <w:sz w:val="28"/>
          <w:szCs w:val="28"/>
          <w:shd w:val="clear" w:color="auto" w:fill="FFFFFF"/>
          <w:lang w:val="uk-UA"/>
        </w:rPr>
        <w:t>.</w:t>
      </w:r>
      <w:r w:rsidRPr="001142BF">
        <w:rPr>
          <w:sz w:val="28"/>
          <w:szCs w:val="28"/>
          <w:shd w:val="clear" w:color="auto" w:fill="FFFFFF"/>
          <w:lang w:val="en-US"/>
        </w:rPr>
        <w:t>, de Wit M.</w:t>
      </w:r>
      <w:r w:rsidRPr="00BE086B">
        <w:rPr>
          <w:sz w:val="28"/>
          <w:szCs w:val="28"/>
          <w:shd w:val="clear" w:color="auto" w:fill="FFFFFF"/>
          <w:lang w:val="en-US"/>
        </w:rPr>
        <w:t xml:space="preserve"> [et all.].</w:t>
      </w:r>
      <w:r w:rsidRPr="001142BF">
        <w:rPr>
          <w:sz w:val="28"/>
          <w:szCs w:val="28"/>
          <w:shd w:val="clear" w:color="auto" w:fill="FFFFFF"/>
          <w:lang w:val="en-US"/>
        </w:rPr>
        <w:t xml:space="preserve"> EULAR recommendations for the management of rheumatoid arthritis with synthetic and biological disease-modifying antirheumatic drugs: 2019 update. </w:t>
      </w:r>
      <w:r w:rsidRPr="00BE086B">
        <w:rPr>
          <w:sz w:val="28"/>
          <w:szCs w:val="28"/>
          <w:shd w:val="clear" w:color="auto" w:fill="FFFFFF"/>
        </w:rPr>
        <w:t>Ann Rheum Dis. 2020;79(6):685-699.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val="en-US"/>
        </w:rPr>
      </w:pPr>
      <w:r w:rsidRPr="001142BF">
        <w:rPr>
          <w:sz w:val="28"/>
          <w:szCs w:val="28"/>
          <w:shd w:val="clear" w:color="auto" w:fill="FFFFFF"/>
          <w:lang w:val="en-US"/>
        </w:rPr>
        <w:t>Kolasinski S</w:t>
      </w:r>
      <w:r w:rsidRPr="00BE086B">
        <w:rPr>
          <w:sz w:val="28"/>
          <w:szCs w:val="28"/>
          <w:shd w:val="clear" w:color="auto" w:fill="FFFFFF"/>
          <w:lang w:val="uk-UA"/>
        </w:rPr>
        <w:t>.</w:t>
      </w:r>
      <w:r w:rsidRPr="001142BF">
        <w:rPr>
          <w:sz w:val="28"/>
          <w:szCs w:val="28"/>
          <w:shd w:val="clear" w:color="auto" w:fill="FFFFFF"/>
          <w:lang w:val="en-US"/>
        </w:rPr>
        <w:t>L</w:t>
      </w:r>
      <w:r w:rsidRPr="00BE086B">
        <w:rPr>
          <w:sz w:val="28"/>
          <w:szCs w:val="28"/>
          <w:shd w:val="clear" w:color="auto" w:fill="FFFFFF"/>
          <w:lang w:val="uk-UA"/>
        </w:rPr>
        <w:t>.</w:t>
      </w:r>
      <w:r w:rsidRPr="001142BF">
        <w:rPr>
          <w:sz w:val="28"/>
          <w:szCs w:val="28"/>
          <w:shd w:val="clear" w:color="auto" w:fill="FFFFFF"/>
          <w:lang w:val="en-US"/>
        </w:rPr>
        <w:t>, Neogi T</w:t>
      </w:r>
      <w:r w:rsidRPr="00BE086B">
        <w:rPr>
          <w:sz w:val="28"/>
          <w:szCs w:val="28"/>
          <w:shd w:val="clear" w:color="auto" w:fill="FFFFFF"/>
          <w:lang w:val="uk-UA"/>
        </w:rPr>
        <w:t>.</w:t>
      </w:r>
      <w:r w:rsidRPr="001142BF">
        <w:rPr>
          <w:sz w:val="28"/>
          <w:szCs w:val="28"/>
          <w:shd w:val="clear" w:color="auto" w:fill="FFFFFF"/>
          <w:lang w:val="en-US"/>
        </w:rPr>
        <w:t>, Hochberg M</w:t>
      </w:r>
      <w:r w:rsidRPr="00BE086B">
        <w:rPr>
          <w:sz w:val="28"/>
          <w:szCs w:val="28"/>
          <w:shd w:val="clear" w:color="auto" w:fill="FFFFFF"/>
          <w:lang w:val="uk-UA"/>
        </w:rPr>
        <w:t>.</w:t>
      </w:r>
      <w:r w:rsidRPr="001142BF">
        <w:rPr>
          <w:sz w:val="28"/>
          <w:szCs w:val="28"/>
          <w:shd w:val="clear" w:color="auto" w:fill="FFFFFF"/>
          <w:lang w:val="en-US"/>
        </w:rPr>
        <w:t>C</w:t>
      </w:r>
      <w:r w:rsidRPr="00BE086B">
        <w:rPr>
          <w:sz w:val="28"/>
          <w:szCs w:val="28"/>
          <w:shd w:val="clear" w:color="auto" w:fill="FFFFFF"/>
          <w:lang w:val="uk-UA"/>
        </w:rPr>
        <w:t>.</w:t>
      </w:r>
      <w:r w:rsidRPr="001142BF">
        <w:rPr>
          <w:sz w:val="28"/>
          <w:szCs w:val="28"/>
          <w:shd w:val="clear" w:color="auto" w:fill="FFFFFF"/>
          <w:lang w:val="en-US"/>
        </w:rPr>
        <w:t>, Oatis C</w:t>
      </w:r>
      <w:r w:rsidRPr="00BE086B">
        <w:rPr>
          <w:sz w:val="28"/>
          <w:szCs w:val="28"/>
          <w:shd w:val="clear" w:color="auto" w:fill="FFFFFF"/>
          <w:lang w:val="uk-UA"/>
        </w:rPr>
        <w:t>.</w:t>
      </w:r>
      <w:r w:rsidRPr="001142BF">
        <w:rPr>
          <w:sz w:val="28"/>
          <w:szCs w:val="28"/>
          <w:shd w:val="clear" w:color="auto" w:fill="FFFFFF"/>
          <w:lang w:val="en-US"/>
        </w:rPr>
        <w:t>, Guyatt G</w:t>
      </w:r>
      <w:r w:rsidRPr="00BE086B">
        <w:rPr>
          <w:sz w:val="28"/>
          <w:szCs w:val="28"/>
          <w:shd w:val="clear" w:color="auto" w:fill="FFFFFF"/>
          <w:lang w:val="uk-UA"/>
        </w:rPr>
        <w:t>.</w:t>
      </w:r>
      <w:r w:rsidRPr="001142BF">
        <w:rPr>
          <w:sz w:val="28"/>
          <w:szCs w:val="28"/>
          <w:shd w:val="clear" w:color="auto" w:fill="FFFFFF"/>
          <w:lang w:val="en-US"/>
        </w:rPr>
        <w:t>, Block J</w:t>
      </w:r>
      <w:r w:rsidRPr="00BE086B">
        <w:rPr>
          <w:sz w:val="28"/>
          <w:szCs w:val="28"/>
          <w:shd w:val="clear" w:color="auto" w:fill="FFFFFF"/>
          <w:lang w:val="uk-UA"/>
        </w:rPr>
        <w:t>.</w:t>
      </w:r>
      <w:r w:rsidRPr="001142BF">
        <w:rPr>
          <w:sz w:val="28"/>
          <w:szCs w:val="28"/>
          <w:shd w:val="clear" w:color="auto" w:fill="FFFFFF"/>
          <w:lang w:val="en-US"/>
        </w:rPr>
        <w:t>, Callahan L</w:t>
      </w:r>
      <w:r w:rsidRPr="00BE086B">
        <w:rPr>
          <w:sz w:val="28"/>
          <w:szCs w:val="28"/>
          <w:shd w:val="clear" w:color="auto" w:fill="FFFFFF"/>
          <w:lang w:val="uk-UA"/>
        </w:rPr>
        <w:t>.</w:t>
      </w:r>
      <w:r w:rsidRPr="001142BF">
        <w:rPr>
          <w:sz w:val="28"/>
          <w:szCs w:val="28"/>
          <w:shd w:val="clear" w:color="auto" w:fill="FFFFFF"/>
          <w:lang w:val="en-US"/>
        </w:rPr>
        <w:t>, Copenhaver C</w:t>
      </w:r>
      <w:r w:rsidRPr="00BE086B">
        <w:rPr>
          <w:sz w:val="28"/>
          <w:szCs w:val="28"/>
          <w:shd w:val="clear" w:color="auto" w:fill="FFFFFF"/>
          <w:lang w:val="uk-UA"/>
        </w:rPr>
        <w:t>.</w:t>
      </w:r>
      <w:r w:rsidRPr="001142BF">
        <w:rPr>
          <w:sz w:val="28"/>
          <w:szCs w:val="28"/>
          <w:shd w:val="clear" w:color="auto" w:fill="FFFFFF"/>
          <w:lang w:val="en-US"/>
        </w:rPr>
        <w:t>, Dodge C</w:t>
      </w:r>
      <w:r w:rsidRPr="00BE086B">
        <w:rPr>
          <w:sz w:val="28"/>
          <w:szCs w:val="28"/>
          <w:shd w:val="clear" w:color="auto" w:fill="FFFFFF"/>
          <w:lang w:val="uk-UA"/>
        </w:rPr>
        <w:t>.</w:t>
      </w:r>
      <w:r w:rsidRPr="001142BF">
        <w:rPr>
          <w:sz w:val="28"/>
          <w:szCs w:val="28"/>
          <w:shd w:val="clear" w:color="auto" w:fill="FFFFFF"/>
          <w:lang w:val="en-US"/>
        </w:rPr>
        <w:t>, Felson D</w:t>
      </w:r>
      <w:r w:rsidRPr="00BE086B">
        <w:rPr>
          <w:sz w:val="28"/>
          <w:szCs w:val="28"/>
          <w:shd w:val="clear" w:color="auto" w:fill="FFFFFF"/>
          <w:lang w:val="uk-UA"/>
        </w:rPr>
        <w:t>.</w:t>
      </w:r>
      <w:r w:rsidRPr="001142BF">
        <w:rPr>
          <w:sz w:val="28"/>
          <w:szCs w:val="28"/>
          <w:shd w:val="clear" w:color="auto" w:fill="FFFFFF"/>
          <w:lang w:val="en-US"/>
        </w:rPr>
        <w:t>, Gellar K</w:t>
      </w:r>
      <w:r w:rsidRPr="00BE086B">
        <w:rPr>
          <w:sz w:val="28"/>
          <w:szCs w:val="28"/>
          <w:shd w:val="clear" w:color="auto" w:fill="FFFFFF"/>
          <w:lang w:val="uk-UA"/>
        </w:rPr>
        <w:t>.</w:t>
      </w:r>
      <w:r w:rsidRPr="001142BF">
        <w:rPr>
          <w:sz w:val="28"/>
          <w:szCs w:val="28"/>
          <w:shd w:val="clear" w:color="auto" w:fill="FFFFFF"/>
          <w:lang w:val="en-US"/>
        </w:rPr>
        <w:t>, Harvey W</w:t>
      </w:r>
      <w:r w:rsidRPr="00BE086B">
        <w:rPr>
          <w:sz w:val="28"/>
          <w:szCs w:val="28"/>
          <w:shd w:val="clear" w:color="auto" w:fill="FFFFFF"/>
          <w:lang w:val="uk-UA"/>
        </w:rPr>
        <w:t>.</w:t>
      </w:r>
      <w:r w:rsidRPr="001142BF">
        <w:rPr>
          <w:sz w:val="28"/>
          <w:szCs w:val="28"/>
          <w:shd w:val="clear" w:color="auto" w:fill="FFFFFF"/>
          <w:lang w:val="en-US"/>
        </w:rPr>
        <w:t>F</w:t>
      </w:r>
      <w:r w:rsidRPr="00BE086B">
        <w:rPr>
          <w:sz w:val="28"/>
          <w:szCs w:val="28"/>
          <w:shd w:val="clear" w:color="auto" w:fill="FFFFFF"/>
          <w:lang w:val="uk-UA"/>
        </w:rPr>
        <w:t>.</w:t>
      </w:r>
      <w:r w:rsidRPr="001142BF">
        <w:rPr>
          <w:sz w:val="28"/>
          <w:szCs w:val="28"/>
          <w:shd w:val="clear" w:color="auto" w:fill="FFFFFF"/>
          <w:lang w:val="en-US"/>
        </w:rPr>
        <w:t>, Hawker G</w:t>
      </w:r>
      <w:r w:rsidRPr="00BE086B">
        <w:rPr>
          <w:sz w:val="28"/>
          <w:szCs w:val="28"/>
          <w:shd w:val="clear" w:color="auto" w:fill="FFFFFF"/>
          <w:lang w:val="uk-UA"/>
        </w:rPr>
        <w:t>.</w:t>
      </w:r>
      <w:r w:rsidRPr="001142BF">
        <w:rPr>
          <w:sz w:val="28"/>
          <w:szCs w:val="28"/>
          <w:shd w:val="clear" w:color="auto" w:fill="FFFFFF"/>
          <w:lang w:val="en-US"/>
        </w:rPr>
        <w:t>, Herzig E</w:t>
      </w:r>
      <w:r w:rsidRPr="00BE086B">
        <w:rPr>
          <w:sz w:val="28"/>
          <w:szCs w:val="28"/>
          <w:shd w:val="clear" w:color="auto" w:fill="FFFFFF"/>
          <w:lang w:val="uk-UA"/>
        </w:rPr>
        <w:t>.</w:t>
      </w:r>
      <w:r w:rsidRPr="001142BF">
        <w:rPr>
          <w:sz w:val="28"/>
          <w:szCs w:val="28"/>
          <w:shd w:val="clear" w:color="auto" w:fill="FFFFFF"/>
          <w:lang w:val="en-US"/>
        </w:rPr>
        <w:t>, Kwoh C</w:t>
      </w:r>
      <w:r w:rsidRPr="00BE086B">
        <w:rPr>
          <w:sz w:val="28"/>
          <w:szCs w:val="28"/>
          <w:shd w:val="clear" w:color="auto" w:fill="FFFFFF"/>
          <w:lang w:val="uk-UA"/>
        </w:rPr>
        <w:t>.</w:t>
      </w:r>
      <w:r w:rsidRPr="001142BF">
        <w:rPr>
          <w:sz w:val="28"/>
          <w:szCs w:val="28"/>
          <w:shd w:val="clear" w:color="auto" w:fill="FFFFFF"/>
          <w:lang w:val="en-US"/>
        </w:rPr>
        <w:t>K</w:t>
      </w:r>
      <w:r w:rsidRPr="00BE086B">
        <w:rPr>
          <w:sz w:val="28"/>
          <w:szCs w:val="28"/>
          <w:shd w:val="clear" w:color="auto" w:fill="FFFFFF"/>
          <w:lang w:val="uk-UA"/>
        </w:rPr>
        <w:t>.</w:t>
      </w:r>
      <w:r w:rsidRPr="001142BF">
        <w:rPr>
          <w:sz w:val="28"/>
          <w:szCs w:val="28"/>
          <w:shd w:val="clear" w:color="auto" w:fill="FFFFFF"/>
          <w:lang w:val="en-US"/>
        </w:rPr>
        <w:t>, Nelson A</w:t>
      </w:r>
      <w:r w:rsidRPr="00BE086B">
        <w:rPr>
          <w:sz w:val="28"/>
          <w:szCs w:val="28"/>
          <w:shd w:val="clear" w:color="auto" w:fill="FFFFFF"/>
          <w:lang w:val="uk-UA"/>
        </w:rPr>
        <w:t>.</w:t>
      </w:r>
      <w:r w:rsidRPr="001142BF">
        <w:rPr>
          <w:sz w:val="28"/>
          <w:szCs w:val="28"/>
          <w:shd w:val="clear" w:color="auto" w:fill="FFFFFF"/>
          <w:lang w:val="en-US"/>
        </w:rPr>
        <w:t>E</w:t>
      </w:r>
      <w:r w:rsidRPr="00BE086B">
        <w:rPr>
          <w:sz w:val="28"/>
          <w:szCs w:val="28"/>
          <w:shd w:val="clear" w:color="auto" w:fill="FFFFFF"/>
          <w:lang w:val="uk-UA"/>
        </w:rPr>
        <w:t>.</w:t>
      </w:r>
      <w:r w:rsidRPr="001142BF">
        <w:rPr>
          <w:sz w:val="28"/>
          <w:szCs w:val="28"/>
          <w:shd w:val="clear" w:color="auto" w:fill="FFFFFF"/>
          <w:lang w:val="en-US"/>
        </w:rPr>
        <w:t>, Samuels J</w:t>
      </w:r>
      <w:r w:rsidRPr="00BE086B">
        <w:rPr>
          <w:sz w:val="28"/>
          <w:szCs w:val="28"/>
          <w:shd w:val="clear" w:color="auto" w:fill="FFFFFF"/>
          <w:lang w:val="uk-UA"/>
        </w:rPr>
        <w:t>.</w:t>
      </w:r>
      <w:r w:rsidRPr="001142BF">
        <w:rPr>
          <w:sz w:val="28"/>
          <w:szCs w:val="28"/>
          <w:shd w:val="clear" w:color="auto" w:fill="FFFFFF"/>
          <w:lang w:val="en-US"/>
        </w:rPr>
        <w:t>, Scanzello C</w:t>
      </w:r>
      <w:r w:rsidRPr="00BE086B">
        <w:rPr>
          <w:sz w:val="28"/>
          <w:szCs w:val="28"/>
          <w:shd w:val="clear" w:color="auto" w:fill="FFFFFF"/>
          <w:lang w:val="uk-UA"/>
        </w:rPr>
        <w:t>.</w:t>
      </w:r>
      <w:r w:rsidRPr="001142BF">
        <w:rPr>
          <w:sz w:val="28"/>
          <w:szCs w:val="28"/>
          <w:shd w:val="clear" w:color="auto" w:fill="FFFFFF"/>
          <w:lang w:val="en-US"/>
        </w:rPr>
        <w:t>, White D</w:t>
      </w:r>
      <w:r w:rsidRPr="00BE086B">
        <w:rPr>
          <w:sz w:val="28"/>
          <w:szCs w:val="28"/>
          <w:shd w:val="clear" w:color="auto" w:fill="FFFFFF"/>
          <w:lang w:val="uk-UA"/>
        </w:rPr>
        <w:t>.</w:t>
      </w:r>
      <w:r w:rsidRPr="001142BF">
        <w:rPr>
          <w:sz w:val="28"/>
          <w:szCs w:val="28"/>
          <w:shd w:val="clear" w:color="auto" w:fill="FFFFFF"/>
          <w:lang w:val="en-US"/>
        </w:rPr>
        <w:t xml:space="preserve"> [et all.]. </w:t>
      </w:r>
      <w:r w:rsidRPr="00BE086B">
        <w:rPr>
          <w:sz w:val="28"/>
          <w:szCs w:val="28"/>
          <w:shd w:val="clear" w:color="auto" w:fill="FFFFFF"/>
          <w:lang w:val="en-US"/>
        </w:rPr>
        <w:t>2019 American College of Rheumatology/Arthritis Foundation Guideline for the Management of Osteoarthritis of the Hand, Hip, and Knee. Arthritis Care Res (Hoboken). 2020;72(2):149-162.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Arden N</w:t>
      </w:r>
      <w:r w:rsidRPr="00BE086B">
        <w:rPr>
          <w:sz w:val="28"/>
          <w:szCs w:val="28"/>
          <w:shd w:val="clear" w:color="auto" w:fill="FFFFFF"/>
          <w:lang w:val="uk-UA"/>
        </w:rPr>
        <w:t>.</w:t>
      </w:r>
      <w:r w:rsidRPr="00BE086B">
        <w:rPr>
          <w:sz w:val="28"/>
          <w:szCs w:val="28"/>
          <w:shd w:val="clear" w:color="auto" w:fill="FFFFFF"/>
          <w:lang w:val="en-US"/>
        </w:rPr>
        <w:t>K</w:t>
      </w:r>
      <w:r w:rsidRPr="00BE086B">
        <w:rPr>
          <w:sz w:val="28"/>
          <w:szCs w:val="28"/>
          <w:shd w:val="clear" w:color="auto" w:fill="FFFFFF"/>
          <w:lang w:val="uk-UA"/>
        </w:rPr>
        <w:t>.</w:t>
      </w:r>
      <w:r w:rsidRPr="00BE086B">
        <w:rPr>
          <w:sz w:val="28"/>
          <w:szCs w:val="28"/>
          <w:shd w:val="clear" w:color="auto" w:fill="FFFFFF"/>
          <w:lang w:val="en-US"/>
        </w:rPr>
        <w:t>, Perry T</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Bannuru R</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Bruyère O</w:t>
      </w:r>
      <w:r w:rsidRPr="00BE086B">
        <w:rPr>
          <w:sz w:val="28"/>
          <w:szCs w:val="28"/>
          <w:shd w:val="clear" w:color="auto" w:fill="FFFFFF"/>
          <w:lang w:val="uk-UA"/>
        </w:rPr>
        <w:t>.</w:t>
      </w:r>
      <w:r w:rsidRPr="00BE086B">
        <w:rPr>
          <w:sz w:val="28"/>
          <w:szCs w:val="28"/>
          <w:shd w:val="clear" w:color="auto" w:fill="FFFFFF"/>
          <w:lang w:val="en-US"/>
        </w:rPr>
        <w:t>, Cooper C</w:t>
      </w:r>
      <w:r w:rsidRPr="00BE086B">
        <w:rPr>
          <w:sz w:val="28"/>
          <w:szCs w:val="28"/>
          <w:shd w:val="clear" w:color="auto" w:fill="FFFFFF"/>
          <w:lang w:val="uk-UA"/>
        </w:rPr>
        <w:t>.</w:t>
      </w:r>
      <w:r w:rsidRPr="00BE086B">
        <w:rPr>
          <w:sz w:val="28"/>
          <w:szCs w:val="28"/>
          <w:shd w:val="clear" w:color="auto" w:fill="FFFFFF"/>
          <w:lang w:val="en-US"/>
        </w:rPr>
        <w:t>, Haugen I</w:t>
      </w:r>
      <w:r w:rsidRPr="00BE086B">
        <w:rPr>
          <w:sz w:val="28"/>
          <w:szCs w:val="28"/>
          <w:shd w:val="clear" w:color="auto" w:fill="FFFFFF"/>
          <w:lang w:val="uk-UA"/>
        </w:rPr>
        <w:t>.</w:t>
      </w:r>
      <w:r w:rsidRPr="00BE086B">
        <w:rPr>
          <w:sz w:val="28"/>
          <w:szCs w:val="28"/>
          <w:shd w:val="clear" w:color="auto" w:fill="FFFFFF"/>
          <w:lang w:val="en-US"/>
        </w:rPr>
        <w:t>K</w:t>
      </w:r>
      <w:r w:rsidRPr="00BE086B">
        <w:rPr>
          <w:sz w:val="28"/>
          <w:szCs w:val="28"/>
          <w:shd w:val="clear" w:color="auto" w:fill="FFFFFF"/>
          <w:lang w:val="uk-UA"/>
        </w:rPr>
        <w:t>.</w:t>
      </w:r>
      <w:r w:rsidRPr="00BE086B">
        <w:rPr>
          <w:sz w:val="28"/>
          <w:szCs w:val="28"/>
          <w:shd w:val="clear" w:color="auto" w:fill="FFFFFF"/>
          <w:lang w:val="en-US"/>
        </w:rPr>
        <w:t>, Hochberg M</w:t>
      </w:r>
      <w:r w:rsidRPr="00BE086B">
        <w:rPr>
          <w:sz w:val="28"/>
          <w:szCs w:val="28"/>
          <w:shd w:val="clear" w:color="auto" w:fill="FFFFFF"/>
          <w:lang w:val="uk-UA"/>
        </w:rPr>
        <w:t>.</w:t>
      </w:r>
      <w:r w:rsidRPr="00BE086B">
        <w:rPr>
          <w:sz w:val="28"/>
          <w:szCs w:val="28"/>
          <w:shd w:val="clear" w:color="auto" w:fill="FFFFFF"/>
          <w:lang w:val="en-US"/>
        </w:rPr>
        <w:t>C</w:t>
      </w:r>
      <w:r w:rsidRPr="00BE086B">
        <w:rPr>
          <w:sz w:val="28"/>
          <w:szCs w:val="28"/>
          <w:shd w:val="clear" w:color="auto" w:fill="FFFFFF"/>
          <w:lang w:val="uk-UA"/>
        </w:rPr>
        <w:t>.</w:t>
      </w:r>
      <w:r w:rsidRPr="00BE086B">
        <w:rPr>
          <w:sz w:val="28"/>
          <w:szCs w:val="28"/>
          <w:shd w:val="clear" w:color="auto" w:fill="FFFFFF"/>
          <w:lang w:val="en-US"/>
        </w:rPr>
        <w:t>, McAlindon T</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w:t>
      </w:r>
      <w:r w:rsidRPr="00BE086B">
        <w:rPr>
          <w:sz w:val="28"/>
          <w:szCs w:val="28"/>
          <w:shd w:val="clear" w:color="auto" w:fill="FFFFFF"/>
          <w:lang w:val="en-US"/>
        </w:rPr>
        <w:t>, Mobasheri A</w:t>
      </w:r>
      <w:r w:rsidRPr="00BE086B">
        <w:rPr>
          <w:sz w:val="28"/>
          <w:szCs w:val="28"/>
          <w:shd w:val="clear" w:color="auto" w:fill="FFFFFF"/>
          <w:lang w:val="uk-UA"/>
        </w:rPr>
        <w:t>.</w:t>
      </w:r>
      <w:r w:rsidRPr="00BE086B">
        <w:rPr>
          <w:sz w:val="28"/>
          <w:szCs w:val="28"/>
          <w:shd w:val="clear" w:color="auto" w:fill="FFFFFF"/>
          <w:lang w:val="en-US"/>
        </w:rPr>
        <w:t>, Reginster J</w:t>
      </w:r>
      <w:r w:rsidRPr="00BE086B">
        <w:rPr>
          <w:sz w:val="28"/>
          <w:szCs w:val="28"/>
          <w:shd w:val="clear" w:color="auto" w:fill="FFFFFF"/>
          <w:lang w:val="uk-UA"/>
        </w:rPr>
        <w:t>.</w:t>
      </w:r>
      <w:r w:rsidRPr="00BE086B">
        <w:rPr>
          <w:sz w:val="28"/>
          <w:szCs w:val="28"/>
          <w:shd w:val="clear" w:color="auto" w:fill="FFFFFF"/>
          <w:lang w:val="en-US"/>
        </w:rPr>
        <w:t>Y. Non-surgical management of knee osteoarthritis: comparison of ESCEO and OARSI 2019 guidelines. Nat Rev Rheumatol. 2021;17(1):59-66.</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shd w:val="clear" w:color="auto" w:fill="FFFFFF"/>
          <w:lang w:val="en-US"/>
        </w:rPr>
        <w:t>Gebril S</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Ito Y</w:t>
      </w:r>
      <w:r w:rsidRPr="00BE086B">
        <w:rPr>
          <w:sz w:val="28"/>
          <w:szCs w:val="28"/>
          <w:shd w:val="clear" w:color="auto" w:fill="FFFFFF"/>
          <w:lang w:val="uk-UA"/>
        </w:rPr>
        <w:t>.</w:t>
      </w:r>
      <w:r w:rsidRPr="00BE086B">
        <w:rPr>
          <w:sz w:val="28"/>
          <w:szCs w:val="28"/>
          <w:shd w:val="clear" w:color="auto" w:fill="FFFFFF"/>
          <w:lang w:val="en-US"/>
        </w:rPr>
        <w:t>, Shibata M</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Maemura K</w:t>
      </w:r>
      <w:r w:rsidRPr="00BE086B">
        <w:rPr>
          <w:sz w:val="28"/>
          <w:szCs w:val="28"/>
          <w:shd w:val="clear" w:color="auto" w:fill="FFFFFF"/>
          <w:lang w:val="uk-UA"/>
        </w:rPr>
        <w:t>.</w:t>
      </w:r>
      <w:r w:rsidRPr="00BE086B">
        <w:rPr>
          <w:sz w:val="28"/>
          <w:szCs w:val="28"/>
          <w:shd w:val="clear" w:color="auto" w:fill="FFFFFF"/>
          <w:lang w:val="en-US"/>
        </w:rPr>
        <w:t>, Abu-Dief E</w:t>
      </w:r>
      <w:r w:rsidRPr="00BE086B">
        <w:rPr>
          <w:sz w:val="28"/>
          <w:szCs w:val="28"/>
          <w:shd w:val="clear" w:color="auto" w:fill="FFFFFF"/>
          <w:lang w:val="uk-UA"/>
        </w:rPr>
        <w:t>.</w:t>
      </w:r>
      <w:r w:rsidRPr="00BE086B">
        <w:rPr>
          <w:sz w:val="28"/>
          <w:szCs w:val="28"/>
          <w:shd w:val="clear" w:color="auto" w:fill="FFFFFF"/>
          <w:lang w:val="en-US"/>
        </w:rPr>
        <w:t>E</w:t>
      </w:r>
      <w:r w:rsidRPr="00BE086B">
        <w:rPr>
          <w:sz w:val="28"/>
          <w:szCs w:val="28"/>
          <w:shd w:val="clear" w:color="auto" w:fill="FFFFFF"/>
          <w:lang w:val="uk-UA"/>
        </w:rPr>
        <w:t>.</w:t>
      </w:r>
      <w:r w:rsidRPr="00BE086B">
        <w:rPr>
          <w:sz w:val="28"/>
          <w:szCs w:val="28"/>
          <w:shd w:val="clear" w:color="auto" w:fill="FFFFFF"/>
          <w:lang w:val="en-US"/>
        </w:rPr>
        <w:t>, Hussein MRA, Abdelaal U</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Elsayed H</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Otsuki Y</w:t>
      </w:r>
      <w:r w:rsidRPr="00BE086B">
        <w:rPr>
          <w:sz w:val="28"/>
          <w:szCs w:val="28"/>
          <w:shd w:val="clear" w:color="auto" w:fill="FFFFFF"/>
          <w:lang w:val="uk-UA"/>
        </w:rPr>
        <w:t>.</w:t>
      </w:r>
      <w:r w:rsidRPr="00BE086B">
        <w:rPr>
          <w:sz w:val="28"/>
          <w:szCs w:val="28"/>
          <w:shd w:val="clear" w:color="auto" w:fill="FFFFFF"/>
          <w:lang w:val="en-US"/>
        </w:rPr>
        <w:t>, Higuchi K. Indomethacin can induce cell death in rat gastric parietal cells through alteration of some apoptosis- and autophagy-associated molecules. Int J Exp Pathol. 2020;101(6):230-247.</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lang w:val="en-US"/>
        </w:rPr>
        <w:t>Vanegas H</w:t>
      </w:r>
      <w:r w:rsidRPr="00BE086B">
        <w:rPr>
          <w:sz w:val="28"/>
          <w:szCs w:val="28"/>
          <w:lang w:val="uk-UA"/>
        </w:rPr>
        <w:t>.</w:t>
      </w:r>
      <w:r w:rsidRPr="00BE086B">
        <w:rPr>
          <w:sz w:val="28"/>
          <w:szCs w:val="28"/>
          <w:lang w:val="en-US"/>
        </w:rPr>
        <w:t>, Schaible H</w:t>
      </w:r>
      <w:r w:rsidRPr="00BE086B">
        <w:rPr>
          <w:sz w:val="28"/>
          <w:szCs w:val="28"/>
          <w:lang w:val="uk-UA"/>
        </w:rPr>
        <w:t>.</w:t>
      </w:r>
      <w:r w:rsidRPr="00BE086B">
        <w:rPr>
          <w:sz w:val="28"/>
          <w:szCs w:val="28"/>
          <w:lang w:val="en-US"/>
        </w:rPr>
        <w:t>G. Prostaglandins and cyclooxygenases [correction of cycloxygenases] in the spinal cord. Prog Neurobiol 2001;64:327-363.</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shd w:val="clear" w:color="auto" w:fill="FFFFFF"/>
          <w:lang w:val="en-US"/>
        </w:rPr>
        <w:t>El-Gogary R</w:t>
      </w:r>
      <w:r w:rsidRPr="00BE086B">
        <w:rPr>
          <w:sz w:val="28"/>
          <w:szCs w:val="28"/>
          <w:shd w:val="clear" w:color="auto" w:fill="FFFFFF"/>
          <w:lang w:val="uk-UA"/>
        </w:rPr>
        <w:t>.</w:t>
      </w:r>
      <w:r w:rsidRPr="00BE086B">
        <w:rPr>
          <w:sz w:val="28"/>
          <w:szCs w:val="28"/>
          <w:shd w:val="clear" w:color="auto" w:fill="FFFFFF"/>
          <w:lang w:val="en-US"/>
        </w:rPr>
        <w:t>I</w:t>
      </w:r>
      <w:r w:rsidRPr="00BE086B">
        <w:rPr>
          <w:sz w:val="28"/>
          <w:szCs w:val="28"/>
          <w:shd w:val="clear" w:color="auto" w:fill="FFFFFF"/>
          <w:lang w:val="uk-UA"/>
        </w:rPr>
        <w:t>.</w:t>
      </w:r>
      <w:r w:rsidRPr="00BE086B">
        <w:rPr>
          <w:sz w:val="28"/>
          <w:szCs w:val="28"/>
          <w:shd w:val="clear" w:color="auto" w:fill="FFFFFF"/>
          <w:lang w:val="en-US"/>
        </w:rPr>
        <w:t>, Khattab M</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Abd-Allah H. Intra-articular multifunctional celecoxib loaded hyaluronan nanocapsules for the suppression of inflammation in an osteoarthritic rat model. Int J Pharm. 2020</w:t>
      </w:r>
      <w:r w:rsidRPr="00BE086B">
        <w:rPr>
          <w:sz w:val="28"/>
          <w:szCs w:val="28"/>
          <w:shd w:val="clear" w:color="auto" w:fill="FFFFFF"/>
          <w:lang w:val="uk-UA"/>
        </w:rPr>
        <w:t>;</w:t>
      </w:r>
      <w:r w:rsidRPr="00BE086B">
        <w:rPr>
          <w:sz w:val="28"/>
          <w:szCs w:val="28"/>
          <w:shd w:val="clear" w:color="auto" w:fill="FFFFFF"/>
          <w:lang w:val="en-US"/>
        </w:rPr>
        <w:t xml:space="preserve"> 15;583:119</w:t>
      </w:r>
      <w:r w:rsidRPr="00BE086B">
        <w:rPr>
          <w:sz w:val="28"/>
          <w:szCs w:val="28"/>
          <w:shd w:val="clear" w:color="auto" w:fill="FFFFFF"/>
          <w:lang w:val="uk-UA"/>
        </w:rPr>
        <w:t>-</w:t>
      </w:r>
      <w:r w:rsidRPr="00BE086B">
        <w:rPr>
          <w:sz w:val="28"/>
          <w:szCs w:val="28"/>
          <w:shd w:val="clear" w:color="auto" w:fill="FFFFFF"/>
          <w:lang w:val="en-US"/>
        </w:rPr>
        <w:t>378.</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en-US"/>
        </w:rPr>
      </w:pPr>
      <w:r w:rsidRPr="00BE086B">
        <w:rPr>
          <w:sz w:val="28"/>
          <w:szCs w:val="28"/>
          <w:lang w:val="en-US"/>
        </w:rPr>
        <w:t>Natura G</w:t>
      </w:r>
      <w:r w:rsidRPr="00BE086B">
        <w:rPr>
          <w:sz w:val="28"/>
          <w:szCs w:val="28"/>
          <w:lang w:val="uk-UA"/>
        </w:rPr>
        <w:t>.</w:t>
      </w:r>
      <w:r w:rsidRPr="00BE086B">
        <w:rPr>
          <w:sz w:val="28"/>
          <w:szCs w:val="28"/>
          <w:lang w:val="en-US"/>
        </w:rPr>
        <w:t>, Bär K</w:t>
      </w:r>
      <w:r w:rsidRPr="00BE086B">
        <w:rPr>
          <w:sz w:val="28"/>
          <w:szCs w:val="28"/>
          <w:lang w:val="uk-UA"/>
        </w:rPr>
        <w:t>.</w:t>
      </w:r>
      <w:r w:rsidRPr="00BE086B">
        <w:rPr>
          <w:sz w:val="28"/>
          <w:szCs w:val="28"/>
          <w:lang w:val="en-US"/>
        </w:rPr>
        <w:t>J</w:t>
      </w:r>
      <w:r w:rsidRPr="00BE086B">
        <w:rPr>
          <w:sz w:val="28"/>
          <w:szCs w:val="28"/>
          <w:lang w:val="uk-UA"/>
        </w:rPr>
        <w:t>.</w:t>
      </w:r>
      <w:r w:rsidRPr="00BE086B">
        <w:rPr>
          <w:sz w:val="28"/>
          <w:szCs w:val="28"/>
          <w:lang w:val="en-US"/>
        </w:rPr>
        <w:t>, Eitner A</w:t>
      </w:r>
      <w:r w:rsidRPr="00BE086B">
        <w:rPr>
          <w:sz w:val="28"/>
          <w:szCs w:val="28"/>
          <w:lang w:val="uk-UA"/>
        </w:rPr>
        <w:t>.</w:t>
      </w:r>
      <w:r w:rsidRPr="00BE086B">
        <w:rPr>
          <w:sz w:val="28"/>
          <w:szCs w:val="28"/>
          <w:lang w:val="en-US"/>
        </w:rPr>
        <w:t>, Boettger M</w:t>
      </w:r>
      <w:r w:rsidRPr="00BE086B">
        <w:rPr>
          <w:sz w:val="28"/>
          <w:szCs w:val="28"/>
          <w:lang w:val="uk-UA"/>
        </w:rPr>
        <w:t>.</w:t>
      </w:r>
      <w:r w:rsidRPr="00BE086B">
        <w:rPr>
          <w:sz w:val="28"/>
          <w:szCs w:val="28"/>
          <w:lang w:val="en-US"/>
        </w:rPr>
        <w:t>K</w:t>
      </w:r>
      <w:r w:rsidRPr="00BE086B">
        <w:rPr>
          <w:sz w:val="28"/>
          <w:szCs w:val="28"/>
          <w:lang w:val="uk-UA"/>
        </w:rPr>
        <w:t>.</w:t>
      </w:r>
      <w:r w:rsidRPr="00BE086B">
        <w:rPr>
          <w:sz w:val="28"/>
          <w:szCs w:val="28"/>
          <w:lang w:val="en-US"/>
        </w:rPr>
        <w:t>, Richter F</w:t>
      </w:r>
      <w:r w:rsidRPr="00BE086B">
        <w:rPr>
          <w:sz w:val="28"/>
          <w:szCs w:val="28"/>
          <w:lang w:val="uk-UA"/>
        </w:rPr>
        <w:t>.</w:t>
      </w:r>
      <w:r w:rsidRPr="00BE086B">
        <w:rPr>
          <w:sz w:val="28"/>
          <w:szCs w:val="28"/>
          <w:lang w:val="en-US"/>
        </w:rPr>
        <w:t>, Hensellek S</w:t>
      </w:r>
      <w:r w:rsidRPr="00BE086B">
        <w:rPr>
          <w:sz w:val="28"/>
          <w:szCs w:val="28"/>
          <w:lang w:val="uk-UA"/>
        </w:rPr>
        <w:t>.</w:t>
      </w:r>
      <w:r w:rsidRPr="00BE086B">
        <w:rPr>
          <w:sz w:val="28"/>
          <w:szCs w:val="28"/>
          <w:lang w:val="en-US"/>
        </w:rPr>
        <w:t xml:space="preserve"> Neuronal prostaglandin E2 receptor subtype EP3 mediates antinociception during </w:t>
      </w:r>
      <w:r w:rsidRPr="00BE086B">
        <w:rPr>
          <w:sz w:val="28"/>
          <w:szCs w:val="28"/>
          <w:lang w:val="en-US"/>
        </w:rPr>
        <w:lastRenderedPageBreak/>
        <w:t>inflammation. Proc Natl Acad Sci USA 2013;110:13648</w:t>
      </w:r>
      <w:r w:rsidRPr="00BE086B">
        <w:rPr>
          <w:sz w:val="28"/>
          <w:szCs w:val="28"/>
          <w:lang w:val="uk-UA"/>
        </w:rPr>
        <w:t>-136</w:t>
      </w:r>
      <w:r w:rsidRPr="00BE086B">
        <w:rPr>
          <w:sz w:val="28"/>
          <w:szCs w:val="28"/>
          <w:lang w:val="en-US"/>
        </w:rPr>
        <w:t>53.</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lang w:val="en-US"/>
        </w:rPr>
        <w:t>Reinold H</w:t>
      </w:r>
      <w:r w:rsidRPr="00BE086B">
        <w:rPr>
          <w:sz w:val="28"/>
          <w:szCs w:val="28"/>
          <w:lang w:val="uk-UA"/>
        </w:rPr>
        <w:t>.</w:t>
      </w:r>
      <w:r w:rsidRPr="00BE086B">
        <w:rPr>
          <w:sz w:val="28"/>
          <w:szCs w:val="28"/>
          <w:lang w:val="en-US"/>
        </w:rPr>
        <w:t>, Ahmadi S</w:t>
      </w:r>
      <w:r w:rsidRPr="00BE086B">
        <w:rPr>
          <w:sz w:val="28"/>
          <w:szCs w:val="28"/>
          <w:lang w:val="uk-UA"/>
        </w:rPr>
        <w:t>.</w:t>
      </w:r>
      <w:r w:rsidRPr="00BE086B">
        <w:rPr>
          <w:sz w:val="28"/>
          <w:szCs w:val="28"/>
          <w:lang w:val="en-US"/>
        </w:rPr>
        <w:t>, Depner U</w:t>
      </w:r>
      <w:r w:rsidRPr="00BE086B">
        <w:rPr>
          <w:sz w:val="28"/>
          <w:szCs w:val="28"/>
          <w:lang w:val="uk-UA"/>
        </w:rPr>
        <w:t>.</w:t>
      </w:r>
      <w:r w:rsidRPr="00BE086B">
        <w:rPr>
          <w:sz w:val="28"/>
          <w:szCs w:val="28"/>
          <w:lang w:val="en-US"/>
        </w:rPr>
        <w:t>B</w:t>
      </w:r>
      <w:r w:rsidRPr="00BE086B">
        <w:rPr>
          <w:sz w:val="28"/>
          <w:szCs w:val="28"/>
          <w:lang w:val="uk-UA"/>
        </w:rPr>
        <w:t>.</w:t>
      </w:r>
      <w:r w:rsidRPr="00BE086B">
        <w:rPr>
          <w:sz w:val="28"/>
          <w:szCs w:val="28"/>
          <w:lang w:val="en-US"/>
        </w:rPr>
        <w:t>, Layh B</w:t>
      </w:r>
      <w:r w:rsidRPr="00BE086B">
        <w:rPr>
          <w:sz w:val="28"/>
          <w:szCs w:val="28"/>
          <w:lang w:val="uk-UA"/>
        </w:rPr>
        <w:t>.</w:t>
      </w:r>
      <w:r w:rsidRPr="00BE086B">
        <w:rPr>
          <w:sz w:val="28"/>
          <w:szCs w:val="28"/>
          <w:lang w:val="en-US"/>
        </w:rPr>
        <w:t>, Heindl C</w:t>
      </w:r>
      <w:r w:rsidRPr="00BE086B">
        <w:rPr>
          <w:sz w:val="28"/>
          <w:szCs w:val="28"/>
          <w:lang w:val="uk-UA"/>
        </w:rPr>
        <w:t>.</w:t>
      </w:r>
      <w:r w:rsidRPr="00BE086B">
        <w:rPr>
          <w:sz w:val="28"/>
          <w:szCs w:val="28"/>
          <w:lang w:val="en-US"/>
        </w:rPr>
        <w:t>, Hamza M</w:t>
      </w:r>
      <w:r w:rsidRPr="00BE086B">
        <w:rPr>
          <w:sz w:val="28"/>
          <w:szCs w:val="28"/>
          <w:lang w:val="uk-UA"/>
        </w:rPr>
        <w:t>.</w:t>
      </w:r>
      <w:r w:rsidRPr="00BE086B">
        <w:rPr>
          <w:sz w:val="28"/>
          <w:szCs w:val="28"/>
          <w:lang w:val="en-US"/>
        </w:rPr>
        <w:t xml:space="preserve"> Spinal inflammatory hyperalgesia is mediated by prostaglandin E receptors of the EP2 subtype. J Clin Invest 2005;115:673</w:t>
      </w:r>
      <w:r w:rsidRPr="00BE086B">
        <w:rPr>
          <w:sz w:val="28"/>
          <w:szCs w:val="28"/>
          <w:lang w:val="uk-UA"/>
        </w:rPr>
        <w:t>-67</w:t>
      </w:r>
      <w:r w:rsidRPr="00BE086B">
        <w:rPr>
          <w:sz w:val="28"/>
          <w:szCs w:val="28"/>
          <w:lang w:val="en-US"/>
        </w:rPr>
        <w:t>9.</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lang w:val="en-US"/>
        </w:rPr>
        <w:t>Kras J</w:t>
      </w:r>
      <w:r w:rsidRPr="00BE086B">
        <w:rPr>
          <w:sz w:val="28"/>
          <w:szCs w:val="28"/>
          <w:lang w:val="uk-UA"/>
        </w:rPr>
        <w:t>.</w:t>
      </w:r>
      <w:r w:rsidRPr="00BE086B">
        <w:rPr>
          <w:sz w:val="28"/>
          <w:szCs w:val="28"/>
          <w:lang w:val="en-US"/>
        </w:rPr>
        <w:t>V</w:t>
      </w:r>
      <w:r w:rsidRPr="00BE086B">
        <w:rPr>
          <w:sz w:val="28"/>
          <w:szCs w:val="28"/>
          <w:lang w:val="uk-UA"/>
        </w:rPr>
        <w:t>.</w:t>
      </w:r>
      <w:r w:rsidRPr="00BE086B">
        <w:rPr>
          <w:sz w:val="28"/>
          <w:szCs w:val="28"/>
          <w:lang w:val="en-US"/>
        </w:rPr>
        <w:t>, Dong L</w:t>
      </w:r>
      <w:r w:rsidRPr="00BE086B">
        <w:rPr>
          <w:sz w:val="28"/>
          <w:szCs w:val="28"/>
          <w:lang w:val="uk-UA"/>
        </w:rPr>
        <w:t>.</w:t>
      </w:r>
      <w:r w:rsidRPr="00BE086B">
        <w:rPr>
          <w:sz w:val="28"/>
          <w:szCs w:val="28"/>
          <w:lang w:val="en-US"/>
        </w:rPr>
        <w:t>, Winkelstein B</w:t>
      </w:r>
      <w:r w:rsidRPr="00BE086B">
        <w:rPr>
          <w:sz w:val="28"/>
          <w:szCs w:val="28"/>
          <w:lang w:val="uk-UA"/>
        </w:rPr>
        <w:t>.</w:t>
      </w:r>
      <w:r w:rsidRPr="00BE086B">
        <w:rPr>
          <w:sz w:val="28"/>
          <w:szCs w:val="28"/>
          <w:lang w:val="en-US"/>
        </w:rPr>
        <w:t>A. Increased interleukin1</w:t>
      </w:r>
      <w:r w:rsidRPr="00BE086B">
        <w:rPr>
          <w:sz w:val="28"/>
          <w:szCs w:val="28"/>
        </w:rPr>
        <w:t>α</w:t>
      </w:r>
      <w:r w:rsidRPr="00BE086B">
        <w:rPr>
          <w:sz w:val="28"/>
          <w:szCs w:val="28"/>
          <w:lang w:val="en-US"/>
        </w:rPr>
        <w:t xml:space="preserve"> and prostaglandin E2 expression in the spinal cord at 1 day after painful facet joint injury: evidence of early spinal inflammation. Spine 2014;39:207</w:t>
      </w:r>
      <w:r w:rsidRPr="00BE086B">
        <w:rPr>
          <w:sz w:val="28"/>
          <w:szCs w:val="28"/>
          <w:lang w:val="uk-UA"/>
        </w:rPr>
        <w:t>-2</w:t>
      </w:r>
      <w:r w:rsidRPr="00BE086B">
        <w:rPr>
          <w:sz w:val="28"/>
          <w:szCs w:val="28"/>
          <w:lang w:val="en-US"/>
        </w:rPr>
        <w:t>12.</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lang w:val="en-US"/>
        </w:rPr>
        <w:t>Acuña M</w:t>
      </w:r>
      <w:r w:rsidRPr="00BE086B">
        <w:rPr>
          <w:sz w:val="28"/>
          <w:szCs w:val="28"/>
          <w:lang w:val="uk-UA"/>
        </w:rPr>
        <w:t>.</w:t>
      </w:r>
      <w:r w:rsidRPr="00BE086B">
        <w:rPr>
          <w:sz w:val="28"/>
          <w:szCs w:val="28"/>
          <w:lang w:val="en-US"/>
        </w:rPr>
        <w:t>A</w:t>
      </w:r>
      <w:r w:rsidRPr="00BE086B">
        <w:rPr>
          <w:sz w:val="28"/>
          <w:szCs w:val="28"/>
          <w:lang w:val="uk-UA"/>
        </w:rPr>
        <w:t>.</w:t>
      </w:r>
      <w:r w:rsidRPr="00BE086B">
        <w:rPr>
          <w:sz w:val="28"/>
          <w:szCs w:val="28"/>
          <w:lang w:val="en-US"/>
        </w:rPr>
        <w:t>, Yévenes G</w:t>
      </w:r>
      <w:r w:rsidRPr="00BE086B">
        <w:rPr>
          <w:sz w:val="28"/>
          <w:szCs w:val="28"/>
          <w:lang w:val="uk-UA"/>
        </w:rPr>
        <w:t>.</w:t>
      </w:r>
      <w:r w:rsidRPr="00BE086B">
        <w:rPr>
          <w:sz w:val="28"/>
          <w:szCs w:val="28"/>
          <w:lang w:val="en-US"/>
        </w:rPr>
        <w:t>E</w:t>
      </w:r>
      <w:r w:rsidRPr="00BE086B">
        <w:rPr>
          <w:sz w:val="28"/>
          <w:szCs w:val="28"/>
          <w:lang w:val="uk-UA"/>
        </w:rPr>
        <w:t>.</w:t>
      </w:r>
      <w:r w:rsidRPr="00BE086B">
        <w:rPr>
          <w:sz w:val="28"/>
          <w:szCs w:val="28"/>
          <w:lang w:val="en-US"/>
        </w:rPr>
        <w:t>, Ralvenius W</w:t>
      </w:r>
      <w:r w:rsidRPr="00BE086B">
        <w:rPr>
          <w:sz w:val="28"/>
          <w:szCs w:val="28"/>
          <w:lang w:val="uk-UA"/>
        </w:rPr>
        <w:t>.</w:t>
      </w:r>
      <w:r w:rsidRPr="00BE086B">
        <w:rPr>
          <w:sz w:val="28"/>
          <w:szCs w:val="28"/>
          <w:lang w:val="en-US"/>
        </w:rPr>
        <w:t>T</w:t>
      </w:r>
      <w:r w:rsidRPr="00BE086B">
        <w:rPr>
          <w:sz w:val="28"/>
          <w:szCs w:val="28"/>
          <w:lang w:val="uk-UA"/>
        </w:rPr>
        <w:t>.</w:t>
      </w:r>
      <w:r w:rsidRPr="00BE086B">
        <w:rPr>
          <w:sz w:val="28"/>
          <w:szCs w:val="28"/>
          <w:lang w:val="en-US"/>
        </w:rPr>
        <w:t>, Benke D</w:t>
      </w:r>
      <w:r w:rsidRPr="00BE086B">
        <w:rPr>
          <w:sz w:val="28"/>
          <w:szCs w:val="28"/>
          <w:lang w:val="uk-UA"/>
        </w:rPr>
        <w:t>.</w:t>
      </w:r>
      <w:r w:rsidRPr="00BE086B">
        <w:rPr>
          <w:sz w:val="28"/>
          <w:szCs w:val="28"/>
          <w:lang w:val="en-US"/>
        </w:rPr>
        <w:t>, Di Lio A</w:t>
      </w:r>
      <w:r w:rsidRPr="00BE086B">
        <w:rPr>
          <w:sz w:val="28"/>
          <w:szCs w:val="28"/>
          <w:lang w:val="uk-UA"/>
        </w:rPr>
        <w:t>.</w:t>
      </w:r>
      <w:r w:rsidRPr="00BE086B">
        <w:rPr>
          <w:sz w:val="28"/>
          <w:szCs w:val="28"/>
          <w:lang w:val="en-US"/>
        </w:rPr>
        <w:t>, Lara C</w:t>
      </w:r>
      <w:r w:rsidRPr="00BE086B">
        <w:rPr>
          <w:sz w:val="28"/>
          <w:szCs w:val="28"/>
          <w:lang w:val="uk-UA"/>
        </w:rPr>
        <w:t>.</w:t>
      </w:r>
      <w:r w:rsidRPr="00BE086B">
        <w:rPr>
          <w:sz w:val="28"/>
          <w:szCs w:val="28"/>
          <w:lang w:val="en-US"/>
        </w:rPr>
        <w:t>O</w:t>
      </w:r>
      <w:r w:rsidRPr="00BE086B">
        <w:rPr>
          <w:sz w:val="28"/>
          <w:szCs w:val="28"/>
          <w:lang w:val="uk-UA"/>
        </w:rPr>
        <w:t>.</w:t>
      </w:r>
      <w:r w:rsidRPr="00BE086B">
        <w:rPr>
          <w:sz w:val="28"/>
          <w:szCs w:val="28"/>
          <w:lang w:val="en-US"/>
        </w:rPr>
        <w:t xml:space="preserve"> Phosphorylation state-dependent modulation of spinal glycine receptors alleviates inflammatory pain. J Clin Invest 2016;126:2547</w:t>
      </w:r>
      <w:r w:rsidRPr="00BE086B">
        <w:rPr>
          <w:sz w:val="28"/>
          <w:szCs w:val="28"/>
          <w:lang w:val="uk-UA"/>
        </w:rPr>
        <w:t>-25</w:t>
      </w:r>
      <w:r w:rsidRPr="00BE086B">
        <w:rPr>
          <w:sz w:val="28"/>
          <w:szCs w:val="28"/>
          <w:lang w:val="en-US"/>
        </w:rPr>
        <w:t>60.</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lang w:val="en-US"/>
        </w:rPr>
        <w:t>Nakayama Y</w:t>
      </w:r>
      <w:r w:rsidRPr="00BE086B">
        <w:rPr>
          <w:sz w:val="28"/>
          <w:szCs w:val="28"/>
          <w:lang w:val="uk-UA"/>
        </w:rPr>
        <w:t>.</w:t>
      </w:r>
      <w:r w:rsidRPr="00BE086B">
        <w:rPr>
          <w:sz w:val="28"/>
          <w:szCs w:val="28"/>
          <w:lang w:val="en-US"/>
        </w:rPr>
        <w:t>, Omote K</w:t>
      </w:r>
      <w:r w:rsidRPr="00BE086B">
        <w:rPr>
          <w:sz w:val="28"/>
          <w:szCs w:val="28"/>
          <w:lang w:val="uk-UA"/>
        </w:rPr>
        <w:t>.</w:t>
      </w:r>
      <w:r w:rsidRPr="00BE086B">
        <w:rPr>
          <w:sz w:val="28"/>
          <w:szCs w:val="28"/>
          <w:lang w:val="en-US"/>
        </w:rPr>
        <w:t>, Kawamata T</w:t>
      </w:r>
      <w:r w:rsidRPr="00BE086B">
        <w:rPr>
          <w:sz w:val="28"/>
          <w:szCs w:val="28"/>
          <w:lang w:val="uk-UA"/>
        </w:rPr>
        <w:t>.</w:t>
      </w:r>
      <w:r w:rsidRPr="00BE086B">
        <w:rPr>
          <w:sz w:val="28"/>
          <w:szCs w:val="28"/>
          <w:lang w:val="en-US"/>
        </w:rPr>
        <w:t>, Namiki A. Role of prostaglandin receptor subtype EP1 in prostaglandin E2- induced nociceptive transmission in the rat spinal dorsal horn. Brain Res 2004;1010:62</w:t>
      </w:r>
      <w:r w:rsidRPr="00BE086B">
        <w:rPr>
          <w:sz w:val="28"/>
          <w:szCs w:val="28"/>
          <w:lang w:val="uk-UA"/>
        </w:rPr>
        <w:t>-6</w:t>
      </w:r>
      <w:r w:rsidRPr="00BE086B">
        <w:rPr>
          <w:sz w:val="28"/>
          <w:szCs w:val="28"/>
          <w:lang w:val="en-US"/>
        </w:rPr>
        <w:t>8.</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Vuilleumier P</w:t>
      </w:r>
      <w:r w:rsidRPr="00BE086B">
        <w:rPr>
          <w:sz w:val="28"/>
          <w:szCs w:val="28"/>
          <w:shd w:val="clear" w:color="auto" w:fill="FFFFFF"/>
          <w:lang w:val="uk-UA"/>
        </w:rPr>
        <w:t>.</w:t>
      </w:r>
      <w:r w:rsidRPr="00BE086B">
        <w:rPr>
          <w:sz w:val="28"/>
          <w:szCs w:val="28"/>
          <w:shd w:val="clear" w:color="auto" w:fill="FFFFFF"/>
          <w:lang w:val="en-US"/>
        </w:rPr>
        <w:t>H</w:t>
      </w:r>
      <w:r w:rsidRPr="00BE086B">
        <w:rPr>
          <w:sz w:val="28"/>
          <w:szCs w:val="28"/>
          <w:shd w:val="clear" w:color="auto" w:fill="FFFFFF"/>
          <w:lang w:val="uk-UA"/>
        </w:rPr>
        <w:t>.</w:t>
      </w:r>
      <w:r w:rsidRPr="00BE086B">
        <w:rPr>
          <w:sz w:val="28"/>
          <w:szCs w:val="28"/>
          <w:shd w:val="clear" w:color="auto" w:fill="FFFFFF"/>
          <w:lang w:val="en-US"/>
        </w:rPr>
        <w:t>, Schliessbach J</w:t>
      </w:r>
      <w:r w:rsidRPr="00BE086B">
        <w:rPr>
          <w:sz w:val="28"/>
          <w:szCs w:val="28"/>
          <w:shd w:val="clear" w:color="auto" w:fill="FFFFFF"/>
          <w:lang w:val="uk-UA"/>
        </w:rPr>
        <w:t>.</w:t>
      </w:r>
      <w:r w:rsidRPr="00BE086B">
        <w:rPr>
          <w:sz w:val="28"/>
          <w:szCs w:val="28"/>
          <w:shd w:val="clear" w:color="auto" w:fill="FFFFFF"/>
          <w:lang w:val="en-US"/>
        </w:rPr>
        <w:t>, Curatolo M. Current evidence for central analgesic effects of NSAIDs: an overview of the literature. Minerva Anestesiol. 2018;84(7):865-870.</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Niibori M</w:t>
      </w:r>
      <w:r w:rsidRPr="00BE086B">
        <w:rPr>
          <w:sz w:val="28"/>
          <w:szCs w:val="28"/>
          <w:shd w:val="clear" w:color="auto" w:fill="FFFFFF"/>
          <w:lang w:val="uk-UA"/>
        </w:rPr>
        <w:t>.</w:t>
      </w:r>
      <w:r w:rsidRPr="00BE086B">
        <w:rPr>
          <w:sz w:val="28"/>
          <w:szCs w:val="28"/>
          <w:shd w:val="clear" w:color="auto" w:fill="FFFFFF"/>
          <w:lang w:val="en-US"/>
        </w:rPr>
        <w:t>, Kudo Y</w:t>
      </w:r>
      <w:r w:rsidRPr="00BE086B">
        <w:rPr>
          <w:sz w:val="28"/>
          <w:szCs w:val="28"/>
          <w:shd w:val="clear" w:color="auto" w:fill="FFFFFF"/>
          <w:lang w:val="uk-UA"/>
        </w:rPr>
        <w:t>.</w:t>
      </w:r>
      <w:r w:rsidRPr="00BE086B">
        <w:rPr>
          <w:sz w:val="28"/>
          <w:szCs w:val="28"/>
          <w:shd w:val="clear" w:color="auto" w:fill="FFFFFF"/>
          <w:lang w:val="en-US"/>
        </w:rPr>
        <w:t>, Hayakawa T</w:t>
      </w:r>
      <w:r w:rsidRPr="00BE086B">
        <w:rPr>
          <w:sz w:val="28"/>
          <w:szCs w:val="28"/>
          <w:shd w:val="clear" w:color="auto" w:fill="FFFFFF"/>
          <w:lang w:val="uk-UA"/>
        </w:rPr>
        <w:t>.</w:t>
      </w:r>
      <w:r w:rsidRPr="00BE086B">
        <w:rPr>
          <w:sz w:val="28"/>
          <w:szCs w:val="28"/>
          <w:shd w:val="clear" w:color="auto" w:fill="FFFFFF"/>
          <w:lang w:val="en-US"/>
        </w:rPr>
        <w:t>, Ikoma-Seki K</w:t>
      </w:r>
      <w:r w:rsidRPr="00BE086B">
        <w:rPr>
          <w:sz w:val="28"/>
          <w:szCs w:val="28"/>
          <w:shd w:val="clear" w:color="auto" w:fill="FFFFFF"/>
          <w:lang w:val="uk-UA"/>
        </w:rPr>
        <w:t>.</w:t>
      </w:r>
      <w:r w:rsidRPr="00BE086B">
        <w:rPr>
          <w:sz w:val="28"/>
          <w:szCs w:val="28"/>
          <w:shd w:val="clear" w:color="auto" w:fill="FFFFFF"/>
          <w:lang w:val="en-US"/>
        </w:rPr>
        <w:t>, Kawamata R</w:t>
      </w:r>
      <w:r w:rsidRPr="00BE086B">
        <w:rPr>
          <w:sz w:val="28"/>
          <w:szCs w:val="28"/>
          <w:shd w:val="clear" w:color="auto" w:fill="FFFFFF"/>
          <w:lang w:val="uk-UA"/>
        </w:rPr>
        <w:t>.</w:t>
      </w:r>
      <w:r w:rsidRPr="00BE086B">
        <w:rPr>
          <w:sz w:val="28"/>
          <w:szCs w:val="28"/>
          <w:shd w:val="clear" w:color="auto" w:fill="FFFFFF"/>
          <w:lang w:val="en-US"/>
        </w:rPr>
        <w:t>, Sato A</w:t>
      </w:r>
      <w:r w:rsidRPr="00BE086B">
        <w:rPr>
          <w:sz w:val="28"/>
          <w:szCs w:val="28"/>
          <w:shd w:val="clear" w:color="auto" w:fill="FFFFFF"/>
          <w:lang w:val="uk-UA"/>
        </w:rPr>
        <w:t>.</w:t>
      </w:r>
      <w:r w:rsidRPr="00BE086B">
        <w:rPr>
          <w:sz w:val="28"/>
          <w:szCs w:val="28"/>
          <w:shd w:val="clear" w:color="auto" w:fill="FFFFFF"/>
          <w:lang w:val="en-US"/>
        </w:rPr>
        <w:t>, Mizumura K. Mechanism of aspirin-induced inhibition on the secondary hyperalgesia in osteoarthritis model rats. Heliyon. 2020</w:t>
      </w:r>
      <w:r w:rsidRPr="00BE086B">
        <w:rPr>
          <w:sz w:val="28"/>
          <w:szCs w:val="28"/>
          <w:shd w:val="clear" w:color="auto" w:fill="FFFFFF"/>
          <w:lang w:val="uk-UA"/>
        </w:rPr>
        <w:t>;</w:t>
      </w:r>
      <w:r w:rsidRPr="00BE086B">
        <w:rPr>
          <w:sz w:val="28"/>
          <w:szCs w:val="28"/>
          <w:shd w:val="clear" w:color="auto" w:fill="FFFFFF"/>
          <w:lang w:val="en-US"/>
        </w:rPr>
        <w:t xml:space="preserve"> 24;6(5):03963.</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shd w:val="clear" w:color="auto" w:fill="FFFFFF"/>
          <w:lang w:val="en-US"/>
        </w:rPr>
      </w:pPr>
      <w:r w:rsidRPr="00BE086B">
        <w:rPr>
          <w:sz w:val="28"/>
          <w:szCs w:val="28"/>
          <w:shd w:val="clear" w:color="auto" w:fill="FFFFFF"/>
          <w:lang w:val="en-US"/>
        </w:rPr>
        <w:t>Khotib J</w:t>
      </w:r>
      <w:r w:rsidRPr="00BE086B">
        <w:rPr>
          <w:sz w:val="28"/>
          <w:szCs w:val="28"/>
          <w:shd w:val="clear" w:color="auto" w:fill="FFFFFF"/>
          <w:lang w:val="uk-UA"/>
        </w:rPr>
        <w:t>.</w:t>
      </w:r>
      <w:r w:rsidRPr="00BE086B">
        <w:rPr>
          <w:sz w:val="28"/>
          <w:szCs w:val="28"/>
          <w:shd w:val="clear" w:color="auto" w:fill="FFFFFF"/>
          <w:lang w:val="en-US"/>
        </w:rPr>
        <w:t>, Utami N</w:t>
      </w:r>
      <w:r w:rsidRPr="00BE086B">
        <w:rPr>
          <w:sz w:val="28"/>
          <w:szCs w:val="28"/>
          <w:shd w:val="clear" w:color="auto" w:fill="FFFFFF"/>
          <w:lang w:val="uk-UA"/>
        </w:rPr>
        <w:t>.</w:t>
      </w:r>
      <w:r w:rsidRPr="00BE086B">
        <w:rPr>
          <w:sz w:val="28"/>
          <w:szCs w:val="28"/>
          <w:shd w:val="clear" w:color="auto" w:fill="FFFFFF"/>
          <w:lang w:val="en-US"/>
        </w:rPr>
        <w:t>W</w:t>
      </w:r>
      <w:r w:rsidRPr="00BE086B">
        <w:rPr>
          <w:sz w:val="28"/>
          <w:szCs w:val="28"/>
          <w:shd w:val="clear" w:color="auto" w:fill="FFFFFF"/>
          <w:lang w:val="uk-UA"/>
        </w:rPr>
        <w:t>.</w:t>
      </w:r>
      <w:r w:rsidRPr="00BE086B">
        <w:rPr>
          <w:sz w:val="28"/>
          <w:szCs w:val="28"/>
          <w:shd w:val="clear" w:color="auto" w:fill="FFFFFF"/>
          <w:lang w:val="en-US"/>
        </w:rPr>
        <w:t>, Gani M</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xml:space="preserve">, Ardianto C. The change of proinflammatory cytokine tumor necrosis factor </w:t>
      </w:r>
      <w:r w:rsidRPr="00BE086B">
        <w:rPr>
          <w:sz w:val="28"/>
          <w:szCs w:val="28"/>
          <w:shd w:val="clear" w:color="auto" w:fill="FFFFFF"/>
        </w:rPr>
        <w:t>α</w:t>
      </w:r>
      <w:r w:rsidRPr="00BE086B">
        <w:rPr>
          <w:sz w:val="28"/>
          <w:szCs w:val="28"/>
          <w:shd w:val="clear" w:color="auto" w:fill="FFFFFF"/>
          <w:lang w:val="en-US"/>
        </w:rPr>
        <w:t xml:space="preserve"> level in the use of meloxicam in rat model of osteoarthritis. J Basic Clin Physiol Pharmacol. 2019</w:t>
      </w:r>
      <w:r w:rsidRPr="00BE086B">
        <w:rPr>
          <w:sz w:val="28"/>
          <w:szCs w:val="28"/>
          <w:shd w:val="clear" w:color="auto" w:fill="FFFFFF"/>
          <w:lang w:val="uk-UA"/>
        </w:rPr>
        <w:t>;</w:t>
      </w:r>
      <w:r w:rsidRPr="00BE086B">
        <w:rPr>
          <w:sz w:val="28"/>
          <w:szCs w:val="28"/>
          <w:shd w:val="clear" w:color="auto" w:fill="FFFFFF"/>
          <w:lang w:val="en-US"/>
        </w:rPr>
        <w:t xml:space="preserve"> 14;30(6):</w:t>
      </w:r>
      <w:r w:rsidRPr="00BE086B">
        <w:rPr>
          <w:sz w:val="28"/>
          <w:szCs w:val="28"/>
          <w:lang w:val="en-US"/>
        </w:rPr>
        <w:t>3-31.</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en-US"/>
        </w:rPr>
      </w:pPr>
      <w:r w:rsidRPr="00BE086B">
        <w:rPr>
          <w:sz w:val="28"/>
          <w:szCs w:val="28"/>
          <w:shd w:val="clear" w:color="auto" w:fill="FFFFFF"/>
          <w:lang w:val="en-US"/>
        </w:rPr>
        <w:t>Paglia D</w:t>
      </w:r>
      <w:r w:rsidRPr="00BE086B">
        <w:rPr>
          <w:sz w:val="28"/>
          <w:szCs w:val="28"/>
          <w:shd w:val="clear" w:color="auto" w:fill="FFFFFF"/>
          <w:lang w:val="uk-UA"/>
        </w:rPr>
        <w:t>.</w:t>
      </w:r>
      <w:r w:rsidRPr="00BE086B">
        <w:rPr>
          <w:sz w:val="28"/>
          <w:szCs w:val="28"/>
          <w:shd w:val="clear" w:color="auto" w:fill="FFFFFF"/>
          <w:lang w:val="en-US"/>
        </w:rPr>
        <w:t>N</w:t>
      </w:r>
      <w:r w:rsidRPr="00BE086B">
        <w:rPr>
          <w:sz w:val="28"/>
          <w:szCs w:val="28"/>
          <w:shd w:val="clear" w:color="auto" w:fill="FFFFFF"/>
          <w:lang w:val="uk-UA"/>
        </w:rPr>
        <w:t>.</w:t>
      </w:r>
      <w:r w:rsidRPr="00BE086B">
        <w:rPr>
          <w:sz w:val="28"/>
          <w:szCs w:val="28"/>
          <w:shd w:val="clear" w:color="auto" w:fill="FFFFFF"/>
          <w:lang w:val="en-US"/>
        </w:rPr>
        <w:t>, Kanjilal D</w:t>
      </w:r>
      <w:r w:rsidRPr="00BE086B">
        <w:rPr>
          <w:sz w:val="28"/>
          <w:szCs w:val="28"/>
          <w:shd w:val="clear" w:color="auto" w:fill="FFFFFF"/>
          <w:lang w:val="uk-UA"/>
        </w:rPr>
        <w:t>.</w:t>
      </w:r>
      <w:r w:rsidRPr="00BE086B">
        <w:rPr>
          <w:sz w:val="28"/>
          <w:szCs w:val="28"/>
          <w:shd w:val="clear" w:color="auto" w:fill="FFFFFF"/>
          <w:lang w:val="en-US"/>
        </w:rPr>
        <w:t>, Kadkoy Y</w:t>
      </w:r>
      <w:r w:rsidRPr="00BE086B">
        <w:rPr>
          <w:sz w:val="28"/>
          <w:szCs w:val="28"/>
          <w:shd w:val="clear" w:color="auto" w:fill="FFFFFF"/>
          <w:lang w:val="uk-UA"/>
        </w:rPr>
        <w:t>.</w:t>
      </w:r>
      <w:r w:rsidRPr="00BE086B">
        <w:rPr>
          <w:sz w:val="28"/>
          <w:szCs w:val="28"/>
          <w:shd w:val="clear" w:color="auto" w:fill="FFFFFF"/>
          <w:lang w:val="en-US"/>
        </w:rPr>
        <w:t>, Moskonas S</w:t>
      </w:r>
      <w:r w:rsidRPr="00BE086B">
        <w:rPr>
          <w:sz w:val="28"/>
          <w:szCs w:val="28"/>
          <w:shd w:val="clear" w:color="auto" w:fill="FFFFFF"/>
          <w:lang w:val="uk-UA"/>
        </w:rPr>
        <w:t>.</w:t>
      </w:r>
      <w:r w:rsidRPr="00BE086B">
        <w:rPr>
          <w:sz w:val="28"/>
          <w:szCs w:val="28"/>
          <w:shd w:val="clear" w:color="auto" w:fill="FFFFFF"/>
          <w:lang w:val="en-US"/>
        </w:rPr>
        <w:t>, Wetterstrand C</w:t>
      </w:r>
      <w:r w:rsidRPr="00BE086B">
        <w:rPr>
          <w:sz w:val="28"/>
          <w:szCs w:val="28"/>
          <w:shd w:val="clear" w:color="auto" w:fill="FFFFFF"/>
          <w:lang w:val="uk-UA"/>
        </w:rPr>
        <w:t>.</w:t>
      </w:r>
      <w:r w:rsidRPr="00BE086B">
        <w:rPr>
          <w:sz w:val="28"/>
          <w:szCs w:val="28"/>
          <w:shd w:val="clear" w:color="auto" w:fill="FFFFFF"/>
          <w:lang w:val="en-US"/>
        </w:rPr>
        <w:t>, Lin A</w:t>
      </w:r>
      <w:r w:rsidRPr="00BE086B">
        <w:rPr>
          <w:sz w:val="28"/>
          <w:szCs w:val="28"/>
          <w:shd w:val="clear" w:color="auto" w:fill="FFFFFF"/>
          <w:lang w:val="uk-UA"/>
        </w:rPr>
        <w:t>.</w:t>
      </w:r>
      <w:r w:rsidRPr="00BE086B">
        <w:rPr>
          <w:sz w:val="28"/>
          <w:szCs w:val="28"/>
          <w:shd w:val="clear" w:color="auto" w:fill="FFFFFF"/>
          <w:lang w:val="en-US"/>
        </w:rPr>
        <w:t>, Galloway J</w:t>
      </w:r>
      <w:r w:rsidRPr="00BE086B">
        <w:rPr>
          <w:sz w:val="28"/>
          <w:szCs w:val="28"/>
          <w:shd w:val="clear" w:color="auto" w:fill="FFFFFF"/>
          <w:lang w:val="uk-UA"/>
        </w:rPr>
        <w:t>.</w:t>
      </w:r>
      <w:r w:rsidRPr="00BE086B">
        <w:rPr>
          <w:sz w:val="28"/>
          <w:szCs w:val="28"/>
          <w:shd w:val="clear" w:color="auto" w:fill="FFFFFF"/>
          <w:lang w:val="en-US"/>
        </w:rPr>
        <w:t>, Tompson J</w:t>
      </w:r>
      <w:r w:rsidRPr="00BE086B">
        <w:rPr>
          <w:sz w:val="28"/>
          <w:szCs w:val="28"/>
          <w:shd w:val="clear" w:color="auto" w:fill="FFFFFF"/>
          <w:lang w:val="uk-UA"/>
        </w:rPr>
        <w:t>.</w:t>
      </w:r>
      <w:r w:rsidRPr="00BE086B">
        <w:rPr>
          <w:sz w:val="28"/>
          <w:szCs w:val="28"/>
          <w:shd w:val="clear" w:color="auto" w:fill="FFFFFF"/>
          <w:lang w:val="en-US"/>
        </w:rPr>
        <w:t>, Culbertson M</w:t>
      </w:r>
      <w:r w:rsidRPr="00BE086B">
        <w:rPr>
          <w:sz w:val="28"/>
          <w:szCs w:val="28"/>
          <w:shd w:val="clear" w:color="auto" w:fill="FFFFFF"/>
          <w:lang w:val="uk-UA"/>
        </w:rPr>
        <w:t>.</w:t>
      </w:r>
      <w:r w:rsidRPr="00BE086B">
        <w:rPr>
          <w:sz w:val="28"/>
          <w:szCs w:val="28"/>
          <w:shd w:val="clear" w:color="auto" w:fill="FFFFFF"/>
          <w:lang w:val="en-US"/>
        </w:rPr>
        <w:t>D</w:t>
      </w:r>
      <w:r w:rsidRPr="00BE086B">
        <w:rPr>
          <w:sz w:val="28"/>
          <w:szCs w:val="28"/>
          <w:shd w:val="clear" w:color="auto" w:fill="FFFFFF"/>
          <w:lang w:val="uk-UA"/>
        </w:rPr>
        <w:t>.</w:t>
      </w:r>
      <w:r w:rsidRPr="00BE086B">
        <w:rPr>
          <w:sz w:val="28"/>
          <w:szCs w:val="28"/>
          <w:shd w:val="clear" w:color="auto" w:fill="FFFFFF"/>
          <w:lang w:val="en-US"/>
        </w:rPr>
        <w:t>, O'Connor J</w:t>
      </w:r>
      <w:r w:rsidRPr="00BE086B">
        <w:rPr>
          <w:sz w:val="28"/>
          <w:szCs w:val="28"/>
          <w:shd w:val="clear" w:color="auto" w:fill="FFFFFF"/>
          <w:lang w:val="uk-UA"/>
        </w:rPr>
        <w:t>.</w:t>
      </w:r>
      <w:r w:rsidRPr="00BE086B">
        <w:rPr>
          <w:sz w:val="28"/>
          <w:szCs w:val="28"/>
          <w:shd w:val="clear" w:color="auto" w:fill="FFFFFF"/>
          <w:lang w:val="en-US"/>
        </w:rPr>
        <w:t>P. Naproxen treatment inhibits articular cartilage loss in a rat model of osteoarthritis. J Orthop Res. 2020</w:t>
      </w:r>
      <w:r w:rsidRPr="00BE086B">
        <w:rPr>
          <w:sz w:val="28"/>
          <w:szCs w:val="28"/>
          <w:shd w:val="clear" w:color="auto" w:fill="FFFFFF"/>
          <w:lang w:val="uk-UA"/>
        </w:rPr>
        <w:t>;</w:t>
      </w:r>
      <w:r w:rsidRPr="00BE086B">
        <w:rPr>
          <w:sz w:val="28"/>
          <w:szCs w:val="28"/>
          <w:shd w:val="clear" w:color="auto" w:fill="FFFFFF"/>
          <w:lang w:val="en-US"/>
        </w:rPr>
        <w:t>4</w:t>
      </w:r>
      <w:r w:rsidRPr="00BE086B">
        <w:rPr>
          <w:sz w:val="28"/>
          <w:szCs w:val="28"/>
          <w:shd w:val="clear" w:color="auto" w:fill="FFFFFF"/>
          <w:lang w:val="uk-UA"/>
        </w:rPr>
        <w:t>:33-42.</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en-US"/>
        </w:rPr>
      </w:pPr>
      <w:r w:rsidRPr="00BE086B">
        <w:rPr>
          <w:sz w:val="28"/>
          <w:szCs w:val="28"/>
          <w:shd w:val="clear" w:color="auto" w:fill="FFFFFF"/>
          <w:lang w:val="en-US"/>
        </w:rPr>
        <w:t>Wen Z</w:t>
      </w:r>
      <w:r w:rsidRPr="00BE086B">
        <w:rPr>
          <w:sz w:val="28"/>
          <w:szCs w:val="28"/>
          <w:shd w:val="clear" w:color="auto" w:fill="FFFFFF"/>
          <w:lang w:val="uk-UA"/>
        </w:rPr>
        <w:t>.</w:t>
      </w:r>
      <w:r w:rsidRPr="00BE086B">
        <w:rPr>
          <w:sz w:val="28"/>
          <w:szCs w:val="28"/>
          <w:shd w:val="clear" w:color="auto" w:fill="FFFFFF"/>
          <w:lang w:val="en-US"/>
        </w:rPr>
        <w:t>H</w:t>
      </w:r>
      <w:r w:rsidRPr="00BE086B">
        <w:rPr>
          <w:sz w:val="28"/>
          <w:szCs w:val="28"/>
          <w:shd w:val="clear" w:color="auto" w:fill="FFFFFF"/>
          <w:lang w:val="uk-UA"/>
        </w:rPr>
        <w:t>.</w:t>
      </w:r>
      <w:r w:rsidRPr="00BE086B">
        <w:rPr>
          <w:sz w:val="28"/>
          <w:szCs w:val="28"/>
          <w:shd w:val="clear" w:color="auto" w:fill="FFFFFF"/>
          <w:lang w:val="en-US"/>
        </w:rPr>
        <w:t>, Lin Y</w:t>
      </w:r>
      <w:r w:rsidRPr="00BE086B">
        <w:rPr>
          <w:sz w:val="28"/>
          <w:szCs w:val="28"/>
          <w:shd w:val="clear" w:color="auto" w:fill="FFFFFF"/>
          <w:lang w:val="uk-UA"/>
        </w:rPr>
        <w:t>.</w:t>
      </w:r>
      <w:r w:rsidRPr="00BE086B">
        <w:rPr>
          <w:sz w:val="28"/>
          <w:szCs w:val="28"/>
          <w:shd w:val="clear" w:color="auto" w:fill="FFFFFF"/>
          <w:lang w:val="en-US"/>
        </w:rPr>
        <w:t>Y</w:t>
      </w:r>
      <w:r w:rsidRPr="00BE086B">
        <w:rPr>
          <w:sz w:val="28"/>
          <w:szCs w:val="28"/>
          <w:shd w:val="clear" w:color="auto" w:fill="FFFFFF"/>
          <w:lang w:val="uk-UA"/>
        </w:rPr>
        <w:t>.</w:t>
      </w:r>
      <w:r w:rsidRPr="00BE086B">
        <w:rPr>
          <w:sz w:val="28"/>
          <w:szCs w:val="28"/>
          <w:shd w:val="clear" w:color="auto" w:fill="FFFFFF"/>
          <w:lang w:val="en-US"/>
        </w:rPr>
        <w:t>, Chang Y</w:t>
      </w:r>
      <w:r w:rsidRPr="00BE086B">
        <w:rPr>
          <w:sz w:val="28"/>
          <w:szCs w:val="28"/>
          <w:shd w:val="clear" w:color="auto" w:fill="FFFFFF"/>
          <w:lang w:val="uk-UA"/>
        </w:rPr>
        <w:t>.</w:t>
      </w:r>
      <w:r w:rsidRPr="00BE086B">
        <w:rPr>
          <w:sz w:val="28"/>
          <w:szCs w:val="28"/>
          <w:shd w:val="clear" w:color="auto" w:fill="FFFFFF"/>
          <w:lang w:val="en-US"/>
        </w:rPr>
        <w:t>C</w:t>
      </w:r>
      <w:r w:rsidRPr="00BE086B">
        <w:rPr>
          <w:sz w:val="28"/>
          <w:szCs w:val="28"/>
          <w:shd w:val="clear" w:color="auto" w:fill="FFFFFF"/>
          <w:lang w:val="uk-UA"/>
        </w:rPr>
        <w:t>.</w:t>
      </w:r>
      <w:r w:rsidRPr="00BE086B">
        <w:rPr>
          <w:sz w:val="28"/>
          <w:szCs w:val="28"/>
          <w:shd w:val="clear" w:color="auto" w:fill="FFFFFF"/>
          <w:lang w:val="en-US"/>
        </w:rPr>
        <w:t>, Tang C</w:t>
      </w:r>
      <w:r w:rsidRPr="00BE086B">
        <w:rPr>
          <w:sz w:val="28"/>
          <w:szCs w:val="28"/>
          <w:shd w:val="clear" w:color="auto" w:fill="FFFFFF"/>
          <w:lang w:val="uk-UA"/>
        </w:rPr>
        <w:t>.</w:t>
      </w:r>
      <w:r w:rsidRPr="00BE086B">
        <w:rPr>
          <w:sz w:val="28"/>
          <w:szCs w:val="28"/>
          <w:shd w:val="clear" w:color="auto" w:fill="FFFFFF"/>
          <w:lang w:val="en-US"/>
        </w:rPr>
        <w:t>C</w:t>
      </w:r>
      <w:r w:rsidRPr="00BE086B">
        <w:rPr>
          <w:sz w:val="28"/>
          <w:szCs w:val="28"/>
          <w:shd w:val="clear" w:color="auto" w:fill="FFFFFF"/>
          <w:lang w:val="uk-UA"/>
        </w:rPr>
        <w:t>.</w:t>
      </w:r>
      <w:r w:rsidRPr="00BE086B">
        <w:rPr>
          <w:sz w:val="28"/>
          <w:szCs w:val="28"/>
          <w:shd w:val="clear" w:color="auto" w:fill="FFFFFF"/>
          <w:lang w:val="en-US"/>
        </w:rPr>
        <w:t>, Hsieh S</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Lee H</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Sung C</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 Chen W</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Lee C</w:t>
      </w:r>
      <w:r w:rsidRPr="00BE086B">
        <w:rPr>
          <w:sz w:val="28"/>
          <w:szCs w:val="28"/>
          <w:shd w:val="clear" w:color="auto" w:fill="FFFFFF"/>
          <w:lang w:val="uk-UA"/>
        </w:rPr>
        <w:t>.</w:t>
      </w:r>
      <w:r w:rsidRPr="00BE086B">
        <w:rPr>
          <w:sz w:val="28"/>
          <w:szCs w:val="28"/>
          <w:shd w:val="clear" w:color="auto" w:fill="FFFFFF"/>
          <w:lang w:val="en-US"/>
        </w:rPr>
        <w:t>H</w:t>
      </w:r>
      <w:r w:rsidRPr="00BE086B">
        <w:rPr>
          <w:sz w:val="28"/>
          <w:szCs w:val="28"/>
          <w:shd w:val="clear" w:color="auto" w:fill="FFFFFF"/>
          <w:lang w:val="uk-UA"/>
        </w:rPr>
        <w:t>.</w:t>
      </w:r>
      <w:r w:rsidRPr="00BE086B">
        <w:rPr>
          <w:sz w:val="28"/>
          <w:szCs w:val="28"/>
          <w:shd w:val="clear" w:color="auto" w:fill="FFFFFF"/>
          <w:lang w:val="en-US"/>
        </w:rPr>
        <w:t>, Hsuan Jean Y. The COX-2 inhibitor etoricoxib reduces experimental osteoarthritis and nociception in rats: The roles of TGF-</w:t>
      </w:r>
      <w:r w:rsidRPr="00BE086B">
        <w:rPr>
          <w:sz w:val="28"/>
          <w:szCs w:val="28"/>
          <w:shd w:val="clear" w:color="auto" w:fill="FFFFFF"/>
        </w:rPr>
        <w:t>β</w:t>
      </w:r>
      <w:r w:rsidRPr="00BE086B">
        <w:rPr>
          <w:sz w:val="28"/>
          <w:szCs w:val="28"/>
          <w:shd w:val="clear" w:color="auto" w:fill="FFFFFF"/>
          <w:lang w:val="en-US"/>
        </w:rPr>
        <w:t>1 and NGF expressions in chondrocytes. Eur J Pain. 2020;24(1):209-222.</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rPr>
      </w:pPr>
      <w:r w:rsidRPr="00BE086B">
        <w:rPr>
          <w:bCs/>
          <w:sz w:val="28"/>
          <w:szCs w:val="28"/>
          <w:shd w:val="clear" w:color="auto" w:fill="FFFFFF"/>
        </w:rPr>
        <w:lastRenderedPageBreak/>
        <w:t>Волощук</w:t>
      </w:r>
      <w:r w:rsidRPr="00BE086B">
        <w:rPr>
          <w:bCs/>
          <w:sz w:val="28"/>
          <w:szCs w:val="28"/>
          <w:shd w:val="clear" w:color="auto" w:fill="FFFFFF"/>
          <w:lang w:val="uk-UA"/>
        </w:rPr>
        <w:t xml:space="preserve"> </w:t>
      </w:r>
      <w:r w:rsidRPr="00BE086B">
        <w:rPr>
          <w:sz w:val="28"/>
          <w:szCs w:val="28"/>
          <w:shd w:val="clear" w:color="auto" w:fill="FFFFFF"/>
        </w:rPr>
        <w:t>Н</w:t>
      </w:r>
      <w:r w:rsidRPr="00BE086B">
        <w:rPr>
          <w:sz w:val="28"/>
          <w:szCs w:val="28"/>
          <w:shd w:val="clear" w:color="auto" w:fill="FFFFFF"/>
          <w:lang w:val="en-US"/>
        </w:rPr>
        <w:t>.</w:t>
      </w:r>
      <w:r w:rsidRPr="00BE086B">
        <w:rPr>
          <w:sz w:val="28"/>
          <w:szCs w:val="28"/>
          <w:shd w:val="clear" w:color="auto" w:fill="FFFFFF"/>
        </w:rPr>
        <w:t>І</w:t>
      </w:r>
      <w:r w:rsidRPr="00BE086B">
        <w:rPr>
          <w:sz w:val="28"/>
          <w:szCs w:val="28"/>
          <w:shd w:val="clear" w:color="auto" w:fill="FFFFFF"/>
          <w:lang w:val="en-US"/>
        </w:rPr>
        <w:t>.</w:t>
      </w:r>
      <w:r w:rsidRPr="00BE086B">
        <w:rPr>
          <w:sz w:val="28"/>
          <w:szCs w:val="28"/>
          <w:shd w:val="clear" w:color="auto" w:fill="FFFFFF"/>
          <w:lang w:val="uk-UA"/>
        </w:rPr>
        <w:t xml:space="preserve"> </w:t>
      </w:r>
      <w:r w:rsidRPr="00BE086B">
        <w:rPr>
          <w:sz w:val="28"/>
          <w:szCs w:val="28"/>
          <w:shd w:val="clear" w:color="auto" w:fill="FFFFFF"/>
        </w:rPr>
        <w:t>Порівняльна</w:t>
      </w:r>
      <w:r w:rsidRPr="00BE086B">
        <w:rPr>
          <w:sz w:val="28"/>
          <w:szCs w:val="28"/>
          <w:shd w:val="clear" w:color="auto" w:fill="FFFFFF"/>
          <w:lang w:val="en-US"/>
        </w:rPr>
        <w:t xml:space="preserve"> </w:t>
      </w:r>
      <w:r w:rsidRPr="00BE086B">
        <w:rPr>
          <w:sz w:val="28"/>
          <w:szCs w:val="28"/>
          <w:shd w:val="clear" w:color="auto" w:fill="FFFFFF"/>
        </w:rPr>
        <w:t>оцінка</w:t>
      </w:r>
      <w:r w:rsidRPr="00BE086B">
        <w:rPr>
          <w:sz w:val="28"/>
          <w:szCs w:val="28"/>
          <w:shd w:val="clear" w:color="auto" w:fill="FFFFFF"/>
          <w:lang w:val="en-US"/>
        </w:rPr>
        <w:t xml:space="preserve"> </w:t>
      </w:r>
      <w:r w:rsidRPr="00BE086B">
        <w:rPr>
          <w:sz w:val="28"/>
          <w:szCs w:val="28"/>
          <w:shd w:val="clear" w:color="auto" w:fill="FFFFFF"/>
        </w:rPr>
        <w:t>нефротоксичної</w:t>
      </w:r>
      <w:r w:rsidRPr="00BE086B">
        <w:rPr>
          <w:sz w:val="28"/>
          <w:szCs w:val="28"/>
          <w:shd w:val="clear" w:color="auto" w:fill="FFFFFF"/>
          <w:lang w:val="en-US"/>
        </w:rPr>
        <w:t xml:space="preserve"> </w:t>
      </w:r>
      <w:r w:rsidRPr="00BE086B">
        <w:rPr>
          <w:sz w:val="28"/>
          <w:szCs w:val="28"/>
          <w:shd w:val="clear" w:color="auto" w:fill="FFFFFF"/>
        </w:rPr>
        <w:t>дії</w:t>
      </w:r>
      <w:r w:rsidRPr="00BE086B">
        <w:rPr>
          <w:sz w:val="28"/>
          <w:szCs w:val="28"/>
          <w:shd w:val="clear" w:color="auto" w:fill="FFFFFF"/>
          <w:lang w:val="en-US"/>
        </w:rPr>
        <w:t xml:space="preserve"> </w:t>
      </w:r>
      <w:r w:rsidRPr="00BE086B">
        <w:rPr>
          <w:sz w:val="28"/>
          <w:szCs w:val="28"/>
          <w:shd w:val="clear" w:color="auto" w:fill="FFFFFF"/>
        </w:rPr>
        <w:t>диклофенаку</w:t>
      </w:r>
      <w:r w:rsidRPr="00BE086B">
        <w:rPr>
          <w:sz w:val="28"/>
          <w:szCs w:val="28"/>
          <w:shd w:val="clear" w:color="auto" w:fill="FFFFFF"/>
          <w:lang w:val="en-US"/>
        </w:rPr>
        <w:t xml:space="preserve"> </w:t>
      </w:r>
      <w:r w:rsidRPr="00BE086B">
        <w:rPr>
          <w:sz w:val="28"/>
          <w:szCs w:val="28"/>
          <w:shd w:val="clear" w:color="auto" w:fill="FFFFFF"/>
        </w:rPr>
        <w:t>натрію</w:t>
      </w:r>
      <w:r w:rsidRPr="00BE086B">
        <w:rPr>
          <w:sz w:val="28"/>
          <w:szCs w:val="28"/>
          <w:shd w:val="clear" w:color="auto" w:fill="FFFFFF"/>
          <w:lang w:val="en-US"/>
        </w:rPr>
        <w:t xml:space="preserve">, </w:t>
      </w:r>
      <w:r w:rsidRPr="00BE086B">
        <w:rPr>
          <w:sz w:val="28"/>
          <w:szCs w:val="28"/>
          <w:shd w:val="clear" w:color="auto" w:fill="FFFFFF"/>
        </w:rPr>
        <w:t>німесуліду</w:t>
      </w:r>
      <w:r w:rsidRPr="00BE086B">
        <w:rPr>
          <w:sz w:val="28"/>
          <w:szCs w:val="28"/>
          <w:shd w:val="clear" w:color="auto" w:fill="FFFFFF"/>
          <w:lang w:val="en-US"/>
        </w:rPr>
        <w:t xml:space="preserve"> </w:t>
      </w:r>
      <w:r w:rsidRPr="00BE086B">
        <w:rPr>
          <w:sz w:val="28"/>
          <w:szCs w:val="28"/>
          <w:shd w:val="clear" w:color="auto" w:fill="FFFFFF"/>
        </w:rPr>
        <w:t>та</w:t>
      </w:r>
      <w:r w:rsidRPr="00BE086B">
        <w:rPr>
          <w:sz w:val="28"/>
          <w:szCs w:val="28"/>
          <w:shd w:val="clear" w:color="auto" w:fill="FFFFFF"/>
          <w:lang w:val="en-US"/>
        </w:rPr>
        <w:t xml:space="preserve"> </w:t>
      </w:r>
      <w:r w:rsidRPr="00BE086B">
        <w:rPr>
          <w:sz w:val="28"/>
          <w:szCs w:val="28"/>
          <w:shd w:val="clear" w:color="auto" w:fill="FFFFFF"/>
        </w:rPr>
        <w:t>целекоксибу</w:t>
      </w:r>
      <w:r w:rsidRPr="00BE086B">
        <w:rPr>
          <w:sz w:val="28"/>
          <w:szCs w:val="28"/>
          <w:shd w:val="clear" w:color="auto" w:fill="FFFFFF"/>
          <w:lang w:val="en-US"/>
        </w:rPr>
        <w:t xml:space="preserve"> </w:t>
      </w:r>
      <w:r w:rsidRPr="00BE086B">
        <w:rPr>
          <w:sz w:val="28"/>
          <w:szCs w:val="28"/>
          <w:shd w:val="clear" w:color="auto" w:fill="FFFFFF"/>
        </w:rPr>
        <w:t>у</w:t>
      </w:r>
      <w:r w:rsidRPr="00BE086B">
        <w:rPr>
          <w:sz w:val="28"/>
          <w:szCs w:val="28"/>
          <w:shd w:val="clear" w:color="auto" w:fill="FFFFFF"/>
          <w:lang w:val="en-US"/>
        </w:rPr>
        <w:t xml:space="preserve"> </w:t>
      </w:r>
      <w:r w:rsidRPr="00BE086B">
        <w:rPr>
          <w:sz w:val="28"/>
          <w:szCs w:val="28"/>
          <w:shd w:val="clear" w:color="auto" w:fill="FFFFFF"/>
        </w:rPr>
        <w:t>самців</w:t>
      </w:r>
      <w:r w:rsidRPr="00BE086B">
        <w:rPr>
          <w:sz w:val="28"/>
          <w:szCs w:val="28"/>
          <w:shd w:val="clear" w:color="auto" w:fill="FFFFFF"/>
          <w:lang w:val="en-US"/>
        </w:rPr>
        <w:t xml:space="preserve"> </w:t>
      </w:r>
      <w:r w:rsidRPr="00BE086B">
        <w:rPr>
          <w:sz w:val="28"/>
          <w:szCs w:val="28"/>
          <w:shd w:val="clear" w:color="auto" w:fill="FFFFFF"/>
        </w:rPr>
        <w:t>та</w:t>
      </w:r>
      <w:r w:rsidRPr="00BE086B">
        <w:rPr>
          <w:sz w:val="28"/>
          <w:szCs w:val="28"/>
          <w:shd w:val="clear" w:color="auto" w:fill="FFFFFF"/>
          <w:lang w:val="en-US"/>
        </w:rPr>
        <w:t xml:space="preserve"> </w:t>
      </w:r>
      <w:r w:rsidRPr="00BE086B">
        <w:rPr>
          <w:sz w:val="28"/>
          <w:szCs w:val="28"/>
          <w:shd w:val="clear" w:color="auto" w:fill="FFFFFF"/>
        </w:rPr>
        <w:t>самиць</w:t>
      </w:r>
      <w:r w:rsidRPr="00BE086B">
        <w:rPr>
          <w:sz w:val="28"/>
          <w:szCs w:val="28"/>
          <w:shd w:val="clear" w:color="auto" w:fill="FFFFFF"/>
          <w:lang w:val="en-US"/>
        </w:rPr>
        <w:t xml:space="preserve"> </w:t>
      </w:r>
      <w:r w:rsidRPr="00BE086B">
        <w:rPr>
          <w:sz w:val="28"/>
          <w:szCs w:val="28"/>
          <w:shd w:val="clear" w:color="auto" w:fill="FFFFFF"/>
        </w:rPr>
        <w:t>щурів</w:t>
      </w:r>
      <w:r w:rsidRPr="00BE086B">
        <w:rPr>
          <w:sz w:val="28"/>
          <w:szCs w:val="28"/>
          <w:shd w:val="clear" w:color="auto" w:fill="FFFFFF"/>
          <w:lang w:val="en-US"/>
        </w:rPr>
        <w:t xml:space="preserve"> </w:t>
      </w:r>
      <w:r w:rsidRPr="00BE086B">
        <w:rPr>
          <w:sz w:val="28"/>
          <w:szCs w:val="28"/>
          <w:shd w:val="clear" w:color="auto" w:fill="FFFFFF"/>
        </w:rPr>
        <w:t>та</w:t>
      </w:r>
      <w:r w:rsidRPr="00BE086B">
        <w:rPr>
          <w:sz w:val="28"/>
          <w:szCs w:val="28"/>
          <w:shd w:val="clear" w:color="auto" w:fill="FFFFFF"/>
          <w:lang w:val="en-US"/>
        </w:rPr>
        <w:t xml:space="preserve"> </w:t>
      </w:r>
      <w:r w:rsidRPr="00BE086B">
        <w:rPr>
          <w:sz w:val="28"/>
          <w:szCs w:val="28"/>
          <w:shd w:val="clear" w:color="auto" w:fill="FFFFFF"/>
        </w:rPr>
        <w:t>нефропротективна</w:t>
      </w:r>
      <w:r w:rsidRPr="00BE086B">
        <w:rPr>
          <w:sz w:val="28"/>
          <w:szCs w:val="28"/>
          <w:shd w:val="clear" w:color="auto" w:fill="FFFFFF"/>
          <w:lang w:val="en-US"/>
        </w:rPr>
        <w:t xml:space="preserve"> </w:t>
      </w:r>
      <w:r w:rsidRPr="00BE086B">
        <w:rPr>
          <w:sz w:val="28"/>
          <w:szCs w:val="28"/>
          <w:shd w:val="clear" w:color="auto" w:fill="FFFFFF"/>
        </w:rPr>
        <w:t>дія</w:t>
      </w:r>
      <w:r w:rsidRPr="00BE086B">
        <w:rPr>
          <w:sz w:val="28"/>
          <w:szCs w:val="28"/>
          <w:shd w:val="clear" w:color="auto" w:fill="FFFFFF"/>
          <w:lang w:val="en-US"/>
        </w:rPr>
        <w:t xml:space="preserve"> </w:t>
      </w:r>
      <w:r w:rsidRPr="00BE086B">
        <w:rPr>
          <w:sz w:val="28"/>
          <w:szCs w:val="28"/>
          <w:shd w:val="clear" w:color="auto" w:fill="FFFFFF"/>
        </w:rPr>
        <w:t>препаратів</w:t>
      </w:r>
      <w:r w:rsidRPr="00BE086B">
        <w:rPr>
          <w:sz w:val="28"/>
          <w:szCs w:val="28"/>
          <w:shd w:val="clear" w:color="auto" w:fill="FFFFFF"/>
          <w:lang w:val="en-US"/>
        </w:rPr>
        <w:t xml:space="preserve"> </w:t>
      </w:r>
      <w:r w:rsidRPr="00BE086B">
        <w:rPr>
          <w:sz w:val="28"/>
          <w:szCs w:val="28"/>
          <w:shd w:val="clear" w:color="auto" w:fill="FFFFFF"/>
        </w:rPr>
        <w:t>флавоноїдів</w:t>
      </w:r>
      <w:r w:rsidRPr="00BE086B">
        <w:rPr>
          <w:sz w:val="28"/>
          <w:szCs w:val="28"/>
          <w:shd w:val="clear" w:color="auto" w:fill="FFFFFF"/>
          <w:lang w:val="en-US"/>
        </w:rPr>
        <w:t xml:space="preserve"> </w:t>
      </w:r>
      <w:r w:rsidRPr="00BE086B">
        <w:rPr>
          <w:sz w:val="28"/>
          <w:szCs w:val="28"/>
          <w:shd w:val="clear" w:color="auto" w:fill="FFFFFF"/>
        </w:rPr>
        <w:t>та</w:t>
      </w:r>
      <w:r w:rsidRPr="00BE086B">
        <w:rPr>
          <w:sz w:val="28"/>
          <w:szCs w:val="28"/>
          <w:shd w:val="clear" w:color="auto" w:fill="FFFFFF"/>
          <w:lang w:val="en-US"/>
        </w:rPr>
        <w:t xml:space="preserve"> </w:t>
      </w:r>
      <w:r w:rsidRPr="00BE086B">
        <w:rPr>
          <w:sz w:val="28"/>
          <w:szCs w:val="28"/>
          <w:shd w:val="clear" w:color="auto" w:fill="FFFFFF"/>
        </w:rPr>
        <w:t>ізофлавоноїдів</w:t>
      </w:r>
      <w:r w:rsidRPr="00BE086B">
        <w:rPr>
          <w:sz w:val="28"/>
          <w:szCs w:val="28"/>
          <w:shd w:val="clear" w:color="auto" w:fill="FFFFFF"/>
          <w:lang w:val="uk-UA"/>
        </w:rPr>
        <w:t xml:space="preserve">. </w:t>
      </w:r>
      <w:r w:rsidRPr="00BE086B">
        <w:rPr>
          <w:sz w:val="28"/>
          <w:szCs w:val="28"/>
          <w:shd w:val="clear" w:color="auto" w:fill="FFFFFF"/>
        </w:rPr>
        <w:t>Фармакологія та лікарська токсикологія. 2008</w:t>
      </w:r>
      <w:r w:rsidRPr="00BE086B">
        <w:rPr>
          <w:sz w:val="28"/>
          <w:szCs w:val="28"/>
          <w:shd w:val="clear" w:color="auto" w:fill="FFFFFF"/>
          <w:lang w:val="uk-UA"/>
        </w:rPr>
        <w:t>;</w:t>
      </w:r>
      <w:r w:rsidRPr="00BE086B">
        <w:rPr>
          <w:sz w:val="28"/>
          <w:szCs w:val="28"/>
          <w:shd w:val="clear" w:color="auto" w:fill="FFFFFF"/>
        </w:rPr>
        <w:t>5</w:t>
      </w:r>
      <w:r w:rsidRPr="00BE086B">
        <w:rPr>
          <w:sz w:val="28"/>
          <w:szCs w:val="28"/>
          <w:shd w:val="clear" w:color="auto" w:fill="FFFFFF"/>
          <w:lang w:val="uk-UA"/>
        </w:rPr>
        <w:t>(</w:t>
      </w:r>
      <w:r w:rsidRPr="00BE086B">
        <w:rPr>
          <w:sz w:val="28"/>
          <w:szCs w:val="28"/>
          <w:shd w:val="clear" w:color="auto" w:fill="FFFFFF"/>
        </w:rPr>
        <w:t>6</w:t>
      </w:r>
      <w:r w:rsidRPr="00BE086B">
        <w:rPr>
          <w:sz w:val="28"/>
          <w:szCs w:val="28"/>
          <w:shd w:val="clear" w:color="auto" w:fill="FFFFFF"/>
          <w:lang w:val="uk-UA"/>
        </w:rPr>
        <w:t>):</w:t>
      </w:r>
      <w:r w:rsidRPr="00BE086B">
        <w:rPr>
          <w:sz w:val="28"/>
          <w:szCs w:val="28"/>
          <w:shd w:val="clear" w:color="auto" w:fill="FFFFFF"/>
        </w:rPr>
        <w:t>68-74</w:t>
      </w:r>
      <w:r w:rsidRPr="00BE086B">
        <w:rPr>
          <w:sz w:val="28"/>
          <w:szCs w:val="28"/>
          <w:shd w:val="clear" w:color="auto" w:fill="FFFFFF"/>
          <w:lang w:val="uk-UA"/>
        </w:rPr>
        <w:t>.</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rPr>
      </w:pPr>
      <w:r w:rsidRPr="00BE086B">
        <w:rPr>
          <w:bCs/>
          <w:sz w:val="28"/>
          <w:szCs w:val="28"/>
          <w:shd w:val="clear" w:color="auto" w:fill="FFFFFF"/>
        </w:rPr>
        <w:t>Волощук</w:t>
      </w:r>
      <w:r w:rsidRPr="00BE086B">
        <w:rPr>
          <w:bCs/>
          <w:sz w:val="28"/>
          <w:szCs w:val="28"/>
          <w:shd w:val="clear" w:color="auto" w:fill="FFFFFF"/>
          <w:lang w:val="uk-UA"/>
        </w:rPr>
        <w:t xml:space="preserve"> </w:t>
      </w:r>
      <w:r w:rsidRPr="00BE086B">
        <w:rPr>
          <w:sz w:val="28"/>
          <w:szCs w:val="28"/>
          <w:shd w:val="clear" w:color="auto" w:fill="FFFFFF"/>
        </w:rPr>
        <w:t>Н.І., Пентюк О.О.</w:t>
      </w:r>
      <w:r w:rsidRPr="00BE086B">
        <w:rPr>
          <w:sz w:val="28"/>
          <w:szCs w:val="28"/>
          <w:shd w:val="clear" w:color="auto" w:fill="FFFFFF"/>
          <w:lang w:val="uk-UA"/>
        </w:rPr>
        <w:t xml:space="preserve"> </w:t>
      </w:r>
      <w:r w:rsidRPr="00BE086B">
        <w:rPr>
          <w:sz w:val="28"/>
          <w:szCs w:val="28"/>
          <w:shd w:val="clear" w:color="auto" w:fill="FFFFFF"/>
        </w:rPr>
        <w:t>Роль статевих відмінностей в гастротоксичній дії деяких нестероїдних протизапальних засобів</w:t>
      </w:r>
      <w:r w:rsidRPr="00BE086B">
        <w:rPr>
          <w:sz w:val="28"/>
          <w:szCs w:val="28"/>
          <w:shd w:val="clear" w:color="auto" w:fill="FFFFFF"/>
          <w:lang w:val="uk-UA"/>
        </w:rPr>
        <w:t xml:space="preserve">. </w:t>
      </w:r>
      <w:r w:rsidRPr="00BE086B">
        <w:rPr>
          <w:sz w:val="28"/>
          <w:szCs w:val="28"/>
          <w:shd w:val="clear" w:color="auto" w:fill="FFFFFF"/>
        </w:rPr>
        <w:t>Соврем. проблемы токсикологии. 2007</w:t>
      </w:r>
      <w:r w:rsidRPr="00BE086B">
        <w:rPr>
          <w:sz w:val="28"/>
          <w:szCs w:val="28"/>
          <w:shd w:val="clear" w:color="auto" w:fill="FFFFFF"/>
          <w:lang w:val="uk-UA"/>
        </w:rPr>
        <w:t>;</w:t>
      </w:r>
      <w:r w:rsidRPr="00BE086B">
        <w:rPr>
          <w:sz w:val="28"/>
          <w:szCs w:val="28"/>
          <w:shd w:val="clear" w:color="auto" w:fill="FFFFFF"/>
        </w:rPr>
        <w:t>4</w:t>
      </w:r>
      <w:r w:rsidRPr="00BE086B">
        <w:rPr>
          <w:sz w:val="28"/>
          <w:szCs w:val="28"/>
          <w:shd w:val="clear" w:color="auto" w:fill="FFFFFF"/>
          <w:lang w:val="uk-UA"/>
        </w:rPr>
        <w:t>:</w:t>
      </w:r>
      <w:r w:rsidRPr="00BE086B">
        <w:rPr>
          <w:sz w:val="28"/>
          <w:szCs w:val="28"/>
          <w:shd w:val="clear" w:color="auto" w:fill="FFFFFF"/>
        </w:rPr>
        <w:t>47-49</w:t>
      </w:r>
      <w:r w:rsidRPr="00BE086B">
        <w:rPr>
          <w:sz w:val="28"/>
          <w:szCs w:val="28"/>
          <w:shd w:val="clear" w:color="auto" w:fill="FFFFFF"/>
          <w:lang w:val="uk-UA"/>
        </w:rPr>
        <w:t>.</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rPr>
      </w:pPr>
      <w:r w:rsidRPr="00BE086B">
        <w:rPr>
          <w:bCs/>
          <w:sz w:val="28"/>
          <w:szCs w:val="28"/>
          <w:shd w:val="clear" w:color="auto" w:fill="FFFFFF"/>
        </w:rPr>
        <w:t>Волощук</w:t>
      </w:r>
      <w:r w:rsidRPr="00BE086B">
        <w:rPr>
          <w:bCs/>
          <w:sz w:val="28"/>
          <w:szCs w:val="28"/>
          <w:shd w:val="clear" w:color="auto" w:fill="FFFFFF"/>
          <w:lang w:val="uk-UA"/>
        </w:rPr>
        <w:t xml:space="preserve"> </w:t>
      </w:r>
      <w:r w:rsidRPr="00BE086B">
        <w:rPr>
          <w:sz w:val="28"/>
          <w:szCs w:val="28"/>
          <w:shd w:val="clear" w:color="auto" w:fill="FFFFFF"/>
        </w:rPr>
        <w:t>Н.І.</w:t>
      </w:r>
      <w:r w:rsidRPr="00BE086B">
        <w:rPr>
          <w:sz w:val="28"/>
          <w:szCs w:val="28"/>
          <w:shd w:val="clear" w:color="auto" w:fill="FFFFFF"/>
          <w:lang w:val="uk-UA"/>
        </w:rPr>
        <w:t xml:space="preserve"> </w:t>
      </w:r>
      <w:r w:rsidRPr="00BE086B">
        <w:rPr>
          <w:sz w:val="28"/>
          <w:szCs w:val="28"/>
          <w:shd w:val="clear" w:color="auto" w:fill="FFFFFF"/>
        </w:rPr>
        <w:t>Статевий диморфізм фармакологічної активності та токсичності диклофенаку натрію у щурів з ад'ювантним артритом</w:t>
      </w:r>
      <w:r w:rsidRPr="00BE086B">
        <w:rPr>
          <w:sz w:val="28"/>
          <w:szCs w:val="28"/>
          <w:shd w:val="clear" w:color="auto" w:fill="FFFFFF"/>
          <w:lang w:val="uk-UA"/>
        </w:rPr>
        <w:t xml:space="preserve">. </w:t>
      </w:r>
      <w:r w:rsidRPr="00BE086B">
        <w:rPr>
          <w:sz w:val="28"/>
          <w:szCs w:val="28"/>
          <w:shd w:val="clear" w:color="auto" w:fill="FFFFFF"/>
        </w:rPr>
        <w:t>Медичні перспективи. 2009</w:t>
      </w:r>
      <w:r w:rsidRPr="00BE086B">
        <w:rPr>
          <w:sz w:val="28"/>
          <w:szCs w:val="28"/>
          <w:shd w:val="clear" w:color="auto" w:fill="FFFFFF"/>
          <w:lang w:val="uk-UA"/>
        </w:rPr>
        <w:t>;</w:t>
      </w:r>
      <w:r w:rsidRPr="00BE086B">
        <w:rPr>
          <w:sz w:val="28"/>
          <w:szCs w:val="28"/>
          <w:shd w:val="clear" w:color="auto" w:fill="FFFFFF"/>
        </w:rPr>
        <w:t>14, 4</w:t>
      </w:r>
      <w:r w:rsidRPr="00BE086B">
        <w:rPr>
          <w:sz w:val="28"/>
          <w:szCs w:val="28"/>
          <w:shd w:val="clear" w:color="auto" w:fill="FFFFFF"/>
          <w:lang w:val="uk-UA"/>
        </w:rPr>
        <w:t>:</w:t>
      </w:r>
      <w:r w:rsidRPr="00BE086B">
        <w:rPr>
          <w:sz w:val="28"/>
          <w:szCs w:val="28"/>
          <w:shd w:val="clear" w:color="auto" w:fill="FFFFFF"/>
        </w:rPr>
        <w:t>11-15</w:t>
      </w:r>
      <w:r w:rsidRPr="00BE086B">
        <w:rPr>
          <w:sz w:val="28"/>
          <w:szCs w:val="28"/>
          <w:shd w:val="clear" w:color="auto" w:fill="FFFFFF"/>
          <w:lang w:val="uk-UA"/>
        </w:rPr>
        <w:t>.</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rPr>
        <w:t>Бухтіарова Т.А., Омельяненко З.П., Ядловський О.Є., Хоменко В.С., Шатиркіна Т.В.</w:t>
      </w:r>
      <w:r w:rsidRPr="00BE086B">
        <w:rPr>
          <w:sz w:val="28"/>
          <w:szCs w:val="28"/>
          <w:shd w:val="clear" w:color="auto" w:fill="FFFFFF"/>
          <w:lang w:val="uk-UA"/>
        </w:rPr>
        <w:t xml:space="preserve"> </w:t>
      </w:r>
      <w:r w:rsidRPr="00BE086B">
        <w:rPr>
          <w:sz w:val="28"/>
          <w:szCs w:val="28"/>
          <w:shd w:val="clear" w:color="auto" w:fill="FFFFFF"/>
        </w:rPr>
        <w:t>Шляхи корекції побічної дії нестероїдних протизапальних засобів</w:t>
      </w:r>
      <w:r w:rsidRPr="00BE086B">
        <w:rPr>
          <w:sz w:val="28"/>
          <w:szCs w:val="28"/>
          <w:shd w:val="clear" w:color="auto" w:fill="FFFFFF"/>
          <w:lang w:val="uk-UA"/>
        </w:rPr>
        <w:t xml:space="preserve">. </w:t>
      </w:r>
      <w:r w:rsidRPr="00BE086B">
        <w:rPr>
          <w:sz w:val="28"/>
          <w:szCs w:val="28"/>
          <w:shd w:val="clear" w:color="auto" w:fill="FFFFFF"/>
        </w:rPr>
        <w:t>Фармацевтичний журнал. 2007</w:t>
      </w:r>
      <w:r w:rsidRPr="00BE086B">
        <w:rPr>
          <w:sz w:val="28"/>
          <w:szCs w:val="28"/>
          <w:shd w:val="clear" w:color="auto" w:fill="FFFFFF"/>
          <w:lang w:val="uk-UA"/>
        </w:rPr>
        <w:t>;</w:t>
      </w:r>
      <w:r w:rsidRPr="00BE086B">
        <w:rPr>
          <w:sz w:val="28"/>
          <w:szCs w:val="28"/>
          <w:shd w:val="clear" w:color="auto" w:fill="FFFFFF"/>
        </w:rPr>
        <w:t xml:space="preserve"> 1</w:t>
      </w:r>
      <w:r w:rsidRPr="00BE086B">
        <w:rPr>
          <w:sz w:val="28"/>
          <w:szCs w:val="28"/>
          <w:shd w:val="clear" w:color="auto" w:fill="FFFFFF"/>
          <w:lang w:val="uk-UA"/>
        </w:rPr>
        <w:t>:</w:t>
      </w:r>
      <w:r w:rsidRPr="00BE086B">
        <w:rPr>
          <w:sz w:val="28"/>
          <w:szCs w:val="28"/>
          <w:shd w:val="clear" w:color="auto" w:fill="FFFFFF"/>
        </w:rPr>
        <w:t>38-44</w:t>
      </w:r>
      <w:r w:rsidRPr="00BE086B">
        <w:rPr>
          <w:sz w:val="28"/>
          <w:szCs w:val="28"/>
          <w:shd w:val="clear" w:color="auto" w:fill="FFFFFF"/>
          <w:lang w:val="uk-UA"/>
        </w:rPr>
        <w:t>.</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rPr>
      </w:pPr>
      <w:r w:rsidRPr="00BE086B">
        <w:rPr>
          <w:sz w:val="28"/>
          <w:szCs w:val="28"/>
          <w:lang w:eastAsia="ru-RU"/>
        </w:rPr>
        <w:t>Демченко С.А.</w:t>
      </w:r>
      <w:r w:rsidRPr="00BE086B">
        <w:rPr>
          <w:sz w:val="28"/>
          <w:szCs w:val="28"/>
          <w:lang w:val="uk-UA" w:eastAsia="ru-RU"/>
        </w:rPr>
        <w:t xml:space="preserve">, </w:t>
      </w:r>
      <w:r w:rsidRPr="00BE086B">
        <w:rPr>
          <w:sz w:val="28"/>
          <w:szCs w:val="28"/>
          <w:lang w:eastAsia="ru-RU"/>
        </w:rPr>
        <w:t>Баглай О.Ю., Серединська Н.М., Ядловський О.Є., Зелінська А.Є., Бухтіарова Т.А., Бобкова Л.С., Демченко А.М.</w:t>
      </w:r>
      <w:r w:rsidRPr="00BE086B">
        <w:rPr>
          <w:sz w:val="28"/>
          <w:szCs w:val="28"/>
          <w:lang w:val="uk-UA" w:eastAsia="ru-RU"/>
        </w:rPr>
        <w:t xml:space="preserve"> </w:t>
      </w:r>
      <w:r w:rsidRPr="00BE086B">
        <w:rPr>
          <w:sz w:val="28"/>
          <w:szCs w:val="28"/>
          <w:lang w:eastAsia="ru-RU"/>
        </w:rPr>
        <w:t>Синтез похідних бензенсульфонамідів і вивчення їхньої спорідненості до циклооксигенази-2 методом молекулярного докінгу</w:t>
      </w:r>
      <w:r w:rsidRPr="00BE086B">
        <w:rPr>
          <w:sz w:val="28"/>
          <w:szCs w:val="28"/>
          <w:lang w:val="uk-UA" w:eastAsia="ru-RU"/>
        </w:rPr>
        <w:t>. Фармакологія та лікарська токсикологія. 2020; 14(1):24-35.</w:t>
      </w:r>
    </w:p>
    <w:p w:rsidR="008B13C0" w:rsidRPr="00BE086B" w:rsidRDefault="008B13C0" w:rsidP="00611AFB">
      <w:pPr>
        <w:widowControl w:val="0"/>
        <w:numPr>
          <w:ilvl w:val="0"/>
          <w:numId w:val="19"/>
        </w:numPr>
        <w:shd w:val="clear" w:color="auto" w:fill="FFFFFF"/>
        <w:suppressAutoHyphens w:val="0"/>
        <w:autoSpaceDE w:val="0"/>
        <w:autoSpaceDN w:val="0"/>
        <w:adjustRightInd w:val="0"/>
        <w:spacing w:line="360" w:lineRule="auto"/>
        <w:ind w:left="0" w:firstLine="709"/>
        <w:jc w:val="both"/>
        <w:rPr>
          <w:sz w:val="28"/>
          <w:szCs w:val="28"/>
        </w:rPr>
      </w:pPr>
      <w:r w:rsidRPr="00BE086B">
        <w:rPr>
          <w:rFonts w:eastAsia="Arimo-Bold"/>
          <w:bCs/>
          <w:sz w:val="28"/>
          <w:szCs w:val="28"/>
          <w:lang w:val="uk-UA" w:eastAsia="ru-RU"/>
        </w:rPr>
        <w:t xml:space="preserve">Ядловський О.Є., Коваль А.Я., Серединська Н.М., Бухтіарова Т.А., Бершова Т.А., Демченко Д.А., Бобкова Л.С., Демченко А.М. </w:t>
      </w:r>
      <w:r w:rsidRPr="00BE086B">
        <w:rPr>
          <w:sz w:val="28"/>
          <w:szCs w:val="28"/>
        </w:rPr>
        <w:t>Анальгезивна та протизапальна дії похідних 5,7-діацил-3-H(алкіл)-6-арил-5Н-</w:t>
      </w:r>
      <w:r w:rsidRPr="00BE086B">
        <w:rPr>
          <w:sz w:val="28"/>
          <w:szCs w:val="28"/>
          <w:lang w:val="uk-UA"/>
        </w:rPr>
        <w:t xml:space="preserve">. </w:t>
      </w:r>
      <w:r w:rsidRPr="00BE086B">
        <w:rPr>
          <w:sz w:val="28"/>
          <w:szCs w:val="28"/>
        </w:rPr>
        <w:t>Медична та клінічна хімія. 2015</w:t>
      </w:r>
      <w:r w:rsidRPr="00BE086B">
        <w:rPr>
          <w:sz w:val="28"/>
          <w:szCs w:val="28"/>
          <w:lang w:val="uk-UA"/>
        </w:rPr>
        <w:t>;</w:t>
      </w:r>
      <w:r w:rsidRPr="00BE086B">
        <w:rPr>
          <w:sz w:val="28"/>
          <w:szCs w:val="28"/>
        </w:rPr>
        <w:t xml:space="preserve"> 17, 2</w:t>
      </w:r>
      <w:r w:rsidRPr="00BE086B">
        <w:rPr>
          <w:sz w:val="28"/>
          <w:szCs w:val="28"/>
          <w:lang w:val="uk-UA"/>
        </w:rPr>
        <w:t>:33-38.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rPr>
        <w:t>Ядловський О.Є., Бухтіарова Т. А.</w:t>
      </w:r>
      <w:r w:rsidRPr="00BE086B">
        <w:rPr>
          <w:sz w:val="28"/>
          <w:szCs w:val="28"/>
          <w:shd w:val="clear" w:color="auto" w:fill="FFFFFF"/>
          <w:lang w:val="uk-UA"/>
        </w:rPr>
        <w:t xml:space="preserve"> </w:t>
      </w:r>
      <w:r w:rsidRPr="00BE086B">
        <w:rPr>
          <w:sz w:val="28"/>
          <w:szCs w:val="28"/>
          <w:shd w:val="clear" w:color="auto" w:fill="FFFFFF"/>
        </w:rPr>
        <w:t>Протизапальна й аналгезуюча активність похідних поліметиленімідазолів</w:t>
      </w:r>
      <w:r w:rsidRPr="00BE086B">
        <w:rPr>
          <w:sz w:val="28"/>
          <w:szCs w:val="28"/>
          <w:shd w:val="clear" w:color="auto" w:fill="FFFFFF"/>
          <w:lang w:val="uk-UA"/>
        </w:rPr>
        <w:t xml:space="preserve">. </w:t>
      </w:r>
      <w:r w:rsidRPr="00BE086B">
        <w:rPr>
          <w:sz w:val="28"/>
          <w:szCs w:val="28"/>
          <w:shd w:val="clear" w:color="auto" w:fill="FFFFFF"/>
        </w:rPr>
        <w:t>Одеський мед. журн. 2009</w:t>
      </w:r>
      <w:r w:rsidRPr="00BE086B">
        <w:rPr>
          <w:sz w:val="28"/>
          <w:szCs w:val="28"/>
          <w:shd w:val="clear" w:color="auto" w:fill="FFFFFF"/>
          <w:lang w:val="uk-UA"/>
        </w:rPr>
        <w:t>;</w:t>
      </w:r>
      <w:r w:rsidRPr="00BE086B">
        <w:rPr>
          <w:sz w:val="28"/>
          <w:szCs w:val="28"/>
          <w:shd w:val="clear" w:color="auto" w:fill="FFFFFF"/>
        </w:rPr>
        <w:t xml:space="preserve"> 5</w:t>
      </w:r>
      <w:r w:rsidRPr="00BE086B">
        <w:rPr>
          <w:sz w:val="28"/>
          <w:szCs w:val="28"/>
          <w:shd w:val="clear" w:color="auto" w:fill="FFFFFF"/>
          <w:lang w:val="uk-UA"/>
        </w:rPr>
        <w:t>:</w:t>
      </w:r>
      <w:r w:rsidRPr="00BE086B">
        <w:rPr>
          <w:sz w:val="28"/>
          <w:szCs w:val="28"/>
          <w:shd w:val="clear" w:color="auto" w:fill="FFFFFF"/>
        </w:rPr>
        <w:t xml:space="preserve"> 27-29</w:t>
      </w:r>
      <w:r w:rsidRPr="00BE086B">
        <w:rPr>
          <w:sz w:val="28"/>
          <w:szCs w:val="28"/>
          <w:shd w:val="clear" w:color="auto" w:fill="FFFFFF"/>
          <w:lang w:val="uk-UA"/>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rFonts w:eastAsia="Arimo-Bold"/>
          <w:bCs/>
          <w:sz w:val="28"/>
          <w:szCs w:val="28"/>
          <w:lang w:val="uk-UA" w:eastAsia="ru-RU"/>
        </w:rPr>
        <w:t xml:space="preserve">Ядловський О.Є. </w:t>
      </w:r>
      <w:r w:rsidRPr="00BE086B">
        <w:rPr>
          <w:bCs/>
          <w:sz w:val="28"/>
          <w:szCs w:val="28"/>
        </w:rPr>
        <w:t>Експериментально-теоретичне обгрунтування розробки потенційних ненаркотичних анальгетиків серед конденсованих похідних азотистих гетероциклів та їх аналогів</w:t>
      </w:r>
      <w:r w:rsidRPr="00BE086B">
        <w:rPr>
          <w:sz w:val="28"/>
          <w:szCs w:val="28"/>
        </w:rPr>
        <w:t xml:space="preserve">: </w:t>
      </w:r>
      <w:r w:rsidRPr="00BE086B">
        <w:rPr>
          <w:sz w:val="28"/>
          <w:szCs w:val="28"/>
          <w:lang w:val="uk-UA"/>
        </w:rPr>
        <w:t>А</w:t>
      </w:r>
      <w:r w:rsidRPr="00BE086B">
        <w:rPr>
          <w:sz w:val="28"/>
          <w:szCs w:val="28"/>
        </w:rPr>
        <w:t>втореф. дис. ... д-ра біол. наук: 14.03.05; НАМН України, ДУ Ін-т фармакології та токсикології. Київ, 2014</w:t>
      </w:r>
      <w:r w:rsidRPr="00BE086B">
        <w:rPr>
          <w:sz w:val="28"/>
          <w:szCs w:val="28"/>
          <w:lang w:val="uk-UA"/>
        </w:rPr>
        <w:t>,</w:t>
      </w:r>
      <w:r w:rsidRPr="00BE086B">
        <w:rPr>
          <w:sz w:val="28"/>
          <w:szCs w:val="28"/>
        </w:rPr>
        <w:t xml:space="preserve"> 44 c.</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lang w:val="uk-UA"/>
        </w:rPr>
        <w:lastRenderedPageBreak/>
        <w:t xml:space="preserve">Мамчур В.И., </w:t>
      </w:r>
      <w:r w:rsidRPr="00BE086B">
        <w:rPr>
          <w:sz w:val="28"/>
          <w:szCs w:val="28"/>
        </w:rPr>
        <w:t xml:space="preserve">Носивец Д.С., </w:t>
      </w:r>
      <w:r w:rsidRPr="00BE086B">
        <w:rPr>
          <w:sz w:val="28"/>
          <w:szCs w:val="28"/>
          <w:lang w:val="uk-UA"/>
        </w:rPr>
        <w:t xml:space="preserve">Налетов С.В., Гурьянов В.Г., Паламарчук В.И., Оголь А.Ж. </w:t>
      </w:r>
      <w:r w:rsidRPr="00BE086B">
        <w:rPr>
          <w:bCs/>
          <w:sz w:val="28"/>
          <w:szCs w:val="28"/>
          <w:lang w:val="uk-UA"/>
        </w:rPr>
        <w:t xml:space="preserve">Безопасность симптоматического лечения пациентов с болевым синдромом различного генеза комбинированным болеутоляющим средством «Фаниган». </w:t>
      </w:r>
      <w:r w:rsidRPr="00BE086B">
        <w:rPr>
          <w:sz w:val="28"/>
          <w:szCs w:val="28"/>
          <w:lang w:val="uk-UA"/>
        </w:rPr>
        <w:t>Фармакологія та лікарська токсикологія. 2017; 53,2:92-98.</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rPr>
        <w:t>Поворознюк В.В., Орлик Т.В., Бистрицька М.А. Застосування препаратів Мовекс® і Мовіназа® в комплексному лікуванні хворих старших вікових груп з остеоартрозом великих суглобів. Здоров’я України</w:t>
      </w:r>
      <w:r w:rsidRPr="00BE086B">
        <w:rPr>
          <w:sz w:val="28"/>
          <w:szCs w:val="28"/>
          <w:lang w:val="uk-UA"/>
        </w:rPr>
        <w:t>.</w:t>
      </w:r>
      <w:r w:rsidRPr="00BE086B">
        <w:rPr>
          <w:sz w:val="28"/>
          <w:szCs w:val="28"/>
        </w:rPr>
        <w:t xml:space="preserve"> </w:t>
      </w:r>
      <w:r w:rsidRPr="00BE086B">
        <w:rPr>
          <w:sz w:val="28"/>
          <w:szCs w:val="28"/>
          <w:lang w:val="uk-UA"/>
        </w:rPr>
        <w:t xml:space="preserve">2013; </w:t>
      </w:r>
      <w:r w:rsidRPr="00BE086B">
        <w:rPr>
          <w:sz w:val="28"/>
          <w:szCs w:val="28"/>
        </w:rPr>
        <w:t>22(323):16</w:t>
      </w:r>
      <w:r w:rsidRPr="00BE086B">
        <w:rPr>
          <w:sz w:val="28"/>
          <w:szCs w:val="28"/>
          <w:lang w:val="uk-UA"/>
        </w:rPr>
        <w:t>-</w:t>
      </w:r>
      <w:r w:rsidRPr="00BE086B">
        <w:rPr>
          <w:sz w:val="28"/>
          <w:szCs w:val="28"/>
        </w:rPr>
        <w:t>18.</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rPr>
        <w:t>Безугла Н.П.</w:t>
      </w:r>
      <w:r w:rsidRPr="00BE086B">
        <w:rPr>
          <w:sz w:val="28"/>
          <w:szCs w:val="28"/>
          <w:shd w:val="clear" w:color="auto" w:fill="F9F9F9"/>
        </w:rPr>
        <w:t xml:space="preserve"> </w:t>
      </w:r>
      <w:r w:rsidRPr="00BE086B">
        <w:rPr>
          <w:bCs/>
          <w:sz w:val="28"/>
          <w:szCs w:val="28"/>
        </w:rPr>
        <w:t>Клініко-фармакологічне обгрунтування застосування нового ненаркотичного анальгетика анальбену для лікування ревматоїдного артриту та деформуючого</w:t>
      </w:r>
      <w:r w:rsidRPr="00BE086B">
        <w:rPr>
          <w:bCs/>
          <w:sz w:val="28"/>
          <w:szCs w:val="28"/>
          <w:lang w:val="uk-UA"/>
        </w:rPr>
        <w:t xml:space="preserve"> </w:t>
      </w:r>
      <w:r w:rsidRPr="00BE086B">
        <w:rPr>
          <w:bCs/>
          <w:sz w:val="28"/>
          <w:szCs w:val="28"/>
        </w:rPr>
        <w:t>остеоартроз</w:t>
      </w:r>
      <w:r w:rsidRPr="00BE086B">
        <w:rPr>
          <w:sz w:val="28"/>
          <w:szCs w:val="28"/>
        </w:rPr>
        <w:t>у: Автореф. дис... канд. мед. наук: 14.01.28; АМН України. Ін-т фармакології та токсикології. К</w:t>
      </w:r>
      <w:r w:rsidRPr="00BE086B">
        <w:rPr>
          <w:sz w:val="28"/>
          <w:szCs w:val="28"/>
          <w:lang w:val="uk-UA"/>
        </w:rPr>
        <w:t>иїв</w:t>
      </w:r>
      <w:r w:rsidRPr="00BE086B">
        <w:rPr>
          <w:sz w:val="28"/>
          <w:szCs w:val="28"/>
        </w:rPr>
        <w:t>, 2002</w:t>
      </w:r>
      <w:r w:rsidRPr="00BE086B">
        <w:rPr>
          <w:sz w:val="28"/>
          <w:szCs w:val="28"/>
          <w:lang w:val="uk-UA"/>
        </w:rPr>
        <w:t>,</w:t>
      </w:r>
      <w:r w:rsidRPr="00BE086B">
        <w:rPr>
          <w:sz w:val="28"/>
          <w:szCs w:val="28"/>
        </w:rPr>
        <w:t xml:space="preserve"> 22 с.</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shd w:val="clear" w:color="auto" w:fill="F9F9F9"/>
          <w:lang w:val="uk-UA"/>
        </w:rPr>
      </w:pPr>
      <w:r w:rsidRPr="001142BF">
        <w:rPr>
          <w:sz w:val="28"/>
          <w:szCs w:val="28"/>
          <w:shd w:val="clear" w:color="auto" w:fill="FFFFFF"/>
          <w:lang w:val="en-US"/>
        </w:rPr>
        <w:t xml:space="preserve">Coruzzi G., Menozzi A., Dobrilla G. Novel non-steroidal anti-inflammatory drugs: what we have learned from animal studies. </w:t>
      </w:r>
      <w:r w:rsidRPr="00BE086B">
        <w:rPr>
          <w:sz w:val="28"/>
          <w:szCs w:val="28"/>
          <w:shd w:val="clear" w:color="auto" w:fill="FFFFFF"/>
        </w:rPr>
        <w:t>Curr Drug Targets Inflamm Allergy. 2004;3(1):43-61.</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shd w:val="clear" w:color="auto" w:fill="F9F9F9"/>
          <w:lang w:val="uk-UA"/>
        </w:rPr>
      </w:pPr>
      <w:r w:rsidRPr="00BE086B">
        <w:rPr>
          <w:sz w:val="28"/>
          <w:szCs w:val="28"/>
          <w:shd w:val="clear" w:color="auto" w:fill="FFFFFF"/>
          <w:lang w:val="en-US"/>
        </w:rPr>
        <w:t>Ahmed</w:t>
      </w:r>
      <w:r w:rsidRPr="00BE086B">
        <w:rPr>
          <w:sz w:val="28"/>
          <w:szCs w:val="28"/>
          <w:shd w:val="clear" w:color="auto" w:fill="FFFFFF"/>
          <w:lang w:val="uk-UA"/>
        </w:rPr>
        <w:t xml:space="preserve"> </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 xml:space="preserve">., </w:t>
      </w:r>
      <w:r w:rsidRPr="00BE086B">
        <w:rPr>
          <w:sz w:val="28"/>
          <w:szCs w:val="28"/>
          <w:shd w:val="clear" w:color="auto" w:fill="FFFFFF"/>
          <w:lang w:val="en-US"/>
        </w:rPr>
        <w:t>Al</w:t>
      </w:r>
      <w:r w:rsidRPr="00BE086B">
        <w:rPr>
          <w:sz w:val="28"/>
          <w:szCs w:val="28"/>
          <w:shd w:val="clear" w:color="auto" w:fill="FFFFFF"/>
          <w:lang w:val="uk-UA"/>
        </w:rPr>
        <w:t>-</w:t>
      </w:r>
      <w:r w:rsidRPr="00BE086B">
        <w:rPr>
          <w:sz w:val="28"/>
          <w:szCs w:val="28"/>
          <w:shd w:val="clear" w:color="auto" w:fill="FFFFFF"/>
          <w:lang w:val="en-US"/>
        </w:rPr>
        <w:t>Lawati</w:t>
      </w:r>
      <w:r w:rsidRPr="00BE086B">
        <w:rPr>
          <w:sz w:val="28"/>
          <w:szCs w:val="28"/>
          <w:shd w:val="clear" w:color="auto" w:fill="FFFFFF"/>
          <w:lang w:val="uk-UA"/>
        </w:rPr>
        <w:t xml:space="preserve"> </w:t>
      </w:r>
      <w:r w:rsidRPr="00BE086B">
        <w:rPr>
          <w:sz w:val="28"/>
          <w:szCs w:val="28"/>
          <w:shd w:val="clear" w:color="auto" w:fill="FFFFFF"/>
          <w:lang w:val="en-US"/>
        </w:rPr>
        <w:t>H</w:t>
      </w:r>
      <w:r w:rsidRPr="00BE086B">
        <w:rPr>
          <w:sz w:val="28"/>
          <w:szCs w:val="28"/>
          <w:shd w:val="clear" w:color="auto" w:fill="FFFFFF"/>
          <w:lang w:val="uk-UA"/>
        </w:rPr>
        <w:t xml:space="preserve">., </w:t>
      </w:r>
      <w:r w:rsidRPr="00BE086B">
        <w:rPr>
          <w:sz w:val="28"/>
          <w:szCs w:val="28"/>
          <w:shd w:val="clear" w:color="auto" w:fill="FFFFFF"/>
          <w:lang w:val="en-US"/>
        </w:rPr>
        <w:t>Jamali</w:t>
      </w:r>
      <w:r w:rsidRPr="00BE086B">
        <w:rPr>
          <w:sz w:val="28"/>
          <w:szCs w:val="28"/>
          <w:shd w:val="clear" w:color="auto" w:fill="FFFFFF"/>
          <w:lang w:val="uk-UA"/>
        </w:rPr>
        <w:t xml:space="preserve"> </w:t>
      </w:r>
      <w:r w:rsidRPr="00BE086B">
        <w:rPr>
          <w:sz w:val="28"/>
          <w:szCs w:val="28"/>
          <w:shd w:val="clear" w:color="auto" w:fill="FFFFFF"/>
          <w:lang w:val="en-US"/>
        </w:rPr>
        <w:t>F</w:t>
      </w:r>
      <w:r w:rsidRPr="00BE086B">
        <w:rPr>
          <w:sz w:val="28"/>
          <w:szCs w:val="28"/>
          <w:shd w:val="clear" w:color="auto" w:fill="FFFFFF"/>
          <w:lang w:val="uk-UA"/>
        </w:rPr>
        <w:t xml:space="preserve">. </w:t>
      </w:r>
      <w:r w:rsidRPr="00BE086B">
        <w:rPr>
          <w:sz w:val="28"/>
          <w:szCs w:val="28"/>
          <w:shd w:val="clear" w:color="auto" w:fill="FFFFFF"/>
          <w:lang w:val="en-US"/>
        </w:rPr>
        <w:t>Dose</w:t>
      </w:r>
      <w:r w:rsidRPr="00BE086B">
        <w:rPr>
          <w:sz w:val="28"/>
          <w:szCs w:val="28"/>
          <w:shd w:val="clear" w:color="auto" w:fill="FFFFFF"/>
          <w:lang w:val="uk-UA"/>
        </w:rPr>
        <w:t>-</w:t>
      </w:r>
      <w:r w:rsidRPr="00BE086B">
        <w:rPr>
          <w:sz w:val="28"/>
          <w:szCs w:val="28"/>
          <w:shd w:val="clear" w:color="auto" w:fill="FFFFFF"/>
          <w:lang w:val="en-US"/>
        </w:rPr>
        <w:t>dependency</w:t>
      </w:r>
      <w:r w:rsidRPr="00BE086B">
        <w:rPr>
          <w:sz w:val="28"/>
          <w:szCs w:val="28"/>
          <w:shd w:val="clear" w:color="auto" w:fill="FFFFFF"/>
          <w:lang w:val="uk-UA"/>
        </w:rPr>
        <w:t xml:space="preserve"> </w:t>
      </w:r>
      <w:r w:rsidRPr="00BE086B">
        <w:rPr>
          <w:sz w:val="28"/>
          <w:szCs w:val="28"/>
          <w:shd w:val="clear" w:color="auto" w:fill="FFFFFF"/>
          <w:lang w:val="en-US"/>
        </w:rPr>
        <w:t>of</w:t>
      </w:r>
      <w:r w:rsidRPr="00BE086B">
        <w:rPr>
          <w:sz w:val="28"/>
          <w:szCs w:val="28"/>
          <w:shd w:val="clear" w:color="auto" w:fill="FFFFFF"/>
          <w:lang w:val="uk-UA"/>
        </w:rPr>
        <w:t xml:space="preserve"> </w:t>
      </w:r>
      <w:r w:rsidRPr="00BE086B">
        <w:rPr>
          <w:sz w:val="28"/>
          <w:szCs w:val="28"/>
          <w:shd w:val="clear" w:color="auto" w:fill="FFFFFF"/>
          <w:lang w:val="en-US"/>
        </w:rPr>
        <w:t>the</w:t>
      </w:r>
      <w:r w:rsidRPr="00BE086B">
        <w:rPr>
          <w:sz w:val="28"/>
          <w:szCs w:val="28"/>
          <w:shd w:val="clear" w:color="auto" w:fill="FFFFFF"/>
          <w:lang w:val="uk-UA"/>
        </w:rPr>
        <w:t xml:space="preserve"> </w:t>
      </w:r>
      <w:r w:rsidRPr="00BE086B">
        <w:rPr>
          <w:sz w:val="28"/>
          <w:szCs w:val="28"/>
          <w:shd w:val="clear" w:color="auto" w:fill="FFFFFF"/>
          <w:lang w:val="en-US"/>
        </w:rPr>
        <w:t>cardiovascular</w:t>
      </w:r>
      <w:r w:rsidRPr="00BE086B">
        <w:rPr>
          <w:sz w:val="28"/>
          <w:szCs w:val="28"/>
          <w:shd w:val="clear" w:color="auto" w:fill="FFFFFF"/>
          <w:lang w:val="uk-UA"/>
        </w:rPr>
        <w:t xml:space="preserve"> </w:t>
      </w:r>
      <w:r w:rsidRPr="00BE086B">
        <w:rPr>
          <w:sz w:val="28"/>
          <w:szCs w:val="28"/>
          <w:shd w:val="clear" w:color="auto" w:fill="FFFFFF"/>
          <w:lang w:val="en-US"/>
        </w:rPr>
        <w:t>risks</w:t>
      </w:r>
      <w:r w:rsidRPr="00BE086B">
        <w:rPr>
          <w:sz w:val="28"/>
          <w:szCs w:val="28"/>
          <w:shd w:val="clear" w:color="auto" w:fill="FFFFFF"/>
          <w:lang w:val="uk-UA"/>
        </w:rPr>
        <w:t xml:space="preserve"> </w:t>
      </w:r>
      <w:r w:rsidRPr="00BE086B">
        <w:rPr>
          <w:sz w:val="28"/>
          <w:szCs w:val="28"/>
          <w:shd w:val="clear" w:color="auto" w:fill="FFFFFF"/>
          <w:lang w:val="en-US"/>
        </w:rPr>
        <w:t>of</w:t>
      </w:r>
      <w:r w:rsidRPr="00BE086B">
        <w:rPr>
          <w:sz w:val="28"/>
          <w:szCs w:val="28"/>
          <w:shd w:val="clear" w:color="auto" w:fill="FFFFFF"/>
          <w:lang w:val="uk-UA"/>
        </w:rPr>
        <w:t xml:space="preserve"> </w:t>
      </w:r>
      <w:r w:rsidRPr="00BE086B">
        <w:rPr>
          <w:sz w:val="28"/>
          <w:szCs w:val="28"/>
          <w:shd w:val="clear" w:color="auto" w:fill="FFFFFF"/>
          <w:lang w:val="en-US"/>
        </w:rPr>
        <w:t>non</w:t>
      </w:r>
      <w:r w:rsidRPr="00BE086B">
        <w:rPr>
          <w:sz w:val="28"/>
          <w:szCs w:val="28"/>
          <w:shd w:val="clear" w:color="auto" w:fill="FFFFFF"/>
          <w:lang w:val="uk-UA"/>
        </w:rPr>
        <w:t>-</w:t>
      </w:r>
      <w:r w:rsidRPr="00BE086B">
        <w:rPr>
          <w:sz w:val="28"/>
          <w:szCs w:val="28"/>
          <w:shd w:val="clear" w:color="auto" w:fill="FFFFFF"/>
          <w:lang w:val="en-US"/>
        </w:rPr>
        <w:t>steroidal</w:t>
      </w:r>
      <w:r w:rsidRPr="00BE086B">
        <w:rPr>
          <w:sz w:val="28"/>
          <w:szCs w:val="28"/>
          <w:shd w:val="clear" w:color="auto" w:fill="FFFFFF"/>
          <w:lang w:val="uk-UA"/>
        </w:rPr>
        <w:t xml:space="preserve"> </w:t>
      </w:r>
      <w:r w:rsidRPr="00BE086B">
        <w:rPr>
          <w:sz w:val="28"/>
          <w:szCs w:val="28"/>
          <w:shd w:val="clear" w:color="auto" w:fill="FFFFFF"/>
          <w:lang w:val="en-US"/>
        </w:rPr>
        <w:t>anti</w:t>
      </w:r>
      <w:r w:rsidRPr="00BE086B">
        <w:rPr>
          <w:sz w:val="28"/>
          <w:szCs w:val="28"/>
          <w:shd w:val="clear" w:color="auto" w:fill="FFFFFF"/>
          <w:lang w:val="uk-UA"/>
        </w:rPr>
        <w:t>-</w:t>
      </w:r>
      <w:r w:rsidRPr="00BE086B">
        <w:rPr>
          <w:sz w:val="28"/>
          <w:szCs w:val="28"/>
          <w:shd w:val="clear" w:color="auto" w:fill="FFFFFF"/>
          <w:lang w:val="en-US"/>
        </w:rPr>
        <w:t>inflammatory</w:t>
      </w:r>
      <w:r w:rsidRPr="00BE086B">
        <w:rPr>
          <w:sz w:val="28"/>
          <w:szCs w:val="28"/>
          <w:shd w:val="clear" w:color="auto" w:fill="FFFFFF"/>
          <w:lang w:val="uk-UA"/>
        </w:rPr>
        <w:t xml:space="preserve"> </w:t>
      </w:r>
      <w:r w:rsidRPr="00BE086B">
        <w:rPr>
          <w:sz w:val="28"/>
          <w:szCs w:val="28"/>
          <w:shd w:val="clear" w:color="auto" w:fill="FFFFFF"/>
          <w:lang w:val="en-US"/>
        </w:rPr>
        <w:t>drugs</w:t>
      </w:r>
      <w:r w:rsidRPr="00BE086B">
        <w:rPr>
          <w:sz w:val="28"/>
          <w:szCs w:val="28"/>
          <w:shd w:val="clear" w:color="auto" w:fill="FFFFFF"/>
          <w:lang w:val="uk-UA"/>
        </w:rPr>
        <w:t xml:space="preserve">. </w:t>
      </w:r>
      <w:r w:rsidRPr="00BE086B">
        <w:rPr>
          <w:sz w:val="28"/>
          <w:szCs w:val="28"/>
          <w:shd w:val="clear" w:color="auto" w:fill="FFFFFF"/>
        </w:rPr>
        <w:t>Inflammopharmacology</w:t>
      </w:r>
      <w:r w:rsidRPr="00BE086B">
        <w:rPr>
          <w:sz w:val="28"/>
          <w:szCs w:val="28"/>
          <w:shd w:val="clear" w:color="auto" w:fill="FFFFFF"/>
          <w:lang w:val="uk-UA"/>
        </w:rPr>
        <w:t>. 2019;27(5):903-910.</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shd w:val="clear" w:color="auto" w:fill="F9F9F9"/>
          <w:lang w:val="uk-UA"/>
        </w:rPr>
      </w:pPr>
      <w:r w:rsidRPr="00BE086B">
        <w:rPr>
          <w:sz w:val="28"/>
          <w:szCs w:val="28"/>
          <w:lang w:val="uk-UA"/>
        </w:rPr>
        <w:t>Гойдаш І.М.</w:t>
      </w:r>
      <w:r w:rsidRPr="00BE086B">
        <w:rPr>
          <w:sz w:val="28"/>
          <w:szCs w:val="28"/>
          <w:shd w:val="clear" w:color="auto" w:fill="F9F9F9"/>
          <w:lang w:val="uk-UA"/>
        </w:rPr>
        <w:t xml:space="preserve"> </w:t>
      </w:r>
      <w:r w:rsidRPr="00BE086B">
        <w:rPr>
          <w:bCs/>
          <w:sz w:val="28"/>
          <w:szCs w:val="28"/>
          <w:lang w:val="uk-UA"/>
        </w:rPr>
        <w:t>Вивчення шлунково-кишкових і кардіоваскулярних уражень, обумовлених нестероїдними протизапальними препаратами, та ефективності цитопротекторних посередників за ревматоїдного артриту та остеоартроз</w:t>
      </w:r>
      <w:r w:rsidRPr="00BE086B">
        <w:rPr>
          <w:sz w:val="28"/>
          <w:szCs w:val="28"/>
          <w:lang w:val="uk-UA"/>
        </w:rPr>
        <w:t xml:space="preserve">у: </w:t>
      </w:r>
      <w:r w:rsidRPr="00BE086B">
        <w:rPr>
          <w:sz w:val="28"/>
          <w:szCs w:val="28"/>
        </w:rPr>
        <w:t>A</w:t>
      </w:r>
      <w:r w:rsidRPr="00BE086B">
        <w:rPr>
          <w:sz w:val="28"/>
          <w:szCs w:val="28"/>
          <w:lang w:val="uk-UA"/>
        </w:rPr>
        <w:t>втореф. дис... канд. мед. наук: 14.01.02; Нац. мед. акад. післядиплом. освіти ім. П.Л.Шупика. Київ, 2008, 22 с.</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bCs/>
          <w:sz w:val="28"/>
          <w:szCs w:val="28"/>
          <w:lang w:val="uk-UA"/>
        </w:rPr>
        <w:t xml:space="preserve">Мамчур В.Й., Опришко В.І., Носівець Д.С. </w:t>
      </w:r>
      <w:r w:rsidRPr="00BE086B">
        <w:rPr>
          <w:sz w:val="28"/>
          <w:szCs w:val="28"/>
          <w:lang w:val="uk-UA"/>
        </w:rPr>
        <w:t>Фармнагляд лікарських засобів, що використовуються при патології опорно-рухового апарату.</w:t>
      </w:r>
      <w:r w:rsidRPr="00BE086B">
        <w:rPr>
          <w:bCs/>
          <w:sz w:val="28"/>
          <w:szCs w:val="28"/>
          <w:lang w:val="uk-UA"/>
        </w:rPr>
        <w:t xml:space="preserve"> </w:t>
      </w:r>
      <w:r w:rsidRPr="00BE086B">
        <w:rPr>
          <w:rFonts w:eastAsia="PragmaticaC"/>
          <w:sz w:val="28"/>
          <w:szCs w:val="28"/>
        </w:rPr>
        <w:t>Biomedical</w:t>
      </w:r>
      <w:r w:rsidRPr="00BE086B">
        <w:rPr>
          <w:rFonts w:eastAsia="PragmaticaC"/>
          <w:sz w:val="28"/>
          <w:szCs w:val="28"/>
          <w:lang w:val="uk-UA"/>
        </w:rPr>
        <w:t xml:space="preserve"> </w:t>
      </w:r>
      <w:r w:rsidRPr="00BE086B">
        <w:rPr>
          <w:rFonts w:eastAsia="PragmaticaC"/>
          <w:sz w:val="28"/>
          <w:szCs w:val="28"/>
        </w:rPr>
        <w:t>and</w:t>
      </w:r>
      <w:r w:rsidRPr="00BE086B">
        <w:rPr>
          <w:rFonts w:eastAsia="PragmaticaC"/>
          <w:sz w:val="28"/>
          <w:szCs w:val="28"/>
          <w:lang w:val="uk-UA"/>
        </w:rPr>
        <w:t xml:space="preserve"> </w:t>
      </w:r>
      <w:r w:rsidRPr="00BE086B">
        <w:rPr>
          <w:rFonts w:eastAsia="PragmaticaC"/>
          <w:sz w:val="28"/>
          <w:szCs w:val="28"/>
        </w:rPr>
        <w:t>biosocial</w:t>
      </w:r>
      <w:r w:rsidRPr="00BE086B">
        <w:rPr>
          <w:rFonts w:eastAsia="PragmaticaC"/>
          <w:sz w:val="28"/>
          <w:szCs w:val="28"/>
          <w:lang w:val="uk-UA"/>
        </w:rPr>
        <w:t xml:space="preserve"> </w:t>
      </w:r>
      <w:r w:rsidRPr="00BE086B">
        <w:rPr>
          <w:rFonts w:eastAsia="PragmaticaC"/>
          <w:sz w:val="28"/>
          <w:szCs w:val="28"/>
        </w:rPr>
        <w:t>anthropology</w:t>
      </w:r>
      <w:r w:rsidRPr="00BE086B">
        <w:rPr>
          <w:rFonts w:eastAsia="PragmaticaC"/>
          <w:sz w:val="28"/>
          <w:szCs w:val="28"/>
          <w:lang w:val="uk-UA"/>
        </w:rPr>
        <w:t>. 2013; 21:219-221.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rFonts w:eastAsia="TimesNewRomanPSMT"/>
          <w:sz w:val="28"/>
          <w:szCs w:val="28"/>
          <w:lang w:eastAsia="ru-RU"/>
        </w:rPr>
        <w:t>Березняков И.Г.</w:t>
      </w:r>
      <w:r w:rsidRPr="00BE086B">
        <w:rPr>
          <w:rFonts w:eastAsia="TimesNewRomanPSMT"/>
          <w:sz w:val="28"/>
          <w:szCs w:val="28"/>
          <w:lang w:val="uk-UA" w:eastAsia="ru-RU"/>
        </w:rPr>
        <w:t>,</w:t>
      </w:r>
      <w:r w:rsidRPr="00BE086B">
        <w:rPr>
          <w:rFonts w:eastAsia="TimesNewRomanPSMT"/>
          <w:sz w:val="28"/>
          <w:szCs w:val="28"/>
          <w:lang w:eastAsia="ru-RU"/>
        </w:rPr>
        <w:t xml:space="preserve"> Корж И.В. Остеоартроз, артериальная гипертензия</w:t>
      </w:r>
      <w:r w:rsidRPr="00BE086B">
        <w:rPr>
          <w:rFonts w:eastAsia="TimesNewRomanPSMT"/>
          <w:sz w:val="28"/>
          <w:szCs w:val="28"/>
          <w:lang w:val="uk-UA" w:eastAsia="ru-RU"/>
        </w:rPr>
        <w:t xml:space="preserve"> </w:t>
      </w:r>
      <w:r w:rsidRPr="00BE086B">
        <w:rPr>
          <w:rFonts w:eastAsia="TimesNewRomanPSMT"/>
          <w:sz w:val="28"/>
          <w:szCs w:val="28"/>
          <w:lang w:eastAsia="ru-RU"/>
        </w:rPr>
        <w:t>и ожирение: проблема коморбидности</w:t>
      </w:r>
      <w:r w:rsidRPr="00BE086B">
        <w:rPr>
          <w:rFonts w:eastAsia="TimesNewRomanPSMT"/>
          <w:sz w:val="28"/>
          <w:szCs w:val="28"/>
          <w:lang w:val="uk-UA" w:eastAsia="ru-RU"/>
        </w:rPr>
        <w:t>.</w:t>
      </w:r>
      <w:r w:rsidRPr="00BE086B">
        <w:rPr>
          <w:rFonts w:eastAsia="TimesNewRomanPSMT"/>
          <w:sz w:val="28"/>
          <w:szCs w:val="28"/>
          <w:lang w:eastAsia="ru-RU"/>
        </w:rPr>
        <w:t xml:space="preserve"> Междунар</w:t>
      </w:r>
      <w:r w:rsidRPr="00BE086B">
        <w:rPr>
          <w:rFonts w:eastAsia="TimesNewRomanPSMT"/>
          <w:sz w:val="28"/>
          <w:szCs w:val="28"/>
          <w:lang w:val="uk-UA" w:eastAsia="ru-RU"/>
        </w:rPr>
        <w:t>.</w:t>
      </w:r>
      <w:r w:rsidRPr="00BE086B">
        <w:rPr>
          <w:rFonts w:eastAsia="TimesNewRomanPSMT"/>
          <w:sz w:val="28"/>
          <w:szCs w:val="28"/>
          <w:lang w:eastAsia="ru-RU"/>
        </w:rPr>
        <w:t xml:space="preserve"> мед</w:t>
      </w:r>
      <w:r w:rsidRPr="00BE086B">
        <w:rPr>
          <w:rFonts w:eastAsia="TimesNewRomanPSMT"/>
          <w:sz w:val="28"/>
          <w:szCs w:val="28"/>
          <w:lang w:val="uk-UA" w:eastAsia="ru-RU"/>
        </w:rPr>
        <w:t>.</w:t>
      </w:r>
      <w:r w:rsidRPr="00BE086B">
        <w:rPr>
          <w:rFonts w:eastAsia="TimesNewRomanPSMT"/>
          <w:sz w:val="28"/>
          <w:szCs w:val="28"/>
          <w:lang w:eastAsia="ru-RU"/>
        </w:rPr>
        <w:t xml:space="preserve"> журн. 2012</w:t>
      </w:r>
      <w:r w:rsidRPr="00BE086B">
        <w:rPr>
          <w:rFonts w:eastAsia="TimesNewRomanPSMT"/>
          <w:sz w:val="28"/>
          <w:szCs w:val="28"/>
          <w:lang w:val="uk-UA" w:eastAsia="ru-RU"/>
        </w:rPr>
        <w:t>;</w:t>
      </w:r>
      <w:r w:rsidRPr="00BE086B">
        <w:rPr>
          <w:rFonts w:eastAsia="TimesNewRomanPSMT"/>
          <w:sz w:val="28"/>
          <w:szCs w:val="28"/>
          <w:lang w:eastAsia="ru-RU"/>
        </w:rPr>
        <w:t>4</w:t>
      </w:r>
      <w:r w:rsidRPr="00BE086B">
        <w:rPr>
          <w:rFonts w:eastAsia="TimesNewRomanPSMT"/>
          <w:sz w:val="28"/>
          <w:szCs w:val="28"/>
          <w:lang w:val="uk-UA" w:eastAsia="ru-RU"/>
        </w:rPr>
        <w:t>:</w:t>
      </w:r>
      <w:r w:rsidRPr="00BE086B">
        <w:rPr>
          <w:rFonts w:eastAsia="TimesNewRomanPSMT"/>
          <w:sz w:val="28"/>
          <w:szCs w:val="28"/>
          <w:lang w:eastAsia="ru-RU"/>
        </w:rPr>
        <w:t>78</w:t>
      </w:r>
      <w:r w:rsidRPr="00BE086B">
        <w:rPr>
          <w:rFonts w:eastAsia="TimesNewRomanPSMT"/>
          <w:sz w:val="28"/>
          <w:szCs w:val="28"/>
          <w:lang w:val="uk-UA" w:eastAsia="ru-RU"/>
        </w:rPr>
        <w:t>-</w:t>
      </w:r>
      <w:r w:rsidRPr="00BE086B">
        <w:rPr>
          <w:rFonts w:eastAsia="TimesNewRomanPSMT"/>
          <w:sz w:val="28"/>
          <w:szCs w:val="28"/>
          <w:lang w:eastAsia="ru-RU"/>
        </w:rPr>
        <w:t>81.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kern w:val="28"/>
          <w:sz w:val="28"/>
          <w:szCs w:val="28"/>
        </w:rPr>
        <w:lastRenderedPageBreak/>
        <w:t>Єфременкова Л.Н.</w:t>
      </w:r>
      <w:r w:rsidRPr="00BE086B">
        <w:rPr>
          <w:kern w:val="28"/>
          <w:sz w:val="28"/>
          <w:szCs w:val="28"/>
          <w:lang w:val="uk-UA"/>
        </w:rPr>
        <w:t xml:space="preserve"> </w:t>
      </w:r>
      <w:r w:rsidRPr="00BE086B">
        <w:rPr>
          <w:bCs/>
          <w:kern w:val="28"/>
          <w:sz w:val="28"/>
          <w:szCs w:val="28"/>
        </w:rPr>
        <w:t>Ефективність комплексного лікування на якість життя та перебіг остеоартрозу колінних суглобів при метаболічному синдромі</w:t>
      </w:r>
      <w:r w:rsidRPr="00BE086B">
        <w:rPr>
          <w:bCs/>
          <w:kern w:val="28"/>
          <w:sz w:val="28"/>
          <w:szCs w:val="28"/>
          <w:lang w:val="uk-UA"/>
        </w:rPr>
        <w:t xml:space="preserve">. </w:t>
      </w:r>
      <w:r w:rsidRPr="00BE086B">
        <w:rPr>
          <w:kern w:val="28"/>
          <w:sz w:val="28"/>
          <w:szCs w:val="28"/>
        </w:rPr>
        <w:t>Клінічна та експериментальна патологія. 2016</w:t>
      </w:r>
      <w:r w:rsidRPr="00BE086B">
        <w:rPr>
          <w:kern w:val="28"/>
          <w:sz w:val="28"/>
          <w:szCs w:val="28"/>
          <w:lang w:val="uk-UA"/>
        </w:rPr>
        <w:t>;</w:t>
      </w:r>
      <w:r w:rsidRPr="00BE086B">
        <w:rPr>
          <w:kern w:val="28"/>
          <w:sz w:val="28"/>
          <w:szCs w:val="28"/>
        </w:rPr>
        <w:t xml:space="preserve"> 15, 5(2)</w:t>
      </w:r>
      <w:r w:rsidRPr="00BE086B">
        <w:rPr>
          <w:kern w:val="28"/>
          <w:sz w:val="28"/>
          <w:szCs w:val="28"/>
          <w:lang w:val="uk-UA"/>
        </w:rPr>
        <w:t xml:space="preserve">: </w:t>
      </w:r>
      <w:r w:rsidRPr="00BE086B">
        <w:rPr>
          <w:kern w:val="28"/>
          <w:sz w:val="28"/>
          <w:szCs w:val="28"/>
        </w:rPr>
        <w:t>29-32.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rStyle w:val="a9"/>
          <w:color w:val="auto"/>
          <w:sz w:val="28"/>
          <w:szCs w:val="28"/>
          <w:u w:val="none"/>
          <w:lang w:eastAsia="ru-RU" w:bidi="hi-IN"/>
        </w:rPr>
        <w:t>Паникар В.И.</w:t>
      </w:r>
      <w:r w:rsidRPr="00BE086B">
        <w:rPr>
          <w:rStyle w:val="a9"/>
          <w:color w:val="auto"/>
          <w:sz w:val="28"/>
          <w:szCs w:val="28"/>
          <w:u w:val="none"/>
          <w:lang w:val="uk-UA" w:eastAsia="ru-RU" w:bidi="hi-IN"/>
        </w:rPr>
        <w:t xml:space="preserve">, </w:t>
      </w:r>
      <w:r w:rsidRPr="00BE086B">
        <w:rPr>
          <w:rStyle w:val="a9"/>
          <w:color w:val="auto"/>
          <w:sz w:val="28"/>
          <w:szCs w:val="28"/>
          <w:u w:val="none"/>
          <w:lang w:eastAsia="ru-RU" w:bidi="hi-IN"/>
        </w:rPr>
        <w:t>Павлова И.А.</w:t>
      </w:r>
      <w:r w:rsidRPr="00BE086B">
        <w:rPr>
          <w:rStyle w:val="a9"/>
          <w:color w:val="auto"/>
          <w:sz w:val="28"/>
          <w:szCs w:val="28"/>
          <w:u w:val="none"/>
          <w:lang w:val="uk-UA" w:eastAsia="ru-RU" w:bidi="hi-IN"/>
        </w:rPr>
        <w:t xml:space="preserve">, </w:t>
      </w:r>
      <w:r w:rsidRPr="00BE086B">
        <w:rPr>
          <w:rStyle w:val="a9"/>
          <w:color w:val="auto"/>
          <w:sz w:val="28"/>
          <w:szCs w:val="28"/>
          <w:u w:val="none"/>
          <w:lang w:eastAsia="ru-RU" w:bidi="hi-IN"/>
        </w:rPr>
        <w:t>Жернакова Н.И.</w:t>
      </w:r>
      <w:r w:rsidRPr="00BE086B">
        <w:rPr>
          <w:rStyle w:val="a9"/>
          <w:color w:val="auto"/>
          <w:sz w:val="28"/>
          <w:szCs w:val="28"/>
          <w:u w:val="none"/>
          <w:lang w:val="uk-UA" w:eastAsia="ru-RU" w:bidi="hi-IN"/>
        </w:rPr>
        <w:t xml:space="preserve">, </w:t>
      </w:r>
      <w:r w:rsidRPr="00BE086B">
        <w:rPr>
          <w:rStyle w:val="a9"/>
          <w:color w:val="auto"/>
          <w:sz w:val="28"/>
          <w:szCs w:val="28"/>
          <w:u w:val="none"/>
          <w:lang w:eastAsia="ru-RU" w:bidi="hi-IN"/>
        </w:rPr>
        <w:t>Щербань Э.А.</w:t>
      </w:r>
      <w:r w:rsidRPr="00BE086B">
        <w:rPr>
          <w:rStyle w:val="a9"/>
          <w:color w:val="auto"/>
          <w:sz w:val="28"/>
          <w:szCs w:val="28"/>
          <w:u w:val="none"/>
          <w:lang w:val="uk-UA" w:eastAsia="ru-RU" w:bidi="hi-IN"/>
        </w:rPr>
        <w:t xml:space="preserve"> </w:t>
      </w:r>
      <w:r w:rsidRPr="00BE086B">
        <w:rPr>
          <w:rStyle w:val="a9"/>
          <w:color w:val="auto"/>
          <w:sz w:val="28"/>
          <w:szCs w:val="28"/>
          <w:u w:val="none"/>
          <w:shd w:val="clear" w:color="auto" w:fill="FAFAFA"/>
          <w:lang w:val="uk-UA" w:eastAsia="ru-RU" w:bidi="hi-IN"/>
        </w:rPr>
        <w:t>О</w:t>
      </w:r>
      <w:r w:rsidRPr="00BE086B">
        <w:rPr>
          <w:rStyle w:val="a9"/>
          <w:color w:val="auto"/>
          <w:sz w:val="28"/>
          <w:szCs w:val="28"/>
          <w:u w:val="none"/>
          <w:shd w:val="clear" w:color="auto" w:fill="FFFFFF"/>
          <w:lang w:eastAsia="ru-RU" w:bidi="hi-IN"/>
        </w:rPr>
        <w:t>стеоартроз и остеопороз как компоненты полиморбидной гериатрической патологии</w:t>
      </w:r>
      <w:r w:rsidRPr="00BE086B">
        <w:rPr>
          <w:rStyle w:val="a9"/>
          <w:color w:val="auto"/>
          <w:sz w:val="28"/>
          <w:szCs w:val="28"/>
          <w:u w:val="none"/>
          <w:shd w:val="clear" w:color="auto" w:fill="FFFFFF"/>
          <w:lang w:val="uk-UA" w:eastAsia="ru-RU" w:bidi="hi-IN"/>
        </w:rPr>
        <w:t xml:space="preserve">. </w:t>
      </w:r>
      <w:r w:rsidRPr="00BE086B">
        <w:rPr>
          <w:rStyle w:val="a9"/>
          <w:color w:val="auto"/>
          <w:sz w:val="28"/>
          <w:szCs w:val="28"/>
          <w:u w:val="none"/>
          <w:shd w:val="clear" w:color="auto" w:fill="FFFFFF"/>
          <w:lang w:eastAsia="ru-RU" w:bidi="hi-IN"/>
        </w:rPr>
        <w:t>Современные проблемы науки и образования. 2018</w:t>
      </w:r>
      <w:r w:rsidRPr="00BE086B">
        <w:rPr>
          <w:rStyle w:val="a9"/>
          <w:color w:val="auto"/>
          <w:sz w:val="28"/>
          <w:szCs w:val="28"/>
          <w:u w:val="none"/>
          <w:shd w:val="clear" w:color="auto" w:fill="FFFFFF"/>
          <w:lang w:val="uk-UA" w:eastAsia="ru-RU" w:bidi="hi-IN"/>
        </w:rPr>
        <w:t>;</w:t>
      </w:r>
      <w:r w:rsidRPr="00BE086B">
        <w:rPr>
          <w:rStyle w:val="a9"/>
          <w:color w:val="auto"/>
          <w:sz w:val="28"/>
          <w:szCs w:val="28"/>
          <w:u w:val="none"/>
          <w:shd w:val="clear" w:color="auto" w:fill="FFFFFF"/>
          <w:lang w:eastAsia="ru-RU" w:bidi="hi-IN"/>
        </w:rPr>
        <w:t>4</w:t>
      </w:r>
      <w:r w:rsidRPr="00BE086B">
        <w:rPr>
          <w:rStyle w:val="a9"/>
          <w:color w:val="auto"/>
          <w:sz w:val="28"/>
          <w:szCs w:val="28"/>
          <w:u w:val="none"/>
          <w:shd w:val="clear" w:color="auto" w:fill="FFFFFF"/>
          <w:lang w:val="uk-UA" w:eastAsia="ru-RU" w:bidi="hi-IN"/>
        </w:rPr>
        <w:t>:55-62.</w:t>
      </w:r>
    </w:p>
    <w:p w:rsidR="008B13C0" w:rsidRPr="00BE086B" w:rsidRDefault="008B13C0" w:rsidP="00611AFB">
      <w:pPr>
        <w:pStyle w:val="afc"/>
        <w:widowControl w:val="0"/>
        <w:numPr>
          <w:ilvl w:val="0"/>
          <w:numId w:val="19"/>
        </w:numPr>
        <w:spacing w:line="360" w:lineRule="auto"/>
        <w:ind w:left="0" w:right="0" w:firstLine="709"/>
        <w:rPr>
          <w:color w:val="auto"/>
          <w:sz w:val="28"/>
          <w:szCs w:val="28"/>
          <w:shd w:val="clear" w:color="auto" w:fill="F9F9F9"/>
        </w:rPr>
      </w:pPr>
      <w:r w:rsidRPr="00BE086B">
        <w:rPr>
          <w:color w:val="auto"/>
          <w:sz w:val="28"/>
          <w:szCs w:val="28"/>
        </w:rPr>
        <w:t xml:space="preserve">Іваницька Л.М. </w:t>
      </w:r>
      <w:r w:rsidRPr="00BE086B">
        <w:rPr>
          <w:bCs/>
          <w:color w:val="auto"/>
          <w:sz w:val="28"/>
          <w:szCs w:val="28"/>
        </w:rPr>
        <w:t>Диференційний вибір і обґрунтування довготривалого лікування ревматичних запальних хвороб суглобів на основі інгібіторів ЦОГ-2</w:t>
      </w:r>
      <w:r w:rsidRPr="00BE086B">
        <w:rPr>
          <w:color w:val="auto"/>
          <w:sz w:val="28"/>
          <w:szCs w:val="28"/>
        </w:rPr>
        <w:t>: Автореф. дис... канд. мед. наук: 14.01.12; АМН України. Ін-т кардіології ім. М.Д.Стражеска. Київ, 2002, 20 с.</w:t>
      </w:r>
    </w:p>
    <w:p w:rsidR="008B13C0" w:rsidRPr="00BE086B" w:rsidRDefault="008B13C0" w:rsidP="00611AFB">
      <w:pPr>
        <w:pStyle w:val="afc"/>
        <w:widowControl w:val="0"/>
        <w:numPr>
          <w:ilvl w:val="0"/>
          <w:numId w:val="19"/>
        </w:numPr>
        <w:autoSpaceDE w:val="0"/>
        <w:autoSpaceDN w:val="0"/>
        <w:adjustRightInd w:val="0"/>
        <w:spacing w:line="360" w:lineRule="auto"/>
        <w:ind w:left="0" w:right="0" w:firstLine="709"/>
        <w:rPr>
          <w:color w:val="auto"/>
          <w:sz w:val="28"/>
          <w:szCs w:val="28"/>
        </w:rPr>
      </w:pPr>
      <w:r w:rsidRPr="00BE086B">
        <w:rPr>
          <w:color w:val="auto"/>
          <w:sz w:val="28"/>
          <w:szCs w:val="28"/>
        </w:rPr>
        <w:t>Ушкалова Е.А., Зырянов С.К., Переверзев А.П. Клиническая фармакология нестероидных противовоспалительных средств: Учеб. Пособие. Москва: ООО «Медицинское информационное агентство», 2018, 368 с.</w:t>
      </w:r>
    </w:p>
    <w:p w:rsidR="008B13C0" w:rsidRPr="00BE086B" w:rsidRDefault="008B13C0" w:rsidP="00611AFB">
      <w:pPr>
        <w:pStyle w:val="afc"/>
        <w:widowControl w:val="0"/>
        <w:numPr>
          <w:ilvl w:val="0"/>
          <w:numId w:val="19"/>
        </w:numPr>
        <w:autoSpaceDE w:val="0"/>
        <w:autoSpaceDN w:val="0"/>
        <w:adjustRightInd w:val="0"/>
        <w:spacing w:line="360" w:lineRule="auto"/>
        <w:ind w:left="0" w:right="0" w:firstLine="709"/>
        <w:rPr>
          <w:color w:val="auto"/>
          <w:sz w:val="28"/>
          <w:szCs w:val="28"/>
        </w:rPr>
      </w:pPr>
      <w:r w:rsidRPr="00BE086B">
        <w:rPr>
          <w:color w:val="auto"/>
          <w:sz w:val="28"/>
          <w:szCs w:val="28"/>
        </w:rPr>
        <w:t>Лукьянчук Е. Нестероидные противовоспалительные препараты в лечении при остеоартрозе: оптимизация применения с учетом факторов риска сердечно-сосудистых и гастроинтестинальных осложнений</w:t>
      </w:r>
      <w:r w:rsidR="00831597">
        <w:rPr>
          <w:color w:val="auto"/>
          <w:sz w:val="28"/>
          <w:szCs w:val="28"/>
          <w:lang w:val="ru-RU"/>
        </w:rPr>
        <w:t>.</w:t>
      </w:r>
      <w:r w:rsidRPr="00BE086B">
        <w:rPr>
          <w:color w:val="auto"/>
          <w:sz w:val="28"/>
          <w:szCs w:val="28"/>
        </w:rPr>
        <w:t xml:space="preserve"> Український медичний часопис. 2014; 6:107-109.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bCs/>
          <w:sz w:val="28"/>
          <w:szCs w:val="28"/>
          <w:lang w:eastAsia="ru-RU"/>
        </w:rPr>
        <w:t>Курята А.В., Гречаник М.М., Караванская</w:t>
      </w:r>
      <w:r w:rsidRPr="00BE086B">
        <w:rPr>
          <w:bCs/>
          <w:sz w:val="28"/>
          <w:szCs w:val="28"/>
          <w:lang w:val="uk-UA" w:eastAsia="ru-RU"/>
        </w:rPr>
        <w:t xml:space="preserve"> </w:t>
      </w:r>
      <w:r w:rsidRPr="00BE086B">
        <w:rPr>
          <w:bCs/>
          <w:sz w:val="28"/>
          <w:szCs w:val="28"/>
          <w:lang w:eastAsia="ru-RU"/>
        </w:rPr>
        <w:t xml:space="preserve">И.Л. </w:t>
      </w:r>
      <w:r w:rsidRPr="00BE086B">
        <w:rPr>
          <w:sz w:val="28"/>
          <w:szCs w:val="28"/>
          <w:lang w:eastAsia="ru-RU"/>
        </w:rPr>
        <w:t>Проблема кардиоваскулярной безопасности применения НПВП</w:t>
      </w:r>
      <w:r w:rsidRPr="00BE086B">
        <w:rPr>
          <w:sz w:val="28"/>
          <w:szCs w:val="28"/>
          <w:lang w:val="uk-UA" w:eastAsia="ru-RU"/>
        </w:rPr>
        <w:t>. Здоров</w:t>
      </w:r>
      <w:r w:rsidRPr="00831597">
        <w:rPr>
          <w:sz w:val="28"/>
          <w:szCs w:val="28"/>
          <w:lang w:eastAsia="ru-RU"/>
        </w:rPr>
        <w:t>’</w:t>
      </w:r>
      <w:r w:rsidRPr="00BE086B">
        <w:rPr>
          <w:sz w:val="28"/>
          <w:szCs w:val="28"/>
          <w:lang w:val="uk-UA" w:eastAsia="ru-RU"/>
        </w:rPr>
        <w:t>я України. 2012; 11:6.</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bCs/>
          <w:sz w:val="28"/>
          <w:szCs w:val="28"/>
          <w:lang w:eastAsia="ru-RU"/>
        </w:rPr>
        <w:t>Курята А.В., Гречаник М.М.</w:t>
      </w:r>
      <w:r w:rsidRPr="00BE086B">
        <w:rPr>
          <w:bCs/>
          <w:sz w:val="28"/>
          <w:szCs w:val="28"/>
          <w:lang w:val="uk-UA" w:eastAsia="ru-RU"/>
        </w:rPr>
        <w:t xml:space="preserve"> </w:t>
      </w:r>
      <w:r w:rsidRPr="00BE086B">
        <w:rPr>
          <w:sz w:val="28"/>
          <w:szCs w:val="28"/>
          <w:lang w:eastAsia="ru-RU"/>
        </w:rPr>
        <w:t>Проблема лечения суставной боли:</w:t>
      </w:r>
      <w:r w:rsidRPr="00BE086B">
        <w:rPr>
          <w:sz w:val="28"/>
          <w:szCs w:val="28"/>
          <w:lang w:val="uk-UA" w:eastAsia="ru-RU"/>
        </w:rPr>
        <w:t xml:space="preserve"> </w:t>
      </w:r>
      <w:r w:rsidRPr="00BE086B">
        <w:rPr>
          <w:sz w:val="28"/>
          <w:szCs w:val="28"/>
          <w:lang w:eastAsia="ru-RU"/>
        </w:rPr>
        <w:t>фокус на безопасность</w:t>
      </w:r>
      <w:r w:rsidRPr="00BE086B">
        <w:rPr>
          <w:sz w:val="28"/>
          <w:szCs w:val="28"/>
          <w:lang w:val="uk-UA" w:eastAsia="ru-RU"/>
        </w:rPr>
        <w:t>. Здоров</w:t>
      </w:r>
      <w:r w:rsidRPr="00BE086B">
        <w:rPr>
          <w:sz w:val="28"/>
          <w:szCs w:val="28"/>
          <w:lang w:val="en-US" w:eastAsia="ru-RU"/>
        </w:rPr>
        <w:t>’</w:t>
      </w:r>
      <w:r w:rsidRPr="00BE086B">
        <w:rPr>
          <w:sz w:val="28"/>
          <w:szCs w:val="28"/>
          <w:lang w:val="uk-UA" w:eastAsia="ru-RU"/>
        </w:rPr>
        <w:t>я України. 2014; 5:43-44.</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Sprott H</w:t>
      </w:r>
      <w:r w:rsidRPr="00BE086B">
        <w:rPr>
          <w:sz w:val="28"/>
          <w:szCs w:val="28"/>
          <w:shd w:val="clear" w:color="auto" w:fill="FFFFFF"/>
          <w:lang w:val="uk-UA"/>
        </w:rPr>
        <w:t>.</w:t>
      </w:r>
      <w:r w:rsidRPr="00BE086B">
        <w:rPr>
          <w:sz w:val="28"/>
          <w:szCs w:val="28"/>
          <w:shd w:val="clear" w:color="auto" w:fill="FFFFFF"/>
          <w:lang w:val="en-US"/>
        </w:rPr>
        <w:t>, Shen H</w:t>
      </w:r>
      <w:r w:rsidRPr="00BE086B">
        <w:rPr>
          <w:sz w:val="28"/>
          <w:szCs w:val="28"/>
          <w:shd w:val="clear" w:color="auto" w:fill="FFFFFF"/>
          <w:lang w:val="uk-UA"/>
        </w:rPr>
        <w:t>.</w:t>
      </w:r>
      <w:r w:rsidRPr="00BE086B">
        <w:rPr>
          <w:sz w:val="28"/>
          <w:szCs w:val="28"/>
          <w:shd w:val="clear" w:color="auto" w:fill="FFFFFF"/>
          <w:lang w:val="en-US"/>
        </w:rPr>
        <w:t>, Gay S</w:t>
      </w:r>
      <w:r w:rsidRPr="00BE086B">
        <w:rPr>
          <w:sz w:val="28"/>
          <w:szCs w:val="28"/>
          <w:shd w:val="clear" w:color="auto" w:fill="FFFFFF"/>
          <w:lang w:val="uk-UA"/>
        </w:rPr>
        <w:t>.</w:t>
      </w:r>
      <w:r w:rsidRPr="00BE086B">
        <w:rPr>
          <w:sz w:val="28"/>
          <w:szCs w:val="28"/>
          <w:shd w:val="clear" w:color="auto" w:fill="FFFFFF"/>
          <w:lang w:val="en-US"/>
        </w:rPr>
        <w:t>, Aeschlimann A. Acetaminophen may act through beta endorphin. Ann Rheum Dis. 2005;64(10):15</w:t>
      </w:r>
      <w:r w:rsidRPr="00BE086B">
        <w:rPr>
          <w:sz w:val="28"/>
          <w:szCs w:val="28"/>
          <w:shd w:val="clear" w:color="auto" w:fill="FFFFFF"/>
          <w:lang w:val="uk-UA"/>
        </w:rPr>
        <w:t>-</w:t>
      </w:r>
      <w:r w:rsidRPr="00BE086B">
        <w:rPr>
          <w:sz w:val="28"/>
          <w:szCs w:val="28"/>
          <w:shd w:val="clear" w:color="auto" w:fill="FFFFFF"/>
          <w:lang w:val="en-US"/>
        </w:rPr>
        <w:t>22.</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Anderson B</w:t>
      </w:r>
      <w:r w:rsidRPr="00BE086B">
        <w:rPr>
          <w:sz w:val="28"/>
          <w:szCs w:val="28"/>
          <w:shd w:val="clear" w:color="auto" w:fill="FFFFFF"/>
          <w:lang w:val="uk-UA"/>
        </w:rPr>
        <w:t>.</w:t>
      </w:r>
      <w:r w:rsidRPr="00BE086B">
        <w:rPr>
          <w:sz w:val="28"/>
          <w:szCs w:val="28"/>
          <w:shd w:val="clear" w:color="auto" w:fill="FFFFFF"/>
          <w:lang w:val="en-US"/>
        </w:rPr>
        <w:t>J. Paracetamol (Acetaminophen): mechanisms of action. Paediatr Anaesth. 2008;18(10):915-</w:t>
      </w:r>
      <w:r w:rsidRPr="00BE086B">
        <w:rPr>
          <w:sz w:val="28"/>
          <w:szCs w:val="28"/>
          <w:shd w:val="clear" w:color="auto" w:fill="FFFFFF"/>
          <w:lang w:val="uk-UA"/>
        </w:rPr>
        <w:t>9</w:t>
      </w:r>
      <w:r w:rsidRPr="00BE086B">
        <w:rPr>
          <w:sz w:val="28"/>
          <w:szCs w:val="28"/>
          <w:shd w:val="clear" w:color="auto" w:fill="FFFFFF"/>
          <w:lang w:val="en-US"/>
        </w:rPr>
        <w:t>21.</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Ayoub S</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 Colville-Nash P</w:t>
      </w:r>
      <w:r w:rsidRPr="00BE086B">
        <w:rPr>
          <w:sz w:val="28"/>
          <w:szCs w:val="28"/>
          <w:shd w:val="clear" w:color="auto" w:fill="FFFFFF"/>
          <w:lang w:val="uk-UA"/>
        </w:rPr>
        <w:t>.</w:t>
      </w:r>
      <w:r w:rsidRPr="00BE086B">
        <w:rPr>
          <w:sz w:val="28"/>
          <w:szCs w:val="28"/>
          <w:shd w:val="clear" w:color="auto" w:fill="FFFFFF"/>
          <w:lang w:val="en-US"/>
        </w:rPr>
        <w:t>R</w:t>
      </w:r>
      <w:r w:rsidRPr="00BE086B">
        <w:rPr>
          <w:sz w:val="28"/>
          <w:szCs w:val="28"/>
          <w:shd w:val="clear" w:color="auto" w:fill="FFFFFF"/>
          <w:lang w:val="uk-UA"/>
        </w:rPr>
        <w:t>.</w:t>
      </w:r>
      <w:r w:rsidRPr="00BE086B">
        <w:rPr>
          <w:sz w:val="28"/>
          <w:szCs w:val="28"/>
          <w:shd w:val="clear" w:color="auto" w:fill="FFFFFF"/>
          <w:lang w:val="en-US"/>
        </w:rPr>
        <w:t>, Willoughby D</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Botting R</w:t>
      </w:r>
      <w:r w:rsidRPr="00BE086B">
        <w:rPr>
          <w:sz w:val="28"/>
          <w:szCs w:val="28"/>
          <w:shd w:val="clear" w:color="auto" w:fill="FFFFFF"/>
          <w:lang w:val="uk-UA"/>
        </w:rPr>
        <w:t>.</w:t>
      </w:r>
      <w:r w:rsidRPr="00BE086B">
        <w:rPr>
          <w:sz w:val="28"/>
          <w:szCs w:val="28"/>
          <w:shd w:val="clear" w:color="auto" w:fill="FFFFFF"/>
          <w:lang w:val="en-US"/>
        </w:rPr>
        <w:t>M. The involvement of a cyclooxygenase 1 gene-derived protein in the antinociceptive action of paracetamol in mice. Eur J Pharmacol. 2006</w:t>
      </w:r>
      <w:r w:rsidRPr="00BE086B">
        <w:rPr>
          <w:sz w:val="28"/>
          <w:szCs w:val="28"/>
          <w:shd w:val="clear" w:color="auto" w:fill="FFFFFF"/>
          <w:lang w:val="uk-UA"/>
        </w:rPr>
        <w:t xml:space="preserve">; </w:t>
      </w:r>
      <w:r w:rsidRPr="00BE086B">
        <w:rPr>
          <w:sz w:val="28"/>
          <w:szCs w:val="28"/>
          <w:shd w:val="clear" w:color="auto" w:fill="FFFFFF"/>
          <w:lang w:val="en-US"/>
        </w:rPr>
        <w:t>24;538(1-3):57-65.</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Botting R</w:t>
      </w:r>
      <w:r w:rsidRPr="00BE086B">
        <w:rPr>
          <w:sz w:val="28"/>
          <w:szCs w:val="28"/>
          <w:shd w:val="clear" w:color="auto" w:fill="FFFFFF"/>
          <w:lang w:val="uk-UA"/>
        </w:rPr>
        <w:t>.</w:t>
      </w:r>
      <w:r w:rsidRPr="00BE086B">
        <w:rPr>
          <w:sz w:val="28"/>
          <w:szCs w:val="28"/>
          <w:shd w:val="clear" w:color="auto" w:fill="FFFFFF"/>
          <w:lang w:val="en-US"/>
        </w:rPr>
        <w:t>, Ayoub S</w:t>
      </w:r>
      <w:r w:rsidRPr="00BE086B">
        <w:rPr>
          <w:sz w:val="28"/>
          <w:szCs w:val="28"/>
          <w:shd w:val="clear" w:color="auto" w:fill="FFFFFF"/>
          <w:lang w:val="uk-UA"/>
        </w:rPr>
        <w:t>.</w:t>
      </w:r>
      <w:r w:rsidRPr="00BE086B">
        <w:rPr>
          <w:sz w:val="28"/>
          <w:szCs w:val="28"/>
          <w:shd w:val="clear" w:color="auto" w:fill="FFFFFF"/>
          <w:lang w:val="en-US"/>
        </w:rPr>
        <w:t xml:space="preserve">S. COX-3 and the mechanism of action of </w:t>
      </w:r>
      <w:r w:rsidRPr="00BE086B">
        <w:rPr>
          <w:sz w:val="28"/>
          <w:szCs w:val="28"/>
          <w:shd w:val="clear" w:color="auto" w:fill="FFFFFF"/>
          <w:lang w:val="en-US"/>
        </w:rPr>
        <w:lastRenderedPageBreak/>
        <w:t>paracetamol/acetaminophen. Prostaglandins Leukot Essent Fatty Acids. 2005;72(2):85-</w:t>
      </w:r>
      <w:r w:rsidRPr="00BE086B">
        <w:rPr>
          <w:sz w:val="28"/>
          <w:szCs w:val="28"/>
          <w:shd w:val="clear" w:color="auto" w:fill="FFFFFF"/>
          <w:lang w:val="uk-UA"/>
        </w:rPr>
        <w:t>8</w:t>
      </w:r>
      <w:r w:rsidRPr="00BE086B">
        <w:rPr>
          <w:sz w:val="28"/>
          <w:szCs w:val="28"/>
          <w:shd w:val="clear" w:color="auto" w:fill="FFFFFF"/>
          <w:lang w:val="en-US"/>
        </w:rPr>
        <w:t>7.</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Scott D</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Kingsley G. Translating research into practice: acetaminophen in osteoarthritis revisited. J Rheumatol. 2004;31(2):199-202.</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shd w:val="clear" w:color="auto" w:fill="FFFFFF"/>
          <w:lang w:val="en-US"/>
        </w:rPr>
      </w:pPr>
      <w:r w:rsidRPr="00BE086B">
        <w:rPr>
          <w:sz w:val="28"/>
          <w:szCs w:val="28"/>
          <w:shd w:val="clear" w:color="auto" w:fill="FFFFFF"/>
          <w:lang w:val="en-US"/>
        </w:rPr>
        <w:t>Bannwarth B. Acetaminophen or NSAIDs for the treatment of osteoarthritis. Best Pract Res Clin Rheumatol. 2006;20(1):117-</w:t>
      </w:r>
      <w:r w:rsidRPr="00BE086B">
        <w:rPr>
          <w:sz w:val="28"/>
          <w:szCs w:val="28"/>
          <w:shd w:val="clear" w:color="auto" w:fill="FFFFFF"/>
          <w:lang w:val="uk-UA"/>
        </w:rPr>
        <w:t>1</w:t>
      </w:r>
      <w:r w:rsidRPr="00BE086B">
        <w:rPr>
          <w:sz w:val="28"/>
          <w:szCs w:val="28"/>
          <w:shd w:val="clear" w:color="auto" w:fill="FFFFFF"/>
          <w:lang w:val="en-US"/>
        </w:rPr>
        <w:t>29.</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shd w:val="clear" w:color="auto" w:fill="FFFFFF"/>
          <w:lang w:val="en-US"/>
        </w:rPr>
      </w:pPr>
      <w:r w:rsidRPr="00BE086B">
        <w:rPr>
          <w:sz w:val="28"/>
          <w:szCs w:val="28"/>
          <w:shd w:val="clear" w:color="auto" w:fill="FFFFFF"/>
          <w:lang w:val="en-US"/>
        </w:rPr>
        <w:t xml:space="preserve">Flood J. The role of acetaminophen in the treatment of osteoarthritis. </w:t>
      </w:r>
      <w:r w:rsidRPr="00BE086B">
        <w:rPr>
          <w:sz w:val="28"/>
          <w:szCs w:val="28"/>
          <w:shd w:val="clear" w:color="auto" w:fill="FFFFFF"/>
        </w:rPr>
        <w:t>Am J Manag Care. 2010;16:48-54.</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Arun O</w:t>
      </w:r>
      <w:r w:rsidRPr="00BE086B">
        <w:rPr>
          <w:sz w:val="28"/>
          <w:szCs w:val="28"/>
          <w:shd w:val="clear" w:color="auto" w:fill="FFFFFF"/>
          <w:lang w:val="uk-UA"/>
        </w:rPr>
        <w:t>.</w:t>
      </w:r>
      <w:r w:rsidRPr="00BE086B">
        <w:rPr>
          <w:sz w:val="28"/>
          <w:szCs w:val="28"/>
          <w:shd w:val="clear" w:color="auto" w:fill="FFFFFF"/>
          <w:lang w:val="en-US"/>
        </w:rPr>
        <w:t>, Canbay O</w:t>
      </w:r>
      <w:r w:rsidRPr="00BE086B">
        <w:rPr>
          <w:sz w:val="28"/>
          <w:szCs w:val="28"/>
          <w:shd w:val="clear" w:color="auto" w:fill="FFFFFF"/>
          <w:lang w:val="uk-UA"/>
        </w:rPr>
        <w:t>.</w:t>
      </w:r>
      <w:r w:rsidRPr="00BE086B">
        <w:rPr>
          <w:sz w:val="28"/>
          <w:szCs w:val="28"/>
          <w:shd w:val="clear" w:color="auto" w:fill="FFFFFF"/>
          <w:lang w:val="en-US"/>
        </w:rPr>
        <w:t>, Celebi N</w:t>
      </w:r>
      <w:r w:rsidRPr="00BE086B">
        <w:rPr>
          <w:sz w:val="28"/>
          <w:szCs w:val="28"/>
          <w:shd w:val="clear" w:color="auto" w:fill="FFFFFF"/>
          <w:lang w:val="uk-UA"/>
        </w:rPr>
        <w:t>.</w:t>
      </w:r>
      <w:r w:rsidRPr="00BE086B">
        <w:rPr>
          <w:sz w:val="28"/>
          <w:szCs w:val="28"/>
          <w:shd w:val="clear" w:color="auto" w:fill="FFFFFF"/>
          <w:lang w:val="en-US"/>
        </w:rPr>
        <w:t>, Sahin A</w:t>
      </w:r>
      <w:r w:rsidRPr="00BE086B">
        <w:rPr>
          <w:sz w:val="28"/>
          <w:szCs w:val="28"/>
          <w:shd w:val="clear" w:color="auto" w:fill="FFFFFF"/>
          <w:lang w:val="uk-UA"/>
        </w:rPr>
        <w:t>.</w:t>
      </w:r>
      <w:r w:rsidRPr="00BE086B">
        <w:rPr>
          <w:sz w:val="28"/>
          <w:szCs w:val="28"/>
          <w:shd w:val="clear" w:color="auto" w:fill="FFFFFF"/>
          <w:lang w:val="en-US"/>
        </w:rPr>
        <w:t>, Konan A</w:t>
      </w:r>
      <w:r w:rsidRPr="00BE086B">
        <w:rPr>
          <w:sz w:val="28"/>
          <w:szCs w:val="28"/>
          <w:shd w:val="clear" w:color="auto" w:fill="FFFFFF"/>
          <w:lang w:val="uk-UA"/>
        </w:rPr>
        <w:t>.</w:t>
      </w:r>
      <w:r w:rsidRPr="00BE086B">
        <w:rPr>
          <w:sz w:val="28"/>
          <w:szCs w:val="28"/>
          <w:shd w:val="clear" w:color="auto" w:fill="FFFFFF"/>
          <w:lang w:val="en-US"/>
        </w:rPr>
        <w:t>, Atilla P</w:t>
      </w:r>
      <w:r w:rsidRPr="00BE086B">
        <w:rPr>
          <w:sz w:val="28"/>
          <w:szCs w:val="28"/>
          <w:shd w:val="clear" w:color="auto" w:fill="FFFFFF"/>
          <w:lang w:val="uk-UA"/>
        </w:rPr>
        <w:t>.</w:t>
      </w:r>
      <w:r w:rsidRPr="00BE086B">
        <w:rPr>
          <w:sz w:val="28"/>
          <w:szCs w:val="28"/>
          <w:shd w:val="clear" w:color="auto" w:fill="FFFFFF"/>
          <w:lang w:val="en-US"/>
        </w:rPr>
        <w:t>, Aypar U. The analgesic efficacy of intra-articular acetaminophen in an experimental model of carrageenan-induced arthritis. Pain Res Manag. 2013;18(5):63-</w:t>
      </w:r>
      <w:r w:rsidRPr="00BE086B">
        <w:rPr>
          <w:sz w:val="28"/>
          <w:szCs w:val="28"/>
          <w:shd w:val="clear" w:color="auto" w:fill="FFFFFF"/>
          <w:lang w:val="uk-UA"/>
        </w:rPr>
        <w:t>6</w:t>
      </w:r>
      <w:r w:rsidRPr="00BE086B">
        <w:rPr>
          <w:sz w:val="28"/>
          <w:szCs w:val="28"/>
          <w:shd w:val="clear" w:color="auto" w:fill="FFFFFF"/>
          <w:lang w:val="en-US"/>
        </w:rPr>
        <w:t>7.</w:t>
      </w:r>
    </w:p>
    <w:p w:rsidR="008B13C0" w:rsidRPr="00BE086B" w:rsidRDefault="008B13C0" w:rsidP="00611AFB">
      <w:pPr>
        <w:widowControl w:val="0"/>
        <w:numPr>
          <w:ilvl w:val="0"/>
          <w:numId w:val="19"/>
        </w:numPr>
        <w:suppressAutoHyphens w:val="0"/>
        <w:spacing w:line="360" w:lineRule="auto"/>
        <w:ind w:left="0" w:firstLine="709"/>
        <w:jc w:val="both"/>
        <w:rPr>
          <w:kern w:val="28"/>
          <w:sz w:val="28"/>
          <w:szCs w:val="28"/>
          <w:shd w:val="clear" w:color="auto" w:fill="FFFFFF"/>
          <w:lang w:val="uk-UA"/>
        </w:rPr>
      </w:pPr>
      <w:r w:rsidRPr="00BE086B">
        <w:rPr>
          <w:kern w:val="28"/>
          <w:sz w:val="28"/>
          <w:szCs w:val="28"/>
        </w:rPr>
        <w:t>Зупанець І.А., Туляк</w:t>
      </w:r>
      <w:r w:rsidRPr="00BE086B">
        <w:rPr>
          <w:kern w:val="28"/>
          <w:sz w:val="28"/>
          <w:szCs w:val="28"/>
          <w:lang w:val="uk-UA"/>
        </w:rPr>
        <w:t>ов</w:t>
      </w:r>
      <w:r w:rsidRPr="00BE086B">
        <w:rPr>
          <w:kern w:val="28"/>
          <w:sz w:val="28"/>
          <w:szCs w:val="28"/>
        </w:rPr>
        <w:t xml:space="preserve"> В.О., Шебек</w:t>
      </w:r>
      <w:r w:rsidRPr="00BE086B">
        <w:rPr>
          <w:kern w:val="28"/>
          <w:sz w:val="28"/>
          <w:szCs w:val="28"/>
          <w:lang w:val="uk-UA"/>
        </w:rPr>
        <w:t xml:space="preserve">о </w:t>
      </w:r>
      <w:r w:rsidRPr="00BE086B">
        <w:rPr>
          <w:kern w:val="28"/>
          <w:sz w:val="28"/>
          <w:szCs w:val="28"/>
        </w:rPr>
        <w:t>С.К. </w:t>
      </w:r>
      <w:r w:rsidRPr="00BE086B">
        <w:rPr>
          <w:kern w:val="28"/>
          <w:sz w:val="28"/>
          <w:szCs w:val="28"/>
          <w:lang w:val="uk-UA"/>
        </w:rPr>
        <w:t>Вплив парацетамолу на процеси апоптозу хондроцитів в умовах розвитку експериментального остеоартрозу. Укр. біофармацевт. журн. 2011; 3(14):4-8.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kern w:val="28"/>
          <w:sz w:val="28"/>
          <w:szCs w:val="28"/>
        </w:rPr>
        <w:t>Зупанец И.А.</w:t>
      </w:r>
      <w:r w:rsidRPr="00BE086B">
        <w:rPr>
          <w:kern w:val="28"/>
          <w:sz w:val="28"/>
          <w:szCs w:val="28"/>
          <w:lang w:val="uk-UA"/>
        </w:rPr>
        <w:t>,</w:t>
      </w:r>
      <w:r w:rsidRPr="00BE086B">
        <w:rPr>
          <w:kern w:val="28"/>
          <w:sz w:val="28"/>
          <w:szCs w:val="28"/>
        </w:rPr>
        <w:t xml:space="preserve"> Туляков В.А., Шебеко С.К. Влияние комбинации глюкозамина гидрохлорида с парацетамолом</w:t>
      </w:r>
      <w:r w:rsidRPr="00BE086B">
        <w:rPr>
          <w:sz w:val="28"/>
          <w:szCs w:val="28"/>
        </w:rPr>
        <w:t xml:space="preserve"> на апоптоз хондроцитов в условиях развития системного стероидного артроза у крыс</w:t>
      </w:r>
      <w:r w:rsidRPr="00BE086B">
        <w:rPr>
          <w:sz w:val="28"/>
          <w:szCs w:val="28"/>
          <w:lang w:val="uk-UA"/>
        </w:rPr>
        <w:t>.</w:t>
      </w:r>
      <w:r w:rsidRPr="00BE086B">
        <w:rPr>
          <w:sz w:val="28"/>
          <w:szCs w:val="28"/>
        </w:rPr>
        <w:t xml:space="preserve"> Эксперимент. и клин. фармакол. 2012</w:t>
      </w:r>
      <w:r w:rsidRPr="00BE086B">
        <w:rPr>
          <w:sz w:val="28"/>
          <w:szCs w:val="28"/>
          <w:lang w:val="uk-UA"/>
        </w:rPr>
        <w:t>;</w:t>
      </w:r>
      <w:r w:rsidRPr="00BE086B">
        <w:rPr>
          <w:sz w:val="28"/>
          <w:szCs w:val="28"/>
        </w:rPr>
        <w:t>75, 4</w:t>
      </w:r>
      <w:r w:rsidRPr="00BE086B">
        <w:rPr>
          <w:sz w:val="28"/>
          <w:szCs w:val="28"/>
          <w:lang w:val="uk-UA"/>
        </w:rPr>
        <w:t>:</w:t>
      </w:r>
      <w:r w:rsidRPr="00BE086B">
        <w:rPr>
          <w:sz w:val="28"/>
          <w:szCs w:val="28"/>
        </w:rPr>
        <w:t>34-37</w:t>
      </w:r>
      <w:r w:rsidRPr="00BE086B">
        <w:rPr>
          <w:sz w:val="28"/>
          <w:szCs w:val="28"/>
          <w:shd w:val="clear" w:color="auto" w:fill="FFFFFF"/>
        </w:rPr>
        <w:t>.</w:t>
      </w:r>
    </w:p>
    <w:p w:rsidR="008B13C0" w:rsidRPr="00BE086B" w:rsidRDefault="008B13C0" w:rsidP="00611AFB">
      <w:pPr>
        <w:widowControl w:val="0"/>
        <w:numPr>
          <w:ilvl w:val="0"/>
          <w:numId w:val="19"/>
        </w:numPr>
        <w:suppressAutoHyphens w:val="0"/>
        <w:autoSpaceDN w:val="0"/>
        <w:spacing w:line="360" w:lineRule="auto"/>
        <w:ind w:left="0" w:firstLine="709"/>
        <w:jc w:val="both"/>
        <w:rPr>
          <w:sz w:val="28"/>
          <w:szCs w:val="28"/>
          <w:lang w:eastAsia="en-US"/>
        </w:rPr>
      </w:pPr>
      <w:r w:rsidRPr="00BE086B">
        <w:rPr>
          <w:sz w:val="28"/>
          <w:szCs w:val="28"/>
        </w:rPr>
        <w:t xml:space="preserve">Носівець Д.С. Фармакологія хондропротекторів (огляд фармацевтичного ринку України). Вісник проблем біології та медицини. </w:t>
      </w:r>
      <w:r w:rsidRPr="00BE086B">
        <w:rPr>
          <w:bCs/>
          <w:sz w:val="28"/>
          <w:szCs w:val="28"/>
        </w:rPr>
        <w:t>2013</w:t>
      </w:r>
      <w:r w:rsidRPr="00BE086B">
        <w:rPr>
          <w:bCs/>
          <w:sz w:val="28"/>
          <w:szCs w:val="28"/>
          <w:lang w:val="uk-UA"/>
        </w:rPr>
        <w:t>;</w:t>
      </w:r>
      <w:r w:rsidRPr="00BE086B">
        <w:rPr>
          <w:bCs/>
          <w:sz w:val="28"/>
          <w:szCs w:val="28"/>
        </w:rPr>
        <w:t>1(104),4</w:t>
      </w:r>
      <w:r w:rsidRPr="00BE086B">
        <w:rPr>
          <w:bCs/>
          <w:sz w:val="28"/>
          <w:szCs w:val="28"/>
          <w:lang w:val="uk-UA"/>
        </w:rPr>
        <w:t>:</w:t>
      </w:r>
      <w:r w:rsidRPr="00BE086B">
        <w:rPr>
          <w:bCs/>
          <w:sz w:val="28"/>
          <w:szCs w:val="28"/>
        </w:rPr>
        <w:t>57-63.</w:t>
      </w:r>
    </w:p>
    <w:p w:rsidR="008B13C0" w:rsidRPr="00BE086B" w:rsidRDefault="008B13C0" w:rsidP="00611AFB">
      <w:pPr>
        <w:widowControl w:val="0"/>
        <w:numPr>
          <w:ilvl w:val="0"/>
          <w:numId w:val="19"/>
        </w:numPr>
        <w:suppressAutoHyphens w:val="0"/>
        <w:spacing w:line="360" w:lineRule="auto"/>
        <w:ind w:left="0" w:firstLine="709"/>
        <w:jc w:val="both"/>
        <w:rPr>
          <w:sz w:val="28"/>
          <w:szCs w:val="28"/>
        </w:rPr>
      </w:pPr>
      <w:r w:rsidRPr="00BE086B">
        <w:rPr>
          <w:sz w:val="28"/>
          <w:szCs w:val="28"/>
        </w:rPr>
        <w:t>Поворознюк В.В., Григор’єва Н.В., Орлик Т.В. Модифікуючі засоби сповільненої дії в лікуванні остеоартрозу великих суглобів. Ін-т геронтології АМН України, Укр. центр наук. мед. інформації та патент.-ліценз. Київ, 2008</w:t>
      </w:r>
      <w:r w:rsidRPr="00BE086B">
        <w:rPr>
          <w:sz w:val="28"/>
          <w:szCs w:val="28"/>
          <w:lang w:val="uk-UA"/>
        </w:rPr>
        <w:t xml:space="preserve">, </w:t>
      </w:r>
      <w:r w:rsidRPr="00BE086B">
        <w:rPr>
          <w:sz w:val="28"/>
          <w:szCs w:val="28"/>
        </w:rPr>
        <w:t>28 с.</w:t>
      </w:r>
    </w:p>
    <w:p w:rsidR="008B13C0" w:rsidRPr="00BE086B" w:rsidRDefault="008B13C0" w:rsidP="00611AFB">
      <w:pPr>
        <w:widowControl w:val="0"/>
        <w:numPr>
          <w:ilvl w:val="0"/>
          <w:numId w:val="19"/>
        </w:numPr>
        <w:suppressAutoHyphens w:val="0"/>
        <w:spacing w:line="360" w:lineRule="auto"/>
        <w:ind w:left="0" w:firstLine="709"/>
        <w:jc w:val="both"/>
        <w:rPr>
          <w:sz w:val="28"/>
          <w:szCs w:val="28"/>
        </w:rPr>
      </w:pPr>
      <w:r w:rsidRPr="00BE086B">
        <w:rPr>
          <w:sz w:val="28"/>
          <w:szCs w:val="28"/>
          <w:shd w:val="clear" w:color="auto" w:fill="FFFFFF"/>
          <w:lang w:val="en-US"/>
        </w:rPr>
        <w:t>Terencio M.C., Ferrándiz M.L., Carceller M.C., Ruhí R., Dalmau P., Vergés J., Montell E., Torrent A., Alcaraz M.J. Chondroprotective effects of the combination chondroitin sulfate-glucosamine in a model of osteoarthritis induced by anterior cruciate ligament transection in ovariectomised rats. Biomed Pharmacother. 2016;79:120-128.</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rPr>
        <w:lastRenderedPageBreak/>
        <w:t xml:space="preserve">Вікторов О.П., Лисенко І.В., Тер-Вартаньян С.Х., Леонтьєва Ф.С. Клінічне обґрунтування ефективності терапії остеоартрозу комплексом препаратів </w:t>
      </w:r>
      <w:r w:rsidRPr="00BE086B">
        <w:rPr>
          <w:sz w:val="28"/>
          <w:szCs w:val="28"/>
          <w:lang w:val="uk-UA"/>
        </w:rPr>
        <w:t>-</w:t>
      </w:r>
      <w:r w:rsidRPr="00BE086B">
        <w:rPr>
          <w:sz w:val="28"/>
          <w:szCs w:val="28"/>
        </w:rPr>
        <w:t xml:space="preserve"> німесулід, глюкозаміну гідрохлорид, хондроїтину сульфат. Фармакологія та лікарська токсикологія</w:t>
      </w:r>
      <w:r w:rsidRPr="00BE086B">
        <w:rPr>
          <w:sz w:val="28"/>
          <w:szCs w:val="28"/>
          <w:lang w:val="uk-UA"/>
        </w:rPr>
        <w:t>.</w:t>
      </w:r>
      <w:r w:rsidRPr="00BE086B">
        <w:rPr>
          <w:sz w:val="28"/>
          <w:szCs w:val="28"/>
        </w:rPr>
        <w:t xml:space="preserve"> 2009</w:t>
      </w:r>
      <w:r w:rsidRPr="00BE086B">
        <w:rPr>
          <w:sz w:val="28"/>
          <w:szCs w:val="28"/>
          <w:lang w:val="uk-UA"/>
        </w:rPr>
        <w:t xml:space="preserve">; </w:t>
      </w:r>
      <w:r w:rsidRPr="00BE086B">
        <w:rPr>
          <w:sz w:val="28"/>
          <w:szCs w:val="28"/>
        </w:rPr>
        <w:t>29:49-56.</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rPr>
        <w:t>Поворознюк В.В. Глюкозамин и хондроитин в лечении остеоартроза: данные литературы и результаты собственных исследований. Русский медицинский журнал. 2006</w:t>
      </w:r>
      <w:r w:rsidRPr="00BE086B">
        <w:rPr>
          <w:sz w:val="28"/>
          <w:szCs w:val="28"/>
          <w:lang w:val="uk-UA"/>
        </w:rPr>
        <w:t>;</w:t>
      </w:r>
      <w:r w:rsidRPr="00BE086B">
        <w:rPr>
          <w:sz w:val="28"/>
          <w:szCs w:val="28"/>
        </w:rPr>
        <w:t>14,4</w:t>
      </w:r>
      <w:r w:rsidRPr="00BE086B">
        <w:rPr>
          <w:sz w:val="28"/>
          <w:szCs w:val="28"/>
          <w:lang w:val="uk-UA"/>
        </w:rPr>
        <w:t>:</w:t>
      </w:r>
      <w:r w:rsidRPr="00BE086B">
        <w:rPr>
          <w:sz w:val="28"/>
          <w:szCs w:val="28"/>
        </w:rPr>
        <w:t>1-5.</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rPr>
        <w:t xml:space="preserve">Отрішко І.А. </w:t>
      </w:r>
      <w:r w:rsidRPr="00BE086B">
        <w:rPr>
          <w:bCs/>
          <w:sz w:val="28"/>
          <w:szCs w:val="28"/>
        </w:rPr>
        <w:t>Експериментальне обгрунтування застосування комбінації глюкозаміну гідрохлориду та диклофенаку натрію при остеоартрозі</w:t>
      </w:r>
      <w:r w:rsidRPr="00BE086B">
        <w:rPr>
          <w:sz w:val="28"/>
          <w:szCs w:val="28"/>
          <w:shd w:val="clear" w:color="auto" w:fill="F9F9F9"/>
        </w:rPr>
        <w:t xml:space="preserve">: </w:t>
      </w:r>
      <w:r w:rsidRPr="00BE086B">
        <w:rPr>
          <w:sz w:val="28"/>
          <w:szCs w:val="28"/>
        </w:rPr>
        <w:t>Автореф. дис... канд. фармац. наук: 14.03.05; Нац. фармац. ун-т. Х</w:t>
      </w:r>
      <w:r w:rsidRPr="00BE086B">
        <w:rPr>
          <w:sz w:val="28"/>
          <w:szCs w:val="28"/>
          <w:lang w:val="uk-UA"/>
        </w:rPr>
        <w:t>арків</w:t>
      </w:r>
      <w:r w:rsidRPr="00BE086B">
        <w:rPr>
          <w:sz w:val="28"/>
          <w:szCs w:val="28"/>
        </w:rPr>
        <w:t>, 2005</w:t>
      </w:r>
      <w:r w:rsidRPr="00BE086B">
        <w:rPr>
          <w:sz w:val="28"/>
          <w:szCs w:val="28"/>
          <w:lang w:val="uk-UA"/>
        </w:rPr>
        <w:t>,</w:t>
      </w:r>
      <w:r w:rsidRPr="00BE086B">
        <w:rPr>
          <w:sz w:val="28"/>
          <w:szCs w:val="28"/>
        </w:rPr>
        <w:t xml:space="preserve"> 20 с.</w:t>
      </w:r>
    </w:p>
    <w:p w:rsidR="008B13C0" w:rsidRPr="00BE086B" w:rsidRDefault="008B13C0" w:rsidP="00611AFB">
      <w:pPr>
        <w:widowControl w:val="0"/>
        <w:numPr>
          <w:ilvl w:val="0"/>
          <w:numId w:val="19"/>
        </w:numPr>
        <w:suppressAutoHyphens w:val="0"/>
        <w:spacing w:line="360" w:lineRule="auto"/>
        <w:ind w:left="0" w:firstLine="709"/>
        <w:jc w:val="both"/>
        <w:rPr>
          <w:sz w:val="28"/>
          <w:szCs w:val="28"/>
          <w:shd w:val="clear" w:color="auto" w:fill="FFFFFF"/>
          <w:lang w:val="en-US"/>
        </w:rPr>
      </w:pPr>
      <w:r w:rsidRPr="00BE086B">
        <w:rPr>
          <w:sz w:val="28"/>
          <w:szCs w:val="28"/>
        </w:rPr>
        <w:t>Попов С.Б., Шебеко С.К., Зупанець К.О.</w:t>
      </w:r>
      <w:r w:rsidRPr="00BE086B">
        <w:rPr>
          <w:sz w:val="28"/>
          <w:szCs w:val="28"/>
          <w:lang w:val="uk-UA"/>
        </w:rPr>
        <w:t xml:space="preserve"> </w:t>
      </w:r>
      <w:r w:rsidRPr="00BE086B">
        <w:rPr>
          <w:sz w:val="28"/>
          <w:szCs w:val="28"/>
        </w:rPr>
        <w:t>Модифікація фармакологічних властивостей нестероїдних протизапальних препаратів аміноцукром глюкозаміном: методичні рекомендації. Харків</w:t>
      </w:r>
      <w:r w:rsidRPr="00BE086B">
        <w:rPr>
          <w:sz w:val="28"/>
          <w:szCs w:val="28"/>
          <w:lang w:val="en-US"/>
        </w:rPr>
        <w:t xml:space="preserve">: </w:t>
      </w:r>
      <w:r w:rsidRPr="00BE086B">
        <w:rPr>
          <w:sz w:val="28"/>
          <w:szCs w:val="28"/>
        </w:rPr>
        <w:t>Вид</w:t>
      </w:r>
      <w:r w:rsidRPr="00BE086B">
        <w:rPr>
          <w:sz w:val="28"/>
          <w:szCs w:val="28"/>
          <w:lang w:val="en-US"/>
        </w:rPr>
        <w:t>-</w:t>
      </w:r>
      <w:r w:rsidRPr="00BE086B">
        <w:rPr>
          <w:sz w:val="28"/>
          <w:szCs w:val="28"/>
        </w:rPr>
        <w:t>во</w:t>
      </w:r>
      <w:r w:rsidRPr="00BE086B">
        <w:rPr>
          <w:sz w:val="28"/>
          <w:szCs w:val="28"/>
          <w:lang w:val="en-US"/>
        </w:rPr>
        <w:t xml:space="preserve"> </w:t>
      </w:r>
      <w:r w:rsidRPr="00BE086B">
        <w:rPr>
          <w:sz w:val="28"/>
          <w:szCs w:val="28"/>
        </w:rPr>
        <w:t>НФаУ</w:t>
      </w:r>
      <w:r w:rsidRPr="00BE086B">
        <w:rPr>
          <w:sz w:val="28"/>
          <w:szCs w:val="28"/>
          <w:lang w:val="en-US"/>
        </w:rPr>
        <w:t>, 2007</w:t>
      </w:r>
      <w:r w:rsidRPr="00BE086B">
        <w:rPr>
          <w:sz w:val="28"/>
          <w:szCs w:val="28"/>
          <w:lang w:val="uk-UA"/>
        </w:rPr>
        <w:t>,</w:t>
      </w:r>
      <w:r w:rsidRPr="00BE086B">
        <w:rPr>
          <w:sz w:val="28"/>
          <w:szCs w:val="28"/>
          <w:lang w:val="en-US"/>
        </w:rPr>
        <w:t xml:space="preserve"> 24</w:t>
      </w:r>
      <w:r w:rsidRPr="00BE086B">
        <w:rPr>
          <w:sz w:val="28"/>
          <w:szCs w:val="28"/>
          <w:lang w:val="uk-UA"/>
        </w:rPr>
        <w:t xml:space="preserve"> </w:t>
      </w:r>
      <w:r w:rsidRPr="00BE086B">
        <w:rPr>
          <w:sz w:val="28"/>
          <w:szCs w:val="28"/>
        </w:rPr>
        <w:t>с</w:t>
      </w:r>
      <w:r w:rsidRPr="00BE086B">
        <w:rPr>
          <w:sz w:val="28"/>
          <w:szCs w:val="28"/>
          <w:lang w:val="en-US"/>
        </w:rPr>
        <w:t>.</w:t>
      </w:r>
    </w:p>
    <w:p w:rsidR="008B13C0" w:rsidRPr="00BE086B" w:rsidRDefault="008B13C0" w:rsidP="00611AFB">
      <w:pPr>
        <w:widowControl w:val="0"/>
        <w:numPr>
          <w:ilvl w:val="0"/>
          <w:numId w:val="19"/>
        </w:numPr>
        <w:suppressAutoHyphens w:val="0"/>
        <w:spacing w:line="360" w:lineRule="auto"/>
        <w:ind w:left="0" w:firstLine="709"/>
        <w:jc w:val="both"/>
        <w:rPr>
          <w:b/>
          <w:sz w:val="28"/>
          <w:szCs w:val="28"/>
          <w:lang w:val="uk-UA"/>
        </w:rPr>
      </w:pPr>
      <w:r w:rsidRPr="00BE086B">
        <w:rPr>
          <w:sz w:val="28"/>
          <w:szCs w:val="28"/>
          <w:lang w:val="uk-UA"/>
        </w:rPr>
        <w:t>Давішня Н.В., Зупанець І.А., Шебеко С.К. Морфологічне вивчення хондропротекторних властивостей комбінації глюкозаміну з кетопрофеном у формі крем-гелю. У</w:t>
      </w:r>
      <w:r w:rsidRPr="00BE086B">
        <w:rPr>
          <w:rStyle w:val="A20"/>
          <w:rFonts w:ascii="Times New Roman" w:hAnsi="Times New Roman" w:cs="Times New Roman"/>
          <w:b w:val="0"/>
          <w:color w:val="auto"/>
          <w:sz w:val="28"/>
          <w:szCs w:val="28"/>
          <w:lang w:val="uk-UA"/>
        </w:rPr>
        <w:t>кр. біофармацевтичний журнал. 2014;3(32):30-34.</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rFonts w:eastAsia="Calibri"/>
          <w:sz w:val="28"/>
          <w:szCs w:val="28"/>
        </w:rPr>
        <w:t xml:space="preserve">Опрышко В.И., </w:t>
      </w:r>
      <w:r w:rsidRPr="00BE086B">
        <w:rPr>
          <w:sz w:val="28"/>
          <w:szCs w:val="28"/>
        </w:rPr>
        <w:t xml:space="preserve">Носивец Д.С. </w:t>
      </w:r>
      <w:r w:rsidRPr="00BE086B">
        <w:rPr>
          <w:rFonts w:eastAsia="Calibri"/>
          <w:sz w:val="28"/>
          <w:szCs w:val="28"/>
        </w:rPr>
        <w:t xml:space="preserve">Системный обзор международных исследований по применению </w:t>
      </w:r>
      <w:r w:rsidRPr="00BE086B">
        <w:rPr>
          <w:rFonts w:eastAsia="Calibri"/>
          <w:sz w:val="28"/>
          <w:szCs w:val="28"/>
          <w:lang w:val="uk-UA"/>
        </w:rPr>
        <w:t>А</w:t>
      </w:r>
      <w:r w:rsidRPr="00BE086B">
        <w:rPr>
          <w:rFonts w:eastAsia="Calibri"/>
          <w:sz w:val="28"/>
          <w:szCs w:val="28"/>
        </w:rPr>
        <w:t xml:space="preserve">лфлутопа в комплексной фармакотерапии болевого синдрома в области спины. </w:t>
      </w:r>
      <w:r w:rsidRPr="00BE086B">
        <w:rPr>
          <w:rFonts w:eastAsia="Benguiat"/>
          <w:sz w:val="28"/>
          <w:szCs w:val="28"/>
          <w:lang w:val="uk-UA"/>
        </w:rPr>
        <w:t>Міжнародний неврологічний журнал. 2018, 1(95): 64-69.</w:t>
      </w:r>
    </w:p>
    <w:p w:rsidR="008B13C0" w:rsidRPr="00BE086B" w:rsidRDefault="008B13C0" w:rsidP="00611AFB">
      <w:pPr>
        <w:widowControl w:val="0"/>
        <w:numPr>
          <w:ilvl w:val="0"/>
          <w:numId w:val="19"/>
        </w:numPr>
        <w:suppressAutoHyphens w:val="0"/>
        <w:spacing w:line="360" w:lineRule="auto"/>
        <w:ind w:left="0" w:firstLine="709"/>
        <w:jc w:val="both"/>
        <w:rPr>
          <w:rStyle w:val="A20"/>
          <w:rFonts w:ascii="Times New Roman" w:hAnsi="Times New Roman" w:cs="Times New Roman"/>
          <w:b w:val="0"/>
          <w:bCs w:val="0"/>
          <w:color w:val="auto"/>
          <w:sz w:val="28"/>
          <w:szCs w:val="28"/>
          <w:shd w:val="clear" w:color="auto" w:fill="FFFFFF"/>
          <w:lang w:eastAsia="ru-RU"/>
        </w:rPr>
      </w:pPr>
      <w:r w:rsidRPr="00BE086B">
        <w:rPr>
          <w:sz w:val="28"/>
          <w:szCs w:val="28"/>
          <w:lang w:val="uk-UA"/>
        </w:rPr>
        <w:t xml:space="preserve">Мамчур В.И., </w:t>
      </w:r>
      <w:r w:rsidRPr="00BE086B">
        <w:rPr>
          <w:sz w:val="28"/>
          <w:szCs w:val="28"/>
        </w:rPr>
        <w:t xml:space="preserve">Носивец Д.С. </w:t>
      </w:r>
      <w:r w:rsidRPr="00BE086B">
        <w:rPr>
          <w:rFonts w:eastAsia="Calibri"/>
          <w:sz w:val="28"/>
          <w:szCs w:val="28"/>
        </w:rPr>
        <w:t>Рациональный выбор хондропротекторов и эффективное применение препарата Артеджа при дегенеративно-дистрофических заболеваниях опорно-двигательного аппарата.</w:t>
      </w:r>
      <w:r w:rsidRPr="00BE086B">
        <w:rPr>
          <w:rFonts w:eastAsia="TimesNewRomanPSMT"/>
          <w:bCs/>
          <w:sz w:val="28"/>
          <w:szCs w:val="28"/>
          <w:lang w:val="uk-UA"/>
        </w:rPr>
        <w:t xml:space="preserve"> </w:t>
      </w:r>
      <w:r w:rsidRPr="00BE086B">
        <w:rPr>
          <w:rFonts w:eastAsia="Calibri"/>
          <w:sz w:val="28"/>
          <w:szCs w:val="28"/>
          <w:lang w:val="uk-UA"/>
        </w:rPr>
        <w:t>Боль. Суставы. Позвоночник.</w:t>
      </w:r>
      <w:r w:rsidRPr="00BE086B">
        <w:rPr>
          <w:rFonts w:eastAsia="Calibri"/>
          <w:sz w:val="28"/>
          <w:szCs w:val="28"/>
        </w:rPr>
        <w:t xml:space="preserve"> 2018</w:t>
      </w:r>
      <w:r w:rsidRPr="00BE086B">
        <w:rPr>
          <w:rFonts w:eastAsia="Calibri"/>
          <w:sz w:val="28"/>
          <w:szCs w:val="28"/>
          <w:lang w:val="uk-UA"/>
        </w:rPr>
        <w:t>,</w:t>
      </w:r>
      <w:r w:rsidRPr="00BE086B">
        <w:rPr>
          <w:rFonts w:eastAsia="Calibri"/>
          <w:sz w:val="28"/>
          <w:szCs w:val="28"/>
        </w:rPr>
        <w:t xml:space="preserve"> 8,</w:t>
      </w:r>
      <w:r w:rsidRPr="00BE086B">
        <w:rPr>
          <w:rFonts w:eastAsia="Calibri"/>
          <w:sz w:val="28"/>
          <w:szCs w:val="28"/>
          <w:lang w:val="uk-UA"/>
        </w:rPr>
        <w:t xml:space="preserve"> </w:t>
      </w:r>
      <w:r w:rsidRPr="00BE086B">
        <w:rPr>
          <w:rFonts w:eastAsia="Calibri"/>
          <w:sz w:val="28"/>
          <w:szCs w:val="28"/>
        </w:rPr>
        <w:t>3</w:t>
      </w:r>
      <w:r w:rsidRPr="00BE086B">
        <w:rPr>
          <w:rFonts w:eastAsia="Calibri"/>
          <w:sz w:val="28"/>
          <w:szCs w:val="28"/>
          <w:lang w:val="uk-UA"/>
        </w:rPr>
        <w:t>:</w:t>
      </w:r>
      <w:r w:rsidRPr="00BE086B">
        <w:rPr>
          <w:rFonts w:eastAsia="Calibri"/>
          <w:sz w:val="28"/>
          <w:szCs w:val="28"/>
        </w:rPr>
        <w:t>38-45</w:t>
      </w:r>
      <w:r w:rsidRPr="00BE086B">
        <w:rPr>
          <w:rFonts w:eastAsia="Calibri"/>
          <w:sz w:val="28"/>
          <w:szCs w:val="28"/>
          <w:lang w:val="uk-UA"/>
        </w:rPr>
        <w:t>.</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shd w:val="clear" w:color="auto" w:fill="FFFFFF"/>
          <w:lang w:val="en-US"/>
        </w:rPr>
      </w:pPr>
      <w:r w:rsidRPr="00BE086B">
        <w:rPr>
          <w:rFonts w:ascii="Times New Roman" w:hAnsi="Times New Roman" w:cs="Times New Roman"/>
          <w:sz w:val="28"/>
          <w:szCs w:val="28"/>
          <w:shd w:val="clear" w:color="auto" w:fill="FFFFFF"/>
          <w:lang w:val="en-US"/>
        </w:rPr>
        <w:t>Martel-Pelletier J., Kwan Tat S., Pelletier J.P. Effects of chondroitin sulfate in the pathophysiology of the osteoarthritic joint: a narrative review. Osteoarthritis Cartilage. 2010;18</w:t>
      </w:r>
      <w:r w:rsidRPr="00BE086B">
        <w:rPr>
          <w:rFonts w:ascii="Times New Roman" w:hAnsi="Times New Roman" w:cs="Times New Roman"/>
          <w:sz w:val="28"/>
          <w:szCs w:val="28"/>
          <w:shd w:val="clear" w:color="auto" w:fill="FFFFFF"/>
        </w:rPr>
        <w:t>,</w:t>
      </w:r>
      <w:r w:rsidRPr="00BE086B">
        <w:rPr>
          <w:rFonts w:ascii="Times New Roman" w:hAnsi="Times New Roman" w:cs="Times New Roman"/>
          <w:sz w:val="28"/>
          <w:szCs w:val="28"/>
          <w:shd w:val="clear" w:color="auto" w:fill="FFFFFF"/>
          <w:lang w:val="en-US"/>
        </w:rPr>
        <w:t>1:7-11.</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uk-UA" w:eastAsia="en-US"/>
        </w:rPr>
      </w:pPr>
      <w:r w:rsidRPr="00BE086B">
        <w:rPr>
          <w:rFonts w:ascii="Times New Roman" w:hAnsi="Times New Roman" w:cs="Times New Roman"/>
          <w:sz w:val="28"/>
          <w:szCs w:val="28"/>
          <w:shd w:val="clear" w:color="auto" w:fill="FFFFFF"/>
          <w:lang w:val="en-US"/>
        </w:rPr>
        <w:t xml:space="preserve">Ronca F., Palmieri L., Panicucci P., Ronca G. Anti-inflammatory </w:t>
      </w:r>
      <w:r w:rsidRPr="00BE086B">
        <w:rPr>
          <w:rFonts w:ascii="Times New Roman" w:hAnsi="Times New Roman" w:cs="Times New Roman"/>
          <w:sz w:val="28"/>
          <w:szCs w:val="28"/>
          <w:shd w:val="clear" w:color="auto" w:fill="FFFFFF"/>
          <w:lang w:val="en-US"/>
        </w:rPr>
        <w:lastRenderedPageBreak/>
        <w:t>activity of chondroitin sulfate. Osteoarthritis Cartilage. 1998;6:14-21.</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uk-UA" w:eastAsia="en-US"/>
        </w:rPr>
      </w:pPr>
      <w:r w:rsidRPr="00BE086B">
        <w:rPr>
          <w:rFonts w:ascii="Times New Roman" w:hAnsi="Times New Roman" w:cs="Times New Roman"/>
          <w:sz w:val="28"/>
          <w:szCs w:val="28"/>
          <w:shd w:val="clear" w:color="auto" w:fill="FFFFFF"/>
          <w:lang w:val="en-US"/>
        </w:rPr>
        <w:t>Korotkyi O., Vovk A., Blokhina O., Dvorshchenko K., Falalyeyeva T., Abenavoli L., Ostapchenko L. Effect of chondroitin sulfate on blood serum cytokine profile during carrageenan-induced edema and monoiodoacetate-induced osteoarthritis in rats. Rev Recent Clin Trials. 2019;14(1):50-55.</w:t>
      </w:r>
    </w:p>
    <w:p w:rsidR="008B13C0" w:rsidRPr="00BE086B" w:rsidRDefault="005C61A3"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shd w:val="clear" w:color="auto" w:fill="FFFFFF"/>
          <w:lang w:val="en-US"/>
        </w:rPr>
      </w:pPr>
      <w:r w:rsidRPr="00BE086B">
        <w:rPr>
          <w:rFonts w:ascii="Times New Roman" w:hAnsi="Times New Roman" w:cs="Times New Roman"/>
          <w:sz w:val="28"/>
          <w:szCs w:val="28"/>
          <w:lang w:val="uk-UA"/>
        </w:rPr>
        <w:t xml:space="preserve">Носівець Д.С. </w:t>
      </w:r>
      <w:r w:rsidRPr="00BE086B">
        <w:rPr>
          <w:rFonts w:ascii="Times New Roman" w:eastAsia="Calibri-Bold" w:hAnsi="Times New Roman" w:cs="Times New Roman"/>
          <w:sz w:val="28"/>
          <w:szCs w:val="28"/>
          <w:lang w:val="uk-UA"/>
        </w:rPr>
        <w:t xml:space="preserve">Дослідження впливу комбінації </w:t>
      </w:r>
      <w:r w:rsidRPr="00BE086B">
        <w:rPr>
          <w:rFonts w:ascii="Times New Roman" w:hAnsi="Times New Roman" w:cs="Times New Roman"/>
          <w:sz w:val="28"/>
          <w:szCs w:val="28"/>
        </w:rPr>
        <w:t>L</w:t>
      </w:r>
      <w:r w:rsidRPr="00BE086B">
        <w:rPr>
          <w:rFonts w:ascii="Times New Roman" w:hAnsi="Times New Roman" w:cs="Times New Roman"/>
          <w:sz w:val="28"/>
          <w:szCs w:val="28"/>
          <w:lang w:val="uk-UA"/>
        </w:rPr>
        <w:t xml:space="preserve">-тироксину, диклофенаку натрію та хондроїтину сульфату на біль при остеоартрозі внаслідок гіпотиреозу. </w:t>
      </w:r>
      <w:r w:rsidRPr="00BE086B">
        <w:rPr>
          <w:rFonts w:ascii="Times New Roman" w:eastAsia="Calibri-Bold" w:hAnsi="Times New Roman" w:cs="Times New Roman"/>
          <w:sz w:val="28"/>
          <w:szCs w:val="28"/>
        </w:rPr>
        <w:t>Вісник проблем біології і медицини. 2021. Т. 159, № 1. С. 97-101.</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en-US"/>
        </w:rPr>
      </w:pPr>
      <w:r w:rsidRPr="00BE086B">
        <w:rPr>
          <w:rFonts w:ascii="Times New Roman" w:hAnsi="Times New Roman" w:cs="Times New Roman"/>
          <w:sz w:val="28"/>
          <w:szCs w:val="28"/>
          <w:shd w:val="clear" w:color="auto" w:fill="FFFFFF"/>
          <w:lang w:val="en-US"/>
        </w:rPr>
        <w:t>Liu Q., Wang J., Sun Y., Han S. Chondroitin sulfate from sturgeon bone protects chondrocytes via inhibiting apoptosis in osteoarthritis. Int J Biol Macromol. 2019;1;134:1113-1119.</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en-US"/>
        </w:rPr>
      </w:pPr>
      <w:r w:rsidRPr="00BE086B">
        <w:rPr>
          <w:rFonts w:ascii="Times New Roman" w:hAnsi="Times New Roman" w:cs="Times New Roman"/>
          <w:sz w:val="28"/>
          <w:szCs w:val="28"/>
          <w:shd w:val="clear" w:color="auto" w:fill="FFFFFF"/>
          <w:lang w:val="en-US"/>
        </w:rPr>
        <w:t>Volpi N. Anti-inflammatory activity of chondroitin sulphate: new functions from an old natural macromolecule. Inflammopharmacology. 2011;19(6):299-306.</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en-US"/>
        </w:rPr>
      </w:pPr>
      <w:r w:rsidRPr="00BE086B">
        <w:rPr>
          <w:rFonts w:ascii="Times New Roman" w:hAnsi="Times New Roman" w:cs="Times New Roman"/>
          <w:sz w:val="28"/>
          <w:szCs w:val="28"/>
          <w:shd w:val="clear" w:color="auto" w:fill="FFFFFF"/>
          <w:lang w:val="en-US"/>
        </w:rPr>
        <w:t>Iovu M., Dumais G., du Souich P. Anti-inflammatory activity of chondroitin sulfate. Osteoarthritis Cartilage. 2008;16</w:t>
      </w:r>
      <w:r w:rsidRPr="00BE086B">
        <w:rPr>
          <w:rFonts w:ascii="Times New Roman" w:hAnsi="Times New Roman" w:cs="Times New Roman"/>
          <w:sz w:val="28"/>
          <w:szCs w:val="28"/>
          <w:shd w:val="clear" w:color="auto" w:fill="FFFFFF"/>
        </w:rPr>
        <w:t>,</w:t>
      </w:r>
      <w:r w:rsidRPr="00BE086B">
        <w:rPr>
          <w:rFonts w:ascii="Times New Roman" w:hAnsi="Times New Roman" w:cs="Times New Roman"/>
          <w:sz w:val="28"/>
          <w:szCs w:val="28"/>
          <w:shd w:val="clear" w:color="auto" w:fill="FFFFFF"/>
          <w:lang w:val="en-US"/>
        </w:rPr>
        <w:t>3:14-</w:t>
      </w:r>
      <w:r w:rsidRPr="00BE086B">
        <w:rPr>
          <w:rFonts w:ascii="Times New Roman" w:hAnsi="Times New Roman" w:cs="Times New Roman"/>
          <w:sz w:val="28"/>
          <w:szCs w:val="28"/>
          <w:shd w:val="clear" w:color="auto" w:fill="FFFFFF"/>
        </w:rPr>
        <w:t>1</w:t>
      </w:r>
      <w:r w:rsidRPr="00BE086B">
        <w:rPr>
          <w:rFonts w:ascii="Times New Roman" w:hAnsi="Times New Roman" w:cs="Times New Roman"/>
          <w:sz w:val="28"/>
          <w:szCs w:val="28"/>
          <w:shd w:val="clear" w:color="auto" w:fill="FFFFFF"/>
          <w:lang w:val="en-US"/>
        </w:rPr>
        <w:t>8.</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en-US"/>
        </w:rPr>
      </w:pPr>
      <w:r w:rsidRPr="00BE086B">
        <w:rPr>
          <w:rFonts w:ascii="Times New Roman" w:hAnsi="Times New Roman" w:cs="Times New Roman"/>
          <w:sz w:val="28"/>
          <w:szCs w:val="28"/>
          <w:shd w:val="clear" w:color="auto" w:fill="FFFFFF"/>
          <w:lang w:val="en-US"/>
        </w:rPr>
        <w:t>Vallières M., du Souich P. Modulation of inflammation by chondroitin sulfate. Osteoarthritis Cartilage. 2010;18</w:t>
      </w:r>
      <w:r w:rsidRPr="00BE086B">
        <w:rPr>
          <w:rFonts w:ascii="Times New Roman" w:hAnsi="Times New Roman" w:cs="Times New Roman"/>
          <w:sz w:val="28"/>
          <w:szCs w:val="28"/>
          <w:shd w:val="clear" w:color="auto" w:fill="FFFFFF"/>
        </w:rPr>
        <w:t>,</w:t>
      </w:r>
      <w:r w:rsidRPr="00BE086B">
        <w:rPr>
          <w:rFonts w:ascii="Times New Roman" w:hAnsi="Times New Roman" w:cs="Times New Roman"/>
          <w:sz w:val="28"/>
          <w:szCs w:val="28"/>
          <w:shd w:val="clear" w:color="auto" w:fill="FFFFFF"/>
          <w:lang w:val="en-US"/>
        </w:rPr>
        <w:t xml:space="preserve"> 1:1-6.</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uk-UA" w:eastAsia="en-US"/>
        </w:rPr>
      </w:pPr>
      <w:r w:rsidRPr="00BE086B">
        <w:rPr>
          <w:rFonts w:ascii="Times New Roman" w:hAnsi="Times New Roman" w:cs="Times New Roman"/>
          <w:sz w:val="28"/>
          <w:szCs w:val="28"/>
          <w:shd w:val="clear" w:color="auto" w:fill="FFFFFF"/>
          <w:lang w:val="en-US"/>
        </w:rPr>
        <w:t>Bauerova K., Ponist S., Kuncirova V., Mihalova D., Paulovicova E., Volpi N. Chondroitin sulfate effect on induced arthritis in rats. Osteoarthritis Cartilage. 2011;19(11):1373-</w:t>
      </w:r>
      <w:r w:rsidRPr="00BE086B">
        <w:rPr>
          <w:rFonts w:ascii="Times New Roman" w:hAnsi="Times New Roman" w:cs="Times New Roman"/>
          <w:sz w:val="28"/>
          <w:szCs w:val="28"/>
          <w:shd w:val="clear" w:color="auto" w:fill="FFFFFF"/>
        </w:rPr>
        <w:t>137</w:t>
      </w:r>
      <w:r w:rsidRPr="00BE086B">
        <w:rPr>
          <w:rFonts w:ascii="Times New Roman" w:hAnsi="Times New Roman" w:cs="Times New Roman"/>
          <w:sz w:val="28"/>
          <w:szCs w:val="28"/>
          <w:shd w:val="clear" w:color="auto" w:fill="FFFFFF"/>
          <w:lang w:val="en-US"/>
        </w:rPr>
        <w:t>9.</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shd w:val="clear" w:color="auto" w:fill="FFFFFF"/>
          <w:lang w:val="uk-UA"/>
        </w:rPr>
      </w:pPr>
      <w:r w:rsidRPr="00BE086B">
        <w:rPr>
          <w:rFonts w:ascii="Times New Roman" w:hAnsi="Times New Roman" w:cs="Times New Roman"/>
          <w:sz w:val="28"/>
          <w:szCs w:val="28"/>
          <w:shd w:val="clear" w:color="auto" w:fill="FFFFFF"/>
          <w:lang w:val="en-US"/>
        </w:rPr>
        <w:t>Theoharides T.C., Patra P., Boucher W., Letourneau R., Kempuraj D., Chiang G., Jeudy S., Hesse L., Athanasiou A. Chondroitin sulphate inhibits connective tissue mast cells. Br J Pharmacol. 2000;131(6):1039-</w:t>
      </w:r>
      <w:r w:rsidRPr="00BE086B">
        <w:rPr>
          <w:rFonts w:ascii="Times New Roman" w:hAnsi="Times New Roman" w:cs="Times New Roman"/>
          <w:sz w:val="28"/>
          <w:szCs w:val="28"/>
          <w:shd w:val="clear" w:color="auto" w:fill="FFFFFF"/>
        </w:rPr>
        <w:t>10</w:t>
      </w:r>
      <w:r w:rsidRPr="00BE086B">
        <w:rPr>
          <w:rFonts w:ascii="Times New Roman" w:hAnsi="Times New Roman" w:cs="Times New Roman"/>
          <w:sz w:val="28"/>
          <w:szCs w:val="28"/>
          <w:shd w:val="clear" w:color="auto" w:fill="FFFFFF"/>
          <w:lang w:val="en-US"/>
        </w:rPr>
        <w:t>49.</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uk-UA" w:eastAsia="en-US"/>
        </w:rPr>
      </w:pPr>
      <w:r w:rsidRPr="00BE086B">
        <w:rPr>
          <w:rFonts w:ascii="Times New Roman" w:hAnsi="Times New Roman" w:cs="Times New Roman"/>
          <w:sz w:val="28"/>
          <w:szCs w:val="28"/>
          <w:shd w:val="clear" w:color="auto" w:fill="FFFFFF"/>
          <w:lang w:val="en-US"/>
        </w:rPr>
        <w:t>Fonsi M., El Amrani A.I., Gervais F., Vincent P. Intra-articular hyaluronic acid and chondroitin sulfate: pharmacokinetic investigation in osteoarthritic rat models. Curr Ther Res Clin Exp. 2019</w:t>
      </w:r>
      <w:r w:rsidRPr="00BE086B">
        <w:rPr>
          <w:rFonts w:ascii="Times New Roman" w:hAnsi="Times New Roman" w:cs="Times New Roman"/>
          <w:sz w:val="28"/>
          <w:szCs w:val="28"/>
          <w:shd w:val="clear" w:color="auto" w:fill="FFFFFF"/>
        </w:rPr>
        <w:t>;</w:t>
      </w:r>
      <w:r w:rsidRPr="00BE086B">
        <w:rPr>
          <w:rFonts w:ascii="Times New Roman" w:hAnsi="Times New Roman" w:cs="Times New Roman"/>
          <w:sz w:val="28"/>
          <w:szCs w:val="28"/>
          <w:shd w:val="clear" w:color="auto" w:fill="FFFFFF"/>
          <w:lang w:val="en-US"/>
        </w:rPr>
        <w:t xml:space="preserve"> 9;92:1005</w:t>
      </w:r>
      <w:r w:rsidRPr="00BE086B">
        <w:rPr>
          <w:rFonts w:ascii="Times New Roman" w:hAnsi="Times New Roman" w:cs="Times New Roman"/>
          <w:sz w:val="28"/>
          <w:szCs w:val="28"/>
          <w:shd w:val="clear" w:color="auto" w:fill="FFFFFF"/>
        </w:rPr>
        <w:t>-10</w:t>
      </w:r>
      <w:r w:rsidRPr="00BE086B">
        <w:rPr>
          <w:rFonts w:ascii="Times New Roman" w:hAnsi="Times New Roman" w:cs="Times New Roman"/>
          <w:sz w:val="28"/>
          <w:szCs w:val="28"/>
          <w:shd w:val="clear" w:color="auto" w:fill="FFFFFF"/>
          <w:lang w:val="en-US"/>
        </w:rPr>
        <w:t>73.</w:t>
      </w:r>
    </w:p>
    <w:p w:rsidR="008B13C0" w:rsidRPr="00BE086B" w:rsidRDefault="008B13C0" w:rsidP="00611AFB">
      <w:pPr>
        <w:pStyle w:val="HTML1"/>
        <w:widowControl w:val="0"/>
        <w:numPr>
          <w:ilvl w:val="0"/>
          <w:numId w:val="19"/>
        </w:numPr>
        <w:suppressAutoHyphens w:val="0"/>
        <w:spacing w:line="360" w:lineRule="auto"/>
        <w:ind w:left="0" w:firstLine="709"/>
        <w:jc w:val="both"/>
        <w:rPr>
          <w:rFonts w:ascii="Times New Roman" w:hAnsi="Times New Roman" w:cs="Times New Roman"/>
          <w:sz w:val="28"/>
          <w:szCs w:val="28"/>
          <w:lang w:val="en-US"/>
        </w:rPr>
      </w:pPr>
      <w:r w:rsidRPr="00BE086B">
        <w:rPr>
          <w:rFonts w:ascii="Times New Roman" w:hAnsi="Times New Roman" w:cs="Times New Roman"/>
          <w:sz w:val="28"/>
          <w:szCs w:val="28"/>
          <w:shd w:val="clear" w:color="auto" w:fill="FFFFFF"/>
          <w:lang w:val="en-US"/>
        </w:rPr>
        <w:t xml:space="preserve">Monfort J., Pelletier J.P., Garcia-Giralt N., Martel-Pelletier J. Biochemical basis of the effect of chondroitin sulphate on osteoarthritis articular </w:t>
      </w:r>
      <w:r w:rsidRPr="00BE086B">
        <w:rPr>
          <w:rFonts w:ascii="Times New Roman" w:hAnsi="Times New Roman" w:cs="Times New Roman"/>
          <w:sz w:val="28"/>
          <w:szCs w:val="28"/>
          <w:shd w:val="clear" w:color="auto" w:fill="FFFFFF"/>
          <w:lang w:val="en-US"/>
        </w:rPr>
        <w:lastRenderedPageBreak/>
        <w:t>tissues. Ann Rheum Dis. 2008;67(6):735-</w:t>
      </w:r>
      <w:r w:rsidRPr="00BE086B">
        <w:rPr>
          <w:rFonts w:ascii="Times New Roman" w:hAnsi="Times New Roman" w:cs="Times New Roman"/>
          <w:sz w:val="28"/>
          <w:szCs w:val="28"/>
          <w:shd w:val="clear" w:color="auto" w:fill="FFFFFF"/>
        </w:rPr>
        <w:t>7</w:t>
      </w:r>
      <w:r w:rsidRPr="00BE086B">
        <w:rPr>
          <w:rFonts w:ascii="Times New Roman" w:hAnsi="Times New Roman" w:cs="Times New Roman"/>
          <w:sz w:val="28"/>
          <w:szCs w:val="28"/>
          <w:shd w:val="clear" w:color="auto" w:fill="FFFFFF"/>
          <w:lang w:val="en-US"/>
        </w:rPr>
        <w:t>40.</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Campo G</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Avenoso A</w:t>
      </w:r>
      <w:r w:rsidRPr="00BE086B">
        <w:rPr>
          <w:sz w:val="28"/>
          <w:szCs w:val="28"/>
          <w:shd w:val="clear" w:color="auto" w:fill="FFFFFF"/>
          <w:lang w:val="uk-UA"/>
        </w:rPr>
        <w:t>.</w:t>
      </w:r>
      <w:r w:rsidRPr="00BE086B">
        <w:rPr>
          <w:sz w:val="28"/>
          <w:szCs w:val="28"/>
          <w:shd w:val="clear" w:color="auto" w:fill="FFFFFF"/>
          <w:lang w:val="en-US"/>
        </w:rPr>
        <w:t>, Campo S</w:t>
      </w:r>
      <w:r w:rsidRPr="00BE086B">
        <w:rPr>
          <w:sz w:val="28"/>
          <w:szCs w:val="28"/>
          <w:shd w:val="clear" w:color="auto" w:fill="FFFFFF"/>
          <w:lang w:val="uk-UA"/>
        </w:rPr>
        <w:t>.</w:t>
      </w:r>
      <w:r w:rsidRPr="00BE086B">
        <w:rPr>
          <w:sz w:val="28"/>
          <w:szCs w:val="28"/>
          <w:shd w:val="clear" w:color="auto" w:fill="FFFFFF"/>
          <w:lang w:val="en-US"/>
        </w:rPr>
        <w:t>, Ferlazzo A</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Altavilla D</w:t>
      </w:r>
      <w:r w:rsidRPr="00BE086B">
        <w:rPr>
          <w:sz w:val="28"/>
          <w:szCs w:val="28"/>
          <w:shd w:val="clear" w:color="auto" w:fill="FFFFFF"/>
          <w:lang w:val="uk-UA"/>
        </w:rPr>
        <w:t>.</w:t>
      </w:r>
      <w:r w:rsidRPr="00BE086B">
        <w:rPr>
          <w:sz w:val="28"/>
          <w:szCs w:val="28"/>
          <w:shd w:val="clear" w:color="auto" w:fill="FFFFFF"/>
          <w:lang w:val="en-US"/>
        </w:rPr>
        <w:t>, Calatroni A. Efficacy of treatment with glycosaminoglycans on experimental collagen-induced arthritis in rats. Arthritis Res Ther. 2003;5(3):122-</w:t>
      </w:r>
      <w:r w:rsidRPr="00BE086B">
        <w:rPr>
          <w:sz w:val="28"/>
          <w:szCs w:val="28"/>
          <w:shd w:val="clear" w:color="auto" w:fill="FFFFFF"/>
          <w:lang w:val="uk-UA"/>
        </w:rPr>
        <w:t>1</w:t>
      </w:r>
      <w:r w:rsidRPr="00BE086B">
        <w:rPr>
          <w:sz w:val="28"/>
          <w:szCs w:val="28"/>
          <w:shd w:val="clear" w:color="auto" w:fill="FFFFFF"/>
          <w:lang w:val="en-US"/>
        </w:rPr>
        <w:t>31.</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shd w:val="clear" w:color="auto" w:fill="FFFFFF"/>
          <w:lang w:val="en-US"/>
        </w:rPr>
        <w:t>Romereim S</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Johnston C</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Redwine A</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Wachs R</w:t>
      </w:r>
      <w:r w:rsidRPr="00BE086B">
        <w:rPr>
          <w:sz w:val="28"/>
          <w:szCs w:val="28"/>
          <w:shd w:val="clear" w:color="auto" w:fill="FFFFFF"/>
          <w:lang w:val="uk-UA"/>
        </w:rPr>
        <w:t>.</w:t>
      </w:r>
      <w:r w:rsidRPr="00BE086B">
        <w:rPr>
          <w:sz w:val="28"/>
          <w:szCs w:val="28"/>
          <w:shd w:val="clear" w:color="auto" w:fill="FFFFFF"/>
          <w:lang w:val="en-US"/>
        </w:rPr>
        <w:t>A. Development of an in vitro intervertebral disc innervation model to screen neuroinhibitory biomaterials. J Orthop Res. 2020;38(5):1016-1026.</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lang w:val="uk-UA"/>
        </w:rPr>
        <w:t>Мамчур В.Й., Носівець Д.С. Фактори ефективності та безпеки при клінічному використані готового лікарського препарату хондроітину сульфату. Neurology and neurosurgery. Eastern Europe. 2020; 10,1:150-156.</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Caraglia M</w:t>
      </w:r>
      <w:r w:rsidRPr="00BE086B">
        <w:rPr>
          <w:sz w:val="28"/>
          <w:szCs w:val="28"/>
          <w:shd w:val="clear" w:color="auto" w:fill="FFFFFF"/>
          <w:lang w:val="uk-UA"/>
        </w:rPr>
        <w:t>.</w:t>
      </w:r>
      <w:r w:rsidRPr="00BE086B">
        <w:rPr>
          <w:sz w:val="28"/>
          <w:szCs w:val="28"/>
          <w:shd w:val="clear" w:color="auto" w:fill="FFFFFF"/>
          <w:lang w:val="en-US"/>
        </w:rPr>
        <w:t>, Beninati S</w:t>
      </w:r>
      <w:r w:rsidRPr="00BE086B">
        <w:rPr>
          <w:sz w:val="28"/>
          <w:szCs w:val="28"/>
          <w:shd w:val="clear" w:color="auto" w:fill="FFFFFF"/>
          <w:lang w:val="uk-UA"/>
        </w:rPr>
        <w:t>.</w:t>
      </w:r>
      <w:r w:rsidRPr="00BE086B">
        <w:rPr>
          <w:sz w:val="28"/>
          <w:szCs w:val="28"/>
          <w:shd w:val="clear" w:color="auto" w:fill="FFFFFF"/>
          <w:lang w:val="en-US"/>
        </w:rPr>
        <w:t>, Giuberti G</w:t>
      </w:r>
      <w:r w:rsidRPr="00BE086B">
        <w:rPr>
          <w:sz w:val="28"/>
          <w:szCs w:val="28"/>
          <w:shd w:val="clear" w:color="auto" w:fill="FFFFFF"/>
          <w:lang w:val="uk-UA"/>
        </w:rPr>
        <w:t>.</w:t>
      </w:r>
      <w:r w:rsidRPr="00BE086B">
        <w:rPr>
          <w:sz w:val="28"/>
          <w:szCs w:val="28"/>
          <w:shd w:val="clear" w:color="auto" w:fill="FFFFFF"/>
          <w:lang w:val="en-US"/>
        </w:rPr>
        <w:t>, D'Alessandro A</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Lentini A</w:t>
      </w:r>
      <w:r w:rsidRPr="00BE086B">
        <w:rPr>
          <w:sz w:val="28"/>
          <w:szCs w:val="28"/>
          <w:shd w:val="clear" w:color="auto" w:fill="FFFFFF"/>
          <w:lang w:val="uk-UA"/>
        </w:rPr>
        <w:t>.</w:t>
      </w:r>
      <w:r w:rsidRPr="00BE086B">
        <w:rPr>
          <w:sz w:val="28"/>
          <w:szCs w:val="28"/>
          <w:shd w:val="clear" w:color="auto" w:fill="FFFFFF"/>
          <w:lang w:val="en-US"/>
        </w:rPr>
        <w:t>, Abbruzzese A</w:t>
      </w:r>
      <w:r w:rsidRPr="00BE086B">
        <w:rPr>
          <w:sz w:val="28"/>
          <w:szCs w:val="28"/>
          <w:shd w:val="clear" w:color="auto" w:fill="FFFFFF"/>
          <w:lang w:val="uk-UA"/>
        </w:rPr>
        <w:t>.</w:t>
      </w:r>
      <w:r w:rsidRPr="00BE086B">
        <w:rPr>
          <w:sz w:val="28"/>
          <w:szCs w:val="28"/>
          <w:shd w:val="clear" w:color="auto" w:fill="FFFFFF"/>
          <w:lang w:val="en-US"/>
        </w:rPr>
        <w:t>, Bove G</w:t>
      </w:r>
      <w:r w:rsidRPr="00BE086B">
        <w:rPr>
          <w:sz w:val="28"/>
          <w:szCs w:val="28"/>
          <w:shd w:val="clear" w:color="auto" w:fill="FFFFFF"/>
          <w:lang w:val="uk-UA"/>
        </w:rPr>
        <w:t>.</w:t>
      </w:r>
      <w:r w:rsidRPr="00BE086B">
        <w:rPr>
          <w:sz w:val="28"/>
          <w:szCs w:val="28"/>
          <w:shd w:val="clear" w:color="auto" w:fill="FFFFFF"/>
          <w:lang w:val="en-US"/>
        </w:rPr>
        <w:t>, Landolfi F</w:t>
      </w:r>
      <w:r w:rsidRPr="00BE086B">
        <w:rPr>
          <w:sz w:val="28"/>
          <w:szCs w:val="28"/>
          <w:shd w:val="clear" w:color="auto" w:fill="FFFFFF"/>
          <w:lang w:val="uk-UA"/>
        </w:rPr>
        <w:t>.</w:t>
      </w:r>
      <w:r w:rsidRPr="00BE086B">
        <w:rPr>
          <w:sz w:val="28"/>
          <w:szCs w:val="28"/>
          <w:shd w:val="clear" w:color="auto" w:fill="FFFFFF"/>
          <w:lang w:val="en-US"/>
        </w:rPr>
        <w:t>, Rossi F</w:t>
      </w:r>
      <w:r w:rsidRPr="00BE086B">
        <w:rPr>
          <w:sz w:val="28"/>
          <w:szCs w:val="28"/>
          <w:shd w:val="clear" w:color="auto" w:fill="FFFFFF"/>
          <w:lang w:val="uk-UA"/>
        </w:rPr>
        <w:t>.</w:t>
      </w:r>
      <w:r w:rsidRPr="00BE086B">
        <w:rPr>
          <w:sz w:val="28"/>
          <w:szCs w:val="28"/>
          <w:shd w:val="clear" w:color="auto" w:fill="FFFFFF"/>
          <w:lang w:val="en-US"/>
        </w:rPr>
        <w:t>, Lampa E</w:t>
      </w:r>
      <w:r w:rsidRPr="00BE086B">
        <w:rPr>
          <w:sz w:val="28"/>
          <w:szCs w:val="28"/>
          <w:shd w:val="clear" w:color="auto" w:fill="FFFFFF"/>
          <w:lang w:val="uk-UA"/>
        </w:rPr>
        <w:t>.</w:t>
      </w:r>
      <w:r w:rsidRPr="00BE086B">
        <w:rPr>
          <w:sz w:val="28"/>
          <w:szCs w:val="28"/>
          <w:shd w:val="clear" w:color="auto" w:fill="FFFFFF"/>
          <w:lang w:val="en-US"/>
        </w:rPr>
        <w:t>, Costantino M. Alternative therapy of earth elements increases the chondroprotective effects of chondroitin sulfate in mice. Exp Mol Med. 2005</w:t>
      </w:r>
      <w:r w:rsidRPr="00BE086B">
        <w:rPr>
          <w:sz w:val="28"/>
          <w:szCs w:val="28"/>
          <w:shd w:val="clear" w:color="auto" w:fill="FFFFFF"/>
          <w:lang w:val="uk-UA"/>
        </w:rPr>
        <w:t>;</w:t>
      </w:r>
      <w:r w:rsidRPr="00BE086B">
        <w:rPr>
          <w:sz w:val="28"/>
          <w:szCs w:val="28"/>
          <w:shd w:val="clear" w:color="auto" w:fill="FFFFFF"/>
          <w:lang w:val="en-US"/>
        </w:rPr>
        <w:t xml:space="preserve"> 31;37(5):476-</w:t>
      </w:r>
      <w:r w:rsidRPr="00BE086B">
        <w:rPr>
          <w:sz w:val="28"/>
          <w:szCs w:val="28"/>
          <w:shd w:val="clear" w:color="auto" w:fill="FFFFFF"/>
          <w:lang w:val="uk-UA"/>
        </w:rPr>
        <w:t>4</w:t>
      </w:r>
      <w:r w:rsidRPr="00BE086B">
        <w:rPr>
          <w:sz w:val="28"/>
          <w:szCs w:val="28"/>
          <w:shd w:val="clear" w:color="auto" w:fill="FFFFFF"/>
          <w:lang w:val="en-US"/>
        </w:rPr>
        <w:t>81.</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Uebelhart D</w:t>
      </w:r>
      <w:r w:rsidRPr="00BE086B">
        <w:rPr>
          <w:sz w:val="28"/>
          <w:szCs w:val="28"/>
          <w:shd w:val="clear" w:color="auto" w:fill="FFFFFF"/>
          <w:lang w:val="uk-UA"/>
        </w:rPr>
        <w:t>.</w:t>
      </w:r>
      <w:r w:rsidRPr="00BE086B">
        <w:rPr>
          <w:sz w:val="28"/>
          <w:szCs w:val="28"/>
          <w:shd w:val="clear" w:color="auto" w:fill="FFFFFF"/>
          <w:lang w:val="en-US"/>
        </w:rPr>
        <w:t>, Thonar E</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Zhang J</w:t>
      </w:r>
      <w:r w:rsidRPr="00BE086B">
        <w:rPr>
          <w:sz w:val="28"/>
          <w:szCs w:val="28"/>
          <w:shd w:val="clear" w:color="auto" w:fill="FFFFFF"/>
          <w:lang w:val="uk-UA"/>
        </w:rPr>
        <w:t>.</w:t>
      </w:r>
      <w:r w:rsidRPr="00BE086B">
        <w:rPr>
          <w:sz w:val="28"/>
          <w:szCs w:val="28"/>
          <w:shd w:val="clear" w:color="auto" w:fill="FFFFFF"/>
          <w:lang w:val="en-US"/>
        </w:rPr>
        <w:t>, Williams J</w:t>
      </w:r>
      <w:r w:rsidRPr="00BE086B">
        <w:rPr>
          <w:sz w:val="28"/>
          <w:szCs w:val="28"/>
          <w:shd w:val="clear" w:color="auto" w:fill="FFFFFF"/>
          <w:lang w:val="uk-UA"/>
        </w:rPr>
        <w:t>.</w:t>
      </w:r>
      <w:r w:rsidRPr="00BE086B">
        <w:rPr>
          <w:sz w:val="28"/>
          <w:szCs w:val="28"/>
          <w:shd w:val="clear" w:color="auto" w:fill="FFFFFF"/>
          <w:lang w:val="en-US"/>
        </w:rPr>
        <w:t>M. Protective effect of exogenous chondroitin 4,6-sulfate in the acute degradation of articular cartilage in the rabbit. Osteoarthritis Cartilage. 1998;6:6-13.</w:t>
      </w:r>
    </w:p>
    <w:p w:rsidR="008B13C0" w:rsidRPr="00BE086B" w:rsidRDefault="008B13C0" w:rsidP="00611AFB">
      <w:pPr>
        <w:widowControl w:val="0"/>
        <w:numPr>
          <w:ilvl w:val="0"/>
          <w:numId w:val="19"/>
        </w:numPr>
        <w:suppressAutoHyphens w:val="0"/>
        <w:spacing w:line="360" w:lineRule="auto"/>
        <w:ind w:left="0" w:firstLine="709"/>
        <w:jc w:val="both"/>
        <w:rPr>
          <w:rFonts w:eastAsia="AdvP2E44"/>
          <w:kern w:val="2"/>
          <w:sz w:val="28"/>
          <w:szCs w:val="28"/>
          <w:lang w:val="en-US"/>
        </w:rPr>
      </w:pPr>
      <w:r w:rsidRPr="00BE086B">
        <w:rPr>
          <w:sz w:val="28"/>
          <w:szCs w:val="28"/>
          <w:shd w:val="clear" w:color="auto" w:fill="FFFFFF"/>
          <w:lang w:val="en-US"/>
        </w:rPr>
        <w:t>Monfort J., Nacher M., Montell E., Vila J., Verges J</w:t>
      </w:r>
      <w:r w:rsidRPr="00BE086B">
        <w:rPr>
          <w:sz w:val="28"/>
          <w:szCs w:val="28"/>
          <w:shd w:val="clear" w:color="auto" w:fill="FFFFFF"/>
          <w:lang w:val="uk-UA"/>
        </w:rPr>
        <w:t>.</w:t>
      </w:r>
      <w:r w:rsidRPr="00BE086B">
        <w:rPr>
          <w:sz w:val="28"/>
          <w:szCs w:val="28"/>
          <w:shd w:val="clear" w:color="auto" w:fill="FFFFFF"/>
          <w:lang w:val="en-US"/>
        </w:rPr>
        <w:t>, Benito P. Chondroitin sulfate and hyaluronic acid (500-730 kda) inhibit stromelysin-1 synthesis in human osteoarthritic chondrocytes. Drugs Exp Clin Res. 2005;31(2):71-</w:t>
      </w:r>
      <w:r w:rsidRPr="00BE086B">
        <w:rPr>
          <w:sz w:val="28"/>
          <w:szCs w:val="28"/>
          <w:shd w:val="clear" w:color="auto" w:fill="FFFFFF"/>
          <w:lang w:val="uk-UA"/>
        </w:rPr>
        <w:t>7</w:t>
      </w:r>
      <w:r w:rsidRPr="00BE086B">
        <w:rPr>
          <w:sz w:val="28"/>
          <w:szCs w:val="28"/>
          <w:shd w:val="clear" w:color="auto" w:fill="FFFFFF"/>
          <w:lang w:val="en-US"/>
        </w:rPr>
        <w:t>6.</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rPr>
      </w:pPr>
      <w:r w:rsidRPr="00BE086B">
        <w:rPr>
          <w:sz w:val="28"/>
          <w:szCs w:val="28"/>
          <w:shd w:val="clear" w:color="auto" w:fill="FFFFFF"/>
          <w:lang w:val="en-US"/>
        </w:rPr>
        <w:t>Chou M</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Vergnolle N</w:t>
      </w:r>
      <w:r w:rsidRPr="00BE086B">
        <w:rPr>
          <w:sz w:val="28"/>
          <w:szCs w:val="28"/>
          <w:shd w:val="clear" w:color="auto" w:fill="FFFFFF"/>
          <w:lang w:val="uk-UA"/>
        </w:rPr>
        <w:t>.</w:t>
      </w:r>
      <w:r w:rsidRPr="00BE086B">
        <w:rPr>
          <w:sz w:val="28"/>
          <w:szCs w:val="28"/>
          <w:shd w:val="clear" w:color="auto" w:fill="FFFFFF"/>
          <w:lang w:val="en-US"/>
        </w:rPr>
        <w:t>, McDougall J</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Wallace J</w:t>
      </w:r>
      <w:r w:rsidRPr="00BE086B">
        <w:rPr>
          <w:sz w:val="28"/>
          <w:szCs w:val="28"/>
          <w:shd w:val="clear" w:color="auto" w:fill="FFFFFF"/>
          <w:lang w:val="uk-UA"/>
        </w:rPr>
        <w:t>.</w:t>
      </w:r>
      <w:r w:rsidRPr="00BE086B">
        <w:rPr>
          <w:sz w:val="28"/>
          <w:szCs w:val="28"/>
          <w:shd w:val="clear" w:color="auto" w:fill="FFFFFF"/>
          <w:lang w:val="en-US"/>
        </w:rPr>
        <w:t>L</w:t>
      </w:r>
      <w:r w:rsidRPr="00BE086B">
        <w:rPr>
          <w:sz w:val="28"/>
          <w:szCs w:val="28"/>
          <w:shd w:val="clear" w:color="auto" w:fill="FFFFFF"/>
          <w:lang w:val="uk-UA"/>
        </w:rPr>
        <w:t>.</w:t>
      </w:r>
      <w:r w:rsidRPr="00BE086B">
        <w:rPr>
          <w:sz w:val="28"/>
          <w:szCs w:val="28"/>
          <w:shd w:val="clear" w:color="auto" w:fill="FFFFFF"/>
          <w:lang w:val="en-US"/>
        </w:rPr>
        <w:t>, Marty S</w:t>
      </w:r>
      <w:r w:rsidRPr="00BE086B">
        <w:rPr>
          <w:sz w:val="28"/>
          <w:szCs w:val="28"/>
          <w:shd w:val="clear" w:color="auto" w:fill="FFFFFF"/>
          <w:lang w:val="uk-UA"/>
        </w:rPr>
        <w:t>.</w:t>
      </w:r>
      <w:r w:rsidRPr="00BE086B">
        <w:rPr>
          <w:sz w:val="28"/>
          <w:szCs w:val="28"/>
          <w:shd w:val="clear" w:color="auto" w:fill="FFFFFF"/>
          <w:lang w:val="en-US"/>
        </w:rPr>
        <w:t>, Teskey V</w:t>
      </w:r>
      <w:r w:rsidRPr="00BE086B">
        <w:rPr>
          <w:sz w:val="28"/>
          <w:szCs w:val="28"/>
          <w:shd w:val="clear" w:color="auto" w:fill="FFFFFF"/>
          <w:lang w:val="uk-UA"/>
        </w:rPr>
        <w:t>.</w:t>
      </w:r>
      <w:r w:rsidRPr="00BE086B">
        <w:rPr>
          <w:sz w:val="28"/>
          <w:szCs w:val="28"/>
          <w:shd w:val="clear" w:color="auto" w:fill="FFFFFF"/>
          <w:lang w:val="en-US"/>
        </w:rPr>
        <w:t>, Buret A</w:t>
      </w:r>
      <w:r w:rsidRPr="00BE086B">
        <w:rPr>
          <w:sz w:val="28"/>
          <w:szCs w:val="28"/>
          <w:shd w:val="clear" w:color="auto" w:fill="FFFFFF"/>
          <w:lang w:val="uk-UA"/>
        </w:rPr>
        <w:t>.</w:t>
      </w:r>
      <w:r w:rsidRPr="00BE086B">
        <w:rPr>
          <w:sz w:val="28"/>
          <w:szCs w:val="28"/>
          <w:shd w:val="clear" w:color="auto" w:fill="FFFFFF"/>
          <w:lang w:val="en-US"/>
        </w:rPr>
        <w:t>G. Effects of chondroitin and glucosamine sulfate in a dietary bar formulation on inflammation, interleukin-1beta, matrix metalloprotease-9, and cartilage damage in arthritis. Exp Biol Med (Maywood). 2005;230(4):255-62.</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Holzmann J</w:t>
      </w:r>
      <w:r w:rsidRPr="00BE086B">
        <w:rPr>
          <w:sz w:val="28"/>
          <w:szCs w:val="28"/>
          <w:shd w:val="clear" w:color="auto" w:fill="FFFFFF"/>
          <w:lang w:val="uk-UA"/>
        </w:rPr>
        <w:t>.</w:t>
      </w:r>
      <w:r w:rsidRPr="00BE086B">
        <w:rPr>
          <w:sz w:val="28"/>
          <w:szCs w:val="28"/>
          <w:shd w:val="clear" w:color="auto" w:fill="FFFFFF"/>
          <w:lang w:val="en-US"/>
        </w:rPr>
        <w:t>, Brandl N</w:t>
      </w:r>
      <w:r w:rsidRPr="00BE086B">
        <w:rPr>
          <w:sz w:val="28"/>
          <w:szCs w:val="28"/>
          <w:shd w:val="clear" w:color="auto" w:fill="FFFFFF"/>
          <w:lang w:val="uk-UA"/>
        </w:rPr>
        <w:t>.</w:t>
      </w:r>
      <w:r w:rsidRPr="00BE086B">
        <w:rPr>
          <w:sz w:val="28"/>
          <w:szCs w:val="28"/>
          <w:shd w:val="clear" w:color="auto" w:fill="FFFFFF"/>
          <w:lang w:val="en-US"/>
        </w:rPr>
        <w:t>, Zemann A</w:t>
      </w:r>
      <w:r w:rsidRPr="00BE086B">
        <w:rPr>
          <w:sz w:val="28"/>
          <w:szCs w:val="28"/>
          <w:shd w:val="clear" w:color="auto" w:fill="FFFFFF"/>
          <w:lang w:val="uk-UA"/>
        </w:rPr>
        <w:t>.</w:t>
      </w:r>
      <w:r w:rsidRPr="00BE086B">
        <w:rPr>
          <w:sz w:val="28"/>
          <w:szCs w:val="28"/>
          <w:shd w:val="clear" w:color="auto" w:fill="FFFFFF"/>
          <w:lang w:val="en-US"/>
        </w:rPr>
        <w:t>, Schabus R</w:t>
      </w:r>
      <w:r w:rsidRPr="00BE086B">
        <w:rPr>
          <w:sz w:val="28"/>
          <w:szCs w:val="28"/>
          <w:shd w:val="clear" w:color="auto" w:fill="FFFFFF"/>
          <w:lang w:val="uk-UA"/>
        </w:rPr>
        <w:t>.</w:t>
      </w:r>
      <w:r w:rsidRPr="00BE086B">
        <w:rPr>
          <w:sz w:val="28"/>
          <w:szCs w:val="28"/>
          <w:shd w:val="clear" w:color="auto" w:fill="FFFFFF"/>
          <w:lang w:val="en-US"/>
        </w:rPr>
        <w:t>, Marlovits S</w:t>
      </w:r>
      <w:r w:rsidRPr="00BE086B">
        <w:rPr>
          <w:sz w:val="28"/>
          <w:szCs w:val="28"/>
          <w:shd w:val="clear" w:color="auto" w:fill="FFFFFF"/>
          <w:lang w:val="uk-UA"/>
        </w:rPr>
        <w:t>.</w:t>
      </w:r>
      <w:r w:rsidRPr="00BE086B">
        <w:rPr>
          <w:sz w:val="28"/>
          <w:szCs w:val="28"/>
          <w:shd w:val="clear" w:color="auto" w:fill="FFFFFF"/>
          <w:lang w:val="en-US"/>
        </w:rPr>
        <w:t>, Cowburn R</w:t>
      </w:r>
      <w:r w:rsidRPr="00BE086B">
        <w:rPr>
          <w:sz w:val="28"/>
          <w:szCs w:val="28"/>
          <w:shd w:val="clear" w:color="auto" w:fill="FFFFFF"/>
          <w:lang w:val="uk-UA"/>
        </w:rPr>
        <w:t>.</w:t>
      </w:r>
      <w:r w:rsidRPr="00BE086B">
        <w:rPr>
          <w:sz w:val="28"/>
          <w:szCs w:val="28"/>
          <w:shd w:val="clear" w:color="auto" w:fill="FFFFFF"/>
          <w:lang w:val="en-US"/>
        </w:rPr>
        <w:t>, Huettinger M. Assorted effects of TGFbeta and chondroitinsulfate on p38 and ERK1/2 activation levels in human articular chondrocytes stimulated with LPS. Osteoarthritis Cartilage. 2006;14(6):519-25.</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Li X</w:t>
      </w:r>
      <w:r w:rsidRPr="00BE086B">
        <w:rPr>
          <w:sz w:val="28"/>
          <w:szCs w:val="28"/>
          <w:shd w:val="clear" w:color="auto" w:fill="FFFFFF"/>
          <w:lang w:val="uk-UA"/>
        </w:rPr>
        <w:t>.</w:t>
      </w:r>
      <w:r w:rsidRPr="00BE086B">
        <w:rPr>
          <w:sz w:val="28"/>
          <w:szCs w:val="28"/>
          <w:shd w:val="clear" w:color="auto" w:fill="FFFFFF"/>
          <w:lang w:val="en-US"/>
        </w:rPr>
        <w:t>, Afif H</w:t>
      </w:r>
      <w:r w:rsidRPr="00BE086B">
        <w:rPr>
          <w:sz w:val="28"/>
          <w:szCs w:val="28"/>
          <w:shd w:val="clear" w:color="auto" w:fill="FFFFFF"/>
          <w:lang w:val="uk-UA"/>
        </w:rPr>
        <w:t>.</w:t>
      </w:r>
      <w:r w:rsidRPr="00BE086B">
        <w:rPr>
          <w:sz w:val="28"/>
          <w:szCs w:val="28"/>
          <w:shd w:val="clear" w:color="auto" w:fill="FFFFFF"/>
          <w:lang w:val="en-US"/>
        </w:rPr>
        <w:t>, Cheng S</w:t>
      </w:r>
      <w:r w:rsidRPr="00BE086B">
        <w:rPr>
          <w:sz w:val="28"/>
          <w:szCs w:val="28"/>
          <w:shd w:val="clear" w:color="auto" w:fill="FFFFFF"/>
          <w:lang w:val="uk-UA"/>
        </w:rPr>
        <w:t>.</w:t>
      </w:r>
      <w:r w:rsidRPr="00BE086B">
        <w:rPr>
          <w:sz w:val="28"/>
          <w:szCs w:val="28"/>
          <w:shd w:val="clear" w:color="auto" w:fill="FFFFFF"/>
          <w:lang w:val="en-US"/>
        </w:rPr>
        <w:t>, Martel-Pelletier J</w:t>
      </w:r>
      <w:r w:rsidRPr="00BE086B">
        <w:rPr>
          <w:sz w:val="28"/>
          <w:szCs w:val="28"/>
          <w:shd w:val="clear" w:color="auto" w:fill="FFFFFF"/>
          <w:lang w:val="uk-UA"/>
        </w:rPr>
        <w:t>.</w:t>
      </w:r>
      <w:r w:rsidRPr="00BE086B">
        <w:rPr>
          <w:sz w:val="28"/>
          <w:szCs w:val="28"/>
          <w:shd w:val="clear" w:color="auto" w:fill="FFFFFF"/>
          <w:lang w:val="en-US"/>
        </w:rPr>
        <w:t>, Pelletier J</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Ranger P</w:t>
      </w:r>
      <w:r w:rsidRPr="00BE086B">
        <w:rPr>
          <w:sz w:val="28"/>
          <w:szCs w:val="28"/>
          <w:shd w:val="clear" w:color="auto" w:fill="FFFFFF"/>
          <w:lang w:val="uk-UA"/>
        </w:rPr>
        <w:t>.</w:t>
      </w:r>
      <w:r w:rsidRPr="00BE086B">
        <w:rPr>
          <w:sz w:val="28"/>
          <w:szCs w:val="28"/>
          <w:shd w:val="clear" w:color="auto" w:fill="FFFFFF"/>
          <w:lang w:val="en-US"/>
        </w:rPr>
        <w:t xml:space="preserve">, </w:t>
      </w:r>
      <w:r w:rsidRPr="00BE086B">
        <w:rPr>
          <w:sz w:val="28"/>
          <w:szCs w:val="28"/>
          <w:shd w:val="clear" w:color="auto" w:fill="FFFFFF"/>
          <w:lang w:val="en-US"/>
        </w:rPr>
        <w:lastRenderedPageBreak/>
        <w:t>Fahmi H. Expression and regulation of microsomal prostaglandin E synthase-1 in human osteoarthritic cartilage and chondrocytes. J Rheumatol. 2005;32(5):887-</w:t>
      </w:r>
      <w:r w:rsidRPr="00BE086B">
        <w:rPr>
          <w:sz w:val="28"/>
          <w:szCs w:val="28"/>
          <w:shd w:val="clear" w:color="auto" w:fill="FFFFFF"/>
          <w:lang w:val="uk-UA"/>
        </w:rPr>
        <w:t>8</w:t>
      </w:r>
      <w:r w:rsidRPr="00BE086B">
        <w:rPr>
          <w:sz w:val="28"/>
          <w:szCs w:val="28"/>
          <w:shd w:val="clear" w:color="auto" w:fill="FFFFFF"/>
          <w:lang w:val="en-US"/>
        </w:rPr>
        <w:t>95.</w:t>
      </w:r>
    </w:p>
    <w:p w:rsidR="008B13C0" w:rsidRPr="00BE086B" w:rsidRDefault="008B13C0" w:rsidP="00611AFB">
      <w:pPr>
        <w:widowControl w:val="0"/>
        <w:numPr>
          <w:ilvl w:val="0"/>
          <w:numId w:val="19"/>
        </w:numPr>
        <w:suppressAutoHyphens w:val="0"/>
        <w:spacing w:line="360" w:lineRule="auto"/>
        <w:ind w:left="0" w:firstLine="709"/>
        <w:jc w:val="both"/>
        <w:rPr>
          <w:rFonts w:eastAsia="AdvP2E44"/>
          <w:kern w:val="2"/>
          <w:sz w:val="28"/>
          <w:szCs w:val="28"/>
          <w:lang w:val="uk-UA"/>
        </w:rPr>
      </w:pPr>
      <w:r w:rsidRPr="00BE086B">
        <w:rPr>
          <w:sz w:val="28"/>
          <w:szCs w:val="28"/>
          <w:shd w:val="clear" w:color="auto" w:fill="FFFFFF"/>
          <w:lang w:val="en-US"/>
        </w:rPr>
        <w:t>Chan P</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 Caron J</w:t>
      </w:r>
      <w:r w:rsidRPr="00BE086B">
        <w:rPr>
          <w:sz w:val="28"/>
          <w:szCs w:val="28"/>
          <w:shd w:val="clear" w:color="auto" w:fill="FFFFFF"/>
          <w:lang w:val="uk-UA"/>
        </w:rPr>
        <w:t>.</w:t>
      </w:r>
      <w:r w:rsidRPr="00BE086B">
        <w:rPr>
          <w:sz w:val="28"/>
          <w:szCs w:val="28"/>
          <w:shd w:val="clear" w:color="auto" w:fill="FFFFFF"/>
          <w:lang w:val="en-US"/>
        </w:rPr>
        <w:t>P</w:t>
      </w:r>
      <w:r w:rsidRPr="00BE086B">
        <w:rPr>
          <w:sz w:val="28"/>
          <w:szCs w:val="28"/>
          <w:shd w:val="clear" w:color="auto" w:fill="FFFFFF"/>
          <w:lang w:val="uk-UA"/>
        </w:rPr>
        <w:t>.</w:t>
      </w:r>
      <w:r w:rsidRPr="00BE086B">
        <w:rPr>
          <w:sz w:val="28"/>
          <w:szCs w:val="28"/>
          <w:shd w:val="clear" w:color="auto" w:fill="FFFFFF"/>
          <w:lang w:val="en-US"/>
        </w:rPr>
        <w:t>, Orth M</w:t>
      </w:r>
      <w:r w:rsidRPr="00BE086B">
        <w:rPr>
          <w:sz w:val="28"/>
          <w:szCs w:val="28"/>
          <w:shd w:val="clear" w:color="auto" w:fill="FFFFFF"/>
          <w:lang w:val="uk-UA"/>
        </w:rPr>
        <w:t>.</w:t>
      </w:r>
      <w:r w:rsidRPr="00BE086B">
        <w:rPr>
          <w:sz w:val="28"/>
          <w:szCs w:val="28"/>
          <w:shd w:val="clear" w:color="auto" w:fill="FFFFFF"/>
          <w:lang w:val="en-US"/>
        </w:rPr>
        <w:t>W. Short-term gene expression changes in cartilage explants stimulated with interleukin beta plus glucosamine and chondroitin sulfate. J Rheumatol. 2006;33(7):1329-</w:t>
      </w:r>
      <w:r w:rsidRPr="00BE086B">
        <w:rPr>
          <w:sz w:val="28"/>
          <w:szCs w:val="28"/>
          <w:shd w:val="clear" w:color="auto" w:fill="FFFFFF"/>
          <w:lang w:val="uk-UA"/>
        </w:rPr>
        <w:t>13</w:t>
      </w:r>
      <w:r w:rsidRPr="00BE086B">
        <w:rPr>
          <w:sz w:val="28"/>
          <w:szCs w:val="28"/>
          <w:shd w:val="clear" w:color="auto" w:fill="FFFFFF"/>
          <w:lang w:val="en-US"/>
        </w:rPr>
        <w:t>40.</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lang w:val="uk-UA"/>
        </w:rPr>
      </w:pPr>
      <w:r w:rsidRPr="00BE086B">
        <w:rPr>
          <w:sz w:val="28"/>
          <w:szCs w:val="28"/>
          <w:shd w:val="clear" w:color="auto" w:fill="FFFFFF"/>
          <w:lang w:val="en-US"/>
        </w:rPr>
        <w:t>Campo G.M., Avenoso A., Campo S., D'Ascola A., Traina P., Calatroni A. Chondroitin-4-sulphate inhibits NF-kB translocation and caspase activation in collagen-induced arthritis in mice. Osteoarthritis Cartilage. 2008 Dec;16(12):1474-83.</w:t>
      </w:r>
    </w:p>
    <w:p w:rsidR="008B13C0" w:rsidRPr="00BE086B" w:rsidRDefault="008B13C0" w:rsidP="00611AFB">
      <w:pPr>
        <w:widowControl w:val="0"/>
        <w:numPr>
          <w:ilvl w:val="0"/>
          <w:numId w:val="19"/>
        </w:numPr>
        <w:suppressAutoHyphens w:val="0"/>
        <w:spacing w:line="360" w:lineRule="auto"/>
        <w:ind w:left="0" w:firstLine="709"/>
        <w:jc w:val="both"/>
        <w:rPr>
          <w:sz w:val="28"/>
          <w:szCs w:val="28"/>
          <w:lang w:val="uk-UA"/>
        </w:rPr>
      </w:pPr>
      <w:r w:rsidRPr="00BE086B">
        <w:rPr>
          <w:sz w:val="28"/>
          <w:szCs w:val="28"/>
          <w:shd w:val="clear" w:color="auto" w:fill="FFFFFF"/>
          <w:lang w:val="en-US"/>
        </w:rPr>
        <w:t xml:space="preserve">Campo GM, Avenoso A, Campo S, D'Ascola A, Traina P, Samà D, Calatroni A. NF-kB and caspases are involved in the hyaluronan and chondroitin-4-sulphate-exerted antioxidant effect in fibroblast cultures exposed to oxidative stress. </w:t>
      </w:r>
      <w:r w:rsidRPr="00BE086B">
        <w:rPr>
          <w:sz w:val="28"/>
          <w:szCs w:val="28"/>
          <w:shd w:val="clear" w:color="auto" w:fill="FFFFFF"/>
        </w:rPr>
        <w:t>J Appl Toxicol. 2008;28(4):509-</w:t>
      </w:r>
      <w:r w:rsidRPr="00BE086B">
        <w:rPr>
          <w:sz w:val="28"/>
          <w:szCs w:val="28"/>
          <w:shd w:val="clear" w:color="auto" w:fill="FFFFFF"/>
          <w:lang w:val="uk-UA"/>
        </w:rPr>
        <w:t>5</w:t>
      </w:r>
      <w:r w:rsidRPr="00BE086B">
        <w:rPr>
          <w:sz w:val="28"/>
          <w:szCs w:val="28"/>
          <w:shd w:val="clear" w:color="auto" w:fill="FFFFFF"/>
        </w:rPr>
        <w:t>17.</w:t>
      </w:r>
    </w:p>
    <w:p w:rsidR="008B13C0" w:rsidRPr="00BE086B" w:rsidRDefault="008B13C0" w:rsidP="00611AFB">
      <w:pPr>
        <w:widowControl w:val="0"/>
        <w:numPr>
          <w:ilvl w:val="0"/>
          <w:numId w:val="19"/>
        </w:numPr>
        <w:suppressAutoHyphens w:val="0"/>
        <w:spacing w:line="360" w:lineRule="auto"/>
        <w:ind w:left="0" w:firstLine="709"/>
        <w:jc w:val="both"/>
        <w:rPr>
          <w:rFonts w:eastAsia="AdvP2E44"/>
          <w:kern w:val="2"/>
          <w:sz w:val="28"/>
          <w:szCs w:val="28"/>
          <w:lang w:val="uk-UA"/>
        </w:rPr>
      </w:pPr>
      <w:r w:rsidRPr="00BE086B">
        <w:rPr>
          <w:sz w:val="28"/>
          <w:szCs w:val="28"/>
          <w:shd w:val="clear" w:color="auto" w:fill="FFFFFF"/>
          <w:lang w:val="en-US"/>
        </w:rPr>
        <w:t>Cho S.Y., Sim J.S., Jeong C.S., Chang S.Y., Choi D.W., Toida T., Kim Y.S. Effects of low molecular weight chondroitin sulfate on type II collagen-induced arthritis in DBA/1J mice. Biol Pharm Bull. 2004;27(1):47-51.</w:t>
      </w:r>
    </w:p>
    <w:p w:rsidR="008B13C0" w:rsidRPr="00BE086B" w:rsidRDefault="008B13C0" w:rsidP="00611AFB">
      <w:pPr>
        <w:widowControl w:val="0"/>
        <w:numPr>
          <w:ilvl w:val="0"/>
          <w:numId w:val="19"/>
        </w:numPr>
        <w:suppressAutoHyphens w:val="0"/>
        <w:spacing w:line="360" w:lineRule="auto"/>
        <w:ind w:left="0" w:firstLine="709"/>
        <w:jc w:val="both"/>
        <w:rPr>
          <w:b/>
          <w:kern w:val="2"/>
          <w:sz w:val="28"/>
          <w:szCs w:val="28"/>
        </w:rPr>
      </w:pPr>
      <w:r w:rsidRPr="00BE086B">
        <w:rPr>
          <w:sz w:val="28"/>
          <w:szCs w:val="28"/>
          <w:shd w:val="clear" w:color="auto" w:fill="FFFFFF"/>
          <w:lang w:val="en-US"/>
        </w:rPr>
        <w:t>David-Raoudi M</w:t>
      </w:r>
      <w:r w:rsidRPr="00BE086B">
        <w:rPr>
          <w:sz w:val="28"/>
          <w:szCs w:val="28"/>
          <w:shd w:val="clear" w:color="auto" w:fill="FFFFFF"/>
          <w:lang w:val="uk-UA"/>
        </w:rPr>
        <w:t>.</w:t>
      </w:r>
      <w:r w:rsidRPr="00BE086B">
        <w:rPr>
          <w:sz w:val="28"/>
          <w:szCs w:val="28"/>
          <w:shd w:val="clear" w:color="auto" w:fill="FFFFFF"/>
          <w:lang w:val="en-US"/>
        </w:rPr>
        <w:t>, Deschrevel B</w:t>
      </w:r>
      <w:r w:rsidRPr="00BE086B">
        <w:rPr>
          <w:sz w:val="28"/>
          <w:szCs w:val="28"/>
          <w:shd w:val="clear" w:color="auto" w:fill="FFFFFF"/>
          <w:lang w:val="uk-UA"/>
        </w:rPr>
        <w:t>.</w:t>
      </w:r>
      <w:r w:rsidRPr="00BE086B">
        <w:rPr>
          <w:sz w:val="28"/>
          <w:szCs w:val="28"/>
          <w:shd w:val="clear" w:color="auto" w:fill="FFFFFF"/>
          <w:lang w:val="en-US"/>
        </w:rPr>
        <w:t>, Leclercq S</w:t>
      </w:r>
      <w:r w:rsidRPr="00BE086B">
        <w:rPr>
          <w:sz w:val="28"/>
          <w:szCs w:val="28"/>
          <w:shd w:val="clear" w:color="auto" w:fill="FFFFFF"/>
          <w:lang w:val="uk-UA"/>
        </w:rPr>
        <w:t>.</w:t>
      </w:r>
      <w:r w:rsidRPr="00BE086B">
        <w:rPr>
          <w:sz w:val="28"/>
          <w:szCs w:val="28"/>
          <w:shd w:val="clear" w:color="auto" w:fill="FFFFFF"/>
          <w:lang w:val="en-US"/>
        </w:rPr>
        <w:t>, Galéra P</w:t>
      </w:r>
      <w:r w:rsidRPr="00BE086B">
        <w:rPr>
          <w:sz w:val="28"/>
          <w:szCs w:val="28"/>
          <w:shd w:val="clear" w:color="auto" w:fill="FFFFFF"/>
          <w:lang w:val="uk-UA"/>
        </w:rPr>
        <w:t>.</w:t>
      </w:r>
      <w:r w:rsidRPr="00BE086B">
        <w:rPr>
          <w:sz w:val="28"/>
          <w:szCs w:val="28"/>
          <w:shd w:val="clear" w:color="auto" w:fill="FFFFFF"/>
          <w:lang w:val="en-US"/>
        </w:rPr>
        <w:t>, Boumediene K</w:t>
      </w:r>
      <w:r w:rsidRPr="00BE086B">
        <w:rPr>
          <w:sz w:val="28"/>
          <w:szCs w:val="28"/>
          <w:shd w:val="clear" w:color="auto" w:fill="FFFFFF"/>
          <w:lang w:val="uk-UA"/>
        </w:rPr>
        <w:t>.</w:t>
      </w:r>
      <w:r w:rsidRPr="00BE086B">
        <w:rPr>
          <w:sz w:val="28"/>
          <w:szCs w:val="28"/>
          <w:shd w:val="clear" w:color="auto" w:fill="FFFFFF"/>
          <w:lang w:val="en-US"/>
        </w:rPr>
        <w:t>, Pujol J</w:t>
      </w:r>
      <w:r w:rsidRPr="00BE086B">
        <w:rPr>
          <w:sz w:val="28"/>
          <w:szCs w:val="28"/>
          <w:shd w:val="clear" w:color="auto" w:fill="FFFFFF"/>
          <w:lang w:val="uk-UA"/>
        </w:rPr>
        <w:t>.</w:t>
      </w:r>
      <w:r w:rsidRPr="00BE086B">
        <w:rPr>
          <w:sz w:val="28"/>
          <w:szCs w:val="28"/>
          <w:shd w:val="clear" w:color="auto" w:fill="FFFFFF"/>
          <w:lang w:val="en-US"/>
        </w:rPr>
        <w:t>P. Chondroitin sulfate increases hyaluronan production by human synoviocytes through differential regulation of hyaluronan synthases: Role of p38 and Akt. Arthritis Rheum. 2009;60(3):760-</w:t>
      </w:r>
      <w:r w:rsidRPr="00BE086B">
        <w:rPr>
          <w:sz w:val="28"/>
          <w:szCs w:val="28"/>
          <w:shd w:val="clear" w:color="auto" w:fill="FFFFFF"/>
          <w:lang w:val="uk-UA"/>
        </w:rPr>
        <w:t>7</w:t>
      </w:r>
      <w:r w:rsidRPr="00BE086B">
        <w:rPr>
          <w:sz w:val="28"/>
          <w:szCs w:val="28"/>
          <w:shd w:val="clear" w:color="auto" w:fill="FFFFFF"/>
          <w:lang w:val="en-US"/>
        </w:rPr>
        <w:t>70.</w:t>
      </w:r>
    </w:p>
    <w:p w:rsidR="008B13C0" w:rsidRPr="00BE086B" w:rsidRDefault="008B13C0" w:rsidP="00611AFB">
      <w:pPr>
        <w:widowControl w:val="0"/>
        <w:numPr>
          <w:ilvl w:val="0"/>
          <w:numId w:val="19"/>
        </w:numPr>
        <w:suppressAutoHyphens w:val="0"/>
        <w:autoSpaceDN w:val="0"/>
        <w:spacing w:line="360" w:lineRule="auto"/>
        <w:ind w:left="0" w:firstLine="709"/>
        <w:jc w:val="both"/>
        <w:rPr>
          <w:sz w:val="28"/>
          <w:szCs w:val="28"/>
          <w:lang w:val="en-US" w:eastAsia="en-US"/>
        </w:rPr>
      </w:pPr>
      <w:r w:rsidRPr="00BE086B">
        <w:rPr>
          <w:sz w:val="28"/>
          <w:szCs w:val="28"/>
          <w:shd w:val="clear" w:color="auto" w:fill="FFFFFF"/>
          <w:lang w:val="en-US"/>
        </w:rPr>
        <w:t>Henrotin Y</w:t>
      </w:r>
      <w:r w:rsidRPr="00BE086B">
        <w:rPr>
          <w:sz w:val="28"/>
          <w:szCs w:val="28"/>
          <w:shd w:val="clear" w:color="auto" w:fill="FFFFFF"/>
          <w:lang w:val="uk-UA"/>
        </w:rPr>
        <w:t>.</w:t>
      </w:r>
      <w:r w:rsidRPr="00BE086B">
        <w:rPr>
          <w:sz w:val="28"/>
          <w:szCs w:val="28"/>
          <w:shd w:val="clear" w:color="auto" w:fill="FFFFFF"/>
          <w:lang w:val="en-US"/>
        </w:rPr>
        <w:t>, Mathy M</w:t>
      </w:r>
      <w:r w:rsidRPr="00BE086B">
        <w:rPr>
          <w:sz w:val="28"/>
          <w:szCs w:val="28"/>
          <w:shd w:val="clear" w:color="auto" w:fill="FFFFFF"/>
          <w:lang w:val="uk-UA"/>
        </w:rPr>
        <w:t>.</w:t>
      </w:r>
      <w:r w:rsidRPr="00BE086B">
        <w:rPr>
          <w:sz w:val="28"/>
          <w:szCs w:val="28"/>
          <w:shd w:val="clear" w:color="auto" w:fill="FFFFFF"/>
          <w:lang w:val="en-US"/>
        </w:rPr>
        <w:t>, Sanchez C</w:t>
      </w:r>
      <w:r w:rsidRPr="00BE086B">
        <w:rPr>
          <w:sz w:val="28"/>
          <w:szCs w:val="28"/>
          <w:shd w:val="clear" w:color="auto" w:fill="FFFFFF"/>
          <w:lang w:val="uk-UA"/>
        </w:rPr>
        <w:t>.</w:t>
      </w:r>
      <w:r w:rsidRPr="00BE086B">
        <w:rPr>
          <w:sz w:val="28"/>
          <w:szCs w:val="28"/>
          <w:shd w:val="clear" w:color="auto" w:fill="FFFFFF"/>
          <w:lang w:val="en-US"/>
        </w:rPr>
        <w:t>, Lambert C. Chondroitin sulfate in the treatment of osteoarthritis: from in vitro studies to clinical recommendations. Ther Adv Musculoskelet Dis. 2010;2(6):335-</w:t>
      </w:r>
      <w:r w:rsidRPr="00BE086B">
        <w:rPr>
          <w:sz w:val="28"/>
          <w:szCs w:val="28"/>
          <w:shd w:val="clear" w:color="auto" w:fill="FFFFFF"/>
          <w:lang w:val="uk-UA"/>
        </w:rPr>
        <w:t>3</w:t>
      </w:r>
      <w:r w:rsidRPr="00BE086B">
        <w:rPr>
          <w:sz w:val="28"/>
          <w:szCs w:val="28"/>
          <w:shd w:val="clear" w:color="auto" w:fill="FFFFFF"/>
          <w:lang w:val="en-US"/>
        </w:rPr>
        <w:t>48.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Reginster J</w:t>
      </w:r>
      <w:r w:rsidRPr="00BE086B">
        <w:rPr>
          <w:sz w:val="28"/>
          <w:szCs w:val="28"/>
          <w:shd w:val="clear" w:color="auto" w:fill="FFFFFF"/>
          <w:lang w:val="uk-UA"/>
        </w:rPr>
        <w:t>.</w:t>
      </w:r>
      <w:r w:rsidRPr="00BE086B">
        <w:rPr>
          <w:sz w:val="28"/>
          <w:szCs w:val="28"/>
          <w:shd w:val="clear" w:color="auto" w:fill="FFFFFF"/>
          <w:lang w:val="en-US"/>
        </w:rPr>
        <w:t>Y</w:t>
      </w:r>
      <w:r w:rsidRPr="00BE086B">
        <w:rPr>
          <w:sz w:val="28"/>
          <w:szCs w:val="28"/>
          <w:shd w:val="clear" w:color="auto" w:fill="FFFFFF"/>
          <w:lang w:val="uk-UA"/>
        </w:rPr>
        <w:t>.</w:t>
      </w:r>
      <w:r w:rsidRPr="00BE086B">
        <w:rPr>
          <w:sz w:val="28"/>
          <w:szCs w:val="28"/>
          <w:shd w:val="clear" w:color="auto" w:fill="FFFFFF"/>
          <w:lang w:val="en-US"/>
        </w:rPr>
        <w:t>, Heraud F</w:t>
      </w:r>
      <w:r w:rsidRPr="00BE086B">
        <w:rPr>
          <w:sz w:val="28"/>
          <w:szCs w:val="28"/>
          <w:shd w:val="clear" w:color="auto" w:fill="FFFFFF"/>
          <w:lang w:val="uk-UA"/>
        </w:rPr>
        <w:t>.</w:t>
      </w:r>
      <w:r w:rsidRPr="00BE086B">
        <w:rPr>
          <w:sz w:val="28"/>
          <w:szCs w:val="28"/>
          <w:shd w:val="clear" w:color="auto" w:fill="FFFFFF"/>
          <w:lang w:val="en-US"/>
        </w:rPr>
        <w:t>, Zegels B</w:t>
      </w:r>
      <w:r w:rsidRPr="00BE086B">
        <w:rPr>
          <w:sz w:val="28"/>
          <w:szCs w:val="28"/>
          <w:shd w:val="clear" w:color="auto" w:fill="FFFFFF"/>
          <w:lang w:val="uk-UA"/>
        </w:rPr>
        <w:t>.</w:t>
      </w:r>
      <w:r w:rsidRPr="00BE086B">
        <w:rPr>
          <w:sz w:val="28"/>
          <w:szCs w:val="28"/>
          <w:shd w:val="clear" w:color="auto" w:fill="FFFFFF"/>
          <w:lang w:val="en-US"/>
        </w:rPr>
        <w:t>, Bruyere O. Symptom and structure modifying properties of chondroitin sulfate in osteoarthritis. Mini Rev Med Chem. 2007;7(10):1051-</w:t>
      </w:r>
      <w:r w:rsidRPr="00BE086B">
        <w:rPr>
          <w:sz w:val="28"/>
          <w:szCs w:val="28"/>
          <w:shd w:val="clear" w:color="auto" w:fill="FFFFFF"/>
          <w:lang w:val="uk-UA"/>
        </w:rPr>
        <w:t>10</w:t>
      </w:r>
      <w:r w:rsidRPr="00BE086B">
        <w:rPr>
          <w:sz w:val="28"/>
          <w:szCs w:val="28"/>
          <w:shd w:val="clear" w:color="auto" w:fill="FFFFFF"/>
          <w:lang w:val="en-US"/>
        </w:rPr>
        <w:t>61.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Onishi H</w:t>
      </w:r>
      <w:r w:rsidRPr="00BE086B">
        <w:rPr>
          <w:sz w:val="28"/>
          <w:szCs w:val="28"/>
          <w:shd w:val="clear" w:color="auto" w:fill="FFFFFF"/>
          <w:lang w:val="uk-UA"/>
        </w:rPr>
        <w:t>.</w:t>
      </w:r>
      <w:r w:rsidRPr="00BE086B">
        <w:rPr>
          <w:sz w:val="28"/>
          <w:szCs w:val="28"/>
          <w:shd w:val="clear" w:color="auto" w:fill="FFFFFF"/>
          <w:lang w:val="en-US"/>
        </w:rPr>
        <w:t>, Yoshida R</w:t>
      </w:r>
      <w:r w:rsidRPr="00BE086B">
        <w:rPr>
          <w:sz w:val="28"/>
          <w:szCs w:val="28"/>
          <w:shd w:val="clear" w:color="auto" w:fill="FFFFFF"/>
          <w:lang w:val="uk-UA"/>
        </w:rPr>
        <w:t>.</w:t>
      </w:r>
      <w:r w:rsidRPr="00BE086B">
        <w:rPr>
          <w:sz w:val="28"/>
          <w:szCs w:val="28"/>
          <w:shd w:val="clear" w:color="auto" w:fill="FFFFFF"/>
          <w:lang w:val="en-US"/>
        </w:rPr>
        <w:t>, Matsuyama M. Chondroitin sulfate-glycyl-prednisolone conjugate as arthritis targeting system: localization and drug release in inflammatory joints. Biol Pharm Bull. 2014;37(10):1641-</w:t>
      </w:r>
      <w:r w:rsidRPr="00BE086B">
        <w:rPr>
          <w:sz w:val="28"/>
          <w:szCs w:val="28"/>
          <w:shd w:val="clear" w:color="auto" w:fill="FFFFFF"/>
          <w:lang w:val="uk-UA"/>
        </w:rPr>
        <w:t>164</w:t>
      </w:r>
      <w:r w:rsidRPr="00BE086B">
        <w:rPr>
          <w:sz w:val="28"/>
          <w:szCs w:val="28"/>
          <w:shd w:val="clear" w:color="auto" w:fill="FFFFFF"/>
          <w:lang w:val="en-US"/>
        </w:rPr>
        <w:t>9.</w:t>
      </w:r>
    </w:p>
    <w:p w:rsidR="008B13C0" w:rsidRPr="00BE086B" w:rsidRDefault="008B13C0" w:rsidP="00611AFB">
      <w:pPr>
        <w:widowControl w:val="0"/>
        <w:numPr>
          <w:ilvl w:val="0"/>
          <w:numId w:val="19"/>
        </w:numPr>
        <w:suppressAutoHyphens w:val="0"/>
        <w:spacing w:line="360" w:lineRule="auto"/>
        <w:ind w:left="0" w:firstLine="709"/>
        <w:jc w:val="both"/>
        <w:rPr>
          <w:rFonts w:eastAsia="TimesNewRomanPS-ItalicMT"/>
          <w:sz w:val="28"/>
          <w:szCs w:val="28"/>
          <w:lang w:eastAsia="en-US"/>
        </w:rPr>
      </w:pPr>
      <w:r w:rsidRPr="00BE086B">
        <w:rPr>
          <w:rFonts w:eastAsia="TimesNewRomanPS-ItalicMT"/>
          <w:sz w:val="28"/>
          <w:szCs w:val="28"/>
        </w:rPr>
        <w:t>Панасюк А.Ф.</w:t>
      </w:r>
      <w:r w:rsidRPr="00BE086B">
        <w:rPr>
          <w:rFonts w:eastAsia="TimesNewRomanPS-ItalicMT"/>
          <w:sz w:val="28"/>
          <w:szCs w:val="28"/>
          <w:lang w:val="uk-UA"/>
        </w:rPr>
        <w:t>,</w:t>
      </w:r>
      <w:r w:rsidRPr="00BE086B">
        <w:rPr>
          <w:rFonts w:eastAsia="TimesNewRomanPS-ItalicMT"/>
          <w:sz w:val="28"/>
          <w:szCs w:val="28"/>
        </w:rPr>
        <w:t xml:space="preserve"> Ларионов Е.В. </w:t>
      </w:r>
      <w:r w:rsidRPr="00BE086B">
        <w:rPr>
          <w:rFonts w:eastAsia="TimesNewRomanPS-BoldMT"/>
          <w:sz w:val="28"/>
          <w:szCs w:val="28"/>
        </w:rPr>
        <w:t xml:space="preserve">Хондроитинсульфаты и их роль в </w:t>
      </w:r>
      <w:r w:rsidRPr="00BE086B">
        <w:rPr>
          <w:rFonts w:eastAsia="TimesNewRomanPS-BoldMT"/>
          <w:sz w:val="28"/>
          <w:szCs w:val="28"/>
        </w:rPr>
        <w:lastRenderedPageBreak/>
        <w:t>обмене хондроцитов и межклеточного матрикса хрящевой ткани</w:t>
      </w:r>
      <w:r w:rsidRPr="00BE086B">
        <w:rPr>
          <w:rFonts w:eastAsia="TimesNewRomanPS-BoldMT"/>
          <w:sz w:val="28"/>
          <w:szCs w:val="28"/>
          <w:lang w:val="uk-UA"/>
        </w:rPr>
        <w:t>.</w:t>
      </w:r>
      <w:r w:rsidRPr="00BE086B">
        <w:rPr>
          <w:rFonts w:eastAsia="TimesNewRomanPS-ItalicMT"/>
          <w:sz w:val="28"/>
          <w:szCs w:val="28"/>
        </w:rPr>
        <w:t xml:space="preserve"> Ревматология. 2000</w:t>
      </w:r>
      <w:r w:rsidRPr="00BE086B">
        <w:rPr>
          <w:rFonts w:eastAsia="TimesNewRomanPS-ItalicMT"/>
          <w:sz w:val="28"/>
          <w:szCs w:val="28"/>
          <w:lang w:val="uk-UA"/>
        </w:rPr>
        <w:t>;</w:t>
      </w:r>
      <w:r w:rsidRPr="00BE086B">
        <w:rPr>
          <w:rFonts w:eastAsia="TimesNewRomanPS-ItalicMT"/>
          <w:sz w:val="28"/>
          <w:szCs w:val="28"/>
        </w:rPr>
        <w:t xml:space="preserve"> 2</w:t>
      </w:r>
      <w:r w:rsidRPr="00BE086B">
        <w:rPr>
          <w:rFonts w:eastAsia="TimesNewRomanPS-ItalicMT"/>
          <w:sz w:val="28"/>
          <w:szCs w:val="28"/>
          <w:lang w:val="uk-UA"/>
        </w:rPr>
        <w:t>:</w:t>
      </w:r>
      <w:r w:rsidRPr="00BE086B">
        <w:rPr>
          <w:rFonts w:eastAsia="TimesNewRomanPS-ItalicMT"/>
          <w:sz w:val="28"/>
          <w:szCs w:val="28"/>
        </w:rPr>
        <w:t>46-55.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Johnson K</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Hulse D</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Hart R</w:t>
      </w:r>
      <w:r w:rsidRPr="00BE086B">
        <w:rPr>
          <w:sz w:val="28"/>
          <w:szCs w:val="28"/>
          <w:shd w:val="clear" w:color="auto" w:fill="FFFFFF"/>
          <w:lang w:val="uk-UA"/>
        </w:rPr>
        <w:t>.</w:t>
      </w:r>
      <w:r w:rsidRPr="00BE086B">
        <w:rPr>
          <w:sz w:val="28"/>
          <w:szCs w:val="28"/>
          <w:shd w:val="clear" w:color="auto" w:fill="FFFFFF"/>
          <w:lang w:val="en-US"/>
        </w:rPr>
        <w:t>C</w:t>
      </w:r>
      <w:r w:rsidRPr="00BE086B">
        <w:rPr>
          <w:sz w:val="28"/>
          <w:szCs w:val="28"/>
          <w:shd w:val="clear" w:color="auto" w:fill="FFFFFF"/>
          <w:lang w:val="uk-UA"/>
        </w:rPr>
        <w:t>.</w:t>
      </w:r>
      <w:r w:rsidRPr="00BE086B">
        <w:rPr>
          <w:sz w:val="28"/>
          <w:szCs w:val="28"/>
          <w:shd w:val="clear" w:color="auto" w:fill="FFFFFF"/>
          <w:lang w:val="en-US"/>
        </w:rPr>
        <w:t>, Kochevar D</w:t>
      </w:r>
      <w:r w:rsidRPr="00BE086B">
        <w:rPr>
          <w:sz w:val="28"/>
          <w:szCs w:val="28"/>
          <w:shd w:val="clear" w:color="auto" w:fill="FFFFFF"/>
          <w:lang w:val="uk-UA"/>
        </w:rPr>
        <w:t>.</w:t>
      </w:r>
      <w:r w:rsidRPr="00BE086B">
        <w:rPr>
          <w:sz w:val="28"/>
          <w:szCs w:val="28"/>
          <w:shd w:val="clear" w:color="auto" w:fill="FFFFFF"/>
          <w:lang w:val="en-US"/>
        </w:rPr>
        <w:t>, Chu Q. Effects of an orally administered mixture of chondroitin sulfate, glucosamine hydrochloride and manganese ascorbate on synovial fluid chondroitin sulfate 3B3 and 7D4 epitope in a canine cruciate ligament transection model of osteoarthritis. Osteoarthritis Cartilage. 2001;9(1):14-21.</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lang w:val="la-Latn"/>
        </w:rPr>
      </w:pPr>
      <w:r w:rsidRPr="00BE086B">
        <w:rPr>
          <w:sz w:val="28"/>
          <w:szCs w:val="28"/>
          <w:lang w:val="la-Latn" w:bidi="ru-RU"/>
        </w:rPr>
        <w:t>Rainsford K</w:t>
      </w:r>
      <w:r w:rsidRPr="00BE086B">
        <w:rPr>
          <w:sz w:val="28"/>
          <w:szCs w:val="28"/>
          <w:lang w:val="en-US" w:bidi="ru-RU"/>
        </w:rPr>
        <w:t>.</w:t>
      </w:r>
      <w:r w:rsidRPr="00BE086B">
        <w:rPr>
          <w:sz w:val="28"/>
          <w:szCs w:val="28"/>
          <w:lang w:val="la-Latn" w:bidi="ru-RU"/>
        </w:rPr>
        <w:t>D</w:t>
      </w:r>
      <w:r w:rsidRPr="00BE086B">
        <w:rPr>
          <w:sz w:val="28"/>
          <w:szCs w:val="28"/>
          <w:lang w:val="en-US" w:bidi="ru-RU"/>
        </w:rPr>
        <w:t>.</w:t>
      </w:r>
      <w:r w:rsidRPr="00BE086B">
        <w:rPr>
          <w:sz w:val="28"/>
          <w:szCs w:val="28"/>
          <w:lang w:val="la-Latn" w:bidi="ru-RU"/>
        </w:rPr>
        <w:t>, Ying C</w:t>
      </w:r>
      <w:r w:rsidRPr="00BE086B">
        <w:rPr>
          <w:sz w:val="28"/>
          <w:szCs w:val="28"/>
          <w:lang w:val="en-US" w:bidi="ru-RU"/>
        </w:rPr>
        <w:t>.</w:t>
      </w:r>
      <w:r w:rsidRPr="00BE086B">
        <w:rPr>
          <w:sz w:val="28"/>
          <w:szCs w:val="28"/>
          <w:lang w:val="la-Latn" w:bidi="ru-RU"/>
        </w:rPr>
        <w:t xml:space="preserve">, </w:t>
      </w:r>
      <w:r w:rsidRPr="00BE086B">
        <w:rPr>
          <w:sz w:val="28"/>
          <w:szCs w:val="28"/>
          <w:shd w:val="clear" w:color="auto" w:fill="FFFFFF"/>
          <w:lang w:val="la-Latn" w:bidi="ru-RU"/>
        </w:rPr>
        <w:t>Smith F</w:t>
      </w:r>
      <w:r w:rsidRPr="00BE086B">
        <w:rPr>
          <w:sz w:val="28"/>
          <w:szCs w:val="28"/>
          <w:shd w:val="clear" w:color="auto" w:fill="FFFFFF"/>
          <w:lang w:val="en-US" w:bidi="ru-RU"/>
        </w:rPr>
        <w:t>.</w:t>
      </w:r>
      <w:r w:rsidRPr="00BE086B">
        <w:rPr>
          <w:sz w:val="28"/>
          <w:szCs w:val="28"/>
          <w:shd w:val="clear" w:color="auto" w:fill="FFFFFF"/>
          <w:lang w:val="la-Latn" w:bidi="ru-RU"/>
        </w:rPr>
        <w:t>C. Е</w:t>
      </w:r>
      <w:r w:rsidRPr="00BE086B">
        <w:rPr>
          <w:sz w:val="28"/>
          <w:szCs w:val="28"/>
          <w:shd w:val="clear" w:color="auto" w:fill="FFFFFF"/>
          <w:lang w:val="la-Latn"/>
        </w:rPr>
        <w:t xml:space="preserve">ffects of meloxicam, compared with other NSAIDs, on cartilage proteoglycan metabolism, synovial prostaglandin E2, and production of interleukins 1, 6 and 8, in human and porcine explants in organ culture. </w:t>
      </w:r>
      <w:r w:rsidRPr="00BE086B">
        <w:rPr>
          <w:sz w:val="28"/>
          <w:szCs w:val="28"/>
          <w:shd w:val="clear" w:color="auto" w:fill="FFFFFF"/>
          <w:lang w:val="la-Latn" w:bidi="ru-RU"/>
        </w:rPr>
        <w:t>J Pharm Pharmacol.</w:t>
      </w:r>
      <w:r w:rsidRPr="00BE086B">
        <w:rPr>
          <w:sz w:val="28"/>
          <w:szCs w:val="28"/>
          <w:shd w:val="clear" w:color="auto" w:fill="FFFFFF"/>
          <w:lang w:val="la-Latn"/>
        </w:rPr>
        <w:t xml:space="preserve"> 1997;49(10):991-</w:t>
      </w:r>
      <w:r w:rsidRPr="00BE086B">
        <w:rPr>
          <w:sz w:val="28"/>
          <w:szCs w:val="28"/>
          <w:shd w:val="clear" w:color="auto" w:fill="FFFFFF"/>
          <w:lang w:val="en-US"/>
        </w:rPr>
        <w:t>99</w:t>
      </w:r>
      <w:r w:rsidRPr="00BE086B">
        <w:rPr>
          <w:rStyle w:val="highlight"/>
          <w:sz w:val="28"/>
          <w:szCs w:val="28"/>
          <w:shd w:val="clear" w:color="auto" w:fill="FFFFFF"/>
          <w:lang w:val="la-Latn"/>
        </w:rPr>
        <w:t>8</w:t>
      </w:r>
      <w:r w:rsidRPr="00BE086B">
        <w:rPr>
          <w:sz w:val="28"/>
          <w:szCs w:val="28"/>
          <w:shd w:val="clear" w:color="auto" w:fill="FFFFFF"/>
          <w:lang w:val="la-Latn"/>
        </w:rPr>
        <w:t>.</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lang w:val="la-Latn"/>
        </w:rPr>
      </w:pPr>
      <w:r w:rsidRPr="00BE086B">
        <w:rPr>
          <w:sz w:val="28"/>
          <w:szCs w:val="28"/>
          <w:shd w:val="clear" w:color="auto" w:fill="FFFFFF"/>
          <w:lang w:val="la-Latn" w:bidi="ru-RU"/>
        </w:rPr>
        <w:t>Henrotin Y</w:t>
      </w:r>
      <w:r w:rsidRPr="00BE086B">
        <w:rPr>
          <w:sz w:val="28"/>
          <w:szCs w:val="28"/>
          <w:shd w:val="clear" w:color="auto" w:fill="FFFFFF"/>
          <w:lang w:val="en-US" w:bidi="ru-RU"/>
        </w:rPr>
        <w:t>.</w:t>
      </w:r>
      <w:r w:rsidRPr="00BE086B">
        <w:rPr>
          <w:sz w:val="28"/>
          <w:szCs w:val="28"/>
          <w:shd w:val="clear" w:color="auto" w:fill="FFFFFF"/>
          <w:lang w:val="la-Latn" w:bidi="ru-RU"/>
        </w:rPr>
        <w:t>E</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la-Latn" w:bidi="ru-RU"/>
        </w:rPr>
        <w:t>Labasse A</w:t>
      </w:r>
      <w:r w:rsidRPr="00BE086B">
        <w:rPr>
          <w:sz w:val="28"/>
          <w:szCs w:val="28"/>
          <w:shd w:val="clear" w:color="auto" w:fill="FFFFFF"/>
          <w:lang w:val="en-US" w:bidi="ru-RU"/>
        </w:rPr>
        <w:t>.</w:t>
      </w:r>
      <w:r w:rsidRPr="00BE086B">
        <w:rPr>
          <w:sz w:val="28"/>
          <w:szCs w:val="28"/>
          <w:shd w:val="clear" w:color="auto" w:fill="FFFFFF"/>
          <w:lang w:val="la-Latn" w:bidi="ru-RU"/>
        </w:rPr>
        <w:t>H</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la-Latn" w:bidi="ru-RU"/>
        </w:rPr>
        <w:t>Simonis P</w:t>
      </w:r>
      <w:r w:rsidRPr="00BE086B">
        <w:rPr>
          <w:sz w:val="28"/>
          <w:szCs w:val="28"/>
          <w:shd w:val="clear" w:color="auto" w:fill="FFFFFF"/>
          <w:lang w:val="en-US" w:bidi="ru-RU"/>
        </w:rPr>
        <w:t>.</w:t>
      </w:r>
      <w:r w:rsidRPr="00BE086B">
        <w:rPr>
          <w:sz w:val="28"/>
          <w:szCs w:val="28"/>
          <w:shd w:val="clear" w:color="auto" w:fill="FFFFFF"/>
          <w:lang w:val="la-Latn" w:bidi="ru-RU"/>
        </w:rPr>
        <w:t>E</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la-Latn" w:bidi="ru-RU"/>
        </w:rPr>
        <w:t>Zheng S</w:t>
      </w:r>
      <w:r w:rsidRPr="00BE086B">
        <w:rPr>
          <w:sz w:val="28"/>
          <w:szCs w:val="28"/>
          <w:shd w:val="clear" w:color="auto" w:fill="FFFFFF"/>
          <w:lang w:val="en-US" w:bidi="ru-RU"/>
        </w:rPr>
        <w:t>.</w:t>
      </w:r>
      <w:r w:rsidRPr="00BE086B">
        <w:rPr>
          <w:sz w:val="28"/>
          <w:szCs w:val="28"/>
          <w:shd w:val="clear" w:color="auto" w:fill="FFFFFF"/>
          <w:lang w:val="la-Latn" w:bidi="ru-RU"/>
        </w:rPr>
        <w:t>X</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la-Latn" w:bidi="ru-RU"/>
        </w:rPr>
        <w:t>Deby G</w:t>
      </w:r>
      <w:r w:rsidRPr="00BE086B">
        <w:rPr>
          <w:sz w:val="28"/>
          <w:szCs w:val="28"/>
          <w:shd w:val="clear" w:color="auto" w:fill="FFFFFF"/>
          <w:lang w:val="en-US" w:bidi="ru-RU"/>
        </w:rPr>
        <w:t>.</w:t>
      </w:r>
      <w:r w:rsidRPr="00BE086B">
        <w:rPr>
          <w:sz w:val="28"/>
          <w:szCs w:val="28"/>
          <w:shd w:val="clear" w:color="auto" w:fill="FFFFFF"/>
          <w:lang w:val="la-Latn" w:bidi="ru-RU"/>
        </w:rPr>
        <w:t>P</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la-Latn" w:bidi="ru-RU"/>
        </w:rPr>
        <w:t>Famaey J</w:t>
      </w:r>
      <w:r w:rsidRPr="00BE086B">
        <w:rPr>
          <w:sz w:val="28"/>
          <w:szCs w:val="28"/>
          <w:shd w:val="clear" w:color="auto" w:fill="FFFFFF"/>
          <w:lang w:val="en-US" w:bidi="ru-RU"/>
        </w:rPr>
        <w:t>.</w:t>
      </w:r>
      <w:r w:rsidRPr="00BE086B">
        <w:rPr>
          <w:sz w:val="28"/>
          <w:szCs w:val="28"/>
          <w:shd w:val="clear" w:color="auto" w:fill="FFFFFF"/>
          <w:lang w:val="la-Latn" w:bidi="ru-RU"/>
        </w:rPr>
        <w:t>P</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en-US"/>
        </w:rPr>
        <w:t>[</w:t>
      </w:r>
      <w:r w:rsidRPr="00BE086B">
        <w:rPr>
          <w:sz w:val="28"/>
          <w:szCs w:val="28"/>
          <w:shd w:val="clear" w:color="auto" w:fill="FFFFFF"/>
          <w:lang w:val="en-US" w:bidi="ru-RU"/>
        </w:rPr>
        <w:t>et al</w:t>
      </w:r>
      <w:r w:rsidRPr="00BE086B">
        <w:rPr>
          <w:sz w:val="28"/>
          <w:szCs w:val="28"/>
          <w:shd w:val="clear" w:color="auto" w:fill="FFFFFF"/>
          <w:lang w:val="la-Latn"/>
        </w:rPr>
        <w:t>.</w:t>
      </w:r>
      <w:r w:rsidRPr="00BE086B">
        <w:rPr>
          <w:sz w:val="28"/>
          <w:szCs w:val="28"/>
          <w:shd w:val="clear" w:color="auto" w:fill="FFFFFF"/>
          <w:lang w:val="en-US"/>
        </w:rPr>
        <w:t>].</w:t>
      </w:r>
      <w:r w:rsidRPr="00BE086B">
        <w:rPr>
          <w:sz w:val="28"/>
          <w:szCs w:val="28"/>
          <w:shd w:val="clear" w:color="auto" w:fill="FFFFFF"/>
          <w:lang w:val="la-Latn"/>
        </w:rPr>
        <w:t xml:space="preserve"> Effects of nimesulide and sodium diclofenac on interleukin-6, interleukin-8, proteoglycans and prostaglandin E2 production by human articular chondrocytes in vitro. </w:t>
      </w:r>
      <w:r w:rsidRPr="00BE086B">
        <w:rPr>
          <w:sz w:val="28"/>
          <w:szCs w:val="28"/>
          <w:shd w:val="clear" w:color="auto" w:fill="FFFFFF"/>
          <w:lang w:val="la-Latn" w:bidi="ru-RU"/>
        </w:rPr>
        <w:t xml:space="preserve">Clin Exp Rheumatol. </w:t>
      </w:r>
      <w:r w:rsidRPr="00BE086B">
        <w:rPr>
          <w:sz w:val="28"/>
          <w:szCs w:val="28"/>
          <w:shd w:val="clear" w:color="auto" w:fill="FFFFFF"/>
          <w:lang w:val="la-Latn"/>
        </w:rPr>
        <w:t>1999;17(2):151-</w:t>
      </w:r>
      <w:r w:rsidRPr="00BE086B">
        <w:rPr>
          <w:sz w:val="28"/>
          <w:szCs w:val="28"/>
          <w:shd w:val="clear" w:color="auto" w:fill="FFFFFF"/>
        </w:rPr>
        <w:t>1</w:t>
      </w:r>
      <w:r w:rsidRPr="00BE086B">
        <w:rPr>
          <w:sz w:val="28"/>
          <w:szCs w:val="28"/>
          <w:shd w:val="clear" w:color="auto" w:fill="FFFFFF"/>
          <w:lang w:val="la-Latn"/>
        </w:rPr>
        <w:t>60.</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kern w:val="2"/>
          <w:sz w:val="28"/>
          <w:szCs w:val="28"/>
          <w:shd w:val="clear" w:color="auto" w:fill="FFFFFF"/>
          <w:lang w:val="la-Latn"/>
        </w:rPr>
      </w:pPr>
      <w:r w:rsidRPr="00BE086B">
        <w:rPr>
          <w:sz w:val="28"/>
          <w:szCs w:val="28"/>
          <w:shd w:val="clear" w:color="auto" w:fill="FFFFFF"/>
          <w:lang w:val="la-Latn" w:bidi="ru-RU"/>
        </w:rPr>
        <w:t>Bianchi M</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la-Latn" w:bidi="ru-RU"/>
        </w:rPr>
        <w:t>Broggini M</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la-Latn" w:bidi="ru-RU"/>
        </w:rPr>
        <w:t xml:space="preserve">Balzarini </w:t>
      </w:r>
      <w:r w:rsidRPr="00BE086B">
        <w:rPr>
          <w:rStyle w:val="highlight"/>
          <w:sz w:val="28"/>
          <w:szCs w:val="28"/>
          <w:shd w:val="clear" w:color="auto" w:fill="FFFFFF"/>
          <w:lang w:val="la-Latn"/>
        </w:rPr>
        <w:t>P</w:t>
      </w:r>
      <w:r w:rsidRPr="00BE086B">
        <w:rPr>
          <w:rStyle w:val="highlight"/>
          <w:sz w:val="28"/>
          <w:szCs w:val="28"/>
          <w:shd w:val="clear" w:color="auto" w:fill="FFFFFF"/>
          <w:lang w:val="en-US"/>
        </w:rPr>
        <w:t>.</w:t>
      </w:r>
      <w:r w:rsidRPr="00BE086B">
        <w:rPr>
          <w:sz w:val="28"/>
          <w:szCs w:val="28"/>
          <w:shd w:val="clear" w:color="auto" w:fill="FFFFFF"/>
          <w:lang w:val="la-Latn"/>
        </w:rPr>
        <w:t xml:space="preserve">, </w:t>
      </w:r>
      <w:r w:rsidRPr="00BE086B">
        <w:rPr>
          <w:sz w:val="28"/>
          <w:szCs w:val="28"/>
          <w:shd w:val="clear" w:color="auto" w:fill="FFFFFF"/>
          <w:lang w:val="la-Latn" w:bidi="ru-RU"/>
        </w:rPr>
        <w:t>Franchi S</w:t>
      </w:r>
      <w:r w:rsidRPr="00BE086B">
        <w:rPr>
          <w:sz w:val="28"/>
          <w:szCs w:val="28"/>
          <w:shd w:val="clear" w:color="auto" w:fill="FFFFFF"/>
          <w:lang w:val="en-US" w:bidi="ru-RU"/>
        </w:rPr>
        <w:t>.</w:t>
      </w:r>
      <w:r w:rsidRPr="00BE086B">
        <w:rPr>
          <w:sz w:val="28"/>
          <w:szCs w:val="28"/>
          <w:shd w:val="clear" w:color="auto" w:fill="FFFFFF"/>
          <w:lang w:val="la-Latn"/>
        </w:rPr>
        <w:t xml:space="preserve">, </w:t>
      </w:r>
      <w:r w:rsidRPr="00BE086B">
        <w:rPr>
          <w:sz w:val="28"/>
          <w:szCs w:val="28"/>
          <w:shd w:val="clear" w:color="auto" w:fill="FFFFFF"/>
          <w:lang w:val="la-Latn" w:bidi="ru-RU"/>
        </w:rPr>
        <w:t xml:space="preserve">Sacerdote </w:t>
      </w:r>
      <w:r w:rsidRPr="00BE086B">
        <w:rPr>
          <w:rStyle w:val="highlight"/>
          <w:sz w:val="28"/>
          <w:szCs w:val="28"/>
          <w:shd w:val="clear" w:color="auto" w:fill="FFFFFF"/>
          <w:lang w:val="la-Latn"/>
        </w:rPr>
        <w:t>P</w:t>
      </w:r>
      <w:r w:rsidRPr="00BE086B">
        <w:rPr>
          <w:sz w:val="28"/>
          <w:szCs w:val="28"/>
          <w:shd w:val="clear" w:color="auto" w:fill="FFFFFF"/>
          <w:lang w:val="la-Latn"/>
        </w:rPr>
        <w:t xml:space="preserve">. Effects of nimesulide on pain and on synovial fluid concentrations of substance P, interleukin-6 and interleukin-8 in patients with knee osteoarthritis: Comparison with celecoxib. </w:t>
      </w:r>
      <w:r w:rsidRPr="00BE086B">
        <w:rPr>
          <w:sz w:val="28"/>
          <w:szCs w:val="28"/>
          <w:shd w:val="clear" w:color="auto" w:fill="FFFFFF"/>
          <w:lang w:val="la-Latn" w:bidi="ru-RU"/>
        </w:rPr>
        <w:t>Int J Clin Pract.</w:t>
      </w:r>
      <w:r w:rsidRPr="00BE086B">
        <w:rPr>
          <w:sz w:val="28"/>
          <w:szCs w:val="28"/>
          <w:shd w:val="clear" w:color="auto" w:fill="FFFFFF"/>
          <w:lang w:val="la-Latn"/>
        </w:rPr>
        <w:t xml:space="preserve"> 2007;61(8):1270-</w:t>
      </w:r>
      <w:r w:rsidRPr="00BE086B">
        <w:rPr>
          <w:sz w:val="28"/>
          <w:szCs w:val="28"/>
          <w:shd w:val="clear" w:color="auto" w:fill="FFFFFF"/>
        </w:rPr>
        <w:t>127</w:t>
      </w:r>
      <w:r w:rsidRPr="00BE086B">
        <w:rPr>
          <w:sz w:val="28"/>
          <w:szCs w:val="28"/>
          <w:shd w:val="clear" w:color="auto" w:fill="FFFFFF"/>
          <w:lang w:val="la-Latn"/>
        </w:rPr>
        <w:t>7.</w:t>
      </w:r>
    </w:p>
    <w:p w:rsidR="008B13C0" w:rsidRPr="00BE086B" w:rsidRDefault="008B13C0" w:rsidP="00611AFB">
      <w:pPr>
        <w:pStyle w:val="afc"/>
        <w:widowControl w:val="0"/>
        <w:numPr>
          <w:ilvl w:val="0"/>
          <w:numId w:val="19"/>
        </w:numPr>
        <w:pBdr>
          <w:bottom w:val="single" w:sz="6" w:space="12" w:color="008000"/>
        </w:pBdr>
        <w:shd w:val="clear" w:color="auto" w:fill="FFFFFF"/>
        <w:autoSpaceDE w:val="0"/>
        <w:spacing w:line="360" w:lineRule="auto"/>
        <w:ind w:left="0" w:right="0" w:firstLine="709"/>
        <w:rPr>
          <w:color w:val="auto"/>
          <w:sz w:val="28"/>
          <w:szCs w:val="28"/>
          <w:shd w:val="clear" w:color="auto" w:fill="FFFFFF"/>
          <w:lang w:eastAsia="ru-RU"/>
        </w:rPr>
      </w:pPr>
      <w:r w:rsidRPr="00BE086B">
        <w:rPr>
          <w:color w:val="auto"/>
          <w:sz w:val="28"/>
          <w:szCs w:val="28"/>
          <w:lang w:eastAsia="ru-RU"/>
        </w:rPr>
        <w:t>Sousa V.J. The pharmacology of pain associated with the monoiodoacetate model of osteoarthritis. Front Pharmacol. 2019; 10:974.</w:t>
      </w:r>
    </w:p>
    <w:p w:rsidR="008B13C0" w:rsidRPr="00BE086B" w:rsidRDefault="008B13C0" w:rsidP="00611AFB">
      <w:pPr>
        <w:pStyle w:val="afc"/>
        <w:widowControl w:val="0"/>
        <w:numPr>
          <w:ilvl w:val="0"/>
          <w:numId w:val="19"/>
        </w:numPr>
        <w:pBdr>
          <w:bottom w:val="single" w:sz="6" w:space="12" w:color="008000"/>
        </w:pBdr>
        <w:shd w:val="clear" w:color="auto" w:fill="FFFFFF"/>
        <w:autoSpaceDE w:val="0"/>
        <w:autoSpaceDN w:val="0"/>
        <w:adjustRightInd w:val="0"/>
        <w:spacing w:line="360" w:lineRule="auto"/>
        <w:ind w:left="0" w:right="0" w:firstLine="709"/>
        <w:rPr>
          <w:color w:val="auto"/>
          <w:sz w:val="28"/>
          <w:szCs w:val="28"/>
        </w:rPr>
      </w:pPr>
      <w:r w:rsidRPr="00BE086B">
        <w:rPr>
          <w:color w:val="auto"/>
          <w:sz w:val="28"/>
          <w:szCs w:val="28"/>
          <w:lang w:eastAsia="ru-RU"/>
        </w:rPr>
        <w:t xml:space="preserve">Theken K.N., Hersh E.V., Lahens N.F., Lee H.M., Li X., Granquist E.J. </w:t>
      </w:r>
      <w:r w:rsidRPr="00BE086B">
        <w:rPr>
          <w:color w:val="auto"/>
          <w:sz w:val="28"/>
          <w:szCs w:val="28"/>
          <w:lang w:val="en-US"/>
        </w:rPr>
        <w:t>[</w:t>
      </w:r>
      <w:r w:rsidRPr="00BE086B">
        <w:rPr>
          <w:color w:val="auto"/>
          <w:sz w:val="28"/>
          <w:szCs w:val="28"/>
        </w:rPr>
        <w:t>et al.</w:t>
      </w:r>
      <w:r w:rsidRPr="00BE086B">
        <w:rPr>
          <w:color w:val="auto"/>
          <w:sz w:val="28"/>
          <w:szCs w:val="28"/>
          <w:lang w:val="en-US"/>
        </w:rPr>
        <w:t>].</w:t>
      </w:r>
      <w:r w:rsidRPr="00BE086B">
        <w:rPr>
          <w:color w:val="auto"/>
          <w:sz w:val="28"/>
          <w:szCs w:val="28"/>
        </w:rPr>
        <w:t xml:space="preserve"> </w:t>
      </w:r>
      <w:r w:rsidRPr="00BE086B">
        <w:rPr>
          <w:color w:val="auto"/>
          <w:sz w:val="28"/>
          <w:szCs w:val="28"/>
          <w:lang w:eastAsia="ru-RU"/>
        </w:rPr>
        <w:t>Variability in the analgesic response to ibuprofen is associated with cyclooxygenase activation in inflammatory pain. Clinical pharmacology &amp; therapeutics. 2019</w:t>
      </w:r>
      <w:r w:rsidRPr="00BE086B">
        <w:rPr>
          <w:color w:val="auto"/>
          <w:sz w:val="28"/>
          <w:szCs w:val="28"/>
          <w:lang w:val="en-US" w:eastAsia="ru-RU"/>
        </w:rPr>
        <w:t>;</w:t>
      </w:r>
      <w:r w:rsidRPr="00BE086B">
        <w:rPr>
          <w:color w:val="auto"/>
          <w:sz w:val="28"/>
          <w:szCs w:val="28"/>
          <w:lang w:eastAsia="ru-RU"/>
        </w:rPr>
        <w:t xml:space="preserve"> 3(106)</w:t>
      </w:r>
      <w:r w:rsidRPr="00BE086B">
        <w:rPr>
          <w:color w:val="auto"/>
          <w:sz w:val="28"/>
          <w:szCs w:val="28"/>
          <w:lang w:val="en-US" w:eastAsia="ru-RU"/>
        </w:rPr>
        <w:t>:</w:t>
      </w:r>
      <w:r w:rsidRPr="00BE086B">
        <w:rPr>
          <w:color w:val="auto"/>
          <w:sz w:val="28"/>
          <w:szCs w:val="28"/>
          <w:lang w:eastAsia="ru-RU"/>
        </w:rPr>
        <w:t xml:space="preserve"> 632-641.</w:t>
      </w:r>
    </w:p>
    <w:p w:rsidR="008B13C0" w:rsidRPr="00BE086B" w:rsidRDefault="008B13C0" w:rsidP="00611AFB">
      <w:pPr>
        <w:pStyle w:val="afc"/>
        <w:widowControl w:val="0"/>
        <w:numPr>
          <w:ilvl w:val="0"/>
          <w:numId w:val="19"/>
        </w:numPr>
        <w:pBdr>
          <w:bottom w:val="single" w:sz="6" w:space="12" w:color="008000"/>
        </w:pBdr>
        <w:shd w:val="clear" w:color="auto" w:fill="FFFFFF"/>
        <w:autoSpaceDE w:val="0"/>
        <w:spacing w:line="360" w:lineRule="auto"/>
        <w:ind w:left="0" w:right="0" w:firstLine="709"/>
        <w:rPr>
          <w:color w:val="auto"/>
          <w:sz w:val="28"/>
          <w:szCs w:val="28"/>
          <w:shd w:val="clear" w:color="auto" w:fill="FFFFFF"/>
          <w:lang w:eastAsia="ru-RU"/>
        </w:rPr>
      </w:pPr>
      <w:r w:rsidRPr="00BE086B">
        <w:rPr>
          <w:color w:val="auto"/>
          <w:sz w:val="28"/>
          <w:szCs w:val="28"/>
          <w:lang w:eastAsia="ru-RU"/>
        </w:rPr>
        <w:t>Chang J.K., Wang G.J., Tsai S.T., Ho M.L. Nonsteroidal anti-infammatory drug efects on osteoblastic cell cycle, cytotoxicity, and cell death. Connect Tissue Res. 2005;</w:t>
      </w:r>
      <w:r w:rsidRPr="00BE086B">
        <w:rPr>
          <w:color w:val="auto"/>
          <w:sz w:val="28"/>
          <w:szCs w:val="28"/>
          <w:lang w:val="en-US" w:eastAsia="ru-RU"/>
        </w:rPr>
        <w:t xml:space="preserve"> </w:t>
      </w:r>
      <w:r w:rsidRPr="00BE086B">
        <w:rPr>
          <w:color w:val="auto"/>
          <w:sz w:val="28"/>
          <w:szCs w:val="28"/>
          <w:lang w:eastAsia="ru-RU"/>
        </w:rPr>
        <w:t>46(</w:t>
      </w:r>
      <w:r w:rsidRPr="00BE086B">
        <w:rPr>
          <w:color w:val="auto"/>
          <w:sz w:val="28"/>
          <w:szCs w:val="28"/>
          <w:lang w:val="en-US" w:eastAsia="ru-RU"/>
        </w:rPr>
        <w:t>4-5</w:t>
      </w:r>
      <w:r w:rsidRPr="00BE086B">
        <w:rPr>
          <w:color w:val="auto"/>
          <w:sz w:val="28"/>
          <w:szCs w:val="28"/>
          <w:lang w:eastAsia="ru-RU"/>
        </w:rPr>
        <w:t>):</w:t>
      </w:r>
      <w:r w:rsidRPr="00BE086B">
        <w:rPr>
          <w:color w:val="auto"/>
          <w:sz w:val="28"/>
          <w:szCs w:val="28"/>
          <w:lang w:val="en-US" w:eastAsia="ru-RU"/>
        </w:rPr>
        <w:t xml:space="preserve"> 200-</w:t>
      </w:r>
      <w:r w:rsidRPr="00BE086B">
        <w:rPr>
          <w:color w:val="auto"/>
          <w:sz w:val="28"/>
          <w:szCs w:val="28"/>
          <w:lang w:eastAsia="ru-RU"/>
        </w:rPr>
        <w:t>2</w:t>
      </w:r>
      <w:r w:rsidRPr="00BE086B">
        <w:rPr>
          <w:color w:val="auto"/>
          <w:sz w:val="28"/>
          <w:szCs w:val="28"/>
          <w:lang w:val="en-US" w:eastAsia="ru-RU"/>
        </w:rPr>
        <w:t>10</w:t>
      </w:r>
      <w:r w:rsidRPr="00BE086B">
        <w:rPr>
          <w:color w:val="auto"/>
          <w:sz w:val="28"/>
          <w:szCs w:val="28"/>
          <w:lang w:eastAsia="ru-RU"/>
        </w:rPr>
        <w:t>.</w:t>
      </w:r>
    </w:p>
    <w:p w:rsidR="008B13C0" w:rsidRPr="00BE086B" w:rsidRDefault="008B13C0" w:rsidP="00611AFB">
      <w:pPr>
        <w:pStyle w:val="afc"/>
        <w:widowControl w:val="0"/>
        <w:numPr>
          <w:ilvl w:val="0"/>
          <w:numId w:val="19"/>
        </w:numPr>
        <w:pBdr>
          <w:bottom w:val="single" w:sz="6" w:space="12" w:color="008000"/>
        </w:pBdr>
        <w:shd w:val="clear" w:color="auto" w:fill="FFFFFF"/>
        <w:autoSpaceDE w:val="0"/>
        <w:spacing w:line="360" w:lineRule="auto"/>
        <w:ind w:left="0" w:right="0" w:firstLine="709"/>
        <w:rPr>
          <w:color w:val="auto"/>
          <w:kern w:val="2"/>
          <w:sz w:val="28"/>
          <w:szCs w:val="28"/>
          <w:shd w:val="clear" w:color="auto" w:fill="FFFFFF"/>
          <w:lang w:eastAsia="ru-RU"/>
        </w:rPr>
      </w:pPr>
      <w:r w:rsidRPr="00BE086B">
        <w:rPr>
          <w:color w:val="auto"/>
          <w:sz w:val="28"/>
          <w:szCs w:val="28"/>
          <w:lang w:eastAsia="ru-RU"/>
        </w:rPr>
        <w:t>Chang J.K., Li C.J., Liao H.J., Wang C.K., Wang G.J., Ho M.L. Anti-</w:t>
      </w:r>
      <w:r w:rsidRPr="00BE086B">
        <w:rPr>
          <w:color w:val="auto"/>
          <w:sz w:val="28"/>
          <w:szCs w:val="28"/>
          <w:lang w:eastAsia="ru-RU"/>
        </w:rPr>
        <w:lastRenderedPageBreak/>
        <w:t>infammatory drugs suppress proliferation and induce apoptosis through altering expressions of cell cycle regulators and pro-apoptotic factors in cultured human osteoblasts. Toxicology. 2009;</w:t>
      </w:r>
      <w:r w:rsidRPr="00BE086B">
        <w:rPr>
          <w:color w:val="auto"/>
          <w:sz w:val="28"/>
          <w:szCs w:val="28"/>
          <w:lang w:val="en-US" w:eastAsia="ru-RU"/>
        </w:rPr>
        <w:t xml:space="preserve"> </w:t>
      </w:r>
      <w:r w:rsidRPr="00BE086B">
        <w:rPr>
          <w:color w:val="auto"/>
          <w:sz w:val="28"/>
          <w:szCs w:val="28"/>
          <w:lang w:eastAsia="ru-RU"/>
        </w:rPr>
        <w:t>258(</w:t>
      </w:r>
      <w:r w:rsidRPr="00BE086B">
        <w:rPr>
          <w:color w:val="auto"/>
          <w:sz w:val="28"/>
          <w:szCs w:val="28"/>
          <w:lang w:val="en-US" w:eastAsia="ru-RU"/>
        </w:rPr>
        <w:t>2-3</w:t>
      </w:r>
      <w:r w:rsidRPr="00BE086B">
        <w:rPr>
          <w:color w:val="auto"/>
          <w:sz w:val="28"/>
          <w:szCs w:val="28"/>
          <w:lang w:eastAsia="ru-RU"/>
        </w:rPr>
        <w:t>):</w:t>
      </w:r>
      <w:r w:rsidRPr="00BE086B">
        <w:rPr>
          <w:color w:val="auto"/>
          <w:sz w:val="28"/>
          <w:szCs w:val="28"/>
          <w:lang w:val="en-US" w:eastAsia="ru-RU"/>
        </w:rPr>
        <w:t xml:space="preserve"> 148-</w:t>
      </w:r>
      <w:r w:rsidRPr="00BE086B">
        <w:rPr>
          <w:color w:val="auto"/>
          <w:sz w:val="28"/>
          <w:szCs w:val="28"/>
          <w:lang w:eastAsia="ru-RU"/>
        </w:rPr>
        <w:t>1</w:t>
      </w:r>
      <w:r w:rsidRPr="00BE086B">
        <w:rPr>
          <w:color w:val="auto"/>
          <w:sz w:val="28"/>
          <w:szCs w:val="28"/>
          <w:lang w:val="en-US" w:eastAsia="ru-RU"/>
        </w:rPr>
        <w:t>56</w:t>
      </w:r>
      <w:r w:rsidRPr="00BE086B">
        <w:rPr>
          <w:color w:val="auto"/>
          <w:sz w:val="28"/>
          <w:szCs w:val="28"/>
          <w:lang w:eastAsia="ru-RU"/>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lang w:val="uk-UA" w:eastAsia="ru-RU"/>
        </w:rPr>
        <w:t>Arpornmaeklong P., Akarawatcharangura B., Pripatnanont P. Factors infuencing efects of specifc COX-2 inhibitor NSAIDs on growth and diferentiation of mouse osteoblasts on titanium surfaces. Int J Oral Maxillofac Implants. 2008;</w:t>
      </w:r>
      <w:r w:rsidRPr="00BE086B">
        <w:rPr>
          <w:sz w:val="28"/>
          <w:szCs w:val="28"/>
          <w:lang w:val="en-US" w:eastAsia="ru-RU"/>
        </w:rPr>
        <w:t xml:space="preserve"> </w:t>
      </w:r>
      <w:r w:rsidRPr="00BE086B">
        <w:rPr>
          <w:sz w:val="28"/>
          <w:szCs w:val="28"/>
          <w:lang w:val="uk-UA" w:eastAsia="ru-RU"/>
        </w:rPr>
        <w:t>23(6):</w:t>
      </w:r>
      <w:r w:rsidRPr="00BE086B">
        <w:rPr>
          <w:sz w:val="28"/>
          <w:szCs w:val="28"/>
          <w:lang w:val="en-US" w:eastAsia="ru-RU"/>
        </w:rPr>
        <w:t xml:space="preserve"> 1071-</w:t>
      </w:r>
      <w:r w:rsidRPr="00BE086B">
        <w:rPr>
          <w:sz w:val="28"/>
          <w:szCs w:val="28"/>
          <w:lang w:val="uk-UA" w:eastAsia="ru-RU"/>
        </w:rPr>
        <w:t>10</w:t>
      </w:r>
      <w:r w:rsidRPr="00BE086B">
        <w:rPr>
          <w:sz w:val="28"/>
          <w:szCs w:val="28"/>
          <w:lang w:val="en-US" w:eastAsia="ru-RU"/>
        </w:rPr>
        <w:t>81</w:t>
      </w:r>
      <w:r w:rsidRPr="00BE086B">
        <w:rPr>
          <w:sz w:val="28"/>
          <w:szCs w:val="28"/>
          <w:lang w:val="uk-UA" w:eastAsia="ru-RU"/>
        </w:rPr>
        <w:t>.</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lang w:val="uk-UA" w:eastAsia="ru-RU"/>
        </w:rPr>
        <w:t>Xie Y., Pan M., Gao Y., Zhang L., Ge W., Tang P. Dose-dependent roles of aspirin and other non-steroidal anti-infammatory drugs in abnormal bone remodeling and skeletal regeneration. Cell Biosci. 2019; 9:103.</w:t>
      </w:r>
    </w:p>
    <w:p w:rsidR="008B13C0" w:rsidRPr="00BE086B" w:rsidRDefault="008B13C0" w:rsidP="00611AFB">
      <w:pPr>
        <w:widowControl w:val="0"/>
        <w:numPr>
          <w:ilvl w:val="0"/>
          <w:numId w:val="19"/>
        </w:numPr>
        <w:suppressAutoHyphens w:val="0"/>
        <w:spacing w:line="360" w:lineRule="auto"/>
        <w:ind w:left="0" w:firstLine="709"/>
        <w:jc w:val="both"/>
        <w:rPr>
          <w:bCs/>
          <w:kern w:val="2"/>
          <w:sz w:val="28"/>
          <w:szCs w:val="28"/>
          <w:lang w:val="uk-UA"/>
        </w:rPr>
      </w:pPr>
      <w:r w:rsidRPr="00BE086B">
        <w:rPr>
          <w:sz w:val="28"/>
          <w:szCs w:val="28"/>
          <w:lang w:val="en-US" w:eastAsia="ru-RU"/>
        </w:rPr>
        <w:t>Jankowski</w:t>
      </w:r>
      <w:r w:rsidRPr="00BE086B">
        <w:rPr>
          <w:sz w:val="28"/>
          <w:szCs w:val="28"/>
          <w:lang w:val="uk-UA" w:eastAsia="ru-RU"/>
        </w:rPr>
        <w:t xml:space="preserve"> </w:t>
      </w:r>
      <w:r w:rsidRPr="00BE086B">
        <w:rPr>
          <w:sz w:val="28"/>
          <w:szCs w:val="28"/>
          <w:lang w:val="en-US" w:eastAsia="ru-RU"/>
        </w:rPr>
        <w:t>C</w:t>
      </w:r>
      <w:r w:rsidRPr="00BE086B">
        <w:rPr>
          <w:sz w:val="28"/>
          <w:szCs w:val="28"/>
          <w:lang w:val="uk-UA" w:eastAsia="ru-RU"/>
        </w:rPr>
        <w:t>.</w:t>
      </w:r>
      <w:r w:rsidRPr="00BE086B">
        <w:rPr>
          <w:sz w:val="28"/>
          <w:szCs w:val="28"/>
          <w:lang w:val="en-US" w:eastAsia="ru-RU"/>
        </w:rPr>
        <w:t>M</w:t>
      </w:r>
      <w:r w:rsidRPr="00BE086B">
        <w:rPr>
          <w:sz w:val="28"/>
          <w:szCs w:val="28"/>
          <w:lang w:val="uk-UA" w:eastAsia="ru-RU"/>
        </w:rPr>
        <w:t xml:space="preserve">., </w:t>
      </w:r>
      <w:r w:rsidRPr="00BE086B">
        <w:rPr>
          <w:sz w:val="28"/>
          <w:szCs w:val="28"/>
          <w:lang w:val="en-US" w:eastAsia="ru-RU"/>
        </w:rPr>
        <w:t>Gozansky</w:t>
      </w:r>
      <w:r w:rsidRPr="00BE086B">
        <w:rPr>
          <w:sz w:val="28"/>
          <w:szCs w:val="28"/>
          <w:lang w:val="uk-UA" w:eastAsia="ru-RU"/>
        </w:rPr>
        <w:t xml:space="preserve"> </w:t>
      </w:r>
      <w:r w:rsidRPr="00BE086B">
        <w:rPr>
          <w:sz w:val="28"/>
          <w:szCs w:val="28"/>
          <w:lang w:val="en-US" w:eastAsia="ru-RU"/>
        </w:rPr>
        <w:t>W</w:t>
      </w:r>
      <w:r w:rsidRPr="00BE086B">
        <w:rPr>
          <w:sz w:val="28"/>
          <w:szCs w:val="28"/>
          <w:lang w:val="uk-UA" w:eastAsia="ru-RU"/>
        </w:rPr>
        <w:t>.</w:t>
      </w:r>
      <w:r w:rsidRPr="00BE086B">
        <w:rPr>
          <w:sz w:val="28"/>
          <w:szCs w:val="28"/>
          <w:lang w:val="en-US" w:eastAsia="ru-RU"/>
        </w:rPr>
        <w:t>S</w:t>
      </w:r>
      <w:r w:rsidRPr="00BE086B">
        <w:rPr>
          <w:sz w:val="28"/>
          <w:szCs w:val="28"/>
          <w:lang w:val="uk-UA" w:eastAsia="ru-RU"/>
        </w:rPr>
        <w:t xml:space="preserve">., </w:t>
      </w:r>
      <w:r w:rsidRPr="00BE086B">
        <w:rPr>
          <w:sz w:val="28"/>
          <w:szCs w:val="28"/>
          <w:lang w:val="en-US" w:eastAsia="ru-RU"/>
        </w:rPr>
        <w:t>MacLean</w:t>
      </w:r>
      <w:r w:rsidRPr="00BE086B">
        <w:rPr>
          <w:sz w:val="28"/>
          <w:szCs w:val="28"/>
          <w:lang w:val="uk-UA" w:eastAsia="ru-RU"/>
        </w:rPr>
        <w:t xml:space="preserve"> </w:t>
      </w:r>
      <w:r w:rsidRPr="00BE086B">
        <w:rPr>
          <w:sz w:val="28"/>
          <w:szCs w:val="28"/>
          <w:lang w:val="en-US" w:eastAsia="ru-RU"/>
        </w:rPr>
        <w:t>P</w:t>
      </w:r>
      <w:r w:rsidRPr="00BE086B">
        <w:rPr>
          <w:sz w:val="28"/>
          <w:szCs w:val="28"/>
          <w:lang w:val="uk-UA" w:eastAsia="ru-RU"/>
        </w:rPr>
        <w:t>.</w:t>
      </w:r>
      <w:r w:rsidRPr="00BE086B">
        <w:rPr>
          <w:sz w:val="28"/>
          <w:szCs w:val="28"/>
          <w:lang w:val="en-US" w:eastAsia="ru-RU"/>
        </w:rPr>
        <w:t>S</w:t>
      </w:r>
      <w:r w:rsidRPr="00BE086B">
        <w:rPr>
          <w:sz w:val="28"/>
          <w:szCs w:val="28"/>
          <w:lang w:val="uk-UA" w:eastAsia="ru-RU"/>
        </w:rPr>
        <w:t xml:space="preserve">., </w:t>
      </w:r>
      <w:r w:rsidRPr="00BE086B">
        <w:rPr>
          <w:sz w:val="28"/>
          <w:szCs w:val="28"/>
          <w:lang w:val="en-US" w:eastAsia="ru-RU"/>
        </w:rPr>
        <w:t>Shulman</w:t>
      </w:r>
      <w:r w:rsidRPr="00BE086B">
        <w:rPr>
          <w:sz w:val="28"/>
          <w:szCs w:val="28"/>
          <w:lang w:val="uk-UA" w:eastAsia="ru-RU"/>
        </w:rPr>
        <w:t xml:space="preserve"> </w:t>
      </w:r>
      <w:r w:rsidRPr="00BE086B">
        <w:rPr>
          <w:sz w:val="28"/>
          <w:szCs w:val="28"/>
          <w:lang w:val="en-US" w:eastAsia="ru-RU"/>
        </w:rPr>
        <w:t>B</w:t>
      </w:r>
      <w:r w:rsidRPr="00BE086B">
        <w:rPr>
          <w:sz w:val="28"/>
          <w:szCs w:val="28"/>
          <w:lang w:val="uk-UA" w:eastAsia="ru-RU"/>
        </w:rPr>
        <w:t xml:space="preserve">., </w:t>
      </w:r>
      <w:r w:rsidRPr="00BE086B">
        <w:rPr>
          <w:sz w:val="28"/>
          <w:szCs w:val="28"/>
          <w:lang w:val="en-US" w:eastAsia="ru-RU"/>
        </w:rPr>
        <w:t>Wolfe</w:t>
      </w:r>
      <w:r w:rsidRPr="00BE086B">
        <w:rPr>
          <w:sz w:val="28"/>
          <w:szCs w:val="28"/>
          <w:lang w:val="uk-UA" w:eastAsia="ru-RU"/>
        </w:rPr>
        <w:t xml:space="preserve"> </w:t>
      </w:r>
      <w:r w:rsidRPr="00BE086B">
        <w:rPr>
          <w:sz w:val="28"/>
          <w:szCs w:val="28"/>
          <w:lang w:val="en-US" w:eastAsia="ru-RU"/>
        </w:rPr>
        <w:t>P</w:t>
      </w:r>
      <w:r w:rsidRPr="00BE086B">
        <w:rPr>
          <w:sz w:val="28"/>
          <w:szCs w:val="28"/>
          <w:lang w:val="uk-UA" w:eastAsia="ru-RU"/>
        </w:rPr>
        <w:t xml:space="preserve">., </w:t>
      </w:r>
      <w:r w:rsidRPr="00BE086B">
        <w:rPr>
          <w:sz w:val="28"/>
          <w:szCs w:val="28"/>
          <w:lang w:val="en-US" w:eastAsia="ru-RU"/>
        </w:rPr>
        <w:t>Schwartz</w:t>
      </w:r>
      <w:r w:rsidRPr="00BE086B">
        <w:rPr>
          <w:sz w:val="28"/>
          <w:szCs w:val="28"/>
          <w:lang w:val="uk-UA" w:eastAsia="ru-RU"/>
        </w:rPr>
        <w:t xml:space="preserve"> </w:t>
      </w:r>
      <w:r w:rsidRPr="00BE086B">
        <w:rPr>
          <w:sz w:val="28"/>
          <w:szCs w:val="28"/>
          <w:lang w:val="en-US" w:eastAsia="ru-RU"/>
        </w:rPr>
        <w:t>R</w:t>
      </w:r>
      <w:r w:rsidRPr="00BE086B">
        <w:rPr>
          <w:sz w:val="28"/>
          <w:szCs w:val="28"/>
          <w:lang w:val="uk-UA" w:eastAsia="ru-RU"/>
        </w:rPr>
        <w:t>.</w:t>
      </w:r>
      <w:r w:rsidRPr="00BE086B">
        <w:rPr>
          <w:sz w:val="28"/>
          <w:szCs w:val="28"/>
          <w:lang w:val="en-US" w:eastAsia="ru-RU"/>
        </w:rPr>
        <w:t>S</w:t>
      </w:r>
      <w:r w:rsidRPr="00BE086B">
        <w:rPr>
          <w:sz w:val="28"/>
          <w:szCs w:val="28"/>
          <w:lang w:val="uk-UA" w:eastAsia="ru-RU"/>
        </w:rPr>
        <w:t xml:space="preserve">., </w:t>
      </w:r>
      <w:r w:rsidRPr="00BE086B">
        <w:rPr>
          <w:sz w:val="28"/>
          <w:szCs w:val="28"/>
          <w:lang w:val="en-US" w:eastAsia="ru-RU"/>
        </w:rPr>
        <w:t>Kohrt</w:t>
      </w:r>
      <w:r w:rsidRPr="00BE086B">
        <w:rPr>
          <w:sz w:val="28"/>
          <w:szCs w:val="28"/>
          <w:lang w:val="uk-UA" w:eastAsia="ru-RU"/>
        </w:rPr>
        <w:t xml:space="preserve"> </w:t>
      </w:r>
      <w:r w:rsidRPr="00BE086B">
        <w:rPr>
          <w:sz w:val="28"/>
          <w:szCs w:val="28"/>
          <w:lang w:val="en-US" w:eastAsia="ru-RU"/>
        </w:rPr>
        <w:t>W</w:t>
      </w:r>
      <w:r w:rsidRPr="00BE086B">
        <w:rPr>
          <w:sz w:val="28"/>
          <w:szCs w:val="28"/>
          <w:lang w:val="uk-UA" w:eastAsia="ru-RU"/>
        </w:rPr>
        <w:t>.</w:t>
      </w:r>
      <w:r w:rsidRPr="00BE086B">
        <w:rPr>
          <w:sz w:val="28"/>
          <w:szCs w:val="28"/>
          <w:lang w:val="en-US" w:eastAsia="ru-RU"/>
        </w:rPr>
        <w:t>M</w:t>
      </w:r>
      <w:r w:rsidRPr="00BE086B">
        <w:rPr>
          <w:sz w:val="28"/>
          <w:szCs w:val="28"/>
          <w:lang w:val="uk-UA" w:eastAsia="ru-RU"/>
        </w:rPr>
        <w:t xml:space="preserve">. </w:t>
      </w:r>
      <w:r w:rsidRPr="00BE086B">
        <w:rPr>
          <w:bCs/>
          <w:kern w:val="36"/>
          <w:sz w:val="28"/>
          <w:szCs w:val="28"/>
          <w:lang w:val="en-US" w:eastAsia="ru-RU"/>
        </w:rPr>
        <w:t>N-acetyl-4-aminophenol and musculoskeletal adaptations to resistance exercise training.</w:t>
      </w:r>
      <w:r w:rsidRPr="00BE086B">
        <w:rPr>
          <w:sz w:val="28"/>
          <w:szCs w:val="28"/>
          <w:lang w:val="en-US" w:eastAsia="ru-RU"/>
        </w:rPr>
        <w:t xml:space="preserve"> Eur J Appl Physiol.</w:t>
      </w:r>
      <w:r w:rsidRPr="00BE086B">
        <w:rPr>
          <w:sz w:val="28"/>
          <w:szCs w:val="28"/>
          <w:lang w:val="uk-UA" w:eastAsia="ru-RU"/>
        </w:rPr>
        <w:t xml:space="preserve"> </w:t>
      </w:r>
      <w:r w:rsidRPr="00BE086B">
        <w:rPr>
          <w:sz w:val="28"/>
          <w:szCs w:val="28"/>
          <w:lang w:val="en-US" w:eastAsia="ru-RU"/>
        </w:rPr>
        <w:t>2013</w:t>
      </w:r>
      <w:r w:rsidRPr="00BE086B">
        <w:rPr>
          <w:sz w:val="28"/>
          <w:szCs w:val="28"/>
          <w:lang w:val="uk-UA" w:eastAsia="ru-RU"/>
        </w:rPr>
        <w:t xml:space="preserve">; </w:t>
      </w:r>
      <w:r w:rsidRPr="00BE086B">
        <w:rPr>
          <w:sz w:val="28"/>
          <w:szCs w:val="28"/>
          <w:lang w:val="en-US" w:eastAsia="ru-RU"/>
        </w:rPr>
        <w:t>113(5):1127-</w:t>
      </w:r>
      <w:r w:rsidRPr="00BE086B">
        <w:rPr>
          <w:sz w:val="28"/>
          <w:szCs w:val="28"/>
          <w:lang w:val="uk-UA" w:eastAsia="ru-RU"/>
        </w:rPr>
        <w:t>11</w:t>
      </w:r>
      <w:r w:rsidRPr="00BE086B">
        <w:rPr>
          <w:sz w:val="28"/>
          <w:szCs w:val="28"/>
          <w:lang w:val="en-US" w:eastAsia="ru-RU"/>
        </w:rPr>
        <w:t>36.</w:t>
      </w:r>
    </w:p>
    <w:p w:rsidR="008B13C0" w:rsidRPr="00BE086B" w:rsidRDefault="008B13C0" w:rsidP="00611AFB">
      <w:pPr>
        <w:widowControl w:val="0"/>
        <w:numPr>
          <w:ilvl w:val="0"/>
          <w:numId w:val="19"/>
        </w:numPr>
        <w:suppressAutoHyphens w:val="0"/>
        <w:spacing w:line="360" w:lineRule="auto"/>
        <w:ind w:left="0" w:firstLine="709"/>
        <w:jc w:val="both"/>
        <w:rPr>
          <w:bCs/>
          <w:kern w:val="2"/>
          <w:sz w:val="28"/>
          <w:szCs w:val="28"/>
          <w:lang w:val="uk-UA"/>
        </w:rPr>
      </w:pPr>
      <w:r w:rsidRPr="00BE086B">
        <w:rPr>
          <w:sz w:val="28"/>
          <w:szCs w:val="28"/>
          <w:lang w:val="uk-UA"/>
        </w:rPr>
        <w:t>Зупанець І.А., Коваленко В.М., Дзяк Г.В. Раціональне застосування нестероїдних протизапальних препаратів при лікуванні захворювань суглобів. Харків: Національна фарм. акад. України, 2002, 24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kern w:val="28"/>
          <w:sz w:val="28"/>
          <w:szCs w:val="28"/>
        </w:rPr>
        <w:t>Вербовой А</w:t>
      </w:r>
      <w:r w:rsidRPr="00BE086B">
        <w:rPr>
          <w:kern w:val="28"/>
          <w:sz w:val="28"/>
          <w:szCs w:val="28"/>
          <w:lang w:val="uk-UA"/>
        </w:rPr>
        <w:t>.</w:t>
      </w:r>
      <w:r w:rsidRPr="00BE086B">
        <w:rPr>
          <w:kern w:val="28"/>
          <w:sz w:val="28"/>
          <w:szCs w:val="28"/>
        </w:rPr>
        <w:t>Ф</w:t>
      </w:r>
      <w:r w:rsidRPr="00BE086B">
        <w:rPr>
          <w:kern w:val="28"/>
          <w:sz w:val="28"/>
          <w:szCs w:val="28"/>
          <w:lang w:val="uk-UA"/>
        </w:rPr>
        <w:t>.</w:t>
      </w:r>
      <w:r w:rsidRPr="00BE086B">
        <w:rPr>
          <w:kern w:val="28"/>
          <w:sz w:val="28"/>
          <w:szCs w:val="28"/>
        </w:rPr>
        <w:t>, Шаронова Л</w:t>
      </w:r>
      <w:r w:rsidRPr="00BE086B">
        <w:rPr>
          <w:kern w:val="28"/>
          <w:sz w:val="28"/>
          <w:szCs w:val="28"/>
          <w:lang w:val="uk-UA"/>
        </w:rPr>
        <w:t>.</w:t>
      </w:r>
      <w:r w:rsidRPr="00BE086B">
        <w:rPr>
          <w:kern w:val="28"/>
          <w:sz w:val="28"/>
          <w:szCs w:val="28"/>
        </w:rPr>
        <w:t>А</w:t>
      </w:r>
      <w:r w:rsidRPr="00BE086B">
        <w:rPr>
          <w:kern w:val="28"/>
          <w:sz w:val="28"/>
          <w:szCs w:val="28"/>
          <w:lang w:val="uk-UA"/>
        </w:rPr>
        <w:t>.</w:t>
      </w:r>
      <w:r w:rsidRPr="00BE086B">
        <w:rPr>
          <w:kern w:val="28"/>
          <w:sz w:val="28"/>
          <w:szCs w:val="28"/>
        </w:rPr>
        <w:t xml:space="preserve"> Синдром гипотиреоза: лекция. Эндокринология: Новости. Мнения. Обучение</w:t>
      </w:r>
      <w:r w:rsidRPr="00BE086B">
        <w:rPr>
          <w:kern w:val="28"/>
          <w:sz w:val="28"/>
          <w:szCs w:val="28"/>
          <w:lang w:val="uk-UA"/>
        </w:rPr>
        <w:t xml:space="preserve">. 2015; </w:t>
      </w:r>
      <w:r w:rsidRPr="00BE086B">
        <w:rPr>
          <w:kern w:val="28"/>
          <w:sz w:val="28"/>
          <w:szCs w:val="28"/>
        </w:rPr>
        <w:t>4 (13)</w:t>
      </w:r>
      <w:r w:rsidRPr="00BE086B">
        <w:rPr>
          <w:kern w:val="28"/>
          <w:sz w:val="28"/>
          <w:szCs w:val="28"/>
          <w:lang w:val="uk-UA"/>
        </w:rPr>
        <w:t>:</w:t>
      </w:r>
      <w:r w:rsidRPr="00BE086B">
        <w:rPr>
          <w:kern w:val="28"/>
          <w:sz w:val="28"/>
          <w:szCs w:val="28"/>
        </w:rPr>
        <w:t>71-75.</w:t>
      </w:r>
    </w:p>
    <w:p w:rsidR="008B13C0" w:rsidRPr="001142BF"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val="en-US" w:eastAsia="ru-RU"/>
        </w:rPr>
      </w:pPr>
      <w:r w:rsidRPr="00BE086B">
        <w:rPr>
          <w:sz w:val="28"/>
          <w:szCs w:val="28"/>
          <w:shd w:val="clear" w:color="auto" w:fill="FFFFFF"/>
          <w:lang w:val="en-US"/>
        </w:rPr>
        <w:t>Al-Qahtani M. Congenital hypothyroidism. J Matern Fetal Neonatal Med. 2020</w:t>
      </w:r>
      <w:r w:rsidRPr="00BE086B">
        <w:rPr>
          <w:sz w:val="28"/>
          <w:szCs w:val="28"/>
          <w:shd w:val="clear" w:color="auto" w:fill="FFFFFF"/>
          <w:lang w:val="uk-UA"/>
        </w:rPr>
        <w:t>;</w:t>
      </w:r>
      <w:r w:rsidRPr="00BE086B">
        <w:rPr>
          <w:sz w:val="28"/>
          <w:szCs w:val="28"/>
          <w:shd w:val="clear" w:color="auto" w:fill="FFFFFF"/>
          <w:lang w:val="en-US"/>
        </w:rPr>
        <w:t xml:space="preserve"> 28:1-9.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lang w:val="en-US"/>
        </w:rPr>
        <w:t>Rouland A</w:t>
      </w:r>
      <w:r w:rsidRPr="00BE086B">
        <w:rPr>
          <w:sz w:val="28"/>
          <w:szCs w:val="28"/>
          <w:shd w:val="clear" w:color="auto" w:fill="FFFFFF"/>
          <w:lang w:val="uk-UA"/>
        </w:rPr>
        <w:t>.</w:t>
      </w:r>
      <w:r w:rsidRPr="00BE086B">
        <w:rPr>
          <w:sz w:val="28"/>
          <w:szCs w:val="28"/>
          <w:shd w:val="clear" w:color="auto" w:fill="FFFFFF"/>
          <w:lang w:val="en-US"/>
        </w:rPr>
        <w:t>, Buffier P</w:t>
      </w:r>
      <w:r w:rsidRPr="00BE086B">
        <w:rPr>
          <w:sz w:val="28"/>
          <w:szCs w:val="28"/>
          <w:shd w:val="clear" w:color="auto" w:fill="FFFFFF"/>
          <w:lang w:val="uk-UA"/>
        </w:rPr>
        <w:t>.</w:t>
      </w:r>
      <w:r w:rsidRPr="00BE086B">
        <w:rPr>
          <w:sz w:val="28"/>
          <w:szCs w:val="28"/>
          <w:shd w:val="clear" w:color="auto" w:fill="FFFFFF"/>
          <w:lang w:val="en-US"/>
        </w:rPr>
        <w:t>, Petit J</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Vergès B</w:t>
      </w:r>
      <w:r w:rsidRPr="00BE086B">
        <w:rPr>
          <w:sz w:val="28"/>
          <w:szCs w:val="28"/>
          <w:shd w:val="clear" w:color="auto" w:fill="FFFFFF"/>
          <w:lang w:val="uk-UA"/>
        </w:rPr>
        <w:t>.</w:t>
      </w:r>
      <w:r w:rsidRPr="00BE086B">
        <w:rPr>
          <w:sz w:val="28"/>
          <w:szCs w:val="28"/>
          <w:shd w:val="clear" w:color="auto" w:fill="FFFFFF"/>
          <w:lang w:val="en-US"/>
        </w:rPr>
        <w:t>, Bouillet B. Thyroiditis: What's new in 2019? Rev Med Interne. 2020;41(6):390-395.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lang w:val="en-US"/>
        </w:rPr>
        <w:t>Boyanov M</w:t>
      </w:r>
      <w:r w:rsidRPr="00BE086B">
        <w:rPr>
          <w:sz w:val="28"/>
          <w:szCs w:val="28"/>
          <w:shd w:val="clear" w:color="auto" w:fill="FFFFFF"/>
          <w:lang w:val="uk-UA"/>
        </w:rPr>
        <w:t>.</w:t>
      </w:r>
      <w:r w:rsidRPr="00BE086B">
        <w:rPr>
          <w:sz w:val="28"/>
          <w:szCs w:val="28"/>
          <w:shd w:val="clear" w:color="auto" w:fill="FFFFFF"/>
          <w:lang w:val="en-US"/>
        </w:rPr>
        <w:t xml:space="preserve">A. Trends in the epidemiology of thyroid diseases in Bulgaria since the year 2000 - a review of the literature. Hormones </w:t>
      </w:r>
      <w:r w:rsidRPr="00BE086B">
        <w:rPr>
          <w:sz w:val="28"/>
          <w:szCs w:val="28"/>
          <w:shd w:val="clear" w:color="auto" w:fill="FFFFFF"/>
        </w:rPr>
        <w:t>(Athens). 2020;19(4):477-484.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rPr>
        <w:t>Wouters C</w:t>
      </w:r>
      <w:r w:rsidRPr="00BE086B">
        <w:rPr>
          <w:sz w:val="28"/>
          <w:szCs w:val="28"/>
          <w:shd w:val="clear" w:color="auto" w:fill="FFFFFF"/>
          <w:lang w:val="uk-UA"/>
        </w:rPr>
        <w:t>.</w:t>
      </w:r>
      <w:r w:rsidRPr="00BE086B">
        <w:rPr>
          <w:sz w:val="28"/>
          <w:szCs w:val="28"/>
          <w:shd w:val="clear" w:color="auto" w:fill="FFFFFF"/>
        </w:rPr>
        <w:t>M</w:t>
      </w:r>
      <w:r w:rsidRPr="00BE086B">
        <w:rPr>
          <w:sz w:val="28"/>
          <w:szCs w:val="28"/>
          <w:shd w:val="clear" w:color="auto" w:fill="FFFFFF"/>
          <w:lang w:val="uk-UA"/>
        </w:rPr>
        <w:t>.</w:t>
      </w:r>
      <w:r w:rsidRPr="00BE086B">
        <w:rPr>
          <w:sz w:val="28"/>
          <w:szCs w:val="28"/>
          <w:shd w:val="clear" w:color="auto" w:fill="FFFFFF"/>
        </w:rPr>
        <w:t>, Slagter S</w:t>
      </w:r>
      <w:r w:rsidRPr="00BE086B">
        <w:rPr>
          <w:sz w:val="28"/>
          <w:szCs w:val="28"/>
          <w:shd w:val="clear" w:color="auto" w:fill="FFFFFF"/>
          <w:lang w:val="uk-UA"/>
        </w:rPr>
        <w:t>.</w:t>
      </w:r>
      <w:r w:rsidRPr="00BE086B">
        <w:rPr>
          <w:sz w:val="28"/>
          <w:szCs w:val="28"/>
          <w:shd w:val="clear" w:color="auto" w:fill="FFFFFF"/>
        </w:rPr>
        <w:t>N</w:t>
      </w:r>
      <w:r w:rsidRPr="00BE086B">
        <w:rPr>
          <w:sz w:val="28"/>
          <w:szCs w:val="28"/>
          <w:shd w:val="clear" w:color="auto" w:fill="FFFFFF"/>
          <w:lang w:val="uk-UA"/>
        </w:rPr>
        <w:t>.</w:t>
      </w:r>
      <w:r w:rsidRPr="00BE086B">
        <w:rPr>
          <w:sz w:val="28"/>
          <w:szCs w:val="28"/>
          <w:shd w:val="clear" w:color="auto" w:fill="FFFFFF"/>
        </w:rPr>
        <w:t>, Muller Kobold A</w:t>
      </w:r>
      <w:r w:rsidRPr="00BE086B">
        <w:rPr>
          <w:sz w:val="28"/>
          <w:szCs w:val="28"/>
          <w:shd w:val="clear" w:color="auto" w:fill="FFFFFF"/>
          <w:lang w:val="uk-UA"/>
        </w:rPr>
        <w:t>.</w:t>
      </w:r>
      <w:r w:rsidRPr="00BE086B">
        <w:rPr>
          <w:sz w:val="28"/>
          <w:szCs w:val="28"/>
          <w:shd w:val="clear" w:color="auto" w:fill="FFFFFF"/>
        </w:rPr>
        <w:t>C</w:t>
      </w:r>
      <w:r w:rsidRPr="00BE086B">
        <w:rPr>
          <w:sz w:val="28"/>
          <w:szCs w:val="28"/>
          <w:shd w:val="clear" w:color="auto" w:fill="FFFFFF"/>
          <w:lang w:val="uk-UA"/>
        </w:rPr>
        <w:t>.</w:t>
      </w:r>
      <w:r w:rsidRPr="00BE086B">
        <w:rPr>
          <w:sz w:val="28"/>
          <w:szCs w:val="28"/>
          <w:shd w:val="clear" w:color="auto" w:fill="FFFFFF"/>
        </w:rPr>
        <w:t>, Klauw M</w:t>
      </w:r>
      <w:r w:rsidRPr="00BE086B">
        <w:rPr>
          <w:sz w:val="28"/>
          <w:szCs w:val="28"/>
          <w:shd w:val="clear" w:color="auto" w:fill="FFFFFF"/>
          <w:lang w:val="uk-UA"/>
        </w:rPr>
        <w:t>.</w:t>
      </w:r>
      <w:r w:rsidRPr="00BE086B">
        <w:rPr>
          <w:sz w:val="28"/>
          <w:szCs w:val="28"/>
          <w:shd w:val="clear" w:color="auto" w:fill="FFFFFF"/>
        </w:rPr>
        <w:t>M</w:t>
      </w:r>
      <w:r w:rsidRPr="00BE086B">
        <w:rPr>
          <w:sz w:val="28"/>
          <w:szCs w:val="28"/>
          <w:shd w:val="clear" w:color="auto" w:fill="FFFFFF"/>
          <w:lang w:val="uk-UA"/>
        </w:rPr>
        <w:t>.</w:t>
      </w:r>
      <w:r w:rsidRPr="00BE086B">
        <w:rPr>
          <w:sz w:val="28"/>
          <w:szCs w:val="28"/>
          <w:shd w:val="clear" w:color="auto" w:fill="FFFFFF"/>
        </w:rPr>
        <w:t xml:space="preserve">, Wolffenbuttel BHR. </w:t>
      </w:r>
      <w:r w:rsidRPr="001142BF">
        <w:rPr>
          <w:sz w:val="28"/>
          <w:szCs w:val="28"/>
          <w:shd w:val="clear" w:color="auto" w:fill="FFFFFF"/>
          <w:lang w:val="en-US"/>
        </w:rPr>
        <w:t xml:space="preserve">Epidemiology of thyroid disorders in the Lifelines Cohort Study (the Netherlands). </w:t>
      </w:r>
      <w:r w:rsidRPr="00BE086B">
        <w:rPr>
          <w:sz w:val="28"/>
          <w:szCs w:val="28"/>
          <w:shd w:val="clear" w:color="auto" w:fill="FFFFFF"/>
        </w:rPr>
        <w:t>PLoS One. 2020</w:t>
      </w:r>
      <w:r w:rsidRPr="00BE086B">
        <w:rPr>
          <w:sz w:val="28"/>
          <w:szCs w:val="28"/>
          <w:shd w:val="clear" w:color="auto" w:fill="FFFFFF"/>
          <w:lang w:val="uk-UA"/>
        </w:rPr>
        <w:t>;</w:t>
      </w:r>
      <w:r w:rsidRPr="00BE086B">
        <w:rPr>
          <w:sz w:val="28"/>
          <w:szCs w:val="28"/>
          <w:shd w:val="clear" w:color="auto" w:fill="FFFFFF"/>
        </w:rPr>
        <w:t xml:space="preserve"> 25;15(11):242</w:t>
      </w:r>
      <w:r w:rsidRPr="00BE086B">
        <w:rPr>
          <w:sz w:val="28"/>
          <w:szCs w:val="28"/>
          <w:shd w:val="clear" w:color="auto" w:fill="FFFFFF"/>
          <w:lang w:val="uk-UA"/>
        </w:rPr>
        <w:t>-</w:t>
      </w:r>
      <w:r w:rsidRPr="00BE086B">
        <w:rPr>
          <w:sz w:val="28"/>
          <w:szCs w:val="28"/>
          <w:shd w:val="clear" w:color="auto" w:fill="FFFFFF"/>
        </w:rPr>
        <w:t>795.</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1142BF">
        <w:rPr>
          <w:sz w:val="28"/>
          <w:szCs w:val="28"/>
          <w:shd w:val="clear" w:color="auto" w:fill="FFFFFF"/>
          <w:lang w:val="en-US"/>
        </w:rPr>
        <w:lastRenderedPageBreak/>
        <w:t>Chen J</w:t>
      </w:r>
      <w:r w:rsidRPr="00BE086B">
        <w:rPr>
          <w:sz w:val="28"/>
          <w:szCs w:val="28"/>
          <w:shd w:val="clear" w:color="auto" w:fill="FFFFFF"/>
          <w:lang w:val="uk-UA"/>
        </w:rPr>
        <w:t>.</w:t>
      </w:r>
      <w:r w:rsidRPr="001142BF">
        <w:rPr>
          <w:sz w:val="28"/>
          <w:szCs w:val="28"/>
          <w:shd w:val="clear" w:color="auto" w:fill="FFFFFF"/>
          <w:lang w:val="en-US"/>
        </w:rPr>
        <w:t>, Lin S</w:t>
      </w:r>
      <w:r w:rsidRPr="00BE086B">
        <w:rPr>
          <w:sz w:val="28"/>
          <w:szCs w:val="28"/>
          <w:shd w:val="clear" w:color="auto" w:fill="FFFFFF"/>
          <w:lang w:val="uk-UA"/>
        </w:rPr>
        <w:t>.</w:t>
      </w:r>
      <w:r w:rsidRPr="001142BF">
        <w:rPr>
          <w:sz w:val="28"/>
          <w:szCs w:val="28"/>
          <w:shd w:val="clear" w:color="auto" w:fill="FFFFFF"/>
          <w:lang w:val="en-US"/>
        </w:rPr>
        <w:t>, Zeng G</w:t>
      </w:r>
      <w:r w:rsidRPr="00BE086B">
        <w:rPr>
          <w:sz w:val="28"/>
          <w:szCs w:val="28"/>
          <w:shd w:val="clear" w:color="auto" w:fill="FFFFFF"/>
          <w:lang w:val="uk-UA"/>
        </w:rPr>
        <w:t>.</w:t>
      </w:r>
      <w:r w:rsidRPr="001142BF">
        <w:rPr>
          <w:sz w:val="28"/>
          <w:szCs w:val="28"/>
          <w:shd w:val="clear" w:color="auto" w:fill="FFFFFF"/>
          <w:lang w:val="en-US"/>
        </w:rPr>
        <w:t>, Wang W</w:t>
      </w:r>
      <w:r w:rsidRPr="00BE086B">
        <w:rPr>
          <w:sz w:val="28"/>
          <w:szCs w:val="28"/>
          <w:shd w:val="clear" w:color="auto" w:fill="FFFFFF"/>
          <w:lang w:val="uk-UA"/>
        </w:rPr>
        <w:t>.</w:t>
      </w:r>
      <w:r w:rsidRPr="001142BF">
        <w:rPr>
          <w:sz w:val="28"/>
          <w:szCs w:val="28"/>
          <w:shd w:val="clear" w:color="auto" w:fill="FFFFFF"/>
          <w:lang w:val="en-US"/>
        </w:rPr>
        <w:t>, Lin Z</w:t>
      </w:r>
      <w:r w:rsidRPr="00BE086B">
        <w:rPr>
          <w:sz w:val="28"/>
          <w:szCs w:val="28"/>
          <w:shd w:val="clear" w:color="auto" w:fill="FFFFFF"/>
          <w:lang w:val="uk-UA"/>
        </w:rPr>
        <w:t>.</w:t>
      </w:r>
      <w:r w:rsidRPr="001142BF">
        <w:rPr>
          <w:sz w:val="28"/>
          <w:szCs w:val="28"/>
          <w:shd w:val="clear" w:color="auto" w:fill="FFFFFF"/>
          <w:lang w:val="en-US"/>
        </w:rPr>
        <w:t>, Xu C</w:t>
      </w:r>
      <w:r w:rsidRPr="00BE086B">
        <w:rPr>
          <w:sz w:val="28"/>
          <w:szCs w:val="28"/>
          <w:shd w:val="clear" w:color="auto" w:fill="FFFFFF"/>
          <w:lang w:val="uk-UA"/>
        </w:rPr>
        <w:t>.</w:t>
      </w:r>
      <w:r w:rsidRPr="001142BF">
        <w:rPr>
          <w:sz w:val="28"/>
          <w:szCs w:val="28"/>
          <w:shd w:val="clear" w:color="auto" w:fill="FFFFFF"/>
          <w:lang w:val="en-US"/>
        </w:rPr>
        <w:t>, He Y</w:t>
      </w:r>
      <w:r w:rsidRPr="00BE086B">
        <w:rPr>
          <w:sz w:val="28"/>
          <w:szCs w:val="28"/>
          <w:shd w:val="clear" w:color="auto" w:fill="FFFFFF"/>
          <w:lang w:val="uk-UA"/>
        </w:rPr>
        <w:t>.</w:t>
      </w:r>
      <w:r w:rsidRPr="001142BF">
        <w:rPr>
          <w:sz w:val="28"/>
          <w:szCs w:val="28"/>
          <w:shd w:val="clear" w:color="auto" w:fill="FFFFFF"/>
          <w:lang w:val="en-US"/>
        </w:rPr>
        <w:t>, Shi J</w:t>
      </w:r>
      <w:r w:rsidRPr="00BE086B">
        <w:rPr>
          <w:sz w:val="28"/>
          <w:szCs w:val="28"/>
          <w:shd w:val="clear" w:color="auto" w:fill="FFFFFF"/>
          <w:lang w:val="uk-UA"/>
        </w:rPr>
        <w:t>.</w:t>
      </w:r>
      <w:r w:rsidRPr="001142BF">
        <w:rPr>
          <w:sz w:val="28"/>
          <w:szCs w:val="28"/>
          <w:shd w:val="clear" w:color="auto" w:fill="FFFFFF"/>
          <w:lang w:val="en-US"/>
        </w:rPr>
        <w:t>, Zhou X</w:t>
      </w:r>
      <w:r w:rsidRPr="00BE086B">
        <w:rPr>
          <w:sz w:val="28"/>
          <w:szCs w:val="28"/>
          <w:shd w:val="clear" w:color="auto" w:fill="FFFFFF"/>
          <w:lang w:val="uk-UA"/>
        </w:rPr>
        <w:t>.</w:t>
      </w:r>
      <w:r w:rsidRPr="001142BF">
        <w:rPr>
          <w:sz w:val="28"/>
          <w:szCs w:val="28"/>
          <w:shd w:val="clear" w:color="auto" w:fill="FFFFFF"/>
          <w:lang w:val="en-US"/>
        </w:rPr>
        <w:t>, Niu C</w:t>
      </w:r>
      <w:r w:rsidRPr="00BE086B">
        <w:rPr>
          <w:sz w:val="28"/>
          <w:szCs w:val="28"/>
          <w:shd w:val="clear" w:color="auto" w:fill="FFFFFF"/>
          <w:lang w:val="uk-UA"/>
        </w:rPr>
        <w:t>.</w:t>
      </w:r>
      <w:r w:rsidRPr="001142BF">
        <w:rPr>
          <w:sz w:val="28"/>
          <w:szCs w:val="28"/>
          <w:shd w:val="clear" w:color="auto" w:fill="FFFFFF"/>
          <w:lang w:val="en-US"/>
        </w:rPr>
        <w:t xml:space="preserve">, Che L. </w:t>
      </w:r>
      <w:r w:rsidRPr="00BE086B">
        <w:rPr>
          <w:sz w:val="28"/>
          <w:szCs w:val="28"/>
          <w:shd w:val="clear" w:color="auto" w:fill="FFFFFF"/>
          <w:lang w:val="en-US"/>
        </w:rPr>
        <w:t>E</w:t>
      </w:r>
      <w:r w:rsidRPr="001142BF">
        <w:rPr>
          <w:sz w:val="28"/>
          <w:szCs w:val="28"/>
          <w:shd w:val="clear" w:color="auto" w:fill="FFFFFF"/>
          <w:lang w:val="en-US"/>
        </w:rPr>
        <w:t xml:space="preserve">pidemiologic characteristics and risk factors for congenital hypothyroidism from 2009 to 2018 in </w:t>
      </w:r>
      <w:r w:rsidRPr="00BE086B">
        <w:rPr>
          <w:sz w:val="28"/>
          <w:szCs w:val="28"/>
          <w:shd w:val="clear" w:color="auto" w:fill="FFFFFF"/>
          <w:lang w:val="en-US"/>
        </w:rPr>
        <w:t>X</w:t>
      </w:r>
      <w:r w:rsidRPr="001142BF">
        <w:rPr>
          <w:sz w:val="28"/>
          <w:szCs w:val="28"/>
          <w:shd w:val="clear" w:color="auto" w:fill="FFFFFF"/>
          <w:lang w:val="en-US"/>
        </w:rPr>
        <w:t xml:space="preserve">iamen, </w:t>
      </w:r>
      <w:r w:rsidRPr="00BE086B">
        <w:rPr>
          <w:sz w:val="28"/>
          <w:szCs w:val="28"/>
          <w:shd w:val="clear" w:color="auto" w:fill="FFFFFF"/>
          <w:lang w:val="en-US"/>
        </w:rPr>
        <w:t>C</w:t>
      </w:r>
      <w:r w:rsidRPr="001142BF">
        <w:rPr>
          <w:sz w:val="28"/>
          <w:szCs w:val="28"/>
          <w:shd w:val="clear" w:color="auto" w:fill="FFFFFF"/>
          <w:lang w:val="en-US"/>
        </w:rPr>
        <w:t xml:space="preserve">hina. </w:t>
      </w:r>
      <w:r w:rsidRPr="00BE086B">
        <w:rPr>
          <w:sz w:val="28"/>
          <w:szCs w:val="28"/>
          <w:shd w:val="clear" w:color="auto" w:fill="FFFFFF"/>
        </w:rPr>
        <w:t>Endocr Pract. 2020</w:t>
      </w:r>
      <w:r w:rsidRPr="00BE086B">
        <w:rPr>
          <w:sz w:val="28"/>
          <w:szCs w:val="28"/>
          <w:shd w:val="clear" w:color="auto" w:fill="FFFFFF"/>
          <w:lang w:val="en-US"/>
        </w:rPr>
        <w:t>;</w:t>
      </w:r>
      <w:r w:rsidRPr="00BE086B">
        <w:rPr>
          <w:sz w:val="28"/>
          <w:szCs w:val="28"/>
          <w:shd w:val="clear" w:color="auto" w:fill="FFFFFF"/>
        </w:rPr>
        <w:t>2;26(6):585-594.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
          <w:sz w:val="28"/>
          <w:szCs w:val="28"/>
          <w:lang w:eastAsia="ru-RU"/>
        </w:rPr>
      </w:pPr>
      <w:r w:rsidRPr="00BE086B">
        <w:rPr>
          <w:kern w:val="2"/>
          <w:sz w:val="28"/>
          <w:szCs w:val="28"/>
        </w:rPr>
        <w:t>Кузнецов Е.В., Жукова Л.А., Пахомова Е.А., Гуламов А.А.</w:t>
      </w:r>
      <w:r w:rsidRPr="00BE086B">
        <w:rPr>
          <w:kern w:val="2"/>
          <w:sz w:val="28"/>
          <w:szCs w:val="28"/>
          <w:lang w:val="uk-UA"/>
        </w:rPr>
        <w:t xml:space="preserve"> Э</w:t>
      </w:r>
      <w:r w:rsidRPr="00BE086B">
        <w:rPr>
          <w:kern w:val="2"/>
          <w:sz w:val="28"/>
          <w:szCs w:val="28"/>
        </w:rPr>
        <w:t xml:space="preserve">ндокринные заболевания как медико-социальная проблема современности. </w:t>
      </w:r>
      <w:r w:rsidRPr="00BE086B">
        <w:rPr>
          <w:kern w:val="2"/>
          <w:sz w:val="28"/>
          <w:szCs w:val="28"/>
          <w:shd w:val="clear" w:color="auto" w:fill="FFFFFF"/>
        </w:rPr>
        <w:t xml:space="preserve">Современные проблемы науки и образования. 2017; </w:t>
      </w:r>
      <w:r w:rsidRPr="00BE086B">
        <w:rPr>
          <w:kern w:val="2"/>
          <w:sz w:val="28"/>
          <w:szCs w:val="28"/>
        </w:rPr>
        <w:t>4:42-49.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
          <w:sz w:val="28"/>
          <w:szCs w:val="28"/>
          <w:lang w:eastAsia="ru-RU"/>
        </w:rPr>
      </w:pPr>
      <w:r w:rsidRPr="00BE086B">
        <w:rPr>
          <w:kern w:val="2"/>
          <w:sz w:val="28"/>
          <w:szCs w:val="28"/>
        </w:rPr>
        <w:t>Трошина Е.А., Юкина М.Ю. Синдром гипотиреоза. Клиницист</w:t>
      </w:r>
      <w:r w:rsidRPr="00BE086B">
        <w:rPr>
          <w:kern w:val="2"/>
          <w:sz w:val="28"/>
          <w:szCs w:val="28"/>
          <w:lang w:val="uk-UA"/>
        </w:rPr>
        <w:t>. 2008;</w:t>
      </w:r>
      <w:r w:rsidRPr="00BE086B">
        <w:rPr>
          <w:kern w:val="2"/>
          <w:sz w:val="28"/>
          <w:szCs w:val="28"/>
        </w:rPr>
        <w:t>1</w:t>
      </w:r>
      <w:r w:rsidRPr="00BE086B">
        <w:rPr>
          <w:kern w:val="2"/>
          <w:sz w:val="28"/>
          <w:szCs w:val="28"/>
          <w:lang w:val="uk-UA"/>
        </w:rPr>
        <w:t>:</w:t>
      </w:r>
      <w:r w:rsidRPr="00BE086B">
        <w:rPr>
          <w:kern w:val="2"/>
          <w:sz w:val="28"/>
          <w:szCs w:val="28"/>
        </w:rPr>
        <w:t>45-49.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
          <w:sz w:val="28"/>
          <w:szCs w:val="28"/>
          <w:lang w:eastAsia="ru-RU"/>
        </w:rPr>
      </w:pPr>
      <w:r w:rsidRPr="00BE086B">
        <w:rPr>
          <w:sz w:val="28"/>
          <w:szCs w:val="28"/>
        </w:rPr>
        <w:t>Фадеев В.В. По материалам клинических рекомендаций Американской тиреоидной ассоциации по лечению гипотиреоза. Клиническая и экспериментальная тиреоидология</w:t>
      </w:r>
      <w:r w:rsidRPr="00BE086B">
        <w:rPr>
          <w:sz w:val="28"/>
          <w:szCs w:val="28"/>
          <w:lang w:val="uk-UA"/>
        </w:rPr>
        <w:t>. 2014;</w:t>
      </w:r>
      <w:r w:rsidRPr="00BE086B">
        <w:rPr>
          <w:sz w:val="28"/>
          <w:szCs w:val="28"/>
        </w:rPr>
        <w:t>10 (4)</w:t>
      </w:r>
      <w:r w:rsidRPr="00BE086B">
        <w:rPr>
          <w:sz w:val="28"/>
          <w:szCs w:val="28"/>
          <w:lang w:val="uk-UA"/>
        </w:rPr>
        <w:t>:</w:t>
      </w:r>
      <w:r w:rsidRPr="00BE086B">
        <w:rPr>
          <w:sz w:val="28"/>
          <w:szCs w:val="28"/>
        </w:rPr>
        <w:t>9-19.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
          <w:sz w:val="28"/>
          <w:szCs w:val="28"/>
          <w:lang w:eastAsia="ru-RU"/>
        </w:rPr>
      </w:pPr>
      <w:r w:rsidRPr="00BE086B">
        <w:rPr>
          <w:sz w:val="28"/>
          <w:szCs w:val="28"/>
        </w:rPr>
        <w:t>Абдулхабирова Ф</w:t>
      </w:r>
      <w:r w:rsidRPr="00BE086B">
        <w:rPr>
          <w:sz w:val="28"/>
          <w:szCs w:val="28"/>
          <w:lang w:val="uk-UA"/>
        </w:rPr>
        <w:t>.</w:t>
      </w:r>
      <w:r w:rsidRPr="00BE086B">
        <w:rPr>
          <w:sz w:val="28"/>
          <w:szCs w:val="28"/>
        </w:rPr>
        <w:t>М</w:t>
      </w:r>
      <w:r w:rsidRPr="00BE086B">
        <w:rPr>
          <w:sz w:val="28"/>
          <w:szCs w:val="28"/>
          <w:lang w:val="uk-UA"/>
        </w:rPr>
        <w:t>.</w:t>
      </w:r>
      <w:r w:rsidRPr="00BE086B">
        <w:rPr>
          <w:sz w:val="28"/>
          <w:szCs w:val="28"/>
        </w:rPr>
        <w:t>, Бабарина М</w:t>
      </w:r>
      <w:r w:rsidRPr="00BE086B">
        <w:rPr>
          <w:sz w:val="28"/>
          <w:szCs w:val="28"/>
          <w:lang w:val="uk-UA"/>
        </w:rPr>
        <w:t>.</w:t>
      </w:r>
      <w:r w:rsidRPr="00BE086B">
        <w:rPr>
          <w:sz w:val="28"/>
          <w:szCs w:val="28"/>
        </w:rPr>
        <w:t>Б</w:t>
      </w:r>
      <w:r w:rsidRPr="00BE086B">
        <w:rPr>
          <w:sz w:val="28"/>
          <w:szCs w:val="28"/>
          <w:lang w:val="uk-UA"/>
        </w:rPr>
        <w:t>.</w:t>
      </w:r>
      <w:r w:rsidRPr="00BE086B">
        <w:rPr>
          <w:sz w:val="28"/>
          <w:szCs w:val="28"/>
        </w:rPr>
        <w:t xml:space="preserve"> Современные методы диагностики и лечения синдрома гипотиреоза. Трудный пациент</w:t>
      </w:r>
      <w:r w:rsidRPr="00BE086B">
        <w:rPr>
          <w:sz w:val="28"/>
          <w:szCs w:val="28"/>
          <w:lang w:val="uk-UA"/>
        </w:rPr>
        <w:t>. 2014;</w:t>
      </w:r>
      <w:r w:rsidRPr="00BE086B">
        <w:rPr>
          <w:sz w:val="28"/>
          <w:szCs w:val="28"/>
        </w:rPr>
        <w:t>12 (7)</w:t>
      </w:r>
      <w:r w:rsidRPr="00BE086B">
        <w:rPr>
          <w:sz w:val="28"/>
          <w:szCs w:val="28"/>
          <w:lang w:val="uk-UA"/>
        </w:rPr>
        <w:t>:</w:t>
      </w:r>
      <w:r w:rsidRPr="00BE086B">
        <w:rPr>
          <w:sz w:val="28"/>
          <w:szCs w:val="28"/>
        </w:rPr>
        <w:t>42-47.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kern w:val="2"/>
          <w:sz w:val="28"/>
          <w:szCs w:val="28"/>
          <w:lang w:val="en-US"/>
        </w:rPr>
      </w:pPr>
      <w:r w:rsidRPr="00BE086B">
        <w:rPr>
          <w:sz w:val="28"/>
          <w:szCs w:val="28"/>
          <w:shd w:val="clear" w:color="auto" w:fill="FFFFFF"/>
          <w:lang w:val="en-US"/>
        </w:rPr>
        <w:t>Teixeira P.F., Dos Santos P</w:t>
      </w:r>
      <w:r w:rsidRPr="00BE086B">
        <w:rPr>
          <w:sz w:val="28"/>
          <w:szCs w:val="28"/>
          <w:shd w:val="clear" w:color="auto" w:fill="FFFFFF"/>
          <w:lang w:val="uk-UA"/>
        </w:rPr>
        <w:t>.</w:t>
      </w:r>
      <w:r w:rsidRPr="00BE086B">
        <w:rPr>
          <w:sz w:val="28"/>
          <w:szCs w:val="28"/>
          <w:shd w:val="clear" w:color="auto" w:fill="FFFFFF"/>
          <w:lang w:val="en-US"/>
        </w:rPr>
        <w:t>B</w:t>
      </w:r>
      <w:r w:rsidRPr="00BE086B">
        <w:rPr>
          <w:sz w:val="28"/>
          <w:szCs w:val="28"/>
          <w:shd w:val="clear" w:color="auto" w:fill="FFFFFF"/>
          <w:lang w:val="uk-UA"/>
        </w:rPr>
        <w:t>.</w:t>
      </w:r>
      <w:r w:rsidRPr="00BE086B">
        <w:rPr>
          <w:sz w:val="28"/>
          <w:szCs w:val="28"/>
          <w:shd w:val="clear" w:color="auto" w:fill="FFFFFF"/>
          <w:lang w:val="en-US"/>
        </w:rPr>
        <w:t>, Pazos-Moura C</w:t>
      </w:r>
      <w:r w:rsidRPr="00BE086B">
        <w:rPr>
          <w:sz w:val="28"/>
          <w:szCs w:val="28"/>
          <w:shd w:val="clear" w:color="auto" w:fill="FFFFFF"/>
          <w:lang w:val="uk-UA"/>
        </w:rPr>
        <w:t>.</w:t>
      </w:r>
      <w:r w:rsidRPr="00BE086B">
        <w:rPr>
          <w:sz w:val="28"/>
          <w:szCs w:val="28"/>
          <w:shd w:val="clear" w:color="auto" w:fill="FFFFFF"/>
          <w:lang w:val="en-US"/>
        </w:rPr>
        <w:t>C. The role of thyroid hormone in metabolism and metabolic syndrome. Ther Adv Endocrinol Metab. 2020</w:t>
      </w:r>
      <w:r w:rsidRPr="00BE086B">
        <w:rPr>
          <w:sz w:val="28"/>
          <w:szCs w:val="28"/>
          <w:shd w:val="clear" w:color="auto" w:fill="FFFFFF"/>
          <w:lang w:val="uk-UA"/>
        </w:rPr>
        <w:t>;</w:t>
      </w:r>
      <w:r w:rsidRPr="00BE086B">
        <w:rPr>
          <w:sz w:val="28"/>
          <w:szCs w:val="28"/>
          <w:shd w:val="clear" w:color="auto" w:fill="FFFFFF"/>
          <w:lang w:val="en-US"/>
        </w:rPr>
        <w:t>13;11:20</w:t>
      </w:r>
      <w:r w:rsidRPr="00BE086B">
        <w:rPr>
          <w:sz w:val="28"/>
          <w:szCs w:val="28"/>
          <w:shd w:val="clear" w:color="auto" w:fill="FFFFFF"/>
          <w:lang w:val="uk-UA"/>
        </w:rPr>
        <w:t>-</w:t>
      </w:r>
      <w:r w:rsidRPr="00BE086B">
        <w:rPr>
          <w:sz w:val="28"/>
          <w:szCs w:val="28"/>
          <w:shd w:val="clear" w:color="auto" w:fill="FFFFFF"/>
          <w:lang w:val="en-US"/>
        </w:rPr>
        <w:t>42.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rPr>
      </w:pPr>
      <w:r w:rsidRPr="00BE086B">
        <w:rPr>
          <w:sz w:val="28"/>
          <w:szCs w:val="28"/>
          <w:shd w:val="clear" w:color="auto" w:fill="FFFFFF"/>
          <w:lang w:val="en-US"/>
        </w:rPr>
        <w:t>Punda A</w:t>
      </w:r>
      <w:r w:rsidRPr="00BE086B">
        <w:rPr>
          <w:sz w:val="28"/>
          <w:szCs w:val="28"/>
          <w:shd w:val="clear" w:color="auto" w:fill="FFFFFF"/>
          <w:lang w:val="uk-UA"/>
        </w:rPr>
        <w:t>.</w:t>
      </w:r>
      <w:r w:rsidRPr="00BE086B">
        <w:rPr>
          <w:sz w:val="28"/>
          <w:szCs w:val="28"/>
          <w:shd w:val="clear" w:color="auto" w:fill="FFFFFF"/>
          <w:lang w:val="en-US"/>
        </w:rPr>
        <w:t>, Škrabić V</w:t>
      </w:r>
      <w:r w:rsidRPr="00BE086B">
        <w:rPr>
          <w:sz w:val="28"/>
          <w:szCs w:val="28"/>
          <w:shd w:val="clear" w:color="auto" w:fill="FFFFFF"/>
          <w:lang w:val="uk-UA"/>
        </w:rPr>
        <w:t>.</w:t>
      </w:r>
      <w:r w:rsidRPr="00BE086B">
        <w:rPr>
          <w:sz w:val="28"/>
          <w:szCs w:val="28"/>
          <w:shd w:val="clear" w:color="auto" w:fill="FFFFFF"/>
          <w:lang w:val="en-US"/>
        </w:rPr>
        <w:t>, Torlak V</w:t>
      </w:r>
      <w:r w:rsidRPr="00BE086B">
        <w:rPr>
          <w:sz w:val="28"/>
          <w:szCs w:val="28"/>
          <w:shd w:val="clear" w:color="auto" w:fill="FFFFFF"/>
          <w:lang w:val="uk-UA"/>
        </w:rPr>
        <w:t>.</w:t>
      </w:r>
      <w:r w:rsidRPr="00BE086B">
        <w:rPr>
          <w:sz w:val="28"/>
          <w:szCs w:val="28"/>
          <w:shd w:val="clear" w:color="auto" w:fill="FFFFFF"/>
          <w:lang w:val="en-US"/>
        </w:rPr>
        <w:t>, Gunjača I</w:t>
      </w:r>
      <w:r w:rsidRPr="00BE086B">
        <w:rPr>
          <w:sz w:val="28"/>
          <w:szCs w:val="28"/>
          <w:shd w:val="clear" w:color="auto" w:fill="FFFFFF"/>
          <w:lang w:val="uk-UA"/>
        </w:rPr>
        <w:t>.</w:t>
      </w:r>
      <w:r w:rsidRPr="00BE086B">
        <w:rPr>
          <w:sz w:val="28"/>
          <w:szCs w:val="28"/>
          <w:shd w:val="clear" w:color="auto" w:fill="FFFFFF"/>
          <w:lang w:val="en-US"/>
        </w:rPr>
        <w:t>, Boraska Perica V</w:t>
      </w:r>
      <w:r w:rsidRPr="00BE086B">
        <w:rPr>
          <w:sz w:val="28"/>
          <w:szCs w:val="28"/>
          <w:shd w:val="clear" w:color="auto" w:fill="FFFFFF"/>
          <w:lang w:val="uk-UA"/>
        </w:rPr>
        <w:t>.</w:t>
      </w:r>
      <w:r w:rsidRPr="00BE086B">
        <w:rPr>
          <w:sz w:val="28"/>
          <w:szCs w:val="28"/>
          <w:shd w:val="clear" w:color="auto" w:fill="FFFFFF"/>
          <w:lang w:val="en-US"/>
        </w:rPr>
        <w:t>, Kolčić I</w:t>
      </w:r>
      <w:r w:rsidRPr="00BE086B">
        <w:rPr>
          <w:sz w:val="28"/>
          <w:szCs w:val="28"/>
          <w:shd w:val="clear" w:color="auto" w:fill="FFFFFF"/>
          <w:lang w:val="uk-UA"/>
        </w:rPr>
        <w:t>.</w:t>
      </w:r>
      <w:r w:rsidRPr="00BE086B">
        <w:rPr>
          <w:sz w:val="28"/>
          <w:szCs w:val="28"/>
          <w:shd w:val="clear" w:color="auto" w:fill="FFFFFF"/>
          <w:lang w:val="en-US"/>
        </w:rPr>
        <w:t>, Polašek O</w:t>
      </w:r>
      <w:r w:rsidRPr="00BE086B">
        <w:rPr>
          <w:sz w:val="28"/>
          <w:szCs w:val="28"/>
          <w:shd w:val="clear" w:color="auto" w:fill="FFFFFF"/>
          <w:lang w:val="uk-UA"/>
        </w:rPr>
        <w:t>.</w:t>
      </w:r>
      <w:r w:rsidRPr="00BE086B">
        <w:rPr>
          <w:sz w:val="28"/>
          <w:szCs w:val="28"/>
          <w:shd w:val="clear" w:color="auto" w:fill="FFFFFF"/>
          <w:lang w:val="en-US"/>
        </w:rPr>
        <w:t>, Hayward C</w:t>
      </w:r>
      <w:r w:rsidRPr="00BE086B">
        <w:rPr>
          <w:sz w:val="28"/>
          <w:szCs w:val="28"/>
          <w:shd w:val="clear" w:color="auto" w:fill="FFFFFF"/>
          <w:lang w:val="uk-UA"/>
        </w:rPr>
        <w:t>.</w:t>
      </w:r>
      <w:r w:rsidRPr="00BE086B">
        <w:rPr>
          <w:sz w:val="28"/>
          <w:szCs w:val="28"/>
          <w:shd w:val="clear" w:color="auto" w:fill="FFFFFF"/>
          <w:lang w:val="en-US"/>
        </w:rPr>
        <w:t>, Zemunik T</w:t>
      </w:r>
      <w:r w:rsidRPr="00BE086B">
        <w:rPr>
          <w:sz w:val="28"/>
          <w:szCs w:val="28"/>
          <w:shd w:val="clear" w:color="auto" w:fill="FFFFFF"/>
          <w:lang w:val="uk-UA"/>
        </w:rPr>
        <w:t>.</w:t>
      </w:r>
      <w:r w:rsidRPr="00BE086B">
        <w:rPr>
          <w:sz w:val="28"/>
          <w:szCs w:val="28"/>
          <w:shd w:val="clear" w:color="auto" w:fill="FFFFFF"/>
          <w:lang w:val="en-US"/>
        </w:rPr>
        <w:t>, Matana A. Thyroid hormone levels are associated with metabolic components: a cross-sectional study. Croat Med J</w:t>
      </w:r>
      <w:r w:rsidRPr="00BE086B">
        <w:rPr>
          <w:sz w:val="28"/>
          <w:szCs w:val="28"/>
          <w:shd w:val="clear" w:color="auto" w:fill="FFFFFF"/>
        </w:rPr>
        <w:t>. 2020</w:t>
      </w:r>
      <w:r w:rsidRPr="00BE086B">
        <w:rPr>
          <w:sz w:val="28"/>
          <w:szCs w:val="28"/>
          <w:shd w:val="clear" w:color="auto" w:fill="FFFFFF"/>
          <w:lang w:val="uk-UA"/>
        </w:rPr>
        <w:t>;</w:t>
      </w:r>
      <w:r w:rsidRPr="00BE086B">
        <w:rPr>
          <w:sz w:val="28"/>
          <w:szCs w:val="28"/>
          <w:shd w:val="clear" w:color="auto" w:fill="FFFFFF"/>
        </w:rPr>
        <w:t>5;61(3):230-238.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lang w:val="en-US"/>
        </w:rPr>
      </w:pPr>
      <w:r w:rsidRPr="00BE086B">
        <w:rPr>
          <w:sz w:val="28"/>
          <w:szCs w:val="28"/>
          <w:shd w:val="clear" w:color="auto" w:fill="FFFFFF"/>
          <w:lang w:val="en-US"/>
        </w:rPr>
        <w:t>Göbel A</w:t>
      </w:r>
      <w:r w:rsidRPr="00BE086B">
        <w:rPr>
          <w:sz w:val="28"/>
          <w:szCs w:val="28"/>
          <w:shd w:val="clear" w:color="auto" w:fill="FFFFFF"/>
          <w:lang w:val="uk-UA"/>
        </w:rPr>
        <w:t>.</w:t>
      </w:r>
      <w:r w:rsidRPr="00BE086B">
        <w:rPr>
          <w:sz w:val="28"/>
          <w:szCs w:val="28"/>
          <w:shd w:val="clear" w:color="auto" w:fill="FFFFFF"/>
          <w:lang w:val="en-US"/>
        </w:rPr>
        <w:t>, Göttlich M</w:t>
      </w:r>
      <w:r w:rsidRPr="00BE086B">
        <w:rPr>
          <w:sz w:val="28"/>
          <w:szCs w:val="28"/>
          <w:shd w:val="clear" w:color="auto" w:fill="FFFFFF"/>
          <w:lang w:val="uk-UA"/>
        </w:rPr>
        <w:t>.</w:t>
      </w:r>
      <w:r w:rsidRPr="00BE086B">
        <w:rPr>
          <w:sz w:val="28"/>
          <w:szCs w:val="28"/>
          <w:shd w:val="clear" w:color="auto" w:fill="FFFFFF"/>
          <w:lang w:val="en-US"/>
        </w:rPr>
        <w:t>, Reinwald J</w:t>
      </w:r>
      <w:r w:rsidRPr="00BE086B">
        <w:rPr>
          <w:sz w:val="28"/>
          <w:szCs w:val="28"/>
          <w:shd w:val="clear" w:color="auto" w:fill="FFFFFF"/>
          <w:lang w:val="uk-UA"/>
        </w:rPr>
        <w:t>.</w:t>
      </w:r>
      <w:r w:rsidRPr="00BE086B">
        <w:rPr>
          <w:sz w:val="28"/>
          <w:szCs w:val="28"/>
          <w:shd w:val="clear" w:color="auto" w:fill="FFFFFF"/>
          <w:lang w:val="en-US"/>
        </w:rPr>
        <w:t>, Rogge B</w:t>
      </w:r>
      <w:r w:rsidRPr="00BE086B">
        <w:rPr>
          <w:sz w:val="28"/>
          <w:szCs w:val="28"/>
          <w:shd w:val="clear" w:color="auto" w:fill="FFFFFF"/>
          <w:lang w:val="uk-UA"/>
        </w:rPr>
        <w:t>.</w:t>
      </w:r>
      <w:r w:rsidRPr="00BE086B">
        <w:rPr>
          <w:sz w:val="28"/>
          <w:szCs w:val="28"/>
          <w:shd w:val="clear" w:color="auto" w:fill="FFFFFF"/>
          <w:lang w:val="en-US"/>
        </w:rPr>
        <w:t>, Uter J</w:t>
      </w:r>
      <w:r w:rsidRPr="00BE086B">
        <w:rPr>
          <w:sz w:val="28"/>
          <w:szCs w:val="28"/>
          <w:shd w:val="clear" w:color="auto" w:fill="FFFFFF"/>
          <w:lang w:val="uk-UA"/>
        </w:rPr>
        <w:t>.</w:t>
      </w:r>
      <w:r w:rsidRPr="00BE086B">
        <w:rPr>
          <w:sz w:val="28"/>
          <w:szCs w:val="28"/>
          <w:shd w:val="clear" w:color="auto" w:fill="FFFFFF"/>
          <w:lang w:val="en-US"/>
        </w:rPr>
        <w:t>C</w:t>
      </w:r>
      <w:r w:rsidRPr="00BE086B">
        <w:rPr>
          <w:sz w:val="28"/>
          <w:szCs w:val="28"/>
          <w:shd w:val="clear" w:color="auto" w:fill="FFFFFF"/>
          <w:lang w:val="uk-UA"/>
        </w:rPr>
        <w:t>.</w:t>
      </w:r>
      <w:r w:rsidRPr="00BE086B">
        <w:rPr>
          <w:sz w:val="28"/>
          <w:szCs w:val="28"/>
          <w:shd w:val="clear" w:color="auto" w:fill="FFFFFF"/>
          <w:lang w:val="en-US"/>
        </w:rPr>
        <w:t>, Heldmann M</w:t>
      </w:r>
      <w:r w:rsidRPr="00BE086B">
        <w:rPr>
          <w:sz w:val="28"/>
          <w:szCs w:val="28"/>
          <w:shd w:val="clear" w:color="auto" w:fill="FFFFFF"/>
          <w:lang w:val="uk-UA"/>
        </w:rPr>
        <w:t>.</w:t>
      </w:r>
      <w:r w:rsidRPr="00BE086B">
        <w:rPr>
          <w:sz w:val="28"/>
          <w:szCs w:val="28"/>
          <w:shd w:val="clear" w:color="auto" w:fill="FFFFFF"/>
          <w:lang w:val="en-US"/>
        </w:rPr>
        <w:t>, Sartorius A</w:t>
      </w:r>
      <w:r w:rsidRPr="00BE086B">
        <w:rPr>
          <w:sz w:val="28"/>
          <w:szCs w:val="28"/>
          <w:shd w:val="clear" w:color="auto" w:fill="FFFFFF"/>
          <w:lang w:val="uk-UA"/>
        </w:rPr>
        <w:t>.</w:t>
      </w:r>
      <w:r w:rsidRPr="00BE086B">
        <w:rPr>
          <w:sz w:val="28"/>
          <w:szCs w:val="28"/>
          <w:shd w:val="clear" w:color="auto" w:fill="FFFFFF"/>
          <w:lang w:val="en-US"/>
        </w:rPr>
        <w:t>, Brabant G</w:t>
      </w:r>
      <w:r w:rsidRPr="00BE086B">
        <w:rPr>
          <w:sz w:val="28"/>
          <w:szCs w:val="28"/>
          <w:shd w:val="clear" w:color="auto" w:fill="FFFFFF"/>
          <w:lang w:val="uk-UA"/>
        </w:rPr>
        <w:t>.</w:t>
      </w:r>
      <w:r w:rsidRPr="00BE086B">
        <w:rPr>
          <w:sz w:val="28"/>
          <w:szCs w:val="28"/>
          <w:shd w:val="clear" w:color="auto" w:fill="FFFFFF"/>
          <w:lang w:val="en-US"/>
        </w:rPr>
        <w:t>, Münte T</w:t>
      </w:r>
      <w:r w:rsidRPr="00BE086B">
        <w:rPr>
          <w:sz w:val="28"/>
          <w:szCs w:val="28"/>
          <w:shd w:val="clear" w:color="auto" w:fill="FFFFFF"/>
          <w:lang w:val="uk-UA"/>
        </w:rPr>
        <w:t>.</w:t>
      </w:r>
      <w:r w:rsidRPr="00BE086B">
        <w:rPr>
          <w:sz w:val="28"/>
          <w:szCs w:val="28"/>
          <w:shd w:val="clear" w:color="auto" w:fill="FFFFFF"/>
          <w:lang w:val="en-US"/>
        </w:rPr>
        <w:t>F. The Influence of thyroid hormones on brain structure and function in humans. Exp Clin Endocrinol Diabetes. 2020;128(6-07):432-436.</w:t>
      </w:r>
    </w:p>
    <w:p w:rsidR="008B13C0" w:rsidRPr="00BE086B" w:rsidRDefault="008B13C0" w:rsidP="00611AFB">
      <w:pPr>
        <w:widowControl w:val="0"/>
        <w:numPr>
          <w:ilvl w:val="0"/>
          <w:numId w:val="19"/>
        </w:numPr>
        <w:suppressAutoHyphens w:val="0"/>
        <w:autoSpaceDN w:val="0"/>
        <w:spacing w:line="360" w:lineRule="auto"/>
        <w:ind w:left="0" w:firstLine="709"/>
        <w:jc w:val="both"/>
        <w:rPr>
          <w:sz w:val="28"/>
          <w:szCs w:val="28"/>
          <w:lang w:eastAsia="en-US"/>
        </w:rPr>
      </w:pPr>
      <w:r w:rsidRPr="00BE086B">
        <w:rPr>
          <w:rFonts w:eastAsia="Calibri"/>
          <w:sz w:val="28"/>
          <w:szCs w:val="28"/>
        </w:rPr>
        <w:t xml:space="preserve">Носивец Д.С. Влияние функциональной недостаточности щитовидной железы на костно-хрящевую ткань. </w:t>
      </w:r>
      <w:r w:rsidRPr="00BE086B">
        <w:rPr>
          <w:rFonts w:eastAsia="Calibri"/>
          <w:sz w:val="28"/>
          <w:szCs w:val="28"/>
          <w:lang w:eastAsia="uk-UA"/>
        </w:rPr>
        <w:t>Morphologia</w:t>
      </w:r>
      <w:r w:rsidRPr="00BE086B">
        <w:rPr>
          <w:rFonts w:eastAsia="Calibri"/>
          <w:sz w:val="28"/>
          <w:szCs w:val="28"/>
        </w:rPr>
        <w:t>. 2019</w:t>
      </w:r>
      <w:r w:rsidRPr="00BE086B">
        <w:rPr>
          <w:rFonts w:eastAsia="Calibri"/>
          <w:sz w:val="28"/>
          <w:szCs w:val="28"/>
          <w:lang w:val="uk-UA"/>
        </w:rPr>
        <w:t>;</w:t>
      </w:r>
      <w:r w:rsidRPr="00BE086B">
        <w:rPr>
          <w:rFonts w:eastAsia="Calibri"/>
          <w:sz w:val="28"/>
          <w:szCs w:val="28"/>
        </w:rPr>
        <w:t xml:space="preserve"> 13,1</w:t>
      </w:r>
      <w:r w:rsidRPr="00BE086B">
        <w:rPr>
          <w:rFonts w:eastAsia="Calibri"/>
          <w:sz w:val="28"/>
          <w:szCs w:val="28"/>
          <w:lang w:val="uk-UA"/>
        </w:rPr>
        <w:t>:</w:t>
      </w:r>
      <w:r w:rsidRPr="00BE086B">
        <w:rPr>
          <w:rFonts w:eastAsia="Calibri"/>
          <w:sz w:val="28"/>
          <w:szCs w:val="28"/>
        </w:rPr>
        <w:t xml:space="preserve"> 47-51.</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rFonts w:eastAsia="Calibri"/>
          <w:sz w:val="28"/>
          <w:szCs w:val="28"/>
        </w:rPr>
        <w:t xml:space="preserve">Носівець Д.С., Кошарний В.В., Мамчур В.Й., Опришко В.І. </w:t>
      </w:r>
      <w:r w:rsidRPr="00BE086B">
        <w:rPr>
          <w:rFonts w:eastAsia="Calibri"/>
          <w:sz w:val="28"/>
          <w:szCs w:val="28"/>
        </w:rPr>
        <w:lastRenderedPageBreak/>
        <w:t xml:space="preserve">Дослідження впливу комбінованного застосування </w:t>
      </w:r>
      <w:r w:rsidRPr="00BE086B">
        <w:rPr>
          <w:sz w:val="28"/>
          <w:szCs w:val="28"/>
        </w:rPr>
        <w:t xml:space="preserve">L-тироксину (левотироксину), диклофенаку натрію та хондроітину сульфату на гістологічну структуру хрящової тканини. </w:t>
      </w:r>
      <w:r w:rsidRPr="00BE086B">
        <w:rPr>
          <w:rFonts w:eastAsia="Calibri"/>
          <w:sz w:val="28"/>
          <w:szCs w:val="28"/>
          <w:lang w:eastAsia="uk-UA"/>
        </w:rPr>
        <w:t>Morphologia</w:t>
      </w:r>
      <w:r w:rsidRPr="00BE086B">
        <w:rPr>
          <w:rFonts w:eastAsia="Calibri"/>
          <w:sz w:val="28"/>
          <w:szCs w:val="28"/>
        </w:rPr>
        <w:t>. 2019</w:t>
      </w:r>
      <w:r w:rsidRPr="00BE086B">
        <w:rPr>
          <w:rFonts w:eastAsia="Calibri"/>
          <w:sz w:val="28"/>
          <w:szCs w:val="28"/>
          <w:lang w:val="uk-UA"/>
        </w:rPr>
        <w:t>;</w:t>
      </w:r>
      <w:r w:rsidRPr="00BE086B">
        <w:rPr>
          <w:rFonts w:eastAsia="Calibri"/>
          <w:sz w:val="28"/>
          <w:szCs w:val="28"/>
        </w:rPr>
        <w:t xml:space="preserve"> 13,</w:t>
      </w:r>
      <w:r w:rsidRPr="00BE086B">
        <w:rPr>
          <w:rFonts w:eastAsia="Calibri"/>
          <w:sz w:val="28"/>
          <w:szCs w:val="28"/>
          <w:lang w:val="uk-UA"/>
        </w:rPr>
        <w:t xml:space="preserve"> </w:t>
      </w:r>
      <w:r w:rsidRPr="00BE086B">
        <w:rPr>
          <w:rFonts w:eastAsia="Calibri"/>
          <w:sz w:val="28"/>
          <w:szCs w:val="28"/>
        </w:rPr>
        <w:t>2</w:t>
      </w:r>
      <w:r w:rsidRPr="00BE086B">
        <w:rPr>
          <w:rFonts w:eastAsia="Calibri"/>
          <w:sz w:val="28"/>
          <w:szCs w:val="28"/>
          <w:lang w:val="uk-UA"/>
        </w:rPr>
        <w:t>:</w:t>
      </w:r>
      <w:r w:rsidRPr="00BE086B">
        <w:rPr>
          <w:rFonts w:eastAsia="Calibri"/>
          <w:sz w:val="28"/>
          <w:szCs w:val="28"/>
        </w:rPr>
        <w:t xml:space="preserve"> 71-75.</w:t>
      </w:r>
    </w:p>
    <w:p w:rsidR="008B13C0" w:rsidRPr="00BE086B" w:rsidRDefault="008B13C0" w:rsidP="00611AFB">
      <w:pPr>
        <w:widowControl w:val="0"/>
        <w:numPr>
          <w:ilvl w:val="0"/>
          <w:numId w:val="19"/>
        </w:numPr>
        <w:suppressAutoHyphens w:val="0"/>
        <w:spacing w:line="360" w:lineRule="auto"/>
        <w:ind w:left="0" w:firstLine="709"/>
        <w:jc w:val="both"/>
        <w:rPr>
          <w:sz w:val="28"/>
          <w:szCs w:val="28"/>
        </w:rPr>
      </w:pPr>
      <w:r w:rsidRPr="00BE086B">
        <w:rPr>
          <w:rStyle w:val="ac"/>
          <w:i w:val="0"/>
          <w:iCs w:val="0"/>
          <w:sz w:val="28"/>
          <w:szCs w:val="28"/>
        </w:rPr>
        <w:t>Поворознюк В.В. Захворювання кістково-м’язової системи в людей різного віку (вибрані лекції, огляди, статті). Т. 4. К</w:t>
      </w:r>
      <w:r w:rsidRPr="00BE086B">
        <w:rPr>
          <w:rStyle w:val="ac"/>
          <w:i w:val="0"/>
          <w:iCs w:val="0"/>
          <w:sz w:val="28"/>
          <w:szCs w:val="28"/>
          <w:lang w:val="uk-UA"/>
        </w:rPr>
        <w:t>иїв</w:t>
      </w:r>
      <w:r w:rsidRPr="00BE086B">
        <w:rPr>
          <w:rStyle w:val="ac"/>
          <w:i w:val="0"/>
          <w:iCs w:val="0"/>
          <w:sz w:val="28"/>
          <w:szCs w:val="28"/>
        </w:rPr>
        <w:t>, 2014</w:t>
      </w:r>
      <w:r w:rsidRPr="00BE086B">
        <w:rPr>
          <w:rStyle w:val="ac"/>
          <w:i w:val="0"/>
          <w:iCs w:val="0"/>
          <w:sz w:val="28"/>
          <w:szCs w:val="28"/>
          <w:lang w:val="uk-UA"/>
        </w:rPr>
        <w:t>,</w:t>
      </w:r>
      <w:r w:rsidRPr="00BE086B">
        <w:rPr>
          <w:rStyle w:val="ac"/>
          <w:i w:val="0"/>
          <w:iCs w:val="0"/>
          <w:sz w:val="28"/>
          <w:szCs w:val="28"/>
        </w:rPr>
        <w:t xml:space="preserve"> 672 с.</w:t>
      </w:r>
    </w:p>
    <w:p w:rsidR="008B13C0" w:rsidRPr="00BE086B" w:rsidRDefault="008B13C0" w:rsidP="00611AFB">
      <w:pPr>
        <w:widowControl w:val="0"/>
        <w:numPr>
          <w:ilvl w:val="0"/>
          <w:numId w:val="19"/>
        </w:numPr>
        <w:suppressAutoHyphens w:val="0"/>
        <w:spacing w:line="360" w:lineRule="auto"/>
        <w:ind w:left="0" w:firstLine="709"/>
        <w:jc w:val="both"/>
        <w:rPr>
          <w:sz w:val="28"/>
          <w:szCs w:val="28"/>
        </w:rPr>
      </w:pPr>
      <w:r w:rsidRPr="00BE086B">
        <w:rPr>
          <w:rStyle w:val="A20"/>
          <w:rFonts w:ascii="Times New Roman" w:hAnsi="Times New Roman" w:cs="Times New Roman"/>
          <w:b w:val="0"/>
          <w:bCs w:val="0"/>
          <w:color w:val="auto"/>
          <w:sz w:val="28"/>
          <w:szCs w:val="28"/>
          <w:shd w:val="clear" w:color="auto" w:fill="FFFFFF"/>
          <w:lang w:eastAsia="ru-RU"/>
        </w:rPr>
        <w:t>Теплова Л.В., Еремеева А.В., Байкова О.А., Суворова Н.А. Ревматические проявления гипотиреоза. Современная ревматология. 2017, 11(2):47-53.</w:t>
      </w:r>
      <w:bookmarkStart w:id="9" w:name="pub-id%2525253A%2525253Adoi1"/>
      <w:bookmarkEnd w:id="9"/>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shd w:val="clear" w:color="auto" w:fill="FFFFFF"/>
          <w:lang w:eastAsia="ru-RU"/>
        </w:rPr>
      </w:pPr>
      <w:r w:rsidRPr="00BE086B">
        <w:rPr>
          <w:bCs/>
          <w:sz w:val="28"/>
          <w:szCs w:val="28"/>
          <w:lang w:val="uk-UA"/>
        </w:rPr>
        <w:t xml:space="preserve">Волошина Л.О. Клініко-патогенетичні особливості формування коморбідності та гіпотиреозу у хворих на остеоартроз: вікові, гендерні та метаболічні аспекти прогнозування, вдосконалення лікування та профілактики. </w:t>
      </w:r>
      <w:r w:rsidRPr="00BE086B">
        <w:rPr>
          <w:sz w:val="28"/>
          <w:szCs w:val="28"/>
          <w:lang w:val="uk-UA"/>
        </w:rPr>
        <w:t>Дис…. докт</w:t>
      </w:r>
      <w:r w:rsidRPr="00BE086B">
        <w:rPr>
          <w:sz w:val="28"/>
          <w:szCs w:val="28"/>
        </w:rPr>
        <w:t xml:space="preserve">. мед. наук, спец.: </w:t>
      </w:r>
      <w:r w:rsidRPr="00BE086B">
        <w:rPr>
          <w:sz w:val="28"/>
          <w:szCs w:val="28"/>
          <w:lang w:val="uk-UA"/>
        </w:rPr>
        <w:t>14.01.02 – внутрішні хвороби. Чернівці, 2018, 398 с.</w:t>
      </w:r>
    </w:p>
    <w:p w:rsidR="008B13C0" w:rsidRPr="00BE086B" w:rsidRDefault="008B13C0" w:rsidP="00611AFB">
      <w:pPr>
        <w:widowControl w:val="0"/>
        <w:numPr>
          <w:ilvl w:val="0"/>
          <w:numId w:val="19"/>
        </w:numPr>
        <w:suppressAutoHyphens w:val="0"/>
        <w:spacing w:line="360" w:lineRule="auto"/>
        <w:ind w:left="0" w:firstLine="709"/>
        <w:jc w:val="both"/>
        <w:rPr>
          <w:kern w:val="2"/>
          <w:sz w:val="28"/>
          <w:szCs w:val="28"/>
          <w:shd w:val="clear" w:color="auto" w:fill="FFFFFF"/>
          <w:lang w:eastAsia="ru-RU"/>
        </w:rPr>
      </w:pPr>
      <w:r w:rsidRPr="00BE086B">
        <w:rPr>
          <w:sz w:val="28"/>
          <w:szCs w:val="28"/>
          <w:shd w:val="clear" w:color="auto" w:fill="FFFFFF"/>
          <w:lang w:val="en-US"/>
        </w:rPr>
        <w:t>Williams G</w:t>
      </w:r>
      <w:r w:rsidRPr="00BE086B">
        <w:rPr>
          <w:sz w:val="28"/>
          <w:szCs w:val="28"/>
          <w:shd w:val="clear" w:color="auto" w:fill="FFFFFF"/>
          <w:lang w:val="uk-UA"/>
        </w:rPr>
        <w:t>.</w:t>
      </w:r>
      <w:r w:rsidRPr="00BE086B">
        <w:rPr>
          <w:sz w:val="28"/>
          <w:szCs w:val="28"/>
          <w:shd w:val="clear" w:color="auto" w:fill="FFFFFF"/>
          <w:lang w:val="en-US"/>
        </w:rPr>
        <w:t>R. Thyroid hormone actions in cartilage and bone. Eur Thyroid J. 2013;2(1):3-13.</w:t>
      </w:r>
    </w:p>
    <w:p w:rsidR="008B13C0" w:rsidRPr="00BE086B" w:rsidRDefault="008B13C0" w:rsidP="00611AFB">
      <w:pPr>
        <w:widowControl w:val="0"/>
        <w:numPr>
          <w:ilvl w:val="0"/>
          <w:numId w:val="19"/>
        </w:numPr>
        <w:suppressAutoHyphens w:val="0"/>
        <w:spacing w:line="360" w:lineRule="auto"/>
        <w:ind w:left="0" w:firstLine="709"/>
        <w:jc w:val="both"/>
        <w:rPr>
          <w:sz w:val="28"/>
          <w:szCs w:val="28"/>
          <w:shd w:val="clear" w:color="auto" w:fill="FFFFFF"/>
          <w:lang w:eastAsia="ru-RU"/>
        </w:rPr>
      </w:pPr>
      <w:r w:rsidRPr="00BE086B">
        <w:rPr>
          <w:sz w:val="28"/>
          <w:szCs w:val="28"/>
          <w:shd w:val="clear" w:color="auto" w:fill="FFFFFF"/>
          <w:lang w:val="en-US"/>
        </w:rPr>
        <w:t>Tsourdi E</w:t>
      </w:r>
      <w:r w:rsidRPr="00BE086B">
        <w:rPr>
          <w:sz w:val="28"/>
          <w:szCs w:val="28"/>
          <w:shd w:val="clear" w:color="auto" w:fill="FFFFFF"/>
          <w:lang w:val="uk-UA"/>
        </w:rPr>
        <w:t>.</w:t>
      </w:r>
      <w:r w:rsidRPr="00BE086B">
        <w:rPr>
          <w:sz w:val="28"/>
          <w:szCs w:val="28"/>
          <w:shd w:val="clear" w:color="auto" w:fill="FFFFFF"/>
          <w:lang w:val="en-US"/>
        </w:rPr>
        <w:t>, Lademann F</w:t>
      </w:r>
      <w:r w:rsidRPr="00BE086B">
        <w:rPr>
          <w:sz w:val="28"/>
          <w:szCs w:val="28"/>
          <w:shd w:val="clear" w:color="auto" w:fill="FFFFFF"/>
          <w:lang w:val="uk-UA"/>
        </w:rPr>
        <w:t>.</w:t>
      </w:r>
      <w:r w:rsidRPr="00BE086B">
        <w:rPr>
          <w:sz w:val="28"/>
          <w:szCs w:val="28"/>
          <w:shd w:val="clear" w:color="auto" w:fill="FFFFFF"/>
          <w:lang w:val="en-US"/>
        </w:rPr>
        <w:t>, Siggelkow H. Impact of thyroid diseases on bone. Internist (Berl). 2018;59(7):661-667.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lang w:val="en-US"/>
        </w:rPr>
        <w:t>Vagenakis A</w:t>
      </w:r>
      <w:r w:rsidRPr="00BE086B">
        <w:rPr>
          <w:sz w:val="28"/>
          <w:szCs w:val="28"/>
          <w:shd w:val="clear" w:color="auto" w:fill="FFFFFF"/>
          <w:lang w:val="uk-UA"/>
        </w:rPr>
        <w:t>.</w:t>
      </w:r>
      <w:r w:rsidRPr="00BE086B">
        <w:rPr>
          <w:sz w:val="28"/>
          <w:szCs w:val="28"/>
          <w:shd w:val="clear" w:color="auto" w:fill="FFFFFF"/>
          <w:lang w:val="en-US"/>
        </w:rPr>
        <w:t>G. Pituitary-thyroid interaction: effects of thyroid hormone, non thyroidal illness and various agents on TSH secretion. Acta Med Austriaca. 1988;15</w:t>
      </w:r>
      <w:r w:rsidRPr="00BE086B">
        <w:rPr>
          <w:sz w:val="28"/>
          <w:szCs w:val="28"/>
          <w:shd w:val="clear" w:color="auto" w:fill="FFFFFF"/>
          <w:lang w:val="uk-UA"/>
        </w:rPr>
        <w:t>,</w:t>
      </w:r>
      <w:r w:rsidRPr="00BE086B">
        <w:rPr>
          <w:sz w:val="28"/>
          <w:szCs w:val="28"/>
          <w:shd w:val="clear" w:color="auto" w:fill="FFFFFF"/>
          <w:lang w:val="en-US"/>
        </w:rPr>
        <w:t>1:52-</w:t>
      </w:r>
      <w:r w:rsidRPr="00BE086B">
        <w:rPr>
          <w:sz w:val="28"/>
          <w:szCs w:val="28"/>
          <w:shd w:val="clear" w:color="auto" w:fill="FFFFFF"/>
          <w:lang w:val="uk-UA"/>
        </w:rPr>
        <w:t>5</w:t>
      </w:r>
      <w:r w:rsidRPr="00BE086B">
        <w:rPr>
          <w:sz w:val="28"/>
          <w:szCs w:val="28"/>
          <w:shd w:val="clear" w:color="auto" w:fill="FFFFFF"/>
          <w:lang w:val="en-US"/>
        </w:rPr>
        <w:t>6.</w:t>
      </w:r>
    </w:p>
    <w:p w:rsidR="008B13C0" w:rsidRPr="00BE086B" w:rsidRDefault="008B13C0" w:rsidP="00611AFB">
      <w:pPr>
        <w:pStyle w:val="afc"/>
        <w:widowControl w:val="0"/>
        <w:numPr>
          <w:ilvl w:val="0"/>
          <w:numId w:val="19"/>
        </w:numPr>
        <w:spacing w:line="360" w:lineRule="auto"/>
        <w:ind w:left="0" w:right="0" w:firstLine="709"/>
        <w:rPr>
          <w:rFonts w:eastAsia="Calibri"/>
          <w:color w:val="auto"/>
          <w:sz w:val="28"/>
          <w:szCs w:val="28"/>
        </w:rPr>
      </w:pPr>
      <w:r w:rsidRPr="00BE086B">
        <w:rPr>
          <w:color w:val="auto"/>
          <w:sz w:val="28"/>
          <w:szCs w:val="28"/>
        </w:rPr>
        <w:t xml:space="preserve">Koizumi Y., Sato A., Yamada T., Inada M. Effect of mefenamic acid on plasma protein-thyroid hormone interaction, monodeiodination of thyroxine, urinary excretion of tri-iodothyronine and thyrotropin regulation. </w:t>
      </w:r>
      <w:r w:rsidRPr="00BE086B">
        <w:rPr>
          <w:color w:val="auto"/>
          <w:sz w:val="28"/>
          <w:szCs w:val="28"/>
          <w:lang w:val="en-US"/>
        </w:rPr>
        <w:t>Clin</w:t>
      </w:r>
      <w:r w:rsidRPr="00BE086B">
        <w:rPr>
          <w:color w:val="auto"/>
          <w:sz w:val="28"/>
          <w:szCs w:val="28"/>
        </w:rPr>
        <w:t xml:space="preserve"> </w:t>
      </w:r>
      <w:r w:rsidRPr="00BE086B">
        <w:rPr>
          <w:color w:val="auto"/>
          <w:sz w:val="28"/>
          <w:szCs w:val="28"/>
          <w:lang w:val="en-US"/>
        </w:rPr>
        <w:t>Exp</w:t>
      </w:r>
      <w:r w:rsidRPr="00BE086B">
        <w:rPr>
          <w:color w:val="auto"/>
          <w:sz w:val="28"/>
          <w:szCs w:val="28"/>
        </w:rPr>
        <w:t xml:space="preserve"> </w:t>
      </w:r>
      <w:r w:rsidRPr="00BE086B">
        <w:rPr>
          <w:color w:val="auto"/>
          <w:sz w:val="28"/>
          <w:szCs w:val="28"/>
          <w:lang w:val="en-US"/>
        </w:rPr>
        <w:t>Pharmacol</w:t>
      </w:r>
      <w:r w:rsidRPr="00BE086B">
        <w:rPr>
          <w:color w:val="auto"/>
          <w:sz w:val="28"/>
          <w:szCs w:val="28"/>
        </w:rPr>
        <w:t xml:space="preserve"> </w:t>
      </w:r>
      <w:r w:rsidRPr="00BE086B">
        <w:rPr>
          <w:color w:val="auto"/>
          <w:sz w:val="28"/>
          <w:szCs w:val="28"/>
          <w:lang w:val="en-US"/>
        </w:rPr>
        <w:t>Physiol</w:t>
      </w:r>
      <w:r w:rsidRPr="00BE086B">
        <w:rPr>
          <w:color w:val="auto"/>
          <w:sz w:val="28"/>
          <w:szCs w:val="28"/>
        </w:rPr>
        <w:t>. 1984;11(3):291-299.</w:t>
      </w:r>
    </w:p>
    <w:p w:rsidR="008B13C0" w:rsidRPr="00BE086B" w:rsidRDefault="008B13C0" w:rsidP="00611AFB">
      <w:pPr>
        <w:pStyle w:val="afc"/>
        <w:widowControl w:val="0"/>
        <w:numPr>
          <w:ilvl w:val="0"/>
          <w:numId w:val="19"/>
        </w:numPr>
        <w:spacing w:line="360" w:lineRule="auto"/>
        <w:ind w:left="0" w:right="0" w:firstLine="709"/>
        <w:rPr>
          <w:rFonts w:eastAsia="Calibri"/>
          <w:color w:val="auto"/>
          <w:sz w:val="28"/>
          <w:szCs w:val="28"/>
        </w:rPr>
      </w:pPr>
      <w:r w:rsidRPr="00BE086B">
        <w:rPr>
          <w:color w:val="auto"/>
          <w:sz w:val="28"/>
          <w:szCs w:val="28"/>
          <w:shd w:val="clear" w:color="auto" w:fill="FFFFFF"/>
          <w:lang w:val="en-US"/>
        </w:rPr>
        <w:t>Handa S</w:t>
      </w:r>
      <w:r w:rsidRPr="00BE086B">
        <w:rPr>
          <w:color w:val="auto"/>
          <w:sz w:val="28"/>
          <w:szCs w:val="28"/>
          <w:shd w:val="clear" w:color="auto" w:fill="FFFFFF"/>
        </w:rPr>
        <w:t>.</w:t>
      </w:r>
      <w:r w:rsidRPr="00BE086B">
        <w:rPr>
          <w:color w:val="auto"/>
          <w:sz w:val="28"/>
          <w:szCs w:val="28"/>
          <w:shd w:val="clear" w:color="auto" w:fill="FFFFFF"/>
          <w:lang w:val="en-US"/>
        </w:rPr>
        <w:t>I</w:t>
      </w:r>
      <w:r w:rsidRPr="00BE086B">
        <w:rPr>
          <w:color w:val="auto"/>
          <w:sz w:val="28"/>
          <w:szCs w:val="28"/>
          <w:shd w:val="clear" w:color="auto" w:fill="FFFFFF"/>
        </w:rPr>
        <w:t>.</w:t>
      </w:r>
      <w:r w:rsidRPr="00BE086B">
        <w:rPr>
          <w:color w:val="auto"/>
          <w:sz w:val="28"/>
          <w:szCs w:val="28"/>
          <w:shd w:val="clear" w:color="auto" w:fill="FFFFFF"/>
          <w:lang w:val="en-US"/>
        </w:rPr>
        <w:t>, Freestone S. Mefenamic acid-induced neutropenia and renal failure in elderly females with hypothyroidism. Postgrad Med J. 1990;</w:t>
      </w:r>
      <w:r w:rsidRPr="00BE086B">
        <w:rPr>
          <w:color w:val="auto"/>
          <w:sz w:val="28"/>
          <w:szCs w:val="28"/>
          <w:shd w:val="clear" w:color="auto" w:fill="FFFFFF"/>
        </w:rPr>
        <w:t xml:space="preserve"> </w:t>
      </w:r>
      <w:r w:rsidRPr="00BE086B">
        <w:rPr>
          <w:color w:val="auto"/>
          <w:sz w:val="28"/>
          <w:szCs w:val="28"/>
          <w:shd w:val="clear" w:color="auto" w:fill="FFFFFF"/>
          <w:lang w:val="en-US"/>
        </w:rPr>
        <w:t>66</w:t>
      </w:r>
      <w:r w:rsidRPr="00BE086B">
        <w:rPr>
          <w:color w:val="auto"/>
          <w:sz w:val="28"/>
          <w:szCs w:val="28"/>
          <w:shd w:val="clear" w:color="auto" w:fill="FFFFFF"/>
        </w:rPr>
        <w:t xml:space="preserve"> </w:t>
      </w:r>
      <w:r w:rsidRPr="00BE086B">
        <w:rPr>
          <w:color w:val="auto"/>
          <w:sz w:val="28"/>
          <w:szCs w:val="28"/>
          <w:shd w:val="clear" w:color="auto" w:fill="FFFFFF"/>
          <w:lang w:val="en-US"/>
        </w:rPr>
        <w:t>(777)</w:t>
      </w:r>
      <w:r w:rsidRPr="00BE086B">
        <w:rPr>
          <w:color w:val="auto"/>
          <w:sz w:val="28"/>
          <w:szCs w:val="28"/>
          <w:shd w:val="clear" w:color="auto" w:fill="FFFFFF"/>
        </w:rPr>
        <w:t xml:space="preserve"> </w:t>
      </w:r>
      <w:r w:rsidRPr="00BE086B">
        <w:rPr>
          <w:color w:val="auto"/>
          <w:sz w:val="28"/>
          <w:szCs w:val="28"/>
          <w:shd w:val="clear" w:color="auto" w:fill="FFFFFF"/>
          <w:lang w:val="en-US"/>
        </w:rPr>
        <w:t>:557-</w:t>
      </w:r>
      <w:r w:rsidRPr="00BE086B">
        <w:rPr>
          <w:color w:val="auto"/>
          <w:sz w:val="28"/>
          <w:szCs w:val="28"/>
          <w:shd w:val="clear" w:color="auto" w:fill="FFFFFF"/>
        </w:rPr>
        <w:t>55</w:t>
      </w:r>
      <w:r w:rsidRPr="00BE086B">
        <w:rPr>
          <w:color w:val="auto"/>
          <w:sz w:val="28"/>
          <w:szCs w:val="28"/>
          <w:shd w:val="clear" w:color="auto" w:fill="FFFFFF"/>
          <w:lang w:val="en-US"/>
        </w:rPr>
        <w:t>9.</w:t>
      </w:r>
    </w:p>
    <w:p w:rsidR="008B13C0" w:rsidRPr="00BE086B" w:rsidRDefault="008B13C0" w:rsidP="00611AFB">
      <w:pPr>
        <w:pStyle w:val="afc"/>
        <w:widowControl w:val="0"/>
        <w:numPr>
          <w:ilvl w:val="0"/>
          <w:numId w:val="19"/>
        </w:numPr>
        <w:spacing w:line="360" w:lineRule="auto"/>
        <w:ind w:left="0" w:right="0" w:firstLine="709"/>
        <w:rPr>
          <w:color w:val="auto"/>
          <w:kern w:val="2"/>
          <w:sz w:val="28"/>
          <w:szCs w:val="28"/>
          <w:lang w:val="en-US"/>
        </w:rPr>
      </w:pPr>
      <w:r w:rsidRPr="00BE086B">
        <w:rPr>
          <w:color w:val="auto"/>
          <w:sz w:val="28"/>
          <w:szCs w:val="28"/>
          <w:lang w:val="en-US"/>
        </w:rPr>
        <w:t>Sauv</w:t>
      </w:r>
      <w:r w:rsidRPr="00BE086B">
        <w:rPr>
          <w:color w:val="auto"/>
          <w:sz w:val="28"/>
          <w:szCs w:val="28"/>
        </w:rPr>
        <w:t xml:space="preserve">é </w:t>
      </w:r>
      <w:r w:rsidRPr="00BE086B">
        <w:rPr>
          <w:color w:val="auto"/>
          <w:sz w:val="28"/>
          <w:szCs w:val="28"/>
          <w:lang w:val="en-US"/>
        </w:rPr>
        <w:t>F</w:t>
      </w:r>
      <w:r w:rsidRPr="00BE086B">
        <w:rPr>
          <w:color w:val="auto"/>
          <w:sz w:val="28"/>
          <w:szCs w:val="28"/>
        </w:rPr>
        <w:t xml:space="preserve">., </w:t>
      </w:r>
      <w:r w:rsidRPr="00BE086B">
        <w:rPr>
          <w:color w:val="auto"/>
          <w:sz w:val="28"/>
          <w:szCs w:val="28"/>
          <w:lang w:val="en-US"/>
        </w:rPr>
        <w:t>Paradis</w:t>
      </w:r>
      <w:r w:rsidRPr="00BE086B">
        <w:rPr>
          <w:color w:val="auto"/>
          <w:sz w:val="28"/>
          <w:szCs w:val="28"/>
        </w:rPr>
        <w:t xml:space="preserve"> </w:t>
      </w:r>
      <w:r w:rsidRPr="00BE086B">
        <w:rPr>
          <w:color w:val="auto"/>
          <w:sz w:val="28"/>
          <w:szCs w:val="28"/>
          <w:lang w:val="en-US"/>
        </w:rPr>
        <w:t>M</w:t>
      </w:r>
      <w:r w:rsidRPr="00BE086B">
        <w:rPr>
          <w:color w:val="auto"/>
          <w:sz w:val="28"/>
          <w:szCs w:val="28"/>
        </w:rPr>
        <w:t xml:space="preserve">., </w:t>
      </w:r>
      <w:r w:rsidRPr="00BE086B">
        <w:rPr>
          <w:color w:val="auto"/>
          <w:sz w:val="28"/>
          <w:szCs w:val="28"/>
          <w:lang w:val="en-US"/>
        </w:rPr>
        <w:t>Refsal</w:t>
      </w:r>
      <w:r w:rsidRPr="00BE086B">
        <w:rPr>
          <w:color w:val="auto"/>
          <w:sz w:val="28"/>
          <w:szCs w:val="28"/>
        </w:rPr>
        <w:t xml:space="preserve"> </w:t>
      </w:r>
      <w:r w:rsidRPr="00BE086B">
        <w:rPr>
          <w:color w:val="auto"/>
          <w:sz w:val="28"/>
          <w:szCs w:val="28"/>
          <w:lang w:val="en-US"/>
        </w:rPr>
        <w:t>K</w:t>
      </w:r>
      <w:r w:rsidRPr="00BE086B">
        <w:rPr>
          <w:color w:val="auto"/>
          <w:sz w:val="28"/>
          <w:szCs w:val="28"/>
        </w:rPr>
        <w:t>.</w:t>
      </w:r>
      <w:r w:rsidRPr="00BE086B">
        <w:rPr>
          <w:color w:val="auto"/>
          <w:sz w:val="28"/>
          <w:szCs w:val="28"/>
          <w:lang w:val="en-US"/>
        </w:rPr>
        <w:t>R</w:t>
      </w:r>
      <w:r w:rsidRPr="00BE086B">
        <w:rPr>
          <w:color w:val="auto"/>
          <w:sz w:val="28"/>
          <w:szCs w:val="28"/>
        </w:rPr>
        <w:t xml:space="preserve">., </w:t>
      </w:r>
      <w:r w:rsidRPr="00BE086B">
        <w:rPr>
          <w:color w:val="auto"/>
          <w:sz w:val="28"/>
          <w:szCs w:val="28"/>
          <w:lang w:val="en-US"/>
        </w:rPr>
        <w:t>Moreau</w:t>
      </w:r>
      <w:r w:rsidRPr="00BE086B">
        <w:rPr>
          <w:color w:val="auto"/>
          <w:sz w:val="28"/>
          <w:szCs w:val="28"/>
        </w:rPr>
        <w:t xml:space="preserve"> </w:t>
      </w:r>
      <w:r w:rsidRPr="00BE086B">
        <w:rPr>
          <w:color w:val="auto"/>
          <w:sz w:val="28"/>
          <w:szCs w:val="28"/>
          <w:lang w:val="en-US"/>
        </w:rPr>
        <w:t>M</w:t>
      </w:r>
      <w:r w:rsidRPr="00BE086B">
        <w:rPr>
          <w:color w:val="auto"/>
          <w:sz w:val="28"/>
          <w:szCs w:val="28"/>
        </w:rPr>
        <w:t xml:space="preserve">., </w:t>
      </w:r>
      <w:r w:rsidRPr="00BE086B">
        <w:rPr>
          <w:color w:val="auto"/>
          <w:sz w:val="28"/>
          <w:szCs w:val="28"/>
          <w:lang w:val="en-US"/>
        </w:rPr>
        <w:t>Beauchamp</w:t>
      </w:r>
      <w:r w:rsidRPr="00BE086B">
        <w:rPr>
          <w:color w:val="auto"/>
          <w:sz w:val="28"/>
          <w:szCs w:val="28"/>
        </w:rPr>
        <w:t xml:space="preserve"> </w:t>
      </w:r>
      <w:r w:rsidRPr="00BE086B">
        <w:rPr>
          <w:color w:val="auto"/>
          <w:sz w:val="28"/>
          <w:szCs w:val="28"/>
          <w:lang w:val="en-US"/>
        </w:rPr>
        <w:t>G</w:t>
      </w:r>
      <w:r w:rsidRPr="00BE086B">
        <w:rPr>
          <w:color w:val="auto"/>
          <w:sz w:val="28"/>
          <w:szCs w:val="28"/>
        </w:rPr>
        <w:t xml:space="preserve">., </w:t>
      </w:r>
      <w:r w:rsidRPr="00BE086B">
        <w:rPr>
          <w:color w:val="auto"/>
          <w:sz w:val="28"/>
          <w:szCs w:val="28"/>
          <w:lang w:val="en-US"/>
        </w:rPr>
        <w:t>Dupuis</w:t>
      </w:r>
      <w:r w:rsidRPr="00BE086B">
        <w:rPr>
          <w:color w:val="auto"/>
          <w:sz w:val="28"/>
          <w:szCs w:val="28"/>
        </w:rPr>
        <w:t xml:space="preserve"> </w:t>
      </w:r>
      <w:r w:rsidRPr="00BE086B">
        <w:rPr>
          <w:color w:val="auto"/>
          <w:sz w:val="28"/>
          <w:szCs w:val="28"/>
          <w:lang w:val="en-US"/>
        </w:rPr>
        <w:t>J</w:t>
      </w:r>
      <w:r w:rsidRPr="00BE086B">
        <w:rPr>
          <w:color w:val="auto"/>
          <w:sz w:val="28"/>
          <w:szCs w:val="28"/>
        </w:rPr>
        <w:t xml:space="preserve">. </w:t>
      </w:r>
      <w:r w:rsidRPr="00BE086B">
        <w:rPr>
          <w:color w:val="auto"/>
          <w:sz w:val="28"/>
          <w:szCs w:val="28"/>
          <w:lang w:val="en-US"/>
        </w:rPr>
        <w:t>Effects</w:t>
      </w:r>
      <w:r w:rsidRPr="00BE086B">
        <w:rPr>
          <w:color w:val="auto"/>
          <w:sz w:val="28"/>
          <w:szCs w:val="28"/>
        </w:rPr>
        <w:t xml:space="preserve"> </w:t>
      </w:r>
      <w:r w:rsidRPr="00BE086B">
        <w:rPr>
          <w:color w:val="auto"/>
          <w:sz w:val="28"/>
          <w:szCs w:val="28"/>
          <w:lang w:val="en-US"/>
        </w:rPr>
        <w:t>of</w:t>
      </w:r>
      <w:r w:rsidRPr="00BE086B">
        <w:rPr>
          <w:color w:val="auto"/>
          <w:sz w:val="28"/>
          <w:szCs w:val="28"/>
        </w:rPr>
        <w:t xml:space="preserve"> </w:t>
      </w:r>
      <w:r w:rsidRPr="00BE086B">
        <w:rPr>
          <w:color w:val="auto"/>
          <w:sz w:val="28"/>
          <w:szCs w:val="28"/>
          <w:lang w:val="en-US"/>
        </w:rPr>
        <w:t>oral</w:t>
      </w:r>
      <w:r w:rsidRPr="00BE086B">
        <w:rPr>
          <w:color w:val="auto"/>
          <w:sz w:val="28"/>
          <w:szCs w:val="28"/>
        </w:rPr>
        <w:t xml:space="preserve"> </w:t>
      </w:r>
      <w:r w:rsidRPr="00BE086B">
        <w:rPr>
          <w:color w:val="auto"/>
          <w:sz w:val="28"/>
          <w:szCs w:val="28"/>
          <w:lang w:val="en-US"/>
        </w:rPr>
        <w:t>administration</w:t>
      </w:r>
      <w:r w:rsidRPr="00BE086B">
        <w:rPr>
          <w:color w:val="auto"/>
          <w:sz w:val="28"/>
          <w:szCs w:val="28"/>
        </w:rPr>
        <w:t xml:space="preserve"> </w:t>
      </w:r>
      <w:r w:rsidRPr="00BE086B">
        <w:rPr>
          <w:color w:val="auto"/>
          <w:sz w:val="28"/>
          <w:szCs w:val="28"/>
          <w:lang w:val="en-US"/>
        </w:rPr>
        <w:t>of</w:t>
      </w:r>
      <w:r w:rsidRPr="00BE086B">
        <w:rPr>
          <w:color w:val="auto"/>
          <w:sz w:val="28"/>
          <w:szCs w:val="28"/>
        </w:rPr>
        <w:t xml:space="preserve"> </w:t>
      </w:r>
      <w:r w:rsidRPr="00BE086B">
        <w:rPr>
          <w:color w:val="auto"/>
          <w:sz w:val="28"/>
          <w:szCs w:val="28"/>
          <w:lang w:val="en-US"/>
        </w:rPr>
        <w:t>meloxicam</w:t>
      </w:r>
      <w:r w:rsidRPr="00BE086B">
        <w:rPr>
          <w:color w:val="auto"/>
          <w:sz w:val="28"/>
          <w:szCs w:val="28"/>
        </w:rPr>
        <w:t xml:space="preserve">, </w:t>
      </w:r>
      <w:r w:rsidRPr="00BE086B">
        <w:rPr>
          <w:color w:val="auto"/>
          <w:sz w:val="28"/>
          <w:szCs w:val="28"/>
          <w:lang w:val="en-US"/>
        </w:rPr>
        <w:t>carprofen</w:t>
      </w:r>
      <w:r w:rsidRPr="00BE086B">
        <w:rPr>
          <w:color w:val="auto"/>
          <w:sz w:val="28"/>
          <w:szCs w:val="28"/>
        </w:rPr>
        <w:t xml:space="preserve">, </w:t>
      </w:r>
      <w:r w:rsidRPr="00BE086B">
        <w:rPr>
          <w:color w:val="auto"/>
          <w:sz w:val="28"/>
          <w:szCs w:val="28"/>
          <w:lang w:val="en-US"/>
        </w:rPr>
        <w:t>and</w:t>
      </w:r>
      <w:r w:rsidRPr="00BE086B">
        <w:rPr>
          <w:color w:val="auto"/>
          <w:sz w:val="28"/>
          <w:szCs w:val="28"/>
        </w:rPr>
        <w:t xml:space="preserve"> </w:t>
      </w:r>
      <w:r w:rsidRPr="00BE086B">
        <w:rPr>
          <w:color w:val="auto"/>
          <w:sz w:val="28"/>
          <w:szCs w:val="28"/>
          <w:lang w:val="en-US"/>
        </w:rPr>
        <w:t>a</w:t>
      </w:r>
      <w:r w:rsidRPr="00BE086B">
        <w:rPr>
          <w:color w:val="auto"/>
          <w:sz w:val="28"/>
          <w:szCs w:val="28"/>
        </w:rPr>
        <w:t xml:space="preserve"> </w:t>
      </w:r>
      <w:r w:rsidRPr="00BE086B">
        <w:rPr>
          <w:color w:val="auto"/>
          <w:sz w:val="28"/>
          <w:szCs w:val="28"/>
          <w:lang w:val="en-US"/>
        </w:rPr>
        <w:t>nutraceutical</w:t>
      </w:r>
      <w:r w:rsidRPr="00BE086B">
        <w:rPr>
          <w:color w:val="auto"/>
          <w:sz w:val="28"/>
          <w:szCs w:val="28"/>
        </w:rPr>
        <w:t xml:space="preserve"> </w:t>
      </w:r>
      <w:r w:rsidRPr="00BE086B">
        <w:rPr>
          <w:color w:val="auto"/>
          <w:sz w:val="28"/>
          <w:szCs w:val="28"/>
          <w:lang w:val="en-US"/>
        </w:rPr>
        <w:t>on</w:t>
      </w:r>
      <w:r w:rsidRPr="00BE086B">
        <w:rPr>
          <w:color w:val="auto"/>
          <w:sz w:val="28"/>
          <w:szCs w:val="28"/>
        </w:rPr>
        <w:t xml:space="preserve"> </w:t>
      </w:r>
      <w:r w:rsidRPr="00BE086B">
        <w:rPr>
          <w:color w:val="auto"/>
          <w:sz w:val="28"/>
          <w:szCs w:val="28"/>
          <w:lang w:val="en-US"/>
        </w:rPr>
        <w:t>thyroid</w:t>
      </w:r>
      <w:r w:rsidRPr="00BE086B">
        <w:rPr>
          <w:color w:val="auto"/>
          <w:sz w:val="28"/>
          <w:szCs w:val="28"/>
        </w:rPr>
        <w:t xml:space="preserve"> </w:t>
      </w:r>
      <w:r w:rsidRPr="00BE086B">
        <w:rPr>
          <w:color w:val="auto"/>
          <w:sz w:val="28"/>
          <w:szCs w:val="28"/>
          <w:lang w:val="en-US"/>
        </w:rPr>
        <w:t>function</w:t>
      </w:r>
      <w:r w:rsidRPr="00BE086B">
        <w:rPr>
          <w:color w:val="auto"/>
          <w:sz w:val="28"/>
          <w:szCs w:val="28"/>
        </w:rPr>
        <w:t xml:space="preserve"> </w:t>
      </w:r>
      <w:r w:rsidRPr="00BE086B">
        <w:rPr>
          <w:color w:val="auto"/>
          <w:sz w:val="28"/>
          <w:szCs w:val="28"/>
          <w:lang w:val="en-US"/>
        </w:rPr>
        <w:t>in</w:t>
      </w:r>
      <w:r w:rsidRPr="00BE086B">
        <w:rPr>
          <w:color w:val="auto"/>
          <w:sz w:val="28"/>
          <w:szCs w:val="28"/>
        </w:rPr>
        <w:t xml:space="preserve"> </w:t>
      </w:r>
      <w:r w:rsidRPr="00BE086B">
        <w:rPr>
          <w:color w:val="auto"/>
          <w:sz w:val="28"/>
          <w:szCs w:val="28"/>
          <w:lang w:val="en-US"/>
        </w:rPr>
        <w:t>dogs</w:t>
      </w:r>
      <w:r w:rsidRPr="00BE086B">
        <w:rPr>
          <w:color w:val="auto"/>
          <w:sz w:val="28"/>
          <w:szCs w:val="28"/>
        </w:rPr>
        <w:t xml:space="preserve"> </w:t>
      </w:r>
      <w:r w:rsidRPr="00BE086B">
        <w:rPr>
          <w:color w:val="auto"/>
          <w:sz w:val="28"/>
          <w:szCs w:val="28"/>
          <w:lang w:val="en-US"/>
        </w:rPr>
        <w:t>with</w:t>
      </w:r>
      <w:r w:rsidRPr="00BE086B">
        <w:rPr>
          <w:color w:val="auto"/>
          <w:sz w:val="28"/>
          <w:szCs w:val="28"/>
        </w:rPr>
        <w:t xml:space="preserve"> </w:t>
      </w:r>
      <w:r w:rsidRPr="00BE086B">
        <w:rPr>
          <w:color w:val="auto"/>
          <w:sz w:val="28"/>
          <w:szCs w:val="28"/>
          <w:lang w:val="en-US"/>
        </w:rPr>
        <w:t>osteoarthritis</w:t>
      </w:r>
      <w:r w:rsidRPr="00BE086B">
        <w:rPr>
          <w:color w:val="auto"/>
          <w:sz w:val="28"/>
          <w:szCs w:val="28"/>
        </w:rPr>
        <w:t xml:space="preserve">. </w:t>
      </w:r>
      <w:r w:rsidRPr="00BE086B">
        <w:rPr>
          <w:color w:val="auto"/>
          <w:sz w:val="28"/>
          <w:szCs w:val="28"/>
          <w:lang w:val="en-US"/>
        </w:rPr>
        <w:t>Can</w:t>
      </w:r>
      <w:r w:rsidRPr="00BE086B">
        <w:rPr>
          <w:color w:val="auto"/>
          <w:sz w:val="28"/>
          <w:szCs w:val="28"/>
        </w:rPr>
        <w:t xml:space="preserve"> </w:t>
      </w:r>
      <w:r w:rsidRPr="00BE086B">
        <w:rPr>
          <w:color w:val="auto"/>
          <w:sz w:val="28"/>
          <w:szCs w:val="28"/>
          <w:lang w:val="en-US"/>
        </w:rPr>
        <w:t>Vet</w:t>
      </w:r>
      <w:r w:rsidRPr="00BE086B">
        <w:rPr>
          <w:color w:val="auto"/>
          <w:sz w:val="28"/>
          <w:szCs w:val="28"/>
        </w:rPr>
        <w:t xml:space="preserve"> </w:t>
      </w:r>
      <w:r w:rsidRPr="00BE086B">
        <w:rPr>
          <w:color w:val="auto"/>
          <w:sz w:val="28"/>
          <w:szCs w:val="28"/>
          <w:lang w:val="en-US"/>
        </w:rPr>
        <w:t>J</w:t>
      </w:r>
      <w:r w:rsidRPr="00BE086B">
        <w:rPr>
          <w:color w:val="auto"/>
          <w:sz w:val="28"/>
          <w:szCs w:val="28"/>
        </w:rPr>
        <w:t>. 2003;44(6):474-479.</w:t>
      </w:r>
    </w:p>
    <w:p w:rsidR="008B13C0" w:rsidRPr="00BE086B" w:rsidRDefault="008B13C0" w:rsidP="00611AFB">
      <w:pPr>
        <w:pStyle w:val="afc"/>
        <w:widowControl w:val="0"/>
        <w:numPr>
          <w:ilvl w:val="0"/>
          <w:numId w:val="19"/>
        </w:numPr>
        <w:spacing w:line="360" w:lineRule="auto"/>
        <w:ind w:left="0" w:right="0" w:firstLine="709"/>
        <w:rPr>
          <w:color w:val="auto"/>
          <w:sz w:val="28"/>
          <w:szCs w:val="28"/>
          <w:lang w:val="en-US"/>
        </w:rPr>
      </w:pPr>
      <w:r w:rsidRPr="00BE086B">
        <w:rPr>
          <w:color w:val="auto"/>
          <w:sz w:val="28"/>
          <w:szCs w:val="28"/>
        </w:rPr>
        <w:lastRenderedPageBreak/>
        <w:t xml:space="preserve">Panciera D.L., Refsal K.R., Sennello K.A., Ward D.L. Effects of deracoxib and aspirin on serum concentrations of thyroxine, 3,5,3'-triiodothyronine, free thyroxine, and thyroid-stimulating hormone in healthy dogs. </w:t>
      </w:r>
      <w:r w:rsidRPr="00BE086B">
        <w:rPr>
          <w:color w:val="auto"/>
          <w:sz w:val="28"/>
          <w:szCs w:val="28"/>
          <w:lang w:val="en-US"/>
        </w:rPr>
        <w:t>Am</w:t>
      </w:r>
      <w:r w:rsidRPr="00BE086B">
        <w:rPr>
          <w:color w:val="auto"/>
          <w:sz w:val="28"/>
          <w:szCs w:val="28"/>
        </w:rPr>
        <w:t xml:space="preserve"> </w:t>
      </w:r>
      <w:r w:rsidRPr="00BE086B">
        <w:rPr>
          <w:color w:val="auto"/>
          <w:sz w:val="28"/>
          <w:szCs w:val="28"/>
          <w:lang w:val="en-US"/>
        </w:rPr>
        <w:t>J</w:t>
      </w:r>
      <w:r w:rsidRPr="00BE086B">
        <w:rPr>
          <w:color w:val="auto"/>
          <w:sz w:val="28"/>
          <w:szCs w:val="28"/>
        </w:rPr>
        <w:t xml:space="preserve"> </w:t>
      </w:r>
      <w:r w:rsidRPr="00BE086B">
        <w:rPr>
          <w:color w:val="auto"/>
          <w:sz w:val="28"/>
          <w:szCs w:val="28"/>
          <w:lang w:val="en-US"/>
        </w:rPr>
        <w:t>Vet</w:t>
      </w:r>
      <w:r w:rsidRPr="00BE086B">
        <w:rPr>
          <w:color w:val="auto"/>
          <w:sz w:val="28"/>
          <w:szCs w:val="28"/>
        </w:rPr>
        <w:t xml:space="preserve"> </w:t>
      </w:r>
      <w:r w:rsidRPr="00BE086B">
        <w:rPr>
          <w:color w:val="auto"/>
          <w:sz w:val="28"/>
          <w:szCs w:val="28"/>
          <w:lang w:val="en-US"/>
        </w:rPr>
        <w:t>Res</w:t>
      </w:r>
      <w:r w:rsidRPr="00BE086B">
        <w:rPr>
          <w:color w:val="auto"/>
          <w:sz w:val="28"/>
          <w:szCs w:val="28"/>
        </w:rPr>
        <w:t>. 2006;67(4):599-603.</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sz w:val="28"/>
          <w:szCs w:val="28"/>
        </w:rPr>
      </w:pPr>
      <w:r w:rsidRPr="00BE086B">
        <w:rPr>
          <w:sz w:val="28"/>
          <w:szCs w:val="28"/>
          <w:shd w:val="clear" w:color="auto" w:fill="FFFFFF"/>
          <w:lang w:val="en-US"/>
        </w:rPr>
        <w:t>Topliss D</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Hamblin P</w:t>
      </w:r>
      <w:r w:rsidRPr="00BE086B">
        <w:rPr>
          <w:sz w:val="28"/>
          <w:szCs w:val="28"/>
          <w:shd w:val="clear" w:color="auto" w:fill="FFFFFF"/>
          <w:lang w:val="uk-UA"/>
        </w:rPr>
        <w:t>.</w:t>
      </w:r>
      <w:r w:rsidRPr="00BE086B">
        <w:rPr>
          <w:sz w:val="28"/>
          <w:szCs w:val="28"/>
          <w:shd w:val="clear" w:color="auto" w:fill="FFFFFF"/>
          <w:lang w:val="en-US"/>
        </w:rPr>
        <w:t>S</w:t>
      </w:r>
      <w:r w:rsidRPr="00BE086B">
        <w:rPr>
          <w:sz w:val="28"/>
          <w:szCs w:val="28"/>
          <w:shd w:val="clear" w:color="auto" w:fill="FFFFFF"/>
          <w:lang w:val="uk-UA"/>
        </w:rPr>
        <w:t>.</w:t>
      </w:r>
      <w:r w:rsidRPr="00BE086B">
        <w:rPr>
          <w:sz w:val="28"/>
          <w:szCs w:val="28"/>
          <w:shd w:val="clear" w:color="auto" w:fill="FFFFFF"/>
          <w:lang w:val="en-US"/>
        </w:rPr>
        <w:t>, Kolliniatis E</w:t>
      </w:r>
      <w:r w:rsidRPr="00BE086B">
        <w:rPr>
          <w:sz w:val="28"/>
          <w:szCs w:val="28"/>
          <w:shd w:val="clear" w:color="auto" w:fill="FFFFFF"/>
          <w:lang w:val="uk-UA"/>
        </w:rPr>
        <w:t>.</w:t>
      </w:r>
      <w:r w:rsidRPr="00BE086B">
        <w:rPr>
          <w:sz w:val="28"/>
          <w:szCs w:val="28"/>
          <w:shd w:val="clear" w:color="auto" w:fill="FFFFFF"/>
          <w:lang w:val="en-US"/>
        </w:rPr>
        <w:t>, Lim C</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Stockigt J</w:t>
      </w:r>
      <w:r w:rsidRPr="00BE086B">
        <w:rPr>
          <w:sz w:val="28"/>
          <w:szCs w:val="28"/>
          <w:shd w:val="clear" w:color="auto" w:fill="FFFFFF"/>
          <w:lang w:val="uk-UA"/>
        </w:rPr>
        <w:t>.</w:t>
      </w:r>
      <w:r w:rsidRPr="00BE086B">
        <w:rPr>
          <w:sz w:val="28"/>
          <w:szCs w:val="28"/>
          <w:shd w:val="clear" w:color="auto" w:fill="FFFFFF"/>
          <w:lang w:val="en-US"/>
        </w:rPr>
        <w:t>R. Furosemide, fenclofenac, diclofenac, mefenamic acid and meclofenamic acid inhibit specific T3 binding in isolated rat hepatic nuclei. J Endocrinol Invest. 1988;11(5):355-</w:t>
      </w:r>
      <w:r w:rsidRPr="00BE086B">
        <w:rPr>
          <w:sz w:val="28"/>
          <w:szCs w:val="28"/>
          <w:shd w:val="clear" w:color="auto" w:fill="FFFFFF"/>
          <w:lang w:val="uk-UA"/>
        </w:rPr>
        <w:t>3</w:t>
      </w:r>
      <w:r w:rsidRPr="00BE086B">
        <w:rPr>
          <w:sz w:val="28"/>
          <w:szCs w:val="28"/>
          <w:shd w:val="clear" w:color="auto" w:fill="FFFFFF"/>
          <w:lang w:val="en-US"/>
        </w:rPr>
        <w:t>60.</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kern w:val="2"/>
          <w:sz w:val="28"/>
          <w:szCs w:val="28"/>
        </w:rPr>
      </w:pPr>
      <w:r w:rsidRPr="00BE086B">
        <w:rPr>
          <w:sz w:val="28"/>
          <w:szCs w:val="28"/>
          <w:shd w:val="clear" w:color="auto" w:fill="FFFFFF"/>
          <w:lang w:val="en-US"/>
        </w:rPr>
        <w:t>Lim C</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Loidl N</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Kennedy J</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Topliss D</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Stokigt J</w:t>
      </w:r>
      <w:r w:rsidRPr="00BE086B">
        <w:rPr>
          <w:sz w:val="28"/>
          <w:szCs w:val="28"/>
          <w:shd w:val="clear" w:color="auto" w:fill="FFFFFF"/>
          <w:lang w:val="uk-UA"/>
        </w:rPr>
        <w:t>.</w:t>
      </w:r>
      <w:r w:rsidRPr="00BE086B">
        <w:rPr>
          <w:sz w:val="28"/>
          <w:szCs w:val="28"/>
          <w:shd w:val="clear" w:color="auto" w:fill="FFFFFF"/>
          <w:lang w:val="en-US"/>
        </w:rPr>
        <w:t>R. Effect of loop diuretics and nonsteroidal antiinflammatory drugs on thyrotropin release by rat anterior pituitary cells in vitro. Metabolism. 1995;44(8):1008-</w:t>
      </w:r>
      <w:r w:rsidRPr="00BE086B">
        <w:rPr>
          <w:sz w:val="28"/>
          <w:szCs w:val="28"/>
          <w:shd w:val="clear" w:color="auto" w:fill="FFFFFF"/>
          <w:lang w:val="uk-UA"/>
        </w:rPr>
        <w:t>10</w:t>
      </w:r>
      <w:r w:rsidRPr="00BE086B">
        <w:rPr>
          <w:sz w:val="28"/>
          <w:szCs w:val="28"/>
          <w:shd w:val="clear" w:color="auto" w:fill="FFFFFF"/>
          <w:lang w:val="en-US"/>
        </w:rPr>
        <w:t>12.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lang w:val="en-US"/>
        </w:rPr>
        <w:t>Lim C</w:t>
      </w:r>
      <w:r w:rsidRPr="00BE086B">
        <w:rPr>
          <w:sz w:val="28"/>
          <w:szCs w:val="28"/>
          <w:shd w:val="clear" w:color="auto" w:fill="FFFFFF"/>
          <w:lang w:val="uk-UA"/>
        </w:rPr>
        <w:t>.</w:t>
      </w:r>
      <w:r w:rsidRPr="00BE086B">
        <w:rPr>
          <w:sz w:val="28"/>
          <w:szCs w:val="28"/>
          <w:shd w:val="clear" w:color="auto" w:fill="FFFFFF"/>
          <w:lang w:val="en-US"/>
        </w:rPr>
        <w:t>F</w:t>
      </w:r>
      <w:r w:rsidRPr="00BE086B">
        <w:rPr>
          <w:sz w:val="28"/>
          <w:szCs w:val="28"/>
          <w:shd w:val="clear" w:color="auto" w:fill="FFFFFF"/>
          <w:lang w:val="uk-UA"/>
        </w:rPr>
        <w:t>.</w:t>
      </w:r>
      <w:r w:rsidRPr="00BE086B">
        <w:rPr>
          <w:sz w:val="28"/>
          <w:szCs w:val="28"/>
          <w:shd w:val="clear" w:color="auto" w:fill="FFFFFF"/>
          <w:lang w:val="en-US"/>
        </w:rPr>
        <w:t>, Loidl N</w:t>
      </w:r>
      <w:r w:rsidRPr="00BE086B">
        <w:rPr>
          <w:sz w:val="28"/>
          <w:szCs w:val="28"/>
          <w:shd w:val="clear" w:color="auto" w:fill="FFFFFF"/>
          <w:lang w:val="uk-UA"/>
        </w:rPr>
        <w:t>.</w:t>
      </w:r>
      <w:r w:rsidRPr="00BE086B">
        <w:rPr>
          <w:sz w:val="28"/>
          <w:szCs w:val="28"/>
          <w:shd w:val="clear" w:color="auto" w:fill="FFFFFF"/>
          <w:lang w:val="en-US"/>
        </w:rPr>
        <w:t>M</w:t>
      </w:r>
      <w:r w:rsidRPr="00BE086B">
        <w:rPr>
          <w:sz w:val="28"/>
          <w:szCs w:val="28"/>
          <w:shd w:val="clear" w:color="auto" w:fill="FFFFFF"/>
          <w:lang w:val="uk-UA"/>
        </w:rPr>
        <w:t>.</w:t>
      </w:r>
      <w:r w:rsidRPr="00BE086B">
        <w:rPr>
          <w:sz w:val="28"/>
          <w:szCs w:val="28"/>
          <w:shd w:val="clear" w:color="auto" w:fill="FFFFFF"/>
          <w:lang w:val="en-US"/>
        </w:rPr>
        <w:t>, Kennedy J</w:t>
      </w:r>
      <w:r w:rsidRPr="00BE086B">
        <w:rPr>
          <w:sz w:val="28"/>
          <w:szCs w:val="28"/>
          <w:shd w:val="clear" w:color="auto" w:fill="FFFFFF"/>
          <w:lang w:val="uk-UA"/>
        </w:rPr>
        <w:t>.</w:t>
      </w:r>
      <w:r w:rsidRPr="00BE086B">
        <w:rPr>
          <w:sz w:val="28"/>
          <w:szCs w:val="28"/>
          <w:shd w:val="clear" w:color="auto" w:fill="FFFFFF"/>
          <w:lang w:val="en-US"/>
        </w:rPr>
        <w:t>A</w:t>
      </w:r>
      <w:r w:rsidRPr="00BE086B">
        <w:rPr>
          <w:sz w:val="28"/>
          <w:szCs w:val="28"/>
          <w:shd w:val="clear" w:color="auto" w:fill="FFFFFF"/>
          <w:lang w:val="uk-UA"/>
        </w:rPr>
        <w:t>.</w:t>
      </w:r>
      <w:r w:rsidRPr="00BE086B">
        <w:rPr>
          <w:sz w:val="28"/>
          <w:szCs w:val="28"/>
          <w:shd w:val="clear" w:color="auto" w:fill="FFFFFF"/>
          <w:lang w:val="en-US"/>
        </w:rPr>
        <w:t>, Topliss D</w:t>
      </w:r>
      <w:r w:rsidRPr="00BE086B">
        <w:rPr>
          <w:sz w:val="28"/>
          <w:szCs w:val="28"/>
          <w:shd w:val="clear" w:color="auto" w:fill="FFFFFF"/>
          <w:lang w:val="uk-UA"/>
        </w:rPr>
        <w:t>.</w:t>
      </w:r>
      <w:r w:rsidRPr="00BE086B">
        <w:rPr>
          <w:sz w:val="28"/>
          <w:szCs w:val="28"/>
          <w:shd w:val="clear" w:color="auto" w:fill="FFFFFF"/>
          <w:lang w:val="en-US"/>
        </w:rPr>
        <w:t>J</w:t>
      </w:r>
      <w:r w:rsidRPr="00BE086B">
        <w:rPr>
          <w:sz w:val="28"/>
          <w:szCs w:val="28"/>
          <w:shd w:val="clear" w:color="auto" w:fill="FFFFFF"/>
          <w:lang w:val="uk-UA"/>
        </w:rPr>
        <w:t>.</w:t>
      </w:r>
      <w:r w:rsidRPr="00BE086B">
        <w:rPr>
          <w:sz w:val="28"/>
          <w:szCs w:val="28"/>
          <w:shd w:val="clear" w:color="auto" w:fill="FFFFFF"/>
          <w:lang w:val="en-US"/>
        </w:rPr>
        <w:t>, Stockigt J</w:t>
      </w:r>
      <w:r w:rsidRPr="00BE086B">
        <w:rPr>
          <w:sz w:val="28"/>
          <w:szCs w:val="28"/>
          <w:shd w:val="clear" w:color="auto" w:fill="FFFFFF"/>
          <w:lang w:val="uk-UA"/>
        </w:rPr>
        <w:t>.</w:t>
      </w:r>
      <w:r w:rsidRPr="00BE086B">
        <w:rPr>
          <w:sz w:val="28"/>
          <w:szCs w:val="28"/>
          <w:shd w:val="clear" w:color="auto" w:fill="FFFFFF"/>
          <w:lang w:val="en-US"/>
        </w:rPr>
        <w:t xml:space="preserve">R. Drug effects on triiodothyronine uptake by rat anterior pituitary cells in vitro. </w:t>
      </w:r>
      <w:r w:rsidRPr="00BE086B">
        <w:rPr>
          <w:sz w:val="28"/>
          <w:szCs w:val="28"/>
          <w:shd w:val="clear" w:color="auto" w:fill="FFFFFF"/>
        </w:rPr>
        <w:t>Exp Clin Endocrinol Diabetes. 1996;104(2):151-</w:t>
      </w:r>
      <w:r w:rsidRPr="00BE086B">
        <w:rPr>
          <w:sz w:val="28"/>
          <w:szCs w:val="28"/>
          <w:shd w:val="clear" w:color="auto" w:fill="FFFFFF"/>
          <w:lang w:val="uk-UA"/>
        </w:rPr>
        <w:t>15</w:t>
      </w:r>
      <w:r w:rsidRPr="00BE086B">
        <w:rPr>
          <w:sz w:val="28"/>
          <w:szCs w:val="28"/>
          <w:shd w:val="clear" w:color="auto" w:fill="FFFFFF"/>
        </w:rPr>
        <w:t>7.</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lang w:val="uk-UA"/>
        </w:rPr>
        <w:t>Стефанов О.В. Доклінічні дослідження лікарських засобів: метод. рекомендації. Київ: Авіцена, 2002, 527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lang w:val="en-US"/>
        </w:rPr>
        <w:t>European Convention for the Protection of Vertebrate Animals Used for Experimental and Other Stientific Purposes. Strasburg</w:t>
      </w:r>
      <w:r w:rsidRPr="00BE086B">
        <w:rPr>
          <w:sz w:val="28"/>
          <w:szCs w:val="28"/>
          <w:lang w:val="uk-UA"/>
        </w:rPr>
        <w:t>:</w:t>
      </w:r>
      <w:r w:rsidRPr="00BE086B">
        <w:rPr>
          <w:sz w:val="28"/>
          <w:szCs w:val="28"/>
          <w:lang w:val="en-US"/>
        </w:rPr>
        <w:t xml:space="preserve"> Council of Europe. 1986</w:t>
      </w:r>
      <w:r w:rsidRPr="00BE086B">
        <w:rPr>
          <w:sz w:val="28"/>
          <w:szCs w:val="28"/>
        </w:rPr>
        <w:t>;</w:t>
      </w:r>
      <w:r w:rsidRPr="00BE086B">
        <w:rPr>
          <w:sz w:val="28"/>
          <w:szCs w:val="28"/>
          <w:lang w:val="en-US"/>
        </w:rPr>
        <w:t xml:space="preserve"> 123</w:t>
      </w:r>
      <w:r w:rsidRPr="00BE086B">
        <w:rPr>
          <w:sz w:val="28"/>
          <w:szCs w:val="28"/>
        </w:rPr>
        <w:t>,</w:t>
      </w:r>
      <w:r w:rsidRPr="00BE086B">
        <w:rPr>
          <w:sz w:val="28"/>
          <w:szCs w:val="28"/>
          <w:lang w:val="en-US"/>
        </w:rPr>
        <w:t xml:space="preserve"> 52.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lang w:val="uk-UA"/>
        </w:rPr>
        <w:t>Кожем’якін Ю.М., Хромов О.С., Філоненко М.А., Сайретдінова Г.А. Науково-практичні рекомендації з утримання лабораторних тварин та робот і з ними. Киев, 2002, 155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rPr>
        <w:t>Западнюк И.П., Западнюк В.И., Захария Е.А., Западнюк Б.В.</w:t>
      </w:r>
      <w:r w:rsidRPr="00BE086B">
        <w:rPr>
          <w:sz w:val="28"/>
          <w:szCs w:val="28"/>
          <w:lang w:val="uk-UA"/>
        </w:rPr>
        <w:t xml:space="preserve"> </w:t>
      </w:r>
      <w:r w:rsidRPr="00BE086B">
        <w:rPr>
          <w:sz w:val="28"/>
          <w:szCs w:val="28"/>
        </w:rPr>
        <w:t>Лабораторные животные. Разведение, содержание, использование в эксперименте. Киев: Вища школа, 1983, 383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lang w:val="uk-UA"/>
        </w:rPr>
        <w:t>Етика лікаря та права людини: положення про використання тварин у біомедичних дослідах. Експерим. та клініч. фізіологія і біохім</w:t>
      </w:r>
      <w:r w:rsidRPr="00BE086B">
        <w:rPr>
          <w:sz w:val="28"/>
          <w:szCs w:val="28"/>
        </w:rPr>
        <w:t>ія. 2003; 2 (22):108-109.</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rPr>
        <w:t xml:space="preserve">Рыболовлев Ю.Р., Рыболовлев Р.С. Дозирование веществ для млекопитающих по константам биологической активности. Доклады АН </w:t>
      </w:r>
      <w:r w:rsidRPr="00BE086B">
        <w:rPr>
          <w:sz w:val="28"/>
          <w:szCs w:val="28"/>
        </w:rPr>
        <w:lastRenderedPageBreak/>
        <w:t>СССР. 1979; 6:1513-1516.</w:t>
      </w:r>
    </w:p>
    <w:p w:rsidR="008B13C0" w:rsidRPr="00BE086B" w:rsidRDefault="008B13C0" w:rsidP="00611AFB">
      <w:pPr>
        <w:widowControl w:val="0"/>
        <w:numPr>
          <w:ilvl w:val="0"/>
          <w:numId w:val="19"/>
        </w:numPr>
        <w:suppressAutoHyphens w:val="0"/>
        <w:autoSpaceDE w:val="0"/>
        <w:spacing w:line="360" w:lineRule="auto"/>
        <w:ind w:left="0" w:firstLine="709"/>
        <w:jc w:val="both"/>
        <w:rPr>
          <w:kern w:val="2"/>
          <w:sz w:val="28"/>
          <w:szCs w:val="28"/>
        </w:rPr>
      </w:pPr>
      <w:r w:rsidRPr="00BE086B">
        <w:rPr>
          <w:sz w:val="28"/>
          <w:szCs w:val="28"/>
        </w:rPr>
        <w:t xml:space="preserve">Опришко В.І. </w:t>
      </w:r>
      <w:r w:rsidRPr="00BE086B">
        <w:rPr>
          <w:kern w:val="28"/>
          <w:sz w:val="28"/>
          <w:szCs w:val="28"/>
        </w:rPr>
        <w:t>Антиоксидантна модуляція фармакологічної активності анальгетичних та протисудомних засобів: дис. ... д-ра мед. наук: 14.03.05 - Київ, 2010; 395 с.</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rPr>
      </w:pPr>
      <w:r w:rsidRPr="00BE086B">
        <w:rPr>
          <w:sz w:val="28"/>
          <w:szCs w:val="28"/>
        </w:rPr>
        <w:t xml:space="preserve">Хомяк О.В. </w:t>
      </w:r>
      <w:r w:rsidRPr="00BE086B">
        <w:rPr>
          <w:bCs/>
          <w:iCs/>
          <w:sz w:val="28"/>
          <w:szCs w:val="28"/>
        </w:rPr>
        <w:t>Особливості фармакологічної дії знеболюючих препаратів в умовах експериментальної депресії</w:t>
      </w:r>
      <w:r w:rsidRPr="00BE086B">
        <w:rPr>
          <w:kern w:val="28"/>
          <w:sz w:val="28"/>
          <w:szCs w:val="28"/>
        </w:rPr>
        <w:t>: дис. ... к-та мед. наук: 14.03.05 - Київ, 2012; 175 с.</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rPr>
        <w:t xml:space="preserve">Нефьодов О.О. </w:t>
      </w:r>
      <w:r w:rsidRPr="00BE086B">
        <w:rPr>
          <w:bCs/>
          <w:sz w:val="28"/>
          <w:szCs w:val="28"/>
        </w:rPr>
        <w:t>Фармакологічний аналіз нейропротекції за умов експериментального алергічного енцефаломієліту</w:t>
      </w:r>
      <w:r w:rsidRPr="00BE086B">
        <w:rPr>
          <w:kern w:val="28"/>
          <w:sz w:val="28"/>
          <w:szCs w:val="28"/>
        </w:rPr>
        <w:t>: дис. ... д-ра мед. наук: 14.03.05 - Київ, 2017; 373 с.</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rPr>
      </w:pPr>
      <w:r w:rsidRPr="00BE086B">
        <w:rPr>
          <w:sz w:val="28"/>
          <w:szCs w:val="28"/>
        </w:rPr>
        <w:t>Макаренко</w:t>
      </w:r>
      <w:r w:rsidRPr="00BE086B">
        <w:rPr>
          <w:sz w:val="28"/>
          <w:szCs w:val="28"/>
          <w:lang w:val="uk-UA"/>
        </w:rPr>
        <w:t xml:space="preserve"> </w:t>
      </w:r>
      <w:r w:rsidRPr="00BE086B">
        <w:rPr>
          <w:sz w:val="28"/>
          <w:szCs w:val="28"/>
        </w:rPr>
        <w:t>О</w:t>
      </w:r>
      <w:r w:rsidRPr="00BE086B">
        <w:rPr>
          <w:sz w:val="28"/>
          <w:szCs w:val="28"/>
          <w:lang w:val="uk-UA"/>
        </w:rPr>
        <w:t>.</w:t>
      </w:r>
      <w:r w:rsidRPr="00BE086B">
        <w:rPr>
          <w:sz w:val="28"/>
          <w:szCs w:val="28"/>
        </w:rPr>
        <w:t>В</w:t>
      </w:r>
      <w:r w:rsidRPr="00BE086B">
        <w:rPr>
          <w:sz w:val="28"/>
          <w:szCs w:val="28"/>
          <w:lang w:val="uk-UA"/>
        </w:rPr>
        <w:t xml:space="preserve">. </w:t>
      </w:r>
      <w:r w:rsidRPr="00BE086B">
        <w:rPr>
          <w:sz w:val="28"/>
          <w:szCs w:val="28"/>
        </w:rPr>
        <w:t>Фармакологія знеболення за умов експериментального паркінсонізму: автореф. дис. ... д-ра мед. наук: 14.03.05</w:t>
      </w:r>
      <w:r w:rsidRPr="00BE086B">
        <w:rPr>
          <w:sz w:val="28"/>
          <w:szCs w:val="28"/>
          <w:lang w:val="uk-UA"/>
        </w:rPr>
        <w:t xml:space="preserve"> -</w:t>
      </w:r>
      <w:r w:rsidRPr="00BE086B">
        <w:rPr>
          <w:sz w:val="28"/>
          <w:szCs w:val="28"/>
        </w:rPr>
        <w:t xml:space="preserve"> К</w:t>
      </w:r>
      <w:r w:rsidRPr="00BE086B">
        <w:rPr>
          <w:sz w:val="28"/>
          <w:szCs w:val="28"/>
          <w:lang w:val="uk-UA"/>
        </w:rPr>
        <w:t>иїв</w:t>
      </w:r>
      <w:r w:rsidRPr="00BE086B">
        <w:rPr>
          <w:sz w:val="28"/>
          <w:szCs w:val="28"/>
        </w:rPr>
        <w:t>, 2011</w:t>
      </w:r>
      <w:r w:rsidRPr="00BE086B">
        <w:rPr>
          <w:sz w:val="28"/>
          <w:szCs w:val="28"/>
          <w:lang w:val="uk-UA"/>
        </w:rPr>
        <w:t>,</w:t>
      </w:r>
      <w:r w:rsidRPr="00BE086B">
        <w:rPr>
          <w:sz w:val="28"/>
          <w:szCs w:val="28"/>
        </w:rPr>
        <w:t xml:space="preserve"> 36 с.</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Vitaic S., Stupnisek M., Drmic D., Bauk L., Kokot A., Klicek R., Vcev A., Luetic K., Seiwerth S., Sikiric P. Nonsteroidal anti-inflammatory drugs-induced failure of lower esophageal and pyloric sphincter and counteraction of sphincters failure with stable gatric pentadecapeptide BPC 157 in rats. J Physiol Pharmacol. 2017;68(2):265-272.</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Lojo N., Rasic Z., Zenko Sever A., Kolenc D., Vukusic D., Drmic D., Zoricic I., Sever M., Seiwerth S., Sikiric P. Effects of diclofenac, L-NAME, L-arginine, and pentadecapeptide BPC 157 on gastrointestinal, liver, and brain lesions, failed anastomosis, and intestinal adaptation deterioration in 24 hour-short-bowel rats. PLoS One. 2016;14;11(9):162-190.</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Park M.K., Kang S.H., Son J.Y., Lee M.K., Ju J.S., Bae Y.C., Ahn D.K. Co-administered low doses of ibuprofen and dexamethasone produce synergistic antinociceptive effects on neuropathic mechanical allodynia in rats. J Pain Res. 2019; 30;12:2959-2968.</w:t>
      </w:r>
    </w:p>
    <w:p w:rsidR="008B13C0" w:rsidRPr="00BE086B" w:rsidRDefault="008B13C0" w:rsidP="00611AFB">
      <w:pPr>
        <w:widowControl w:val="0"/>
        <w:numPr>
          <w:ilvl w:val="0"/>
          <w:numId w:val="19"/>
        </w:numPr>
        <w:shd w:val="clear" w:color="auto" w:fill="FFFFFF"/>
        <w:suppressAutoHyphens w:val="0"/>
        <w:autoSpaceDE w:val="0"/>
        <w:spacing w:line="360" w:lineRule="auto"/>
        <w:ind w:left="0" w:firstLine="709"/>
        <w:jc w:val="both"/>
        <w:rPr>
          <w:sz w:val="28"/>
          <w:szCs w:val="28"/>
        </w:rPr>
      </w:pPr>
      <w:r w:rsidRPr="00BE086B">
        <w:rPr>
          <w:sz w:val="28"/>
          <w:szCs w:val="28"/>
        </w:rPr>
        <w:t xml:space="preserve">Подплетняя Е.А. Анализ фармакологической активности и безопасности нестероидных противовоспалительных средств и экспериментальное обоснование оптимизации болеутоляющей и </w:t>
      </w:r>
      <w:r w:rsidRPr="00BE086B">
        <w:rPr>
          <w:sz w:val="28"/>
          <w:szCs w:val="28"/>
        </w:rPr>
        <w:lastRenderedPageBreak/>
        <w:t>противовоспалительной терапии</w:t>
      </w:r>
      <w:r w:rsidRPr="00BE086B">
        <w:rPr>
          <w:kern w:val="28"/>
          <w:sz w:val="28"/>
          <w:szCs w:val="28"/>
        </w:rPr>
        <w:t>: дис. ... д-ра фарм. наук: 14.03.05 - Харків, 2008; 404 с.</w:t>
      </w:r>
    </w:p>
    <w:p w:rsidR="008B13C0" w:rsidRPr="00BE086B" w:rsidRDefault="008B13C0" w:rsidP="00611AFB">
      <w:pPr>
        <w:numPr>
          <w:ilvl w:val="0"/>
          <w:numId w:val="19"/>
        </w:numPr>
        <w:suppressAutoHyphens w:val="0"/>
        <w:autoSpaceDE w:val="0"/>
        <w:spacing w:line="360" w:lineRule="auto"/>
        <w:ind w:left="0" w:firstLine="709"/>
        <w:jc w:val="both"/>
        <w:rPr>
          <w:kern w:val="2"/>
          <w:sz w:val="28"/>
          <w:szCs w:val="28"/>
          <w:lang w:val="en-US"/>
        </w:rPr>
      </w:pPr>
      <w:r w:rsidRPr="00BE086B">
        <w:rPr>
          <w:sz w:val="28"/>
          <w:szCs w:val="28"/>
          <w:shd w:val="clear" w:color="auto" w:fill="FFFFFF"/>
          <w:lang w:val="en-US"/>
        </w:rPr>
        <w:t>Arslan A., Ozcicek A., Suleyman B., Coban T.A., Cimen F.K., Nalkiran H.S., Kuzucu M., Altuner D., Cetin N., Suleyman H. Effects of nimesulide on the small intestine mucositis induced by methotrexate in rats. Exp Anim. 2016;1;65(4):329-336.</w:t>
      </w:r>
    </w:p>
    <w:p w:rsidR="008B13C0" w:rsidRPr="00BE086B" w:rsidRDefault="008B13C0" w:rsidP="00611AFB">
      <w:pPr>
        <w:numPr>
          <w:ilvl w:val="0"/>
          <w:numId w:val="19"/>
        </w:numPr>
        <w:suppressAutoHyphens w:val="0"/>
        <w:autoSpaceDE w:val="0"/>
        <w:spacing w:line="360" w:lineRule="auto"/>
        <w:ind w:left="0" w:firstLine="709"/>
        <w:jc w:val="both"/>
        <w:rPr>
          <w:sz w:val="28"/>
          <w:szCs w:val="28"/>
          <w:lang w:val="en-US"/>
        </w:rPr>
      </w:pPr>
      <w:r w:rsidRPr="00BE086B">
        <w:rPr>
          <w:sz w:val="28"/>
          <w:szCs w:val="28"/>
          <w:shd w:val="clear" w:color="auto" w:fill="FFFFFF"/>
          <w:lang w:val="en-US"/>
        </w:rPr>
        <w:t>Shamsi Meymandi M., Sepehri G., Izadi G., Zamiri Z. Evidence for antinociceptive effects of combined administration of vitamin E and celecoxib in tail-flick and formalin test in male rats. Pharmacol Rep. 2019;71(3):457-464.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lang w:val="en-US"/>
        </w:rPr>
        <w:t>Mittal R., Kumar A., Singh D.P., Bishnoi M., Nag T.C. Ameliorative potential of rutin in combination with nimesulide in STZ model of diabetic neuropathy: targeting Nrf2/HO-1/NF-kB and COX signalling pathway. Inflammopharmacology. 2018;26(3):755-768.</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lang w:val="en-US"/>
        </w:rPr>
        <w:t>Kuo A., Lourdesamy J., Nicholson J.R., Corradini L., Smith M.T. Assessment of the anti-hyperalgesic efficacy of J-2156, relative to clinically available analgesic/adjuvant agents in a rat model of mild to moderate chronic mechanical low back pain (LBP). Clin Exp Pharmacol Physiol. 2020;47(12):1912-1922.</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lang w:val="en-US"/>
        </w:rPr>
        <w:t>Laudanno O.M., Cesolari J.A., Esnarriaga J., Flaherty P., Vada J., Guastalli G., San Miguel P., Bedini O.A. In vivo selectivity of nonsteroidal anti-inflammatory drugs on COX-1-COX-2 and gastrointestinal ulcers, in rats. Acta Gastroenterol Latinoam. 1998;28(3):249-255.</w:t>
      </w:r>
    </w:p>
    <w:p w:rsidR="008B13C0" w:rsidRPr="00BE086B" w:rsidRDefault="008B13C0" w:rsidP="00611AFB">
      <w:pPr>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shd w:val="clear" w:color="auto" w:fill="FFFFFF"/>
          <w:lang w:val="en-US"/>
        </w:rPr>
        <w:t>Ahmad S., Panda B.P., Fahim M., Dhyani N., Dubey K. Ameliorative effect of beraprost sodium on celecoxib induced cardiotoxicity in rats. Iran J Pharm Res. 2018;17(1):155-163.</w:t>
      </w:r>
    </w:p>
    <w:p w:rsidR="008B13C0" w:rsidRPr="00BE086B" w:rsidRDefault="008B13C0" w:rsidP="00611AFB">
      <w:pPr>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iCs/>
          <w:sz w:val="28"/>
          <w:szCs w:val="28"/>
          <w:lang w:eastAsia="ru-RU"/>
        </w:rPr>
        <w:t xml:space="preserve">Гусакова Е.А., Городецкая И.В. </w:t>
      </w:r>
      <w:r w:rsidRPr="00BE086B">
        <w:rPr>
          <w:bCs/>
          <w:sz w:val="28"/>
          <w:szCs w:val="28"/>
          <w:lang w:eastAsia="ru-RU"/>
        </w:rPr>
        <w:t xml:space="preserve">Повышение йодсодержащими гормонами щитовидной железы устойчивости организма к стрессу «дефицита времени». </w:t>
      </w:r>
      <w:r w:rsidRPr="00BE086B">
        <w:rPr>
          <w:sz w:val="28"/>
          <w:szCs w:val="28"/>
        </w:rPr>
        <w:t>Актуальні проблеми сучасної медицини. 2019; 4:41-50.</w:t>
      </w:r>
    </w:p>
    <w:p w:rsidR="008B13C0" w:rsidRPr="00BE086B" w:rsidRDefault="008B13C0" w:rsidP="00611AFB">
      <w:pPr>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rPr>
        <w:lastRenderedPageBreak/>
        <w:t>Масюк Н.Ю., Городецкая И.В. Характеристика тиреоидного статуса при изолированном и комбинированном с кариесогенной диетой краудинг-стрессе. Вестник ВГМУ. 2018;17,4:48-54.</w:t>
      </w:r>
    </w:p>
    <w:p w:rsidR="008B13C0" w:rsidRPr="00BE086B" w:rsidRDefault="008B13C0" w:rsidP="00611AFB">
      <w:pPr>
        <w:widowControl w:val="0"/>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rPr>
        <w:t xml:space="preserve">Орлова В.О. </w:t>
      </w:r>
      <w:r w:rsidRPr="00BE086B">
        <w:rPr>
          <w:sz w:val="28"/>
          <w:szCs w:val="28"/>
          <w:lang w:val="uk-UA"/>
        </w:rPr>
        <w:t>Е</w:t>
      </w:r>
      <w:r w:rsidRPr="00BE086B">
        <w:rPr>
          <w:sz w:val="28"/>
          <w:szCs w:val="28"/>
        </w:rPr>
        <w:t>кспериментальне обґрунтування доцільності використання засобів рослинного походження для фармакокорекції гіпофункції щитоподібної залози</w:t>
      </w:r>
      <w:r w:rsidRPr="00BE086B">
        <w:rPr>
          <w:kern w:val="28"/>
          <w:sz w:val="28"/>
          <w:szCs w:val="28"/>
        </w:rPr>
        <w:t xml:space="preserve">: </w:t>
      </w:r>
      <w:r w:rsidRPr="00BE086B">
        <w:rPr>
          <w:kern w:val="28"/>
          <w:sz w:val="28"/>
          <w:szCs w:val="28"/>
          <w:lang w:val="uk-UA"/>
        </w:rPr>
        <w:t xml:space="preserve">автореф. </w:t>
      </w:r>
      <w:r w:rsidRPr="00BE086B">
        <w:rPr>
          <w:kern w:val="28"/>
          <w:sz w:val="28"/>
          <w:szCs w:val="28"/>
        </w:rPr>
        <w:t xml:space="preserve">дис. ... </w:t>
      </w:r>
      <w:r w:rsidRPr="00BE086B">
        <w:rPr>
          <w:kern w:val="28"/>
          <w:sz w:val="28"/>
          <w:szCs w:val="28"/>
          <w:lang w:val="uk-UA"/>
        </w:rPr>
        <w:t>к</w:t>
      </w:r>
      <w:r w:rsidRPr="00BE086B">
        <w:rPr>
          <w:kern w:val="28"/>
          <w:sz w:val="28"/>
          <w:szCs w:val="28"/>
        </w:rPr>
        <w:t>-</w:t>
      </w:r>
      <w:r w:rsidRPr="00BE086B">
        <w:rPr>
          <w:kern w:val="28"/>
          <w:sz w:val="28"/>
          <w:szCs w:val="28"/>
          <w:lang w:val="uk-UA"/>
        </w:rPr>
        <w:t>т</w:t>
      </w:r>
      <w:r w:rsidRPr="00BE086B">
        <w:rPr>
          <w:kern w:val="28"/>
          <w:sz w:val="28"/>
          <w:szCs w:val="28"/>
        </w:rPr>
        <w:t xml:space="preserve">а </w:t>
      </w:r>
      <w:r w:rsidRPr="00BE086B">
        <w:rPr>
          <w:kern w:val="28"/>
          <w:sz w:val="28"/>
          <w:szCs w:val="28"/>
          <w:lang w:val="uk-UA"/>
        </w:rPr>
        <w:t>фарм</w:t>
      </w:r>
      <w:r w:rsidRPr="00BE086B">
        <w:rPr>
          <w:kern w:val="28"/>
          <w:sz w:val="28"/>
          <w:szCs w:val="28"/>
        </w:rPr>
        <w:t xml:space="preserve">. наук: 14.03.05 - </w:t>
      </w:r>
      <w:r w:rsidRPr="00BE086B">
        <w:rPr>
          <w:kern w:val="28"/>
          <w:sz w:val="28"/>
          <w:szCs w:val="28"/>
          <w:lang w:val="uk-UA"/>
        </w:rPr>
        <w:t>Харків</w:t>
      </w:r>
      <w:r w:rsidRPr="00BE086B">
        <w:rPr>
          <w:kern w:val="28"/>
          <w:sz w:val="28"/>
          <w:szCs w:val="28"/>
        </w:rPr>
        <w:t>, 201</w:t>
      </w:r>
      <w:r w:rsidRPr="00BE086B">
        <w:rPr>
          <w:kern w:val="28"/>
          <w:sz w:val="28"/>
          <w:szCs w:val="28"/>
          <w:lang w:val="uk-UA"/>
        </w:rPr>
        <w:t>8</w:t>
      </w:r>
      <w:r w:rsidRPr="00BE086B">
        <w:rPr>
          <w:kern w:val="28"/>
          <w:sz w:val="28"/>
          <w:szCs w:val="28"/>
        </w:rPr>
        <w:t xml:space="preserve">; </w:t>
      </w:r>
      <w:r w:rsidRPr="00BE086B">
        <w:rPr>
          <w:kern w:val="28"/>
          <w:sz w:val="28"/>
          <w:szCs w:val="28"/>
          <w:lang w:val="uk-UA"/>
        </w:rPr>
        <w:t>27</w:t>
      </w:r>
      <w:r w:rsidRPr="00BE086B">
        <w:rPr>
          <w:kern w:val="28"/>
          <w:sz w:val="28"/>
          <w:szCs w:val="28"/>
        </w:rPr>
        <w:t xml:space="preserve"> с.</w:t>
      </w:r>
    </w:p>
    <w:p w:rsidR="008B13C0" w:rsidRPr="00BE086B" w:rsidRDefault="008B13C0" w:rsidP="00611AFB">
      <w:pPr>
        <w:pStyle w:val="afd"/>
        <w:numPr>
          <w:ilvl w:val="0"/>
          <w:numId w:val="19"/>
        </w:numPr>
        <w:spacing w:after="0" w:line="360" w:lineRule="auto"/>
        <w:ind w:left="0" w:firstLine="709"/>
        <w:jc w:val="both"/>
        <w:rPr>
          <w:rFonts w:ascii="Times New Roman" w:hAnsi="Times New Roman"/>
          <w:sz w:val="28"/>
          <w:szCs w:val="28"/>
          <w:lang w:val="en-US"/>
        </w:rPr>
      </w:pPr>
      <w:r w:rsidRPr="00BE086B">
        <w:rPr>
          <w:rFonts w:ascii="Times New Roman" w:eastAsia="GulliverRM" w:hAnsi="Times New Roman"/>
          <w:sz w:val="28"/>
          <w:szCs w:val="28"/>
          <w:shd w:val="clear" w:color="auto" w:fill="FFFFFF"/>
          <w:lang w:val="en-US" w:eastAsia="zh-CN" w:bidi="hi-IN"/>
        </w:rPr>
        <w:t xml:space="preserve">El-Bakry A.M., El-Gareib A.W., Ahmed R.G. Comparative study of the effects of experimentally induced hypothyroidism and </w:t>
      </w:r>
      <w:r w:rsidRPr="00BE086B">
        <w:rPr>
          <w:rFonts w:ascii="Times New Roman" w:eastAsia="GulliverRM" w:hAnsi="Times New Roman"/>
          <w:sz w:val="28"/>
          <w:szCs w:val="28"/>
          <w:lang w:val="en-US"/>
        </w:rPr>
        <w:t>hyperthyroidism in some brain regions in albino rats</w:t>
      </w:r>
      <w:r w:rsidRPr="00BE086B">
        <w:rPr>
          <w:rFonts w:ascii="Times New Roman" w:eastAsia="GulliverRM" w:hAnsi="Times New Roman"/>
          <w:sz w:val="28"/>
          <w:szCs w:val="28"/>
          <w:lang w:val="uk-UA"/>
        </w:rPr>
        <w:t>.</w:t>
      </w:r>
      <w:r w:rsidRPr="00BE086B">
        <w:rPr>
          <w:rFonts w:ascii="Times New Roman" w:eastAsia="GulliverRM" w:hAnsi="Times New Roman"/>
          <w:sz w:val="28"/>
          <w:szCs w:val="28"/>
          <w:lang w:val="en-US"/>
        </w:rPr>
        <w:t xml:space="preserve"> Int. J. Devl Neuroscience</w:t>
      </w:r>
      <w:r w:rsidRPr="00BE086B">
        <w:rPr>
          <w:rFonts w:ascii="Times New Roman" w:eastAsia="GulliverRM" w:hAnsi="Times New Roman"/>
          <w:sz w:val="28"/>
          <w:szCs w:val="28"/>
          <w:lang w:val="uk-UA"/>
        </w:rPr>
        <w:t>.</w:t>
      </w:r>
      <w:r w:rsidRPr="00BE086B">
        <w:rPr>
          <w:rFonts w:ascii="Times New Roman" w:eastAsia="GulliverRM" w:hAnsi="Times New Roman"/>
          <w:sz w:val="28"/>
          <w:szCs w:val="28"/>
          <w:lang w:val="en-US"/>
        </w:rPr>
        <w:t xml:space="preserve"> 2010; 28:371-389.</w:t>
      </w:r>
    </w:p>
    <w:p w:rsidR="008B13C0" w:rsidRPr="00BE086B" w:rsidRDefault="008B13C0" w:rsidP="00611AFB">
      <w:pPr>
        <w:pStyle w:val="afd"/>
        <w:numPr>
          <w:ilvl w:val="0"/>
          <w:numId w:val="19"/>
        </w:numPr>
        <w:spacing w:after="0" w:line="360" w:lineRule="auto"/>
        <w:ind w:left="0" w:firstLine="709"/>
        <w:jc w:val="both"/>
        <w:rPr>
          <w:rFonts w:ascii="Times New Roman" w:hAnsi="Times New Roman"/>
          <w:sz w:val="28"/>
          <w:szCs w:val="28"/>
          <w:lang w:val="en-US"/>
        </w:rPr>
      </w:pPr>
      <w:r w:rsidRPr="00BE086B">
        <w:rPr>
          <w:rFonts w:ascii="Times New Roman" w:hAnsi="Times New Roman"/>
          <w:sz w:val="28"/>
          <w:szCs w:val="28"/>
          <w:lang w:val="en-US"/>
        </w:rPr>
        <w:t>Ilyas A., Ishaque I., Qamar N., Parveen K. Effect of experimentally induced hypothyroidism and its treatment by thyroxine on the number of follicles in an ovary of wistar rats</w:t>
      </w:r>
      <w:r w:rsidRPr="00BE086B">
        <w:rPr>
          <w:rFonts w:ascii="Times New Roman" w:hAnsi="Times New Roman"/>
          <w:sz w:val="28"/>
          <w:szCs w:val="28"/>
          <w:lang w:val="uk-UA"/>
        </w:rPr>
        <w:t>.</w:t>
      </w:r>
      <w:r w:rsidRPr="00BE086B">
        <w:rPr>
          <w:rFonts w:ascii="Times New Roman" w:hAnsi="Times New Roman"/>
          <w:sz w:val="28"/>
          <w:szCs w:val="28"/>
          <w:lang w:val="en-US"/>
        </w:rPr>
        <w:t xml:space="preserve"> </w:t>
      </w:r>
      <w:r w:rsidRPr="00BE086B">
        <w:rPr>
          <w:rFonts w:ascii="Times New Roman" w:eastAsia="Times New Roman;Times New Roman" w:hAnsi="Times New Roman"/>
          <w:sz w:val="28"/>
          <w:szCs w:val="28"/>
          <w:lang w:val="en-US"/>
        </w:rPr>
        <w:t>Journal of Rawalpindi Medical College (JRMC)</w:t>
      </w:r>
      <w:r w:rsidRPr="00BE086B">
        <w:rPr>
          <w:rFonts w:ascii="Times New Roman" w:eastAsia="Times New Roman;Times New Roman" w:hAnsi="Times New Roman"/>
          <w:sz w:val="28"/>
          <w:szCs w:val="28"/>
          <w:lang w:val="uk-UA"/>
        </w:rPr>
        <w:t>.</w:t>
      </w:r>
      <w:r w:rsidRPr="00BE086B">
        <w:rPr>
          <w:rFonts w:ascii="Times New Roman" w:eastAsia="Times New Roman;Times New Roman" w:hAnsi="Times New Roman"/>
          <w:sz w:val="28"/>
          <w:szCs w:val="28"/>
          <w:lang w:val="en-US"/>
        </w:rPr>
        <w:t xml:space="preserve"> 2015; 19 (1):84-88.</w:t>
      </w:r>
    </w:p>
    <w:p w:rsidR="008B13C0" w:rsidRPr="00BE086B" w:rsidRDefault="008B13C0" w:rsidP="00611AFB">
      <w:pPr>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rFonts w:eastAsia="ThiemeArgo2008-Bold"/>
          <w:sz w:val="28"/>
          <w:szCs w:val="28"/>
          <w:lang w:val="en-US"/>
        </w:rPr>
        <w:t xml:space="preserve">Argumedo G.S., Sanz C.R., Olguín H.J. </w:t>
      </w:r>
      <w:r w:rsidRPr="00BE086B">
        <w:rPr>
          <w:rFonts w:eastAsia="Martel-Regular"/>
          <w:sz w:val="28"/>
          <w:szCs w:val="28"/>
          <w:lang w:val="en-US"/>
        </w:rPr>
        <w:t>Experimental models of developmental hypothyroidism</w:t>
      </w:r>
      <w:r w:rsidRPr="00BE086B">
        <w:rPr>
          <w:rFonts w:eastAsia="Martel-Regular"/>
          <w:sz w:val="28"/>
          <w:szCs w:val="28"/>
          <w:lang w:val="uk-UA"/>
        </w:rPr>
        <w:t>.</w:t>
      </w:r>
      <w:r w:rsidRPr="00BE086B">
        <w:rPr>
          <w:rFonts w:eastAsia="Martel-Regular"/>
          <w:sz w:val="28"/>
          <w:szCs w:val="28"/>
          <w:lang w:val="en-US"/>
        </w:rPr>
        <w:t xml:space="preserve"> </w:t>
      </w:r>
      <w:r w:rsidRPr="00BE086B">
        <w:rPr>
          <w:rFonts w:eastAsia="ThiemeArgo2008-Light"/>
          <w:sz w:val="28"/>
          <w:szCs w:val="28"/>
          <w:lang w:val="en-US"/>
        </w:rPr>
        <w:t>Horm</w:t>
      </w:r>
      <w:r w:rsidRPr="00BE086B">
        <w:rPr>
          <w:rFonts w:eastAsia="ThiemeArgo2008-Light"/>
          <w:sz w:val="28"/>
          <w:szCs w:val="28"/>
        </w:rPr>
        <w:t xml:space="preserve"> </w:t>
      </w:r>
      <w:r w:rsidRPr="00BE086B">
        <w:rPr>
          <w:rFonts w:eastAsia="ThiemeArgo2008-Light"/>
          <w:sz w:val="28"/>
          <w:szCs w:val="28"/>
          <w:lang w:val="en-US"/>
        </w:rPr>
        <w:t>Metab</w:t>
      </w:r>
      <w:r w:rsidRPr="00BE086B">
        <w:rPr>
          <w:rFonts w:eastAsia="ThiemeArgo2008-Light"/>
          <w:sz w:val="28"/>
          <w:szCs w:val="28"/>
        </w:rPr>
        <w:t xml:space="preserve"> </w:t>
      </w:r>
      <w:r w:rsidRPr="00BE086B">
        <w:rPr>
          <w:rFonts w:eastAsia="ThiemeArgo2008-Light"/>
          <w:sz w:val="28"/>
          <w:szCs w:val="28"/>
          <w:lang w:val="en-US"/>
        </w:rPr>
        <w:t>Res</w:t>
      </w:r>
      <w:r w:rsidRPr="00BE086B">
        <w:rPr>
          <w:rFonts w:eastAsia="ThiemeArgo2008-Light"/>
          <w:sz w:val="28"/>
          <w:szCs w:val="28"/>
          <w:lang w:val="uk-UA"/>
        </w:rPr>
        <w:t>.</w:t>
      </w:r>
      <w:r w:rsidRPr="00BE086B">
        <w:rPr>
          <w:rFonts w:eastAsia="ThiemeArgo2008-Light"/>
          <w:sz w:val="28"/>
          <w:szCs w:val="28"/>
        </w:rPr>
        <w:t xml:space="preserve"> 2012; 44: 79-85.</w:t>
      </w:r>
    </w:p>
    <w:p w:rsidR="008B13C0" w:rsidRPr="00BE086B" w:rsidRDefault="008B13C0" w:rsidP="00611AFB">
      <w:pPr>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lang w:eastAsia="ru-RU"/>
        </w:rPr>
        <w:t>Миронов А.Н. Руководство по проведению доклинических исследований лекарственных средств. Часть первая. Москва: Гриф и К, 2012, 212 с.</w:t>
      </w:r>
    </w:p>
    <w:p w:rsidR="008B13C0" w:rsidRPr="00BE086B" w:rsidRDefault="008B13C0" w:rsidP="00611AFB">
      <w:pPr>
        <w:numPr>
          <w:ilvl w:val="0"/>
          <w:numId w:val="19"/>
        </w:numPr>
        <w:suppressAutoHyphens w:val="0"/>
        <w:autoSpaceDE w:val="0"/>
        <w:autoSpaceDN w:val="0"/>
        <w:adjustRightInd w:val="0"/>
        <w:spacing w:line="360" w:lineRule="auto"/>
        <w:ind w:left="0" w:firstLine="709"/>
        <w:jc w:val="both"/>
        <w:rPr>
          <w:sz w:val="28"/>
          <w:szCs w:val="28"/>
          <w:lang w:eastAsia="ru-RU"/>
        </w:rPr>
      </w:pPr>
      <w:r w:rsidRPr="00BE086B">
        <w:rPr>
          <w:sz w:val="28"/>
          <w:szCs w:val="28"/>
        </w:rPr>
        <w:t xml:space="preserve">Руководство по экспериментальному (доклиническому) изучению новых фармакологических веществ. Под общей редакцией чл.-корр. РАМН проф. Р. У. Хабриева. </w:t>
      </w:r>
      <w:r w:rsidRPr="00BE086B">
        <w:rPr>
          <w:sz w:val="28"/>
          <w:szCs w:val="28"/>
          <w:lang w:val="uk-UA"/>
        </w:rPr>
        <w:t>Москва,</w:t>
      </w:r>
      <w:r w:rsidRPr="00BE086B">
        <w:rPr>
          <w:sz w:val="28"/>
          <w:szCs w:val="28"/>
        </w:rPr>
        <w:t xml:space="preserve"> 2005</w:t>
      </w:r>
      <w:r w:rsidRPr="00BE086B">
        <w:rPr>
          <w:sz w:val="28"/>
          <w:szCs w:val="28"/>
          <w:lang w:val="uk-UA"/>
        </w:rPr>
        <w:t>,</w:t>
      </w:r>
      <w:r w:rsidRPr="00BE086B">
        <w:rPr>
          <w:sz w:val="28"/>
          <w:szCs w:val="28"/>
        </w:rPr>
        <w:t xml:space="preserve"> 425 с.</w:t>
      </w:r>
    </w:p>
    <w:p w:rsidR="008B13C0" w:rsidRPr="00BE086B" w:rsidRDefault="008B13C0" w:rsidP="00611AFB">
      <w:pPr>
        <w:pStyle w:val="afd"/>
        <w:numPr>
          <w:ilvl w:val="0"/>
          <w:numId w:val="19"/>
        </w:numPr>
        <w:spacing w:after="0" w:line="360" w:lineRule="auto"/>
        <w:ind w:left="0" w:firstLine="709"/>
        <w:jc w:val="both"/>
        <w:rPr>
          <w:rFonts w:ascii="Times New Roman" w:hAnsi="Times New Roman"/>
          <w:sz w:val="28"/>
          <w:szCs w:val="28"/>
          <w:lang w:val="en-US"/>
        </w:rPr>
      </w:pPr>
      <w:r w:rsidRPr="00BE086B">
        <w:rPr>
          <w:rFonts w:ascii="Times New Roman" w:hAnsi="Times New Roman"/>
          <w:sz w:val="28"/>
          <w:szCs w:val="28"/>
          <w:lang w:val="en-US"/>
        </w:rPr>
        <w:t>Guingamp C., Gegout-Pottie P., Philippe L. Mono-iodoacetate-induced experimental osteoarthritis: a dose-response study of loss of mobility, morphology, and biochemistry. Arthritis Rheum. 1997</w:t>
      </w:r>
      <w:r w:rsidRPr="00BE086B">
        <w:rPr>
          <w:rFonts w:ascii="Times New Roman" w:hAnsi="Times New Roman"/>
          <w:sz w:val="28"/>
          <w:szCs w:val="28"/>
          <w:lang w:val="uk-UA"/>
        </w:rPr>
        <w:t>;</w:t>
      </w:r>
      <w:r w:rsidRPr="00BE086B">
        <w:rPr>
          <w:rFonts w:ascii="Times New Roman" w:hAnsi="Times New Roman"/>
          <w:sz w:val="28"/>
          <w:szCs w:val="28"/>
          <w:lang w:val="en-US"/>
        </w:rPr>
        <w:t xml:space="preserve"> 40,9</w:t>
      </w:r>
      <w:r w:rsidRPr="00BE086B">
        <w:rPr>
          <w:rFonts w:ascii="Times New Roman" w:hAnsi="Times New Roman"/>
          <w:sz w:val="28"/>
          <w:szCs w:val="28"/>
          <w:lang w:val="uk-UA"/>
        </w:rPr>
        <w:t>:</w:t>
      </w:r>
      <w:r w:rsidRPr="00BE086B">
        <w:rPr>
          <w:rFonts w:ascii="Times New Roman" w:hAnsi="Times New Roman"/>
          <w:sz w:val="28"/>
          <w:szCs w:val="28"/>
          <w:lang w:val="en-US"/>
        </w:rPr>
        <w:t>1670-1679.</w:t>
      </w:r>
    </w:p>
    <w:p w:rsidR="008B13C0" w:rsidRPr="00BE086B" w:rsidRDefault="008B13C0" w:rsidP="00611AFB">
      <w:pPr>
        <w:numPr>
          <w:ilvl w:val="0"/>
          <w:numId w:val="19"/>
        </w:numPr>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lang w:val="uk-UA"/>
        </w:rPr>
        <w:t>Зупанець І.А., Москаленко В.Ф., Місюрова С.В. Клінічні лабораторні методи дослідження. Навчальний посібник. Харків: НФАУ, 2001, 177 с.</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sz w:val="28"/>
          <w:szCs w:val="28"/>
          <w:lang w:eastAsia="ru-RU"/>
        </w:rPr>
      </w:pPr>
      <w:r w:rsidRPr="00BE086B">
        <w:rPr>
          <w:sz w:val="28"/>
          <w:szCs w:val="28"/>
          <w:lang w:val="uk-UA" w:eastAsia="ru-RU"/>
        </w:rPr>
        <w:t>Лабораторный справочник Синэво под ред. Факш В.А. Киев: Изд. Дом «Аванпост Прим», 2015, 870 с.</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sz w:val="28"/>
          <w:szCs w:val="28"/>
          <w:lang w:val="uk-UA" w:eastAsia="ru-RU"/>
        </w:rPr>
      </w:pPr>
      <w:r w:rsidRPr="00BE086B">
        <w:rPr>
          <w:sz w:val="28"/>
          <w:szCs w:val="28"/>
          <w:shd w:val="clear" w:color="auto" w:fill="FFFFFF"/>
          <w:lang w:val="uk-UA"/>
        </w:rPr>
        <w:lastRenderedPageBreak/>
        <w:t xml:space="preserve">Ядловський О.Є., Суворова З.С., Науменко М.В. </w:t>
      </w:r>
      <w:r w:rsidRPr="00BE086B">
        <w:rPr>
          <w:sz w:val="28"/>
          <w:szCs w:val="28"/>
          <w:lang w:val="uk-UA" w:eastAsia="ru-RU"/>
        </w:rPr>
        <w:t xml:space="preserve">Особливості застосування методу «Гаряча пластина» у фармакологічних дослідженнях. Фармакологія та лікарська токсикологія. </w:t>
      </w:r>
      <w:r w:rsidRPr="00BE086B">
        <w:rPr>
          <w:sz w:val="28"/>
          <w:szCs w:val="28"/>
          <w:lang w:val="uk-UA"/>
        </w:rPr>
        <w:t>2020, 14 (3), 177-184.</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kern w:val="2"/>
          <w:sz w:val="28"/>
          <w:szCs w:val="28"/>
          <w:lang w:val="uk-UA" w:eastAsia="ru-RU"/>
        </w:rPr>
      </w:pPr>
      <w:r w:rsidRPr="00BE086B">
        <w:rPr>
          <w:sz w:val="28"/>
          <w:szCs w:val="28"/>
          <w:shd w:val="clear" w:color="auto" w:fill="FFFFFF"/>
        </w:rPr>
        <w:t xml:space="preserve">Шадрина А.С., Плиева Я.З., Кушлинский Д.Н., Морозов А.А., Филипенко М.Л., Чанг В.Л., Кушлинский Н.Е. Классификация, регуляция активности, генетический полиморфизм матриксных металлопротеиназ в норме и при </w:t>
      </w:r>
      <w:r w:rsidRPr="00BE086B">
        <w:rPr>
          <w:kern w:val="2"/>
          <w:sz w:val="28"/>
          <w:szCs w:val="28"/>
          <w:shd w:val="clear" w:color="auto" w:fill="FFFFFF"/>
        </w:rPr>
        <w:t>патологии.</w:t>
      </w:r>
      <w:r w:rsidRPr="00BE086B">
        <w:rPr>
          <w:kern w:val="2"/>
          <w:sz w:val="28"/>
          <w:szCs w:val="28"/>
          <w:shd w:val="clear" w:color="auto" w:fill="FFFFFF"/>
          <w:lang w:val="uk-UA"/>
        </w:rPr>
        <w:t xml:space="preserve"> </w:t>
      </w:r>
      <w:r w:rsidRPr="00BE086B">
        <w:rPr>
          <w:iCs/>
          <w:kern w:val="2"/>
          <w:sz w:val="28"/>
          <w:szCs w:val="28"/>
          <w:shd w:val="clear" w:color="auto" w:fill="FFFFFF"/>
        </w:rPr>
        <w:t>Альманах клинической медицины</w:t>
      </w:r>
      <w:r w:rsidRPr="00BE086B">
        <w:rPr>
          <w:kern w:val="2"/>
          <w:sz w:val="28"/>
          <w:szCs w:val="28"/>
          <w:shd w:val="clear" w:color="auto" w:fill="FFFFFF"/>
        </w:rPr>
        <w:t>. 2017;45(4):266-279.</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kern w:val="2"/>
          <w:sz w:val="28"/>
          <w:szCs w:val="28"/>
          <w:lang w:val="uk-UA" w:eastAsia="ru-RU"/>
        </w:rPr>
      </w:pPr>
      <w:r w:rsidRPr="00BE086B">
        <w:rPr>
          <w:kern w:val="2"/>
          <w:sz w:val="28"/>
          <w:szCs w:val="28"/>
        </w:rPr>
        <w:t>Туш Е.В., Елисеева Т.И., Халецкая О.В., Красильникова С.В., Овсянников Д.Ю., Потемина Т.Е., Игнатов С.К. Маркеры состояния экстрацеллюлярного матрикса и методы их исследования (обзор). Современные технологии в медицине</w:t>
      </w:r>
      <w:r w:rsidRPr="00BE086B">
        <w:rPr>
          <w:kern w:val="2"/>
          <w:sz w:val="28"/>
          <w:szCs w:val="28"/>
          <w:lang w:val="uk-UA"/>
        </w:rPr>
        <w:t>.</w:t>
      </w:r>
      <w:r w:rsidRPr="00BE086B">
        <w:rPr>
          <w:kern w:val="2"/>
          <w:sz w:val="28"/>
          <w:szCs w:val="28"/>
        </w:rPr>
        <w:t xml:space="preserve"> 2019</w:t>
      </w:r>
      <w:r w:rsidRPr="00BE086B">
        <w:rPr>
          <w:kern w:val="2"/>
          <w:sz w:val="28"/>
          <w:szCs w:val="28"/>
          <w:lang w:val="uk-UA"/>
        </w:rPr>
        <w:t>;</w:t>
      </w:r>
      <w:r w:rsidRPr="00BE086B">
        <w:rPr>
          <w:kern w:val="2"/>
          <w:sz w:val="28"/>
          <w:szCs w:val="28"/>
        </w:rPr>
        <w:t>11(2)</w:t>
      </w:r>
      <w:r w:rsidRPr="00BE086B">
        <w:rPr>
          <w:kern w:val="2"/>
          <w:sz w:val="28"/>
          <w:szCs w:val="28"/>
          <w:lang w:val="uk-UA"/>
        </w:rPr>
        <w:t>:</w:t>
      </w:r>
      <w:r w:rsidRPr="00BE086B">
        <w:rPr>
          <w:kern w:val="2"/>
          <w:sz w:val="28"/>
          <w:szCs w:val="28"/>
        </w:rPr>
        <w:t>133-149.</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kern w:val="28"/>
          <w:sz w:val="28"/>
          <w:szCs w:val="28"/>
          <w:lang w:val="uk-UA" w:eastAsia="ru-RU"/>
        </w:rPr>
      </w:pPr>
      <w:r w:rsidRPr="00BE086B">
        <w:rPr>
          <w:bCs/>
          <w:kern w:val="2"/>
          <w:sz w:val="28"/>
          <w:szCs w:val="28"/>
          <w:lang w:val="en-US"/>
        </w:rPr>
        <w:t xml:space="preserve">Louati K., Berenbaum F. </w:t>
      </w:r>
      <w:r w:rsidRPr="00BE086B">
        <w:rPr>
          <w:kern w:val="2"/>
          <w:sz w:val="28"/>
          <w:szCs w:val="28"/>
          <w:lang w:val="en-US"/>
        </w:rPr>
        <w:t>Joint biochemical markers for cartilage, bone, cartilage degradation, bone remodeling, and inflammation</w:t>
      </w:r>
      <w:r w:rsidRPr="00BE086B">
        <w:rPr>
          <w:kern w:val="2"/>
          <w:sz w:val="28"/>
          <w:szCs w:val="28"/>
          <w:lang w:val="uk-UA"/>
        </w:rPr>
        <w:t xml:space="preserve">. </w:t>
      </w:r>
      <w:r w:rsidRPr="00BE086B">
        <w:rPr>
          <w:kern w:val="2"/>
          <w:sz w:val="28"/>
          <w:szCs w:val="28"/>
          <w:lang w:val="en-US"/>
        </w:rPr>
        <w:t>Global Year Against Pain in the Joints, IASP offers a series of 20</w:t>
      </w:r>
      <w:r w:rsidRPr="00BE086B">
        <w:rPr>
          <w:sz w:val="28"/>
          <w:szCs w:val="28"/>
          <w:lang w:val="en-US"/>
        </w:rPr>
        <w:t xml:space="preserve"> Fact Sheets that cover specific topics related to joint pain</w:t>
      </w:r>
      <w:r w:rsidRPr="00BE086B">
        <w:rPr>
          <w:sz w:val="28"/>
          <w:szCs w:val="28"/>
          <w:lang w:val="uk-UA"/>
        </w:rPr>
        <w:t xml:space="preserve"> </w:t>
      </w:r>
      <w:r w:rsidRPr="00BE086B">
        <w:rPr>
          <w:bCs/>
          <w:kern w:val="28"/>
          <w:sz w:val="28"/>
          <w:szCs w:val="28"/>
          <w:lang w:val="en-US"/>
        </w:rPr>
        <w:t>2016;</w:t>
      </w:r>
      <w:r w:rsidRPr="00BE086B">
        <w:rPr>
          <w:bCs/>
          <w:kern w:val="28"/>
          <w:sz w:val="28"/>
          <w:szCs w:val="28"/>
          <w:lang w:val="uk-UA"/>
        </w:rPr>
        <w:t>3:1-3.</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kern w:val="28"/>
          <w:sz w:val="28"/>
          <w:szCs w:val="28"/>
          <w:lang w:val="en-US"/>
        </w:rPr>
        <w:t>Golovenko</w:t>
      </w:r>
      <w:r w:rsidRPr="00BE086B">
        <w:rPr>
          <w:kern w:val="28"/>
          <w:sz w:val="28"/>
          <w:szCs w:val="28"/>
          <w:lang w:val="uk-UA"/>
        </w:rPr>
        <w:t xml:space="preserve"> </w:t>
      </w:r>
      <w:r w:rsidRPr="00BE086B">
        <w:rPr>
          <w:kern w:val="28"/>
          <w:sz w:val="28"/>
          <w:szCs w:val="28"/>
          <w:lang w:val="en-US"/>
        </w:rPr>
        <w:t>N</w:t>
      </w:r>
      <w:r w:rsidRPr="00BE086B">
        <w:rPr>
          <w:kern w:val="28"/>
          <w:sz w:val="28"/>
          <w:szCs w:val="28"/>
          <w:lang w:val="uk-UA"/>
        </w:rPr>
        <w:t>.</w:t>
      </w:r>
      <w:r w:rsidRPr="00BE086B">
        <w:rPr>
          <w:kern w:val="28"/>
          <w:sz w:val="28"/>
          <w:szCs w:val="28"/>
          <w:lang w:val="en-US"/>
        </w:rPr>
        <w:t>Ya</w:t>
      </w:r>
      <w:r w:rsidRPr="00BE086B">
        <w:rPr>
          <w:kern w:val="28"/>
          <w:sz w:val="28"/>
          <w:szCs w:val="28"/>
          <w:lang w:val="uk-UA"/>
        </w:rPr>
        <w:t>.</w:t>
      </w:r>
      <w:r w:rsidRPr="00BE086B">
        <w:rPr>
          <w:kern w:val="28"/>
          <w:sz w:val="28"/>
          <w:szCs w:val="28"/>
          <w:lang w:val="en-US"/>
        </w:rPr>
        <w:t>,</w:t>
      </w:r>
      <w:r w:rsidRPr="00BE086B">
        <w:rPr>
          <w:kern w:val="28"/>
          <w:sz w:val="28"/>
          <w:szCs w:val="28"/>
          <w:lang w:val="uk-UA"/>
        </w:rPr>
        <w:t xml:space="preserve"> </w:t>
      </w:r>
      <w:r w:rsidRPr="00BE086B">
        <w:rPr>
          <w:kern w:val="28"/>
          <w:sz w:val="28"/>
          <w:szCs w:val="28"/>
          <w:lang w:val="en-US"/>
        </w:rPr>
        <w:t>Larionov V</w:t>
      </w:r>
      <w:r w:rsidRPr="00BE086B">
        <w:rPr>
          <w:kern w:val="28"/>
          <w:sz w:val="28"/>
          <w:szCs w:val="28"/>
          <w:lang w:val="uk-UA"/>
        </w:rPr>
        <w:t>.</w:t>
      </w:r>
      <w:r w:rsidRPr="00BE086B">
        <w:rPr>
          <w:kern w:val="28"/>
          <w:sz w:val="28"/>
          <w:szCs w:val="28"/>
          <w:lang w:val="en-US"/>
        </w:rPr>
        <w:t>B</w:t>
      </w:r>
      <w:r w:rsidRPr="00BE086B">
        <w:rPr>
          <w:kern w:val="28"/>
          <w:sz w:val="28"/>
          <w:szCs w:val="28"/>
          <w:lang w:val="uk-UA"/>
        </w:rPr>
        <w:t xml:space="preserve">., </w:t>
      </w:r>
      <w:r w:rsidRPr="00BE086B">
        <w:rPr>
          <w:kern w:val="28"/>
          <w:sz w:val="28"/>
          <w:szCs w:val="28"/>
          <w:lang w:val="en-US"/>
        </w:rPr>
        <w:t>Karpova</w:t>
      </w:r>
      <w:r w:rsidRPr="00BE086B">
        <w:rPr>
          <w:kern w:val="28"/>
          <w:sz w:val="28"/>
          <w:szCs w:val="28"/>
          <w:lang w:val="uk-UA"/>
        </w:rPr>
        <w:t xml:space="preserve"> </w:t>
      </w:r>
      <w:r w:rsidRPr="00BE086B">
        <w:rPr>
          <w:kern w:val="28"/>
          <w:sz w:val="28"/>
          <w:szCs w:val="28"/>
          <w:lang w:val="en-US"/>
        </w:rPr>
        <w:t>O</w:t>
      </w:r>
      <w:r w:rsidRPr="00BE086B">
        <w:rPr>
          <w:kern w:val="28"/>
          <w:sz w:val="28"/>
          <w:szCs w:val="28"/>
          <w:lang w:val="uk-UA"/>
        </w:rPr>
        <w:t>.</w:t>
      </w:r>
      <w:r w:rsidRPr="00BE086B">
        <w:rPr>
          <w:kern w:val="28"/>
          <w:sz w:val="28"/>
          <w:szCs w:val="28"/>
          <w:lang w:val="en-US"/>
        </w:rPr>
        <w:t>V</w:t>
      </w:r>
      <w:r w:rsidRPr="00BE086B">
        <w:rPr>
          <w:kern w:val="28"/>
          <w:sz w:val="28"/>
          <w:szCs w:val="28"/>
          <w:lang w:val="uk-UA"/>
        </w:rPr>
        <w:t xml:space="preserve">. </w:t>
      </w:r>
      <w:r w:rsidRPr="00BE086B">
        <w:rPr>
          <w:kern w:val="28"/>
          <w:sz w:val="28"/>
          <w:szCs w:val="28"/>
          <w:lang w:val="en-US"/>
        </w:rPr>
        <w:t>Physical</w:t>
      </w:r>
      <w:r w:rsidRPr="00BE086B">
        <w:rPr>
          <w:kern w:val="28"/>
          <w:sz w:val="28"/>
          <w:szCs w:val="28"/>
          <w:lang w:val="uk-UA"/>
        </w:rPr>
        <w:t>-</w:t>
      </w:r>
      <w:r w:rsidRPr="00BE086B">
        <w:rPr>
          <w:kern w:val="28"/>
          <w:sz w:val="28"/>
          <w:szCs w:val="28"/>
          <w:lang w:val="en-US"/>
        </w:rPr>
        <w:t>chemical</w:t>
      </w:r>
      <w:r w:rsidRPr="00BE086B">
        <w:rPr>
          <w:kern w:val="28"/>
          <w:sz w:val="28"/>
          <w:szCs w:val="28"/>
          <w:lang w:val="uk-UA"/>
        </w:rPr>
        <w:t xml:space="preserve"> </w:t>
      </w:r>
      <w:r w:rsidRPr="00BE086B">
        <w:rPr>
          <w:kern w:val="28"/>
          <w:sz w:val="28"/>
          <w:szCs w:val="28"/>
          <w:lang w:val="en-US"/>
        </w:rPr>
        <w:t>properties</w:t>
      </w:r>
      <w:r w:rsidRPr="00BE086B">
        <w:rPr>
          <w:kern w:val="28"/>
          <w:sz w:val="28"/>
          <w:szCs w:val="28"/>
          <w:lang w:val="uk-UA"/>
        </w:rPr>
        <w:t xml:space="preserve"> </w:t>
      </w:r>
      <w:r w:rsidRPr="00BE086B">
        <w:rPr>
          <w:kern w:val="28"/>
          <w:sz w:val="28"/>
          <w:szCs w:val="28"/>
          <w:lang w:val="en-US"/>
        </w:rPr>
        <w:t>and</w:t>
      </w:r>
      <w:r w:rsidRPr="00BE086B">
        <w:rPr>
          <w:kern w:val="28"/>
          <w:sz w:val="28"/>
          <w:szCs w:val="28"/>
          <w:lang w:val="uk-UA"/>
        </w:rPr>
        <w:t xml:space="preserve"> </w:t>
      </w:r>
      <w:r w:rsidRPr="00BE086B">
        <w:rPr>
          <w:kern w:val="28"/>
          <w:sz w:val="28"/>
          <w:szCs w:val="28"/>
          <w:lang w:val="en-US"/>
        </w:rPr>
        <w:t>the</w:t>
      </w:r>
      <w:r w:rsidRPr="00BE086B">
        <w:rPr>
          <w:kern w:val="28"/>
          <w:sz w:val="28"/>
          <w:szCs w:val="28"/>
          <w:lang w:val="uk-UA"/>
        </w:rPr>
        <w:t xml:space="preserve"> </w:t>
      </w:r>
      <w:r w:rsidRPr="00BE086B">
        <w:rPr>
          <w:kern w:val="28"/>
          <w:sz w:val="28"/>
          <w:szCs w:val="28"/>
          <w:lang w:val="en-US"/>
        </w:rPr>
        <w:t>reactivity</w:t>
      </w:r>
      <w:r w:rsidRPr="00BE086B">
        <w:rPr>
          <w:kern w:val="28"/>
          <w:sz w:val="28"/>
          <w:szCs w:val="28"/>
          <w:lang w:val="uk-UA"/>
        </w:rPr>
        <w:t xml:space="preserve"> </w:t>
      </w:r>
      <w:r w:rsidRPr="00BE086B">
        <w:rPr>
          <w:kern w:val="28"/>
          <w:sz w:val="28"/>
          <w:szCs w:val="28"/>
          <w:lang w:val="en-US"/>
        </w:rPr>
        <w:t>of</w:t>
      </w:r>
      <w:r w:rsidRPr="00BE086B">
        <w:rPr>
          <w:kern w:val="28"/>
          <w:sz w:val="28"/>
          <w:szCs w:val="28"/>
          <w:lang w:val="uk-UA"/>
        </w:rPr>
        <w:t xml:space="preserve"> </w:t>
      </w:r>
      <w:r w:rsidRPr="00BE086B">
        <w:rPr>
          <w:kern w:val="28"/>
          <w:sz w:val="28"/>
          <w:szCs w:val="28"/>
          <w:lang w:val="en-US"/>
        </w:rPr>
        <w:t>pyridoxine</w:t>
      </w:r>
      <w:r w:rsidRPr="00BE086B">
        <w:rPr>
          <w:kern w:val="28"/>
          <w:sz w:val="28"/>
          <w:szCs w:val="28"/>
          <w:lang w:val="uk-UA"/>
        </w:rPr>
        <w:t xml:space="preserve"> </w:t>
      </w:r>
      <w:r w:rsidRPr="00BE086B">
        <w:rPr>
          <w:kern w:val="28"/>
          <w:sz w:val="28"/>
          <w:szCs w:val="28"/>
          <w:lang w:val="en-US"/>
        </w:rPr>
        <w:t>and</w:t>
      </w:r>
      <w:r w:rsidRPr="00BE086B">
        <w:rPr>
          <w:kern w:val="28"/>
          <w:sz w:val="28"/>
          <w:szCs w:val="28"/>
          <w:lang w:val="uk-UA"/>
        </w:rPr>
        <w:t xml:space="preserve"> </w:t>
      </w:r>
      <w:r w:rsidRPr="00BE086B">
        <w:rPr>
          <w:kern w:val="28"/>
          <w:sz w:val="28"/>
          <w:szCs w:val="28"/>
          <w:lang w:val="en-US"/>
        </w:rPr>
        <w:t>pyrrolidone</w:t>
      </w:r>
      <w:r w:rsidRPr="00BE086B">
        <w:rPr>
          <w:kern w:val="28"/>
          <w:sz w:val="28"/>
          <w:szCs w:val="28"/>
          <w:lang w:val="uk-UA"/>
        </w:rPr>
        <w:t xml:space="preserve"> </w:t>
      </w:r>
      <w:r w:rsidRPr="00BE086B">
        <w:rPr>
          <w:kern w:val="28"/>
          <w:sz w:val="28"/>
          <w:szCs w:val="28"/>
          <w:lang w:val="en-US"/>
        </w:rPr>
        <w:t>carboxylate</w:t>
      </w:r>
      <w:r w:rsidRPr="00BE086B">
        <w:rPr>
          <w:kern w:val="28"/>
          <w:sz w:val="28"/>
          <w:szCs w:val="28"/>
          <w:lang w:val="uk-UA"/>
        </w:rPr>
        <w:t xml:space="preserve"> </w:t>
      </w:r>
      <w:r w:rsidRPr="00BE086B">
        <w:rPr>
          <w:kern w:val="28"/>
          <w:sz w:val="28"/>
          <w:szCs w:val="28"/>
          <w:lang w:val="en-US"/>
        </w:rPr>
        <w:t>and</w:t>
      </w:r>
      <w:r w:rsidRPr="00BE086B">
        <w:rPr>
          <w:kern w:val="28"/>
          <w:sz w:val="28"/>
          <w:szCs w:val="28"/>
          <w:lang w:val="uk-UA"/>
        </w:rPr>
        <w:t xml:space="preserve"> </w:t>
      </w:r>
      <w:r w:rsidRPr="00BE086B">
        <w:rPr>
          <w:kern w:val="28"/>
          <w:sz w:val="28"/>
          <w:szCs w:val="28"/>
          <w:lang w:val="en-US"/>
        </w:rPr>
        <w:t>their</w:t>
      </w:r>
      <w:r w:rsidRPr="00BE086B">
        <w:rPr>
          <w:kern w:val="28"/>
          <w:sz w:val="28"/>
          <w:szCs w:val="28"/>
          <w:lang w:val="uk-UA"/>
        </w:rPr>
        <w:t xml:space="preserve"> </w:t>
      </w:r>
      <w:r w:rsidRPr="00BE086B">
        <w:rPr>
          <w:kern w:val="28"/>
          <w:sz w:val="28"/>
          <w:szCs w:val="28"/>
          <w:lang w:val="en-US"/>
        </w:rPr>
        <w:t>protolytic</w:t>
      </w:r>
      <w:r w:rsidRPr="00BE086B">
        <w:rPr>
          <w:kern w:val="28"/>
          <w:sz w:val="28"/>
          <w:szCs w:val="28"/>
          <w:lang w:val="uk-UA"/>
        </w:rPr>
        <w:t xml:space="preserve"> </w:t>
      </w:r>
      <w:r w:rsidRPr="00BE086B">
        <w:rPr>
          <w:kern w:val="28"/>
          <w:sz w:val="28"/>
          <w:szCs w:val="28"/>
          <w:lang w:val="en-US"/>
        </w:rPr>
        <w:t>forms.</w:t>
      </w:r>
      <w:r w:rsidRPr="00BE086B">
        <w:rPr>
          <w:kern w:val="28"/>
          <w:sz w:val="28"/>
          <w:szCs w:val="28"/>
          <w:lang w:val="uk-UA"/>
        </w:rPr>
        <w:t xml:space="preserve"> </w:t>
      </w:r>
      <w:r w:rsidRPr="00BE086B">
        <w:rPr>
          <w:kern w:val="28"/>
          <w:sz w:val="28"/>
          <w:szCs w:val="28"/>
          <w:lang w:val="en-US"/>
        </w:rPr>
        <w:t>The</w:t>
      </w:r>
      <w:r w:rsidRPr="00BE086B">
        <w:rPr>
          <w:kern w:val="28"/>
          <w:sz w:val="28"/>
          <w:szCs w:val="28"/>
          <w:lang w:val="uk-UA"/>
        </w:rPr>
        <w:t xml:space="preserve"> </w:t>
      </w:r>
      <w:r w:rsidRPr="00BE086B">
        <w:rPr>
          <w:kern w:val="28"/>
          <w:sz w:val="28"/>
          <w:szCs w:val="28"/>
          <w:lang w:val="en-US"/>
        </w:rPr>
        <w:t>Ukrainian Biochemical</w:t>
      </w:r>
      <w:r w:rsidRPr="00BE086B">
        <w:rPr>
          <w:kern w:val="28"/>
          <w:sz w:val="28"/>
          <w:szCs w:val="28"/>
          <w:lang w:val="uk-UA"/>
        </w:rPr>
        <w:t xml:space="preserve"> </w:t>
      </w:r>
      <w:r w:rsidRPr="00BE086B">
        <w:rPr>
          <w:kern w:val="28"/>
          <w:sz w:val="28"/>
          <w:szCs w:val="28"/>
          <w:lang w:val="en-US"/>
        </w:rPr>
        <w:t>Journal</w:t>
      </w:r>
      <w:r w:rsidRPr="00BE086B">
        <w:rPr>
          <w:kern w:val="28"/>
          <w:sz w:val="28"/>
          <w:szCs w:val="28"/>
          <w:lang w:val="uk-UA"/>
        </w:rPr>
        <w:t>. 2016; 88, 2:73-81.</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rPr>
        <w:t>Ребр</w:t>
      </w:r>
      <w:r w:rsidRPr="00BE086B">
        <w:rPr>
          <w:kern w:val="28"/>
          <w:sz w:val="28"/>
          <w:szCs w:val="28"/>
        </w:rPr>
        <w:t>ова О.Ю.</w:t>
      </w:r>
      <w:r w:rsidRPr="00BE086B">
        <w:rPr>
          <w:kern w:val="28"/>
          <w:sz w:val="28"/>
          <w:szCs w:val="28"/>
          <w:lang w:val="uk-UA"/>
        </w:rPr>
        <w:t xml:space="preserve"> </w:t>
      </w:r>
      <w:r w:rsidRPr="00BE086B">
        <w:rPr>
          <w:kern w:val="28"/>
          <w:sz w:val="28"/>
          <w:szCs w:val="28"/>
        </w:rPr>
        <w:t>Статистический анализ медицинских данных. Применение пакета прикладных программ Statistica</w:t>
      </w:r>
      <w:r w:rsidRPr="00BE086B">
        <w:rPr>
          <w:kern w:val="28"/>
          <w:sz w:val="28"/>
          <w:szCs w:val="28"/>
          <w:lang w:val="uk-UA"/>
        </w:rPr>
        <w:t>.</w:t>
      </w:r>
      <w:r w:rsidRPr="00BE086B">
        <w:rPr>
          <w:kern w:val="28"/>
          <w:sz w:val="28"/>
          <w:szCs w:val="28"/>
        </w:rPr>
        <w:t xml:space="preserve"> М</w:t>
      </w:r>
      <w:r w:rsidRPr="00BE086B">
        <w:rPr>
          <w:kern w:val="28"/>
          <w:sz w:val="28"/>
          <w:szCs w:val="28"/>
          <w:lang w:val="uk-UA"/>
        </w:rPr>
        <w:t>осква:</w:t>
      </w:r>
      <w:r w:rsidRPr="00BE086B">
        <w:rPr>
          <w:kern w:val="28"/>
          <w:sz w:val="28"/>
          <w:szCs w:val="28"/>
        </w:rPr>
        <w:t xml:space="preserve"> Медисфера, 2006</w:t>
      </w:r>
      <w:r w:rsidRPr="00BE086B">
        <w:rPr>
          <w:kern w:val="28"/>
          <w:sz w:val="28"/>
          <w:szCs w:val="28"/>
          <w:lang w:val="uk-UA"/>
        </w:rPr>
        <w:t>,</w:t>
      </w:r>
      <w:r w:rsidRPr="00BE086B">
        <w:rPr>
          <w:kern w:val="28"/>
          <w:sz w:val="28"/>
          <w:szCs w:val="28"/>
        </w:rPr>
        <w:t xml:space="preserve"> 312 с.</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kern w:val="28"/>
          <w:sz w:val="28"/>
          <w:szCs w:val="28"/>
        </w:rPr>
        <w:t>Наркевич А</w:t>
      </w:r>
      <w:r w:rsidRPr="00BE086B">
        <w:rPr>
          <w:kern w:val="28"/>
          <w:sz w:val="28"/>
          <w:szCs w:val="28"/>
          <w:lang w:val="uk-UA"/>
        </w:rPr>
        <w:t>.</w:t>
      </w:r>
      <w:r w:rsidRPr="00BE086B">
        <w:rPr>
          <w:kern w:val="28"/>
          <w:sz w:val="28"/>
          <w:szCs w:val="28"/>
        </w:rPr>
        <w:t>Н</w:t>
      </w:r>
      <w:r w:rsidRPr="00BE086B">
        <w:rPr>
          <w:kern w:val="28"/>
          <w:sz w:val="28"/>
          <w:szCs w:val="28"/>
          <w:lang w:val="uk-UA"/>
        </w:rPr>
        <w:t>.</w:t>
      </w:r>
      <w:r w:rsidRPr="00BE086B">
        <w:rPr>
          <w:kern w:val="28"/>
          <w:sz w:val="28"/>
          <w:szCs w:val="28"/>
        </w:rPr>
        <w:t>, Виноградов К.А</w:t>
      </w:r>
      <w:r w:rsidRPr="00BE086B">
        <w:rPr>
          <w:kern w:val="28"/>
          <w:sz w:val="28"/>
          <w:szCs w:val="28"/>
          <w:lang w:val="uk-UA"/>
        </w:rPr>
        <w:t>.</w:t>
      </w:r>
      <w:r w:rsidRPr="00BE086B">
        <w:rPr>
          <w:kern w:val="28"/>
          <w:sz w:val="28"/>
          <w:szCs w:val="28"/>
        </w:rPr>
        <w:t xml:space="preserve"> Выбор метода для статистического анализа медицинских данных и способа графического представления результатов. Социальные аспекты здоровья населения</w:t>
      </w:r>
      <w:r w:rsidRPr="00BE086B">
        <w:rPr>
          <w:kern w:val="28"/>
          <w:sz w:val="28"/>
          <w:szCs w:val="28"/>
          <w:lang w:val="uk-UA"/>
        </w:rPr>
        <w:t>.</w:t>
      </w:r>
      <w:r w:rsidRPr="00BE086B">
        <w:rPr>
          <w:kern w:val="28"/>
          <w:sz w:val="28"/>
          <w:szCs w:val="28"/>
        </w:rPr>
        <w:t xml:space="preserve"> 2019</w:t>
      </w:r>
      <w:r w:rsidRPr="00BE086B">
        <w:rPr>
          <w:kern w:val="28"/>
          <w:sz w:val="28"/>
          <w:szCs w:val="28"/>
          <w:lang w:val="uk-UA"/>
        </w:rPr>
        <w:t>;65(</w:t>
      </w:r>
      <w:r w:rsidRPr="00BE086B">
        <w:rPr>
          <w:kern w:val="28"/>
          <w:sz w:val="28"/>
          <w:szCs w:val="28"/>
        </w:rPr>
        <w:t>4</w:t>
      </w:r>
      <w:r w:rsidRPr="00BE086B">
        <w:rPr>
          <w:kern w:val="28"/>
          <w:sz w:val="28"/>
          <w:szCs w:val="28"/>
          <w:lang w:val="uk-UA"/>
        </w:rPr>
        <w:t>):1-1</w:t>
      </w:r>
      <w:r w:rsidRPr="00BE086B">
        <w:rPr>
          <w:kern w:val="28"/>
          <w:sz w:val="28"/>
          <w:szCs w:val="28"/>
        </w:rPr>
        <w:t>9.</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iCs/>
          <w:sz w:val="28"/>
          <w:szCs w:val="28"/>
          <w:lang w:eastAsia="ru-RU"/>
        </w:rPr>
        <w:t xml:space="preserve">Гржибовский А.М., Иванов С.В., Горбатова М.А. </w:t>
      </w:r>
      <w:r w:rsidRPr="00BE086B">
        <w:rPr>
          <w:sz w:val="28"/>
          <w:szCs w:val="28"/>
          <w:lang w:eastAsia="ru-RU"/>
        </w:rPr>
        <w:t>Сравнение количественных данных трех и более независимых выборок с использованием программного обеспечения Statistica и SPSS: параметрические и непараметрические критерии. Наука и Здравоохранение. 2016;4:5-37.</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rPr>
        <w:lastRenderedPageBreak/>
        <w:t>Гржибовский А.М., Иванов С.В., Горбатова М.А. Сравнение количественных данных трех и более парных выборок с использованием программного обеспечения Statistica и SPSS: параметрические и непараметрические критерии. Наука и здравоохранение. 2016;5:5-29.</w:t>
      </w:r>
    </w:p>
    <w:p w:rsidR="008B13C0" w:rsidRPr="00BE086B" w:rsidRDefault="008B13C0" w:rsidP="00611AFB">
      <w:pPr>
        <w:numPr>
          <w:ilvl w:val="0"/>
          <w:numId w:val="19"/>
        </w:numPr>
        <w:shd w:val="clear" w:color="auto" w:fill="FFFFFF"/>
        <w:suppressAutoHyphens w:val="0"/>
        <w:autoSpaceDE w:val="0"/>
        <w:autoSpaceDN w:val="0"/>
        <w:adjustRightInd w:val="0"/>
        <w:spacing w:line="360" w:lineRule="auto"/>
        <w:ind w:left="0" w:firstLine="709"/>
        <w:jc w:val="both"/>
        <w:rPr>
          <w:rFonts w:eastAsia="TimesNewRomanPSMT"/>
          <w:kern w:val="28"/>
          <w:sz w:val="28"/>
          <w:szCs w:val="28"/>
          <w:lang w:eastAsia="ru-RU"/>
        </w:rPr>
      </w:pPr>
      <w:r w:rsidRPr="00BE086B">
        <w:rPr>
          <w:sz w:val="28"/>
          <w:szCs w:val="28"/>
        </w:rPr>
        <w:t>Красько О.В. Статистический анализ данных в медицинских исследованиях: в 2 ч. Минск: МГЭУ им. А.Д. Сахарова, 2014. Ч. I. 127 с.</w:t>
      </w:r>
    </w:p>
    <w:p w:rsidR="001E2E53" w:rsidRPr="00BE086B" w:rsidRDefault="001E2E53" w:rsidP="009D0803">
      <w:pPr>
        <w:pStyle w:val="af0"/>
        <w:ind w:firstLine="709"/>
        <w:jc w:val="both"/>
        <w:rPr>
          <w:sz w:val="28"/>
          <w:szCs w:val="28"/>
          <w:lang w:val="uk-UA"/>
        </w:rPr>
      </w:pPr>
    </w:p>
    <w:p w:rsidR="008B13C0" w:rsidRPr="00BE086B" w:rsidRDefault="008B13C0" w:rsidP="009D0803">
      <w:pPr>
        <w:pStyle w:val="af0"/>
        <w:ind w:firstLine="709"/>
        <w:jc w:val="both"/>
        <w:rPr>
          <w:sz w:val="28"/>
          <w:szCs w:val="28"/>
          <w:lang w:val="uk-UA"/>
        </w:rPr>
      </w:pPr>
    </w:p>
    <w:p w:rsidR="008B13C0" w:rsidRPr="00BE086B" w:rsidRDefault="008B13C0" w:rsidP="009D0803">
      <w:pPr>
        <w:pStyle w:val="af0"/>
        <w:ind w:firstLine="709"/>
        <w:jc w:val="both"/>
        <w:rPr>
          <w:sz w:val="28"/>
          <w:szCs w:val="28"/>
          <w:lang w:val="uk-UA"/>
        </w:rPr>
      </w:pPr>
    </w:p>
    <w:p w:rsidR="008B13C0" w:rsidRPr="00BE086B" w:rsidRDefault="008B13C0" w:rsidP="009D0803">
      <w:pPr>
        <w:pStyle w:val="af0"/>
        <w:ind w:firstLine="709"/>
        <w:jc w:val="both"/>
        <w:rPr>
          <w:sz w:val="28"/>
          <w:szCs w:val="28"/>
          <w:lang w:val="uk-UA"/>
        </w:rPr>
      </w:pPr>
    </w:p>
    <w:p w:rsidR="008B13C0" w:rsidRPr="00BE086B" w:rsidRDefault="008B13C0" w:rsidP="009D0803">
      <w:pPr>
        <w:pStyle w:val="af0"/>
        <w:ind w:firstLine="709"/>
        <w:jc w:val="both"/>
        <w:rPr>
          <w:sz w:val="28"/>
          <w:szCs w:val="28"/>
          <w:lang w:val="uk-UA"/>
        </w:rPr>
      </w:pPr>
    </w:p>
    <w:p w:rsidR="00791CBF" w:rsidRPr="00BE086B" w:rsidRDefault="00791CBF" w:rsidP="009D0803">
      <w:pPr>
        <w:pStyle w:val="af0"/>
        <w:ind w:firstLine="709"/>
        <w:jc w:val="both"/>
        <w:rPr>
          <w:sz w:val="28"/>
          <w:szCs w:val="28"/>
          <w:lang w:val="uk-UA"/>
        </w:rPr>
      </w:pPr>
    </w:p>
    <w:p w:rsidR="00791CBF" w:rsidRDefault="00791CBF"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0F7564" w:rsidRPr="00BE086B" w:rsidRDefault="000F7564" w:rsidP="000F7564">
      <w:pPr>
        <w:spacing w:line="360" w:lineRule="auto"/>
        <w:ind w:firstLine="709"/>
        <w:jc w:val="center"/>
        <w:rPr>
          <w:b/>
          <w:bCs/>
          <w:sz w:val="28"/>
          <w:szCs w:val="28"/>
          <w:lang w:val="uk-UA"/>
        </w:rPr>
      </w:pPr>
      <w:r w:rsidRPr="00BE086B">
        <w:rPr>
          <w:b/>
          <w:bCs/>
          <w:sz w:val="28"/>
          <w:szCs w:val="28"/>
          <w:lang w:val="uk-UA"/>
        </w:rPr>
        <w:lastRenderedPageBreak/>
        <w:t>ДОДАТОК 1</w:t>
      </w:r>
    </w:p>
    <w:p w:rsidR="000F7564" w:rsidRPr="00BE086B" w:rsidRDefault="000F7564" w:rsidP="000F7564">
      <w:pPr>
        <w:spacing w:line="360" w:lineRule="auto"/>
        <w:ind w:firstLine="709"/>
        <w:jc w:val="center"/>
        <w:rPr>
          <w:b/>
          <w:bCs/>
          <w:sz w:val="28"/>
          <w:szCs w:val="28"/>
          <w:lang w:val="uk-UA"/>
        </w:rPr>
      </w:pPr>
    </w:p>
    <w:p w:rsidR="000F7564" w:rsidRPr="00BE086B" w:rsidRDefault="000F7564" w:rsidP="000F7564">
      <w:pPr>
        <w:autoSpaceDN w:val="0"/>
        <w:spacing w:line="360" w:lineRule="auto"/>
        <w:ind w:firstLine="709"/>
        <w:jc w:val="center"/>
        <w:rPr>
          <w:b/>
          <w:bCs/>
          <w:sz w:val="28"/>
          <w:szCs w:val="28"/>
        </w:rPr>
      </w:pPr>
      <w:r w:rsidRPr="00BE086B">
        <w:rPr>
          <w:b/>
          <w:bCs/>
          <w:sz w:val="28"/>
          <w:szCs w:val="28"/>
        </w:rPr>
        <w:t>СПИСОК ПРАЦЬ, ОПУБЛІКОВАНИХ ЗА ТЕМОЮ ДИСЕРТАЦІЇ</w:t>
      </w:r>
    </w:p>
    <w:p w:rsidR="000F7564" w:rsidRPr="00BE086B" w:rsidRDefault="000F7564" w:rsidP="000F7564">
      <w:pPr>
        <w:autoSpaceDN w:val="0"/>
        <w:spacing w:line="360" w:lineRule="auto"/>
        <w:ind w:firstLine="709"/>
        <w:jc w:val="both"/>
        <w:rPr>
          <w:sz w:val="28"/>
          <w:szCs w:val="28"/>
        </w:rPr>
      </w:pP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 xml:space="preserve">Носівець Д.С. Фармакологія хондропротекторів (огляд фармацевтичного ринку України). Вісник проблем біології та медицини. </w:t>
      </w:r>
      <w:r w:rsidRPr="00BE086B">
        <w:rPr>
          <w:bCs/>
          <w:sz w:val="28"/>
          <w:szCs w:val="28"/>
        </w:rPr>
        <w:t>2013. Т. 1 (104), № 4. С. 57-63.</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 xml:space="preserve">Носивец Д.С. Влияние функциональной недостаточности щитовидной железы на костно-хрящевую ткань. </w:t>
      </w:r>
      <w:r w:rsidRPr="00BE086B">
        <w:rPr>
          <w:rFonts w:eastAsia="Calibri"/>
          <w:sz w:val="28"/>
          <w:szCs w:val="28"/>
          <w:lang w:eastAsia="uk-UA"/>
        </w:rPr>
        <w:t>Morphologia</w:t>
      </w:r>
      <w:r w:rsidRPr="00BE086B">
        <w:rPr>
          <w:rFonts w:eastAsia="Calibri"/>
          <w:sz w:val="28"/>
          <w:szCs w:val="28"/>
        </w:rPr>
        <w:t>. 2019. Т. 13, № 1. С. 47-51.</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Носивец Д.С. Влияние комбинации НПВС на течение остеоартроза при сопутствующем гипотиреозе. Проблемы эндокринной патологии. 2019. № 2 (68). С. 40-45.</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 xml:space="preserve">Носивец Д.С. Экспериментальные модели патологии хрящевой ткани. Запорожский медицинский журнал. 2019. </w:t>
      </w:r>
      <w:r w:rsidRPr="00BE086B">
        <w:rPr>
          <w:rFonts w:eastAsia="Franklin Gothic Demi"/>
          <w:sz w:val="28"/>
          <w:szCs w:val="28"/>
        </w:rPr>
        <w:t>Т. 21, № 4 (115). С. 554-560.</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Носівець Д.С. Вплив нестероїдних протизапальних засобів на руховий, дослідницький та емоційний статус щурів у тесті «відкрите поле» за умов експериментального гіпотиреозу й остеоартрозу. Фармакологія та лікарська токсикологія. 2019. Т. 13, № 2. С. 98-104.</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 xml:space="preserve">Носівець Д.С. Можливість сумісного використання </w:t>
      </w:r>
      <w:r w:rsidRPr="00BE086B">
        <w:rPr>
          <w:sz w:val="28"/>
          <w:szCs w:val="28"/>
        </w:rPr>
        <w:t>L-тироксину, диклофенаку натрію та хондроітину сульфату</w:t>
      </w:r>
      <w:r w:rsidRPr="00BE086B">
        <w:rPr>
          <w:rFonts w:eastAsia="Calibri"/>
          <w:sz w:val="28"/>
          <w:szCs w:val="28"/>
        </w:rPr>
        <w:t xml:space="preserve"> при</w:t>
      </w:r>
      <w:r w:rsidRPr="00BE086B">
        <w:rPr>
          <w:sz w:val="28"/>
          <w:szCs w:val="28"/>
        </w:rPr>
        <w:t xml:space="preserve"> гіпотиреозі. </w:t>
      </w:r>
      <w:r w:rsidRPr="00BE086B">
        <w:rPr>
          <w:rFonts w:eastAsia="Calibri-Bold"/>
          <w:sz w:val="28"/>
          <w:szCs w:val="28"/>
        </w:rPr>
        <w:t>Вісник проблем біології і медицини. 2019. Т. 1 (150), № 2. С. 172-176.</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 xml:space="preserve">Носівець Д.С., Кошарний В.В., Мамчур В.Й., Опришко В.І. Дослідження впливу комбінованного застосування </w:t>
      </w:r>
      <w:r w:rsidRPr="00BE086B">
        <w:rPr>
          <w:sz w:val="28"/>
          <w:szCs w:val="28"/>
        </w:rPr>
        <w:t xml:space="preserve">L-тироксину (левотироксину), диклофенаку натрію та хондроітину сульфату на гістологічну структуру хрящової тканини. </w:t>
      </w:r>
      <w:r w:rsidRPr="00BE086B">
        <w:rPr>
          <w:rFonts w:eastAsia="Calibri"/>
          <w:sz w:val="28"/>
          <w:szCs w:val="28"/>
          <w:lang w:eastAsia="uk-UA"/>
        </w:rPr>
        <w:t>Morphologia</w:t>
      </w:r>
      <w:r w:rsidRPr="00BE086B">
        <w:rPr>
          <w:rFonts w:eastAsia="Calibri"/>
          <w:sz w:val="28"/>
          <w:szCs w:val="28"/>
        </w:rPr>
        <w:t>. 2019. Т. 13, № 2. С. 71-75. (</w:t>
      </w:r>
      <w:r w:rsidRPr="00BE086B">
        <w:rPr>
          <w:rFonts w:eastAsia="Georgia"/>
          <w:i/>
          <w:sz w:val="28"/>
          <w:szCs w:val="28"/>
        </w:rPr>
        <w:t xml:space="preserve">Особистий внесок дисертанта: </w:t>
      </w:r>
      <w:r w:rsidRPr="00BE086B">
        <w:rPr>
          <w:i/>
          <w:sz w:val="28"/>
          <w:szCs w:val="28"/>
          <w:lang w:eastAsia="ru-RU"/>
        </w:rPr>
        <w:t>концепція та дизайн дослідження</w:t>
      </w:r>
      <w:r w:rsidRPr="00BE086B">
        <w:rPr>
          <w:i/>
          <w:sz w:val="28"/>
          <w:szCs w:val="28"/>
        </w:rPr>
        <w:t>,</w:t>
      </w:r>
      <w:r w:rsidRPr="00BE086B">
        <w:rPr>
          <w:i/>
          <w:sz w:val="28"/>
          <w:szCs w:val="28"/>
          <w:lang w:eastAsia="ru-RU"/>
        </w:rPr>
        <w:t xml:space="preserve"> збір даних</w:t>
      </w:r>
      <w:r w:rsidRPr="00BE086B">
        <w:rPr>
          <w:i/>
          <w:sz w:val="28"/>
          <w:szCs w:val="28"/>
        </w:rPr>
        <w:t xml:space="preserve">, </w:t>
      </w:r>
      <w:r w:rsidRPr="00BE086B">
        <w:rPr>
          <w:rFonts w:eastAsia="PragmaticaC"/>
          <w:i/>
          <w:sz w:val="28"/>
          <w:szCs w:val="28"/>
        </w:rPr>
        <w:t xml:space="preserve">аналіз літературних джерел, </w:t>
      </w:r>
      <w:r w:rsidRPr="00BE086B">
        <w:rPr>
          <w:i/>
          <w:sz w:val="28"/>
          <w:szCs w:val="28"/>
        </w:rPr>
        <w:t xml:space="preserve">проведення експерименту, статистична обробка отриманих результатів,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статті</w:t>
      </w:r>
      <w:r w:rsidRPr="00BE086B">
        <w:rPr>
          <w:rFonts w:eastAsia="Calibri"/>
          <w:sz w:val="28"/>
          <w:szCs w:val="28"/>
        </w:rPr>
        <w:t>).</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lastRenderedPageBreak/>
        <w:t xml:space="preserve">Носівець Д.С. Дослідження впливу хондроітину сульфату на прояви остеоартрозу внаслідок гіпотиреозу. </w:t>
      </w:r>
      <w:r w:rsidRPr="00BE086B">
        <w:rPr>
          <w:rFonts w:eastAsia="Calibri-Bold"/>
          <w:sz w:val="28"/>
          <w:szCs w:val="28"/>
        </w:rPr>
        <w:t>Вісник проблем біології і медицини. 2019. Т. 152, № 3. С.</w:t>
      </w:r>
      <w:r w:rsidRPr="00BE086B">
        <w:rPr>
          <w:rFonts w:eastAsia="Calibri"/>
          <w:sz w:val="28"/>
          <w:szCs w:val="28"/>
        </w:rPr>
        <w:t xml:space="preserve"> 161-165.</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Носівець Д.С. В</w:t>
      </w:r>
      <w:r w:rsidRPr="00BE086B">
        <w:rPr>
          <w:sz w:val="28"/>
          <w:szCs w:val="28"/>
        </w:rPr>
        <w:t>плив нестероїдних протизапальних засобів на рівень маркеру CTX II за умов експериментального гіпотиреозу та остеоартрозу. Український журнал медицини, біології та спорту. 2019. Т. 4, № 6 (22). С. 67-73.</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 xml:space="preserve">Носівець Д.С. </w:t>
      </w:r>
      <w:r w:rsidRPr="00BE086B">
        <w:rPr>
          <w:sz w:val="28"/>
          <w:szCs w:val="28"/>
        </w:rPr>
        <w:t xml:space="preserve">Біофармацевтичний аналіз взаємодії L-тироксину, диклофенаку натрію та хондроітину сульфату, як компонентів фармакотерапії проявів остеоартрозу внаслідок гіпотиреозу. </w:t>
      </w:r>
      <w:r w:rsidRPr="00BE086B">
        <w:rPr>
          <w:rFonts w:eastAsia="Calibri"/>
          <w:sz w:val="28"/>
          <w:szCs w:val="28"/>
        </w:rPr>
        <w:t>Медичні перспективи. 2019. Т. XXIV, № 3. С.</w:t>
      </w:r>
      <w:r w:rsidRPr="00BE086B">
        <w:rPr>
          <w:sz w:val="28"/>
          <w:szCs w:val="28"/>
        </w:rPr>
        <w:t xml:space="preserve"> 10-14.</w:t>
      </w:r>
    </w:p>
    <w:p w:rsidR="000F7564" w:rsidRPr="00BE086B" w:rsidRDefault="000F7564" w:rsidP="000F7564">
      <w:pPr>
        <w:pStyle w:val="af0"/>
        <w:numPr>
          <w:ilvl w:val="0"/>
          <w:numId w:val="44"/>
        </w:numPr>
        <w:autoSpaceDN w:val="0"/>
        <w:ind w:left="0" w:firstLine="709"/>
        <w:jc w:val="both"/>
        <w:rPr>
          <w:sz w:val="28"/>
          <w:szCs w:val="28"/>
        </w:rPr>
      </w:pPr>
      <w:r w:rsidRPr="00BE086B">
        <w:rPr>
          <w:rFonts w:eastAsia="Calibri"/>
          <w:sz w:val="28"/>
          <w:szCs w:val="28"/>
        </w:rPr>
        <w:t>Носівець Д.С. В</w:t>
      </w:r>
      <w:r w:rsidRPr="00BE086B">
        <w:rPr>
          <w:sz w:val="28"/>
          <w:szCs w:val="28"/>
        </w:rPr>
        <w:t xml:space="preserve">плив нестероїдних протизапальних засобів та парацетамолу на стан кісткової тканини за умов експериментального гіпотиреозу та остеоартрозу. </w:t>
      </w:r>
      <w:r w:rsidRPr="00BE086B">
        <w:rPr>
          <w:rFonts w:eastAsia="Calibri-Bold"/>
          <w:sz w:val="28"/>
          <w:szCs w:val="28"/>
        </w:rPr>
        <w:t>Вісник проблем біології і медицини. 2019. Т. 153, № 4. С. 130-133.</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Носівець Д.С. Показники порогу больової чутливості при експериментальному остеоартрозі та гіпотиреозі. Медичні перспективи. 2019. Т. XXIV, № 4. С.</w:t>
      </w:r>
      <w:r w:rsidRPr="00BE086B">
        <w:rPr>
          <w:bCs/>
          <w:sz w:val="28"/>
          <w:szCs w:val="28"/>
        </w:rPr>
        <w:t xml:space="preserve"> 25-29.</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t xml:space="preserve">Носівець Д.С. Оцінка впливу хондроітину сульфату на морфометричні параметри колінного суглобу, больовий поріг та біохімічні показники у щурів при експериментальному остеоартрозі. </w:t>
      </w:r>
      <w:r w:rsidRPr="00BE086B">
        <w:rPr>
          <w:sz w:val="28"/>
          <w:szCs w:val="28"/>
        </w:rPr>
        <w:t>Український журнал медицини, біології та спорту. 2020. Т. 5, № 2 (24). С. 77-83.</w:t>
      </w:r>
    </w:p>
    <w:p w:rsidR="000F7564" w:rsidRPr="00BE086B" w:rsidRDefault="000F7564" w:rsidP="000F7564">
      <w:pPr>
        <w:pStyle w:val="Default"/>
        <w:numPr>
          <w:ilvl w:val="0"/>
          <w:numId w:val="44"/>
        </w:numPr>
        <w:autoSpaceDE/>
        <w:spacing w:line="360" w:lineRule="auto"/>
        <w:ind w:left="0" w:firstLine="709"/>
        <w:jc w:val="both"/>
        <w:rPr>
          <w:rFonts w:ascii="Times New Roman" w:hAnsi="Times New Roman" w:cs="Times New Roman"/>
          <w:color w:val="auto"/>
          <w:sz w:val="28"/>
          <w:szCs w:val="28"/>
          <w:lang w:val="uk-UA"/>
        </w:rPr>
      </w:pPr>
      <w:r w:rsidRPr="00BE086B">
        <w:rPr>
          <w:rFonts w:ascii="Times New Roman" w:eastAsia="Calibri" w:hAnsi="Times New Roman" w:cs="Times New Roman"/>
          <w:color w:val="auto"/>
          <w:sz w:val="28"/>
          <w:szCs w:val="28"/>
          <w:lang w:val="uk-UA"/>
        </w:rPr>
        <w:t>Носівець Д.С., Мамчур В.Й., Опришко В.І. Вплив диклофенаку натрію на спонтанну поведінкову активність щурів за умов остеоартрозу при супутньому гіпотиреозі</w:t>
      </w:r>
      <w:r w:rsidRPr="00BE086B">
        <w:rPr>
          <w:rFonts w:ascii="Times New Roman" w:hAnsi="Times New Roman" w:cs="Times New Roman"/>
          <w:color w:val="auto"/>
          <w:sz w:val="28"/>
          <w:szCs w:val="28"/>
          <w:lang w:val="uk-UA"/>
        </w:rPr>
        <w:t xml:space="preserve">. </w:t>
      </w:r>
      <w:r w:rsidRPr="00BE086B">
        <w:rPr>
          <w:rFonts w:ascii="Times New Roman" w:eastAsia="Calibri" w:hAnsi="Times New Roman" w:cs="Times New Roman"/>
          <w:color w:val="auto"/>
          <w:sz w:val="28"/>
          <w:szCs w:val="28"/>
          <w:lang w:val="uk-UA"/>
        </w:rPr>
        <w:t>Запорожский медицинский журнал. 2020. Т. 22, № 1 (118)</w:t>
      </w:r>
      <w:r w:rsidRPr="00BE086B">
        <w:rPr>
          <w:rFonts w:ascii="Times New Roman" w:hAnsi="Times New Roman" w:cs="Times New Roman"/>
          <w:color w:val="auto"/>
          <w:sz w:val="28"/>
          <w:szCs w:val="28"/>
          <w:lang w:val="uk-UA"/>
        </w:rPr>
        <w:t>. С. 107-111. (</w:t>
      </w:r>
      <w:r w:rsidRPr="00BE086B">
        <w:rPr>
          <w:rFonts w:ascii="Times New Roman" w:eastAsia="Georgia" w:hAnsi="Times New Roman" w:cs="Times New Roman"/>
          <w:i/>
          <w:color w:val="auto"/>
          <w:sz w:val="28"/>
          <w:szCs w:val="28"/>
          <w:lang w:val="uk-UA"/>
        </w:rPr>
        <w:t xml:space="preserve">Особистий внесок дисертанта: </w:t>
      </w:r>
      <w:r w:rsidRPr="00BE086B">
        <w:rPr>
          <w:rFonts w:ascii="Times New Roman" w:hAnsi="Times New Roman" w:cs="Times New Roman"/>
          <w:i/>
          <w:color w:val="auto"/>
          <w:sz w:val="28"/>
          <w:szCs w:val="28"/>
          <w:lang w:val="uk-UA"/>
        </w:rPr>
        <w:t>концепція та дизайн дослідження, збір даних, проведення експерименту, статистична обробка отриманих результатів, формулювання висновків, аналіз та інтерпретація даних, написання та редагування статті</w:t>
      </w:r>
      <w:r w:rsidRPr="00BE086B">
        <w:rPr>
          <w:rFonts w:ascii="Times New Roman" w:hAnsi="Times New Roman" w:cs="Times New Roman"/>
          <w:color w:val="auto"/>
          <w:sz w:val="28"/>
          <w:szCs w:val="28"/>
          <w:lang w:val="uk-UA"/>
        </w:rPr>
        <w:t>).</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Calibri"/>
          <w:sz w:val="28"/>
          <w:szCs w:val="28"/>
        </w:rPr>
        <w:lastRenderedPageBreak/>
        <w:t>Носівець Д.С. В</w:t>
      </w:r>
      <w:r w:rsidRPr="00BE086B">
        <w:rPr>
          <w:sz w:val="28"/>
          <w:szCs w:val="28"/>
        </w:rPr>
        <w:t xml:space="preserve">плив нестероїдних протизапальних засобів та парацетамолу на рівень інтерлейкінів сироватки крові щурів за умов експериментального гіпотиреозу та остеоартрозу. </w:t>
      </w:r>
      <w:r w:rsidRPr="00BE086B">
        <w:rPr>
          <w:rFonts w:eastAsia="Calibri-Bold"/>
          <w:sz w:val="28"/>
          <w:szCs w:val="28"/>
        </w:rPr>
        <w:t>Вісник проблем біології і медицини. 2020. Т. 155, № 1. С. 175-179</w:t>
      </w:r>
      <w:r w:rsidRPr="00BE086B">
        <w:rPr>
          <w:sz w:val="28"/>
          <w:szCs w:val="28"/>
        </w:rPr>
        <w:t>.</w:t>
      </w:r>
    </w:p>
    <w:p w:rsidR="000F7564" w:rsidRPr="00BE086B" w:rsidRDefault="000F7564" w:rsidP="000F7564">
      <w:pPr>
        <w:pStyle w:val="af0"/>
        <w:numPr>
          <w:ilvl w:val="0"/>
          <w:numId w:val="44"/>
        </w:numPr>
        <w:autoSpaceDN w:val="0"/>
        <w:ind w:left="0" w:firstLine="709"/>
        <w:jc w:val="both"/>
        <w:rPr>
          <w:sz w:val="28"/>
          <w:szCs w:val="28"/>
        </w:rPr>
      </w:pPr>
      <w:r w:rsidRPr="00BE086B">
        <w:rPr>
          <w:rFonts w:eastAsia="Calibri"/>
          <w:sz w:val="28"/>
          <w:szCs w:val="28"/>
        </w:rPr>
        <w:t>Носівець Д.С., Мамчур В.Й., Опришко В.І. Зміни вмісту металопротеїназ сироватки крові щурів під впливом нестероїдних протизапальних засобів і парацетамолу на фоні експериментального остеоартрозу та гіпотиреозу</w:t>
      </w:r>
      <w:r w:rsidRPr="00BE086B">
        <w:rPr>
          <w:sz w:val="28"/>
          <w:szCs w:val="28"/>
        </w:rPr>
        <w:t xml:space="preserve">. </w:t>
      </w:r>
      <w:r w:rsidRPr="00BE086B">
        <w:rPr>
          <w:rFonts w:eastAsia="Calibri"/>
          <w:sz w:val="28"/>
          <w:szCs w:val="28"/>
        </w:rPr>
        <w:t>Фармакологія та лікарська токсикологія</w:t>
      </w:r>
      <w:r w:rsidRPr="00BE086B">
        <w:rPr>
          <w:sz w:val="28"/>
          <w:szCs w:val="28"/>
        </w:rPr>
        <w:t>. 2020. Т. 14, № 1. С. 36-42. (</w:t>
      </w:r>
      <w:r w:rsidRPr="00BE086B">
        <w:rPr>
          <w:rFonts w:eastAsia="Georgia"/>
          <w:i/>
          <w:sz w:val="28"/>
          <w:szCs w:val="28"/>
        </w:rPr>
        <w:t xml:space="preserve">Особистий внесок дисертанта: </w:t>
      </w:r>
      <w:r w:rsidRPr="00BE086B">
        <w:rPr>
          <w:i/>
          <w:sz w:val="28"/>
          <w:szCs w:val="28"/>
          <w:lang w:eastAsia="ru-RU"/>
        </w:rPr>
        <w:t>концепція та дизайн дослідження</w:t>
      </w:r>
      <w:r w:rsidRPr="00BE086B">
        <w:rPr>
          <w:i/>
          <w:sz w:val="28"/>
          <w:szCs w:val="28"/>
        </w:rPr>
        <w:t>,</w:t>
      </w:r>
      <w:r w:rsidRPr="00BE086B">
        <w:rPr>
          <w:i/>
          <w:sz w:val="28"/>
          <w:szCs w:val="28"/>
          <w:lang w:eastAsia="ru-RU"/>
        </w:rPr>
        <w:t xml:space="preserve"> збір даних</w:t>
      </w:r>
      <w:r w:rsidRPr="00BE086B">
        <w:rPr>
          <w:i/>
          <w:sz w:val="28"/>
          <w:szCs w:val="28"/>
        </w:rPr>
        <w:t xml:space="preserve">, проведення експерименту, статистична обробка отриманих результатів,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статті</w:t>
      </w:r>
      <w:r w:rsidRPr="00BE086B">
        <w:rPr>
          <w:sz w:val="28"/>
          <w:szCs w:val="28"/>
        </w:rPr>
        <w:t>).</w:t>
      </w:r>
    </w:p>
    <w:p w:rsidR="000F7564" w:rsidRPr="00BE086B" w:rsidRDefault="000F7564" w:rsidP="000F7564">
      <w:pPr>
        <w:pStyle w:val="af0"/>
        <w:numPr>
          <w:ilvl w:val="0"/>
          <w:numId w:val="44"/>
        </w:numPr>
        <w:autoSpaceDN w:val="0"/>
        <w:ind w:left="0" w:firstLine="709"/>
        <w:jc w:val="both"/>
        <w:rPr>
          <w:sz w:val="28"/>
          <w:szCs w:val="28"/>
        </w:rPr>
      </w:pPr>
      <w:r w:rsidRPr="00BE086B">
        <w:rPr>
          <w:rFonts w:eastAsia="Calibri"/>
          <w:sz w:val="28"/>
          <w:szCs w:val="28"/>
        </w:rPr>
        <w:t>Носівець Д.С. Вплив нестероїдних протизапальних засобів та парацетамолу на рівень С-реактивного протеїну сироватки крові щурів при експериментальних еквівалентах гіпотиреозу та остеоартрозу</w:t>
      </w:r>
      <w:r w:rsidRPr="00BE086B">
        <w:rPr>
          <w:sz w:val="28"/>
          <w:szCs w:val="28"/>
        </w:rPr>
        <w:t>. Український журнал медицини, біології та спорту.</w:t>
      </w:r>
      <w:r w:rsidRPr="00BE086B">
        <w:rPr>
          <w:rFonts w:eastAsia="Calibri"/>
          <w:sz w:val="28"/>
          <w:szCs w:val="28"/>
        </w:rPr>
        <w:t xml:space="preserve"> 2020. </w:t>
      </w:r>
      <w:r w:rsidRPr="00BE086B">
        <w:rPr>
          <w:sz w:val="28"/>
          <w:szCs w:val="28"/>
        </w:rPr>
        <w:t>Т. 5, № 6 (28). С. 79-83.</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 xml:space="preserve">Мамчур В.Й., Носівець Д.С. Факторы эффективности и безопасности при клиническом применении готового лекарственного препарата хондроитина сульфата. Neurology and neurosurgery. Eastern Europe. 2020. Т. 10, № 1. С. 150-156. </w:t>
      </w:r>
      <w:r w:rsidRPr="00BE086B">
        <w:rPr>
          <w:rFonts w:eastAsia="PragmaticaC"/>
          <w:sz w:val="28"/>
          <w:szCs w:val="28"/>
        </w:rPr>
        <w:t>(</w:t>
      </w:r>
      <w:r w:rsidRPr="00BE086B">
        <w:rPr>
          <w:rFonts w:eastAsia="Georgia"/>
          <w:i/>
          <w:sz w:val="28"/>
          <w:szCs w:val="28"/>
        </w:rPr>
        <w:t xml:space="preserve">Особистий внесок дисертанта: </w:t>
      </w:r>
      <w:r w:rsidRPr="00BE086B">
        <w:rPr>
          <w:rFonts w:eastAsia="PragmaticaC"/>
          <w:i/>
          <w:sz w:val="28"/>
          <w:szCs w:val="28"/>
        </w:rPr>
        <w:t xml:space="preserve">аналіз літературних джерел та отриманих результатів, </w:t>
      </w:r>
      <w:r w:rsidRPr="00BE086B">
        <w:rPr>
          <w:i/>
          <w:sz w:val="28"/>
          <w:szCs w:val="28"/>
          <w:lang w:eastAsia="ru-RU"/>
        </w:rPr>
        <w:t>збір даних</w:t>
      </w:r>
      <w:r w:rsidRPr="00BE086B">
        <w:rPr>
          <w:i/>
          <w:sz w:val="28"/>
          <w:szCs w:val="28"/>
        </w:rPr>
        <w:t xml:space="preserve">,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статті</w:t>
      </w:r>
      <w:r w:rsidRPr="00BE086B">
        <w:rPr>
          <w:rFonts w:eastAsia="PragmaticaC"/>
          <w:sz w:val="28"/>
          <w:szCs w:val="28"/>
        </w:rPr>
        <w:t>).</w:t>
      </w:r>
    </w:p>
    <w:p w:rsidR="000F7564" w:rsidRPr="00BE086B" w:rsidRDefault="000F7564" w:rsidP="000F7564">
      <w:pPr>
        <w:pStyle w:val="af0"/>
        <w:numPr>
          <w:ilvl w:val="0"/>
          <w:numId w:val="44"/>
        </w:numPr>
        <w:shd w:val="clear" w:color="auto" w:fill="FFFFFF"/>
        <w:autoSpaceDN w:val="0"/>
        <w:ind w:left="0" w:firstLine="709"/>
        <w:jc w:val="both"/>
        <w:rPr>
          <w:sz w:val="28"/>
          <w:szCs w:val="28"/>
        </w:rPr>
      </w:pPr>
      <w:r w:rsidRPr="00BE086B">
        <w:rPr>
          <w:rFonts w:eastAsia="Calibri"/>
          <w:sz w:val="28"/>
          <w:szCs w:val="28"/>
        </w:rPr>
        <w:t>Носівець Д.С. Ф</w:t>
      </w:r>
      <w:r w:rsidRPr="00BE086B">
        <w:rPr>
          <w:sz w:val="28"/>
          <w:szCs w:val="28"/>
        </w:rPr>
        <w:t>актор некрозу пухлин, як маркер визначення фармакологічної активності нестероїдних протизапальних засобів та парацетамолу при гіпотиреозі та остеоартрозі. Український журнал медицини, біології та спорту. 2020. Т. 5, № 3 (25). С. 129-134.</w:t>
      </w:r>
    </w:p>
    <w:p w:rsidR="000F7564" w:rsidRPr="00BE086B" w:rsidRDefault="000F7564" w:rsidP="000F7564">
      <w:pPr>
        <w:pStyle w:val="af0"/>
        <w:numPr>
          <w:ilvl w:val="0"/>
          <w:numId w:val="44"/>
        </w:numPr>
        <w:shd w:val="clear" w:color="auto" w:fill="FFFFFF"/>
        <w:autoSpaceDN w:val="0"/>
        <w:ind w:left="0" w:firstLine="709"/>
        <w:jc w:val="both"/>
        <w:rPr>
          <w:rStyle w:val="af"/>
          <w:b w:val="0"/>
          <w:bCs w:val="0"/>
          <w:sz w:val="28"/>
          <w:szCs w:val="28"/>
          <w:lang w:eastAsia="ru-RU"/>
        </w:rPr>
      </w:pPr>
      <w:r w:rsidRPr="00BE086B">
        <w:rPr>
          <w:rFonts w:eastAsia="Calibri"/>
          <w:kern w:val="2"/>
          <w:sz w:val="28"/>
          <w:szCs w:val="28"/>
          <w:lang w:val="en-US"/>
        </w:rPr>
        <w:t xml:space="preserve">Nosivets D.S. Changes in the level of interleukin-8 in the blood serum of rats with experimental osteoarthritis and hypothyroidism. </w:t>
      </w:r>
      <w:r w:rsidRPr="00BE086B">
        <w:rPr>
          <w:rStyle w:val="af"/>
          <w:rFonts w:eastAsia="Calibri"/>
          <w:b w:val="0"/>
          <w:sz w:val="28"/>
          <w:szCs w:val="28"/>
        </w:rPr>
        <w:t>Ukr. Biochem. J. 2020. Vol. 92, N 6. Р. 178-182.</w:t>
      </w:r>
    </w:p>
    <w:p w:rsidR="000F7564" w:rsidRPr="00BE086B" w:rsidRDefault="000F7564" w:rsidP="000F7564">
      <w:pPr>
        <w:pStyle w:val="af0"/>
        <w:numPr>
          <w:ilvl w:val="0"/>
          <w:numId w:val="44"/>
        </w:numPr>
        <w:shd w:val="clear" w:color="auto" w:fill="FFFFFF"/>
        <w:autoSpaceDN w:val="0"/>
        <w:ind w:left="0" w:firstLine="709"/>
        <w:jc w:val="both"/>
        <w:rPr>
          <w:bCs/>
          <w:sz w:val="28"/>
          <w:szCs w:val="28"/>
        </w:rPr>
      </w:pPr>
      <w:r w:rsidRPr="00BE086B">
        <w:rPr>
          <w:sz w:val="28"/>
          <w:szCs w:val="28"/>
        </w:rPr>
        <w:lastRenderedPageBreak/>
        <w:t xml:space="preserve">Носівець Д.С., Мамчур В.Й., Опришко В.І. </w:t>
      </w:r>
      <w:r w:rsidRPr="00BE086B">
        <w:rPr>
          <w:sz w:val="28"/>
          <w:szCs w:val="28"/>
          <w:lang w:eastAsia="ru-RU"/>
        </w:rPr>
        <w:t>Аналгетична активність нестероїдних протизапальних засобів і парацетамолу за експериментального остеоартрозу та гіпотиреозу</w:t>
      </w:r>
      <w:r w:rsidRPr="00BE086B">
        <w:rPr>
          <w:sz w:val="28"/>
          <w:szCs w:val="28"/>
        </w:rPr>
        <w:t>. Фармакологія та лікарська токсикологія. 2020. Т. 14, № 6. С. 413-421. (</w:t>
      </w:r>
      <w:r w:rsidRPr="00BE086B">
        <w:rPr>
          <w:rFonts w:eastAsia="Georgia"/>
          <w:i/>
          <w:sz w:val="28"/>
          <w:szCs w:val="28"/>
        </w:rPr>
        <w:t xml:space="preserve">Особистий внесок дисертанта: </w:t>
      </w:r>
      <w:r w:rsidRPr="00BE086B">
        <w:rPr>
          <w:i/>
          <w:sz w:val="28"/>
          <w:szCs w:val="28"/>
          <w:lang w:eastAsia="ru-RU"/>
        </w:rPr>
        <w:t>концепція та дизайн дослідження</w:t>
      </w:r>
      <w:r w:rsidRPr="00BE086B">
        <w:rPr>
          <w:i/>
          <w:sz w:val="28"/>
          <w:szCs w:val="28"/>
        </w:rPr>
        <w:t>,</w:t>
      </w:r>
      <w:r w:rsidRPr="00BE086B">
        <w:rPr>
          <w:i/>
          <w:sz w:val="28"/>
          <w:szCs w:val="28"/>
          <w:lang w:eastAsia="ru-RU"/>
        </w:rPr>
        <w:t xml:space="preserve"> збір даних</w:t>
      </w:r>
      <w:r w:rsidRPr="00BE086B">
        <w:rPr>
          <w:i/>
          <w:sz w:val="28"/>
          <w:szCs w:val="28"/>
        </w:rPr>
        <w:t xml:space="preserve">, проведення експерименту, статистична обробка отриманих результатів,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статті</w:t>
      </w:r>
      <w:r w:rsidRPr="00BE086B">
        <w:rPr>
          <w:sz w:val="28"/>
          <w:szCs w:val="28"/>
        </w:rPr>
        <w:t>).</w:t>
      </w:r>
    </w:p>
    <w:p w:rsidR="000F7564" w:rsidRPr="00BE086B" w:rsidRDefault="000F7564" w:rsidP="000F7564">
      <w:pPr>
        <w:pStyle w:val="western"/>
        <w:numPr>
          <w:ilvl w:val="0"/>
          <w:numId w:val="44"/>
        </w:numPr>
        <w:suppressAutoHyphens/>
        <w:spacing w:before="0" w:after="0" w:line="360" w:lineRule="auto"/>
        <w:ind w:left="0"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 xml:space="preserve">Носівець Д.С. Дослідження рівня кісткової лужної фосфатази сироватки крові щурів при експериментальних еквівалентах гіпотиреозу та остеоартрозу на фоні призначення </w:t>
      </w:r>
      <w:r w:rsidRPr="00BE086B">
        <w:rPr>
          <w:rFonts w:ascii="Times New Roman" w:hAnsi="Times New Roman" w:cs="Times New Roman"/>
          <w:color w:val="auto"/>
          <w:sz w:val="28"/>
          <w:szCs w:val="28"/>
          <w:lang w:eastAsia="ru-RU"/>
        </w:rPr>
        <w:t>нестероїдних протизапальних засобів</w:t>
      </w:r>
      <w:r w:rsidRPr="00BE086B">
        <w:rPr>
          <w:rFonts w:ascii="Times New Roman" w:hAnsi="Times New Roman" w:cs="Times New Roman"/>
          <w:color w:val="auto"/>
          <w:sz w:val="28"/>
          <w:szCs w:val="28"/>
        </w:rPr>
        <w:t xml:space="preserve"> та парацетамолу. Український журнал медицини, біології та спорту. 2021. Т. 6, № 1 (29). С. 32-36.</w:t>
      </w:r>
    </w:p>
    <w:p w:rsidR="000F7564" w:rsidRPr="00BE086B" w:rsidRDefault="000F7564" w:rsidP="000F7564">
      <w:pPr>
        <w:pStyle w:val="western"/>
        <w:numPr>
          <w:ilvl w:val="0"/>
          <w:numId w:val="44"/>
        </w:numPr>
        <w:suppressAutoHyphens/>
        <w:spacing w:before="0" w:after="0" w:line="360" w:lineRule="auto"/>
        <w:ind w:left="0" w:firstLine="709"/>
        <w:jc w:val="both"/>
        <w:rPr>
          <w:rFonts w:ascii="Times New Roman" w:hAnsi="Times New Roman" w:cs="Times New Roman"/>
          <w:color w:val="auto"/>
          <w:sz w:val="28"/>
          <w:szCs w:val="28"/>
        </w:rPr>
      </w:pPr>
      <w:r w:rsidRPr="00BE086B">
        <w:rPr>
          <w:rFonts w:ascii="Times New Roman" w:hAnsi="Times New Roman" w:cs="Times New Roman"/>
          <w:color w:val="auto"/>
          <w:sz w:val="28"/>
          <w:szCs w:val="28"/>
        </w:rPr>
        <w:t xml:space="preserve">Носівець Д.С. </w:t>
      </w:r>
      <w:r w:rsidRPr="00BE086B">
        <w:rPr>
          <w:rFonts w:ascii="Times New Roman" w:eastAsia="Calibri-Bold" w:hAnsi="Times New Roman" w:cs="Times New Roman"/>
          <w:color w:val="auto"/>
          <w:sz w:val="28"/>
          <w:szCs w:val="28"/>
        </w:rPr>
        <w:t xml:space="preserve">Дослідження впливу комбінації </w:t>
      </w:r>
      <w:r w:rsidRPr="00BE086B">
        <w:rPr>
          <w:rFonts w:ascii="Times New Roman" w:hAnsi="Times New Roman" w:cs="Times New Roman"/>
          <w:color w:val="auto"/>
          <w:sz w:val="28"/>
          <w:szCs w:val="28"/>
        </w:rPr>
        <w:t xml:space="preserve">L-тироксину, диклофенаку натрію та хондроїтину сульфату на біль при остеоартрозі внаслідок гіпотиреозу. </w:t>
      </w:r>
      <w:r w:rsidRPr="00BE086B">
        <w:rPr>
          <w:rFonts w:ascii="Times New Roman" w:eastAsia="Calibri-Bold" w:hAnsi="Times New Roman" w:cs="Times New Roman"/>
          <w:color w:val="auto"/>
          <w:sz w:val="28"/>
          <w:szCs w:val="28"/>
        </w:rPr>
        <w:t>Вісник проблем біології і медицини. 2021. Т. 159, № 1. С. 97-101.</w:t>
      </w:r>
    </w:p>
    <w:p w:rsidR="000F7564" w:rsidRPr="00BE086B" w:rsidRDefault="000F7564" w:rsidP="000F7564">
      <w:pPr>
        <w:pStyle w:val="af0"/>
        <w:widowControl w:val="0"/>
        <w:numPr>
          <w:ilvl w:val="0"/>
          <w:numId w:val="44"/>
        </w:numPr>
        <w:autoSpaceDE w:val="0"/>
        <w:autoSpaceDN w:val="0"/>
        <w:adjustRightInd w:val="0"/>
        <w:ind w:left="0" w:firstLine="709"/>
        <w:jc w:val="both"/>
        <w:rPr>
          <w:sz w:val="28"/>
          <w:szCs w:val="28"/>
          <w:lang w:val="en-US" w:eastAsia="ru-RU"/>
        </w:rPr>
      </w:pPr>
      <w:r w:rsidRPr="00BE086B">
        <w:rPr>
          <w:sz w:val="28"/>
          <w:szCs w:val="28"/>
          <w:lang w:val="en-US"/>
        </w:rPr>
        <w:t xml:space="preserve">Nosivets D., Montell E., Opryshko V. </w:t>
      </w:r>
      <w:r w:rsidRPr="00BE086B">
        <w:rPr>
          <w:rFonts w:eastAsia="Calibri"/>
          <w:sz w:val="28"/>
          <w:szCs w:val="28"/>
          <w:lang w:val="en-US"/>
        </w:rPr>
        <w:t>Histological changes following the administration of two different chondroitin sulfate products in experimental osteoarthritis models in rats</w:t>
      </w:r>
      <w:r w:rsidRPr="00BE086B">
        <w:rPr>
          <w:bCs/>
          <w:sz w:val="28"/>
          <w:szCs w:val="28"/>
          <w:lang w:val="en-US" w:eastAsia="ru-RU"/>
        </w:rPr>
        <w:t xml:space="preserve">. </w:t>
      </w:r>
      <w:r w:rsidRPr="00BE086B">
        <w:rPr>
          <w:iCs/>
          <w:sz w:val="28"/>
          <w:szCs w:val="28"/>
          <w:lang w:val="en-US" w:eastAsia="ru-RU"/>
        </w:rPr>
        <w:t xml:space="preserve">European Journal of Clinical and Experimental Medicine. 2021. </w:t>
      </w:r>
      <w:r w:rsidRPr="00BE086B">
        <w:rPr>
          <w:sz w:val="28"/>
          <w:szCs w:val="28"/>
          <w:lang w:val="en-US" w:eastAsia="ru-RU"/>
        </w:rPr>
        <w:t xml:space="preserve">Vol. 19 (1). </w:t>
      </w:r>
      <w:r w:rsidRPr="00BE086B">
        <w:rPr>
          <w:sz w:val="28"/>
          <w:szCs w:val="28"/>
          <w:lang w:eastAsia="ru-RU"/>
        </w:rPr>
        <w:t>Р</w:t>
      </w:r>
      <w:r w:rsidRPr="00BE086B">
        <w:rPr>
          <w:sz w:val="28"/>
          <w:szCs w:val="28"/>
          <w:lang w:val="en-US" w:eastAsia="ru-RU"/>
        </w:rPr>
        <w:t xml:space="preserve">. 23-32. </w:t>
      </w:r>
      <w:r w:rsidRPr="00BE086B">
        <w:rPr>
          <w:rFonts w:eastAsia="PragmaticaC"/>
          <w:sz w:val="28"/>
          <w:szCs w:val="28"/>
          <w:lang w:val="en-US"/>
        </w:rPr>
        <w:t>(</w:t>
      </w:r>
      <w:r w:rsidRPr="00BE086B">
        <w:rPr>
          <w:rFonts w:eastAsia="Georgia"/>
          <w:i/>
          <w:sz w:val="28"/>
          <w:szCs w:val="28"/>
        </w:rPr>
        <w:t>Особистий</w:t>
      </w:r>
      <w:r w:rsidRPr="00BE086B">
        <w:rPr>
          <w:rFonts w:eastAsia="Georgia"/>
          <w:i/>
          <w:sz w:val="28"/>
          <w:szCs w:val="28"/>
          <w:lang w:val="en-US"/>
        </w:rPr>
        <w:t xml:space="preserve"> </w:t>
      </w:r>
      <w:r w:rsidRPr="00BE086B">
        <w:rPr>
          <w:rFonts w:eastAsia="Georgia"/>
          <w:i/>
          <w:sz w:val="28"/>
          <w:szCs w:val="28"/>
        </w:rPr>
        <w:t>внесок</w:t>
      </w:r>
      <w:r w:rsidRPr="00BE086B">
        <w:rPr>
          <w:rFonts w:eastAsia="Georgia"/>
          <w:i/>
          <w:sz w:val="28"/>
          <w:szCs w:val="28"/>
          <w:lang w:val="en-US"/>
        </w:rPr>
        <w:t xml:space="preserve"> </w:t>
      </w:r>
      <w:r w:rsidRPr="00BE086B">
        <w:rPr>
          <w:rFonts w:eastAsia="Georgia"/>
          <w:i/>
          <w:sz w:val="28"/>
          <w:szCs w:val="28"/>
        </w:rPr>
        <w:t>дисертанта</w:t>
      </w:r>
      <w:r w:rsidRPr="00BE086B">
        <w:rPr>
          <w:rFonts w:eastAsia="Georgia"/>
          <w:i/>
          <w:sz w:val="28"/>
          <w:szCs w:val="28"/>
          <w:lang w:val="en-US"/>
        </w:rPr>
        <w:t xml:space="preserve">: </w:t>
      </w:r>
      <w:r w:rsidRPr="00BE086B">
        <w:rPr>
          <w:i/>
          <w:sz w:val="28"/>
          <w:szCs w:val="28"/>
        </w:rPr>
        <w:t>вибір</w:t>
      </w:r>
      <w:r w:rsidRPr="00BE086B">
        <w:rPr>
          <w:i/>
          <w:sz w:val="28"/>
          <w:szCs w:val="28"/>
          <w:lang w:val="en-US"/>
        </w:rPr>
        <w:t xml:space="preserve"> </w:t>
      </w:r>
      <w:r w:rsidRPr="00BE086B">
        <w:rPr>
          <w:i/>
          <w:sz w:val="28"/>
          <w:szCs w:val="28"/>
        </w:rPr>
        <w:t>концепції</w:t>
      </w:r>
      <w:r w:rsidRPr="00BE086B">
        <w:rPr>
          <w:i/>
          <w:sz w:val="28"/>
          <w:szCs w:val="28"/>
          <w:lang w:val="en-US"/>
        </w:rPr>
        <w:t xml:space="preserve"> </w:t>
      </w:r>
      <w:r w:rsidRPr="00BE086B">
        <w:rPr>
          <w:i/>
          <w:sz w:val="28"/>
          <w:szCs w:val="28"/>
        </w:rPr>
        <w:t>та</w:t>
      </w:r>
      <w:r w:rsidRPr="00BE086B">
        <w:rPr>
          <w:i/>
          <w:sz w:val="28"/>
          <w:szCs w:val="28"/>
          <w:lang w:val="en-US"/>
        </w:rPr>
        <w:t xml:space="preserve"> </w:t>
      </w:r>
      <w:r w:rsidRPr="00BE086B">
        <w:rPr>
          <w:i/>
          <w:sz w:val="28"/>
          <w:szCs w:val="28"/>
        </w:rPr>
        <w:t>задач</w:t>
      </w:r>
      <w:r w:rsidRPr="00BE086B">
        <w:rPr>
          <w:i/>
          <w:sz w:val="28"/>
          <w:szCs w:val="28"/>
          <w:lang w:val="en-US"/>
        </w:rPr>
        <w:t xml:space="preserve"> </w:t>
      </w:r>
      <w:r w:rsidRPr="00BE086B">
        <w:rPr>
          <w:i/>
          <w:sz w:val="28"/>
          <w:szCs w:val="28"/>
        </w:rPr>
        <w:t>роботи</w:t>
      </w:r>
      <w:r w:rsidRPr="00BE086B">
        <w:rPr>
          <w:i/>
          <w:sz w:val="28"/>
          <w:szCs w:val="28"/>
          <w:lang w:val="en-US"/>
        </w:rPr>
        <w:t xml:space="preserve">, </w:t>
      </w:r>
      <w:r w:rsidRPr="00BE086B">
        <w:rPr>
          <w:i/>
          <w:sz w:val="28"/>
          <w:szCs w:val="28"/>
          <w:lang w:eastAsia="ru-RU"/>
        </w:rPr>
        <w:t>збір</w:t>
      </w:r>
      <w:r w:rsidRPr="00BE086B">
        <w:rPr>
          <w:i/>
          <w:sz w:val="28"/>
          <w:szCs w:val="28"/>
          <w:lang w:val="en-US" w:eastAsia="ru-RU"/>
        </w:rPr>
        <w:t xml:space="preserve"> </w:t>
      </w:r>
      <w:r w:rsidRPr="00BE086B">
        <w:rPr>
          <w:i/>
          <w:sz w:val="28"/>
          <w:szCs w:val="28"/>
          <w:lang w:eastAsia="ru-RU"/>
        </w:rPr>
        <w:t>даних</w:t>
      </w:r>
      <w:r w:rsidRPr="00BE086B">
        <w:rPr>
          <w:i/>
          <w:sz w:val="28"/>
          <w:szCs w:val="28"/>
          <w:lang w:val="en-US"/>
        </w:rPr>
        <w:t xml:space="preserve">, </w:t>
      </w:r>
      <w:r w:rsidRPr="00BE086B">
        <w:rPr>
          <w:i/>
          <w:sz w:val="28"/>
          <w:szCs w:val="28"/>
        </w:rPr>
        <w:t>проведення</w:t>
      </w:r>
      <w:r w:rsidRPr="00BE086B">
        <w:rPr>
          <w:i/>
          <w:sz w:val="28"/>
          <w:szCs w:val="28"/>
          <w:lang w:val="en-US"/>
        </w:rPr>
        <w:t xml:space="preserve"> </w:t>
      </w:r>
      <w:r w:rsidRPr="00BE086B">
        <w:rPr>
          <w:i/>
          <w:sz w:val="28"/>
          <w:szCs w:val="28"/>
        </w:rPr>
        <w:t>експерименту</w:t>
      </w:r>
      <w:r w:rsidRPr="00BE086B">
        <w:rPr>
          <w:i/>
          <w:sz w:val="28"/>
          <w:szCs w:val="28"/>
          <w:lang w:val="en-US"/>
        </w:rPr>
        <w:t xml:space="preserve">, </w:t>
      </w:r>
      <w:r w:rsidRPr="00BE086B">
        <w:rPr>
          <w:i/>
          <w:sz w:val="28"/>
          <w:szCs w:val="28"/>
        </w:rPr>
        <w:t>отримання</w:t>
      </w:r>
      <w:r w:rsidRPr="00BE086B">
        <w:rPr>
          <w:i/>
          <w:sz w:val="28"/>
          <w:szCs w:val="28"/>
          <w:lang w:val="en-US"/>
        </w:rPr>
        <w:t xml:space="preserve">, </w:t>
      </w:r>
      <w:r w:rsidRPr="00BE086B">
        <w:rPr>
          <w:i/>
          <w:sz w:val="28"/>
          <w:szCs w:val="28"/>
        </w:rPr>
        <w:t>аналіз</w:t>
      </w:r>
      <w:r w:rsidRPr="00BE086B">
        <w:rPr>
          <w:i/>
          <w:sz w:val="28"/>
          <w:szCs w:val="28"/>
          <w:lang w:val="en-US"/>
        </w:rPr>
        <w:t xml:space="preserve"> </w:t>
      </w:r>
      <w:r w:rsidRPr="00BE086B">
        <w:rPr>
          <w:i/>
          <w:sz w:val="28"/>
          <w:szCs w:val="28"/>
        </w:rPr>
        <w:t>та</w:t>
      </w:r>
      <w:r w:rsidRPr="00BE086B">
        <w:rPr>
          <w:i/>
          <w:sz w:val="28"/>
          <w:szCs w:val="28"/>
          <w:lang w:val="en-US"/>
        </w:rPr>
        <w:t xml:space="preserve"> </w:t>
      </w:r>
      <w:r w:rsidRPr="00BE086B">
        <w:rPr>
          <w:i/>
          <w:sz w:val="28"/>
          <w:szCs w:val="28"/>
        </w:rPr>
        <w:t>інтерпретація</w:t>
      </w:r>
      <w:r w:rsidRPr="00BE086B">
        <w:rPr>
          <w:i/>
          <w:sz w:val="28"/>
          <w:szCs w:val="28"/>
          <w:lang w:val="en-US"/>
        </w:rPr>
        <w:t xml:space="preserve"> </w:t>
      </w:r>
      <w:r w:rsidRPr="00BE086B">
        <w:rPr>
          <w:i/>
          <w:sz w:val="28"/>
          <w:szCs w:val="28"/>
        </w:rPr>
        <w:t>даних</w:t>
      </w:r>
      <w:r w:rsidRPr="00BE086B">
        <w:rPr>
          <w:i/>
          <w:sz w:val="28"/>
          <w:szCs w:val="28"/>
          <w:lang w:val="en-US"/>
        </w:rPr>
        <w:t xml:space="preserve">, </w:t>
      </w:r>
      <w:r w:rsidRPr="00BE086B">
        <w:rPr>
          <w:i/>
          <w:sz w:val="28"/>
          <w:szCs w:val="28"/>
        </w:rPr>
        <w:t>статистичний</w:t>
      </w:r>
      <w:r w:rsidRPr="00BE086B">
        <w:rPr>
          <w:i/>
          <w:sz w:val="28"/>
          <w:szCs w:val="28"/>
          <w:lang w:val="en-US"/>
        </w:rPr>
        <w:t xml:space="preserve"> </w:t>
      </w:r>
      <w:r w:rsidRPr="00BE086B">
        <w:rPr>
          <w:i/>
          <w:sz w:val="28"/>
          <w:szCs w:val="28"/>
        </w:rPr>
        <w:t>аналіз</w:t>
      </w:r>
      <w:r w:rsidRPr="00BE086B">
        <w:rPr>
          <w:i/>
          <w:sz w:val="28"/>
          <w:szCs w:val="28"/>
          <w:lang w:val="en-US"/>
        </w:rPr>
        <w:t xml:space="preserve">, </w:t>
      </w:r>
      <w:r w:rsidRPr="00BE086B">
        <w:rPr>
          <w:i/>
          <w:sz w:val="28"/>
          <w:szCs w:val="28"/>
          <w:lang w:eastAsia="ru-RU"/>
        </w:rPr>
        <w:t>написання</w:t>
      </w:r>
      <w:r w:rsidRPr="00BE086B">
        <w:rPr>
          <w:i/>
          <w:sz w:val="28"/>
          <w:szCs w:val="28"/>
          <w:lang w:val="en-US" w:eastAsia="ru-RU"/>
        </w:rPr>
        <w:t xml:space="preserve"> </w:t>
      </w:r>
      <w:r w:rsidRPr="00BE086B">
        <w:rPr>
          <w:i/>
          <w:sz w:val="28"/>
          <w:szCs w:val="28"/>
        </w:rPr>
        <w:t>та</w:t>
      </w:r>
      <w:r w:rsidRPr="00BE086B">
        <w:rPr>
          <w:i/>
          <w:sz w:val="28"/>
          <w:szCs w:val="28"/>
          <w:lang w:val="en-US"/>
        </w:rPr>
        <w:t xml:space="preserve"> </w:t>
      </w:r>
      <w:r w:rsidRPr="00BE086B">
        <w:rPr>
          <w:i/>
          <w:sz w:val="28"/>
          <w:szCs w:val="28"/>
          <w:lang w:eastAsia="ru-RU"/>
        </w:rPr>
        <w:t>редагування</w:t>
      </w:r>
      <w:r w:rsidRPr="00BE086B">
        <w:rPr>
          <w:i/>
          <w:sz w:val="28"/>
          <w:szCs w:val="28"/>
          <w:lang w:val="en-US" w:eastAsia="ru-RU"/>
        </w:rPr>
        <w:t xml:space="preserve"> </w:t>
      </w:r>
      <w:r w:rsidRPr="00BE086B">
        <w:rPr>
          <w:i/>
          <w:sz w:val="28"/>
          <w:szCs w:val="28"/>
          <w:lang w:eastAsia="ru-RU"/>
        </w:rPr>
        <w:t>статті</w:t>
      </w:r>
      <w:r w:rsidRPr="00BE086B">
        <w:rPr>
          <w:i/>
          <w:sz w:val="28"/>
          <w:szCs w:val="28"/>
          <w:lang w:val="en-US"/>
        </w:rPr>
        <w:t xml:space="preserve">, </w:t>
      </w:r>
      <w:r w:rsidRPr="00BE086B">
        <w:rPr>
          <w:rFonts w:eastAsia="PragmaticaC"/>
          <w:i/>
          <w:sz w:val="28"/>
          <w:szCs w:val="28"/>
        </w:rPr>
        <w:t>аналіз</w:t>
      </w:r>
      <w:r w:rsidRPr="00BE086B">
        <w:rPr>
          <w:rFonts w:eastAsia="PragmaticaC"/>
          <w:i/>
          <w:sz w:val="28"/>
          <w:szCs w:val="28"/>
          <w:lang w:val="en-US"/>
        </w:rPr>
        <w:t xml:space="preserve"> </w:t>
      </w:r>
      <w:r w:rsidRPr="00BE086B">
        <w:rPr>
          <w:rFonts w:eastAsia="PragmaticaC"/>
          <w:i/>
          <w:sz w:val="28"/>
          <w:szCs w:val="28"/>
        </w:rPr>
        <w:t>літературних</w:t>
      </w:r>
      <w:r w:rsidRPr="00BE086B">
        <w:rPr>
          <w:rFonts w:eastAsia="PragmaticaC"/>
          <w:i/>
          <w:sz w:val="28"/>
          <w:szCs w:val="28"/>
          <w:lang w:val="en-US"/>
        </w:rPr>
        <w:t xml:space="preserve"> </w:t>
      </w:r>
      <w:r w:rsidRPr="00BE086B">
        <w:rPr>
          <w:rFonts w:eastAsia="PragmaticaC"/>
          <w:i/>
          <w:sz w:val="28"/>
          <w:szCs w:val="28"/>
        </w:rPr>
        <w:t>джерел</w:t>
      </w:r>
      <w:r w:rsidRPr="00BE086B">
        <w:rPr>
          <w:rFonts w:eastAsia="PragmaticaC"/>
          <w:sz w:val="28"/>
          <w:szCs w:val="28"/>
          <w:lang w:val="en-US"/>
        </w:rPr>
        <w:t>).</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Рациональная фармакотерапия болевого синдрома</w:t>
      </w:r>
      <w:r w:rsidRPr="00BE086B">
        <w:rPr>
          <w:sz w:val="28"/>
          <w:szCs w:val="28"/>
          <w:shd w:val="clear" w:color="auto" w:fill="FFFFFF"/>
        </w:rPr>
        <w:t xml:space="preserve"> различного генеза комбинированными нестероидными противовоспалительными средствами. Монография / </w:t>
      </w:r>
      <w:r w:rsidRPr="00BE086B">
        <w:rPr>
          <w:sz w:val="28"/>
          <w:szCs w:val="28"/>
        </w:rPr>
        <w:t xml:space="preserve">В.И. Мамчур, Д.С. Носивец, С.В. Налетов, В.Г. Гурьянов, В.И. Паламарчук, А.Ж. Оголь. - </w:t>
      </w:r>
      <w:r w:rsidRPr="00BE086B">
        <w:rPr>
          <w:sz w:val="28"/>
          <w:szCs w:val="28"/>
          <w:shd w:val="clear" w:color="auto" w:fill="FFFFFF"/>
        </w:rPr>
        <w:t>Киев: ЧАО “Випол”, 2017. - 48 с. (</w:t>
      </w:r>
      <w:r w:rsidRPr="00BE086B">
        <w:rPr>
          <w:rFonts w:eastAsia="Georgia"/>
          <w:i/>
          <w:sz w:val="28"/>
          <w:szCs w:val="28"/>
        </w:rPr>
        <w:t xml:space="preserve">Особистий внесок дисертанта: </w:t>
      </w:r>
      <w:r w:rsidRPr="00BE086B">
        <w:rPr>
          <w:i/>
          <w:sz w:val="28"/>
          <w:szCs w:val="28"/>
          <w:lang w:eastAsia="ru-RU"/>
        </w:rPr>
        <w:t>концепція та дизайн дослідження</w:t>
      </w:r>
      <w:r w:rsidRPr="00BE086B">
        <w:rPr>
          <w:i/>
          <w:sz w:val="28"/>
          <w:szCs w:val="28"/>
        </w:rPr>
        <w:t>,</w:t>
      </w:r>
      <w:r w:rsidRPr="00BE086B">
        <w:rPr>
          <w:i/>
          <w:sz w:val="28"/>
          <w:szCs w:val="28"/>
          <w:lang w:eastAsia="ru-RU"/>
        </w:rPr>
        <w:t xml:space="preserve"> збір даних</w:t>
      </w:r>
      <w:r w:rsidRPr="00BE086B">
        <w:rPr>
          <w:i/>
          <w:sz w:val="28"/>
          <w:szCs w:val="28"/>
        </w:rPr>
        <w:t xml:space="preserve">,проведення експерименту, статистична обробка отриманих </w:t>
      </w:r>
      <w:r w:rsidRPr="00BE086B">
        <w:rPr>
          <w:i/>
          <w:sz w:val="28"/>
          <w:szCs w:val="28"/>
        </w:rPr>
        <w:lastRenderedPageBreak/>
        <w:t xml:space="preserve">результатів, формулювання висновків, </w:t>
      </w:r>
      <w:r w:rsidRPr="00BE086B">
        <w:rPr>
          <w:i/>
          <w:sz w:val="28"/>
          <w:szCs w:val="28"/>
          <w:lang w:eastAsia="ru-RU"/>
        </w:rPr>
        <w:t>аналіз та інтерпретація даних</w:t>
      </w:r>
      <w:r w:rsidRPr="00BE086B">
        <w:rPr>
          <w:i/>
          <w:sz w:val="28"/>
          <w:szCs w:val="28"/>
        </w:rPr>
        <w:t>,</w:t>
      </w:r>
      <w:r w:rsidRPr="00BE086B">
        <w:rPr>
          <w:i/>
          <w:sz w:val="28"/>
          <w:szCs w:val="28"/>
          <w:lang w:eastAsia="ru-RU"/>
        </w:rPr>
        <w:t xml:space="preserve"> написання </w:t>
      </w:r>
      <w:r w:rsidRPr="00BE086B">
        <w:rPr>
          <w:i/>
          <w:sz w:val="28"/>
          <w:szCs w:val="28"/>
        </w:rPr>
        <w:t xml:space="preserve">та </w:t>
      </w:r>
      <w:r w:rsidRPr="00BE086B">
        <w:rPr>
          <w:i/>
          <w:sz w:val="28"/>
          <w:szCs w:val="28"/>
          <w:lang w:eastAsia="ru-RU"/>
        </w:rPr>
        <w:t>редагування рукопису</w:t>
      </w:r>
      <w:r w:rsidRPr="00BE086B">
        <w:rPr>
          <w:sz w:val="28"/>
          <w:szCs w:val="28"/>
          <w:shd w:val="clear" w:color="auto" w:fill="FFFFFF"/>
        </w:rPr>
        <w:t>).</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bCs/>
          <w:sz w:val="28"/>
          <w:szCs w:val="28"/>
          <w:shd w:val="clear" w:color="auto" w:fill="FFFFFF"/>
        </w:rPr>
        <w:t xml:space="preserve">Патент України на корисну модель UA 137435 U, </w:t>
      </w:r>
      <w:r w:rsidRPr="00BE086B">
        <w:rPr>
          <w:rFonts w:eastAsia="Arial"/>
          <w:bCs/>
          <w:sz w:val="28"/>
          <w:szCs w:val="28"/>
        </w:rPr>
        <w:t xml:space="preserve">МПК (2019.01), </w:t>
      </w:r>
      <w:r w:rsidRPr="00BE086B">
        <w:rPr>
          <w:rFonts w:eastAsia="Arial"/>
          <w:sz w:val="28"/>
          <w:szCs w:val="28"/>
        </w:rPr>
        <w:t>A61K 31/00, A61P 5/00, A61P 19/00, A61P 29/00.</w:t>
      </w:r>
      <w:r w:rsidRPr="00BE086B">
        <w:rPr>
          <w:bCs/>
          <w:sz w:val="28"/>
          <w:szCs w:val="28"/>
          <w:shd w:val="clear" w:color="auto" w:fill="FFFFFF"/>
        </w:rPr>
        <w:t xml:space="preserve"> Спосіб лікування остеоартрозу </w:t>
      </w:r>
      <w:r w:rsidRPr="00BE086B">
        <w:rPr>
          <w:sz w:val="28"/>
          <w:szCs w:val="28"/>
          <w:shd w:val="clear" w:color="auto" w:fill="FFFFFF"/>
        </w:rPr>
        <w:t xml:space="preserve">при супутньому гіпотиреозі / Д.С. Носівець, В.І. Опришко, В.Й. Мамчур - </w:t>
      </w:r>
      <w:r w:rsidRPr="00BE086B">
        <w:rPr>
          <w:rFonts w:eastAsia="Arial"/>
          <w:sz w:val="28"/>
          <w:szCs w:val="28"/>
          <w:shd w:val="clear" w:color="auto" w:fill="FFFFFF"/>
        </w:rPr>
        <w:t xml:space="preserve">u201902425; </w:t>
      </w:r>
      <w:r w:rsidRPr="00BE086B">
        <w:rPr>
          <w:sz w:val="28"/>
          <w:szCs w:val="28"/>
          <w:shd w:val="clear" w:color="auto" w:fill="FFFFFF"/>
        </w:rPr>
        <w:t>заявл. 12.03.2019; опубл. 25.10.2019. - Бюл. № 20/2019.</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Носівець Д.С., Мамчур В.Й., Опришко В.І. Ефективне застосування комбінованих нестероїдних протизапальних засобів при лікуванні остеоартрозу та супутньому гіпотиреозі. Інформаційний лист про нововведення в системі охорони здоров’я. - 2019, № 65. - 4 с.</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Носівець Д.С., Мамчур В.Й., Опришко В.І. Особливості використання хондроітину сульфату при лікуванні остеоартрозу на тлі гіпотиреозу. Інформаційний лист про нововведення в системі охорони здоров’я. - 2019, № 66. - 4 с.</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Носівець Д.С., Мамчур В.Й., Опришко В.І. Раціональне застосування нестероїдних протизапальних засобів та хондропротекторів при лікуванні остеоартрозу на фоні гіпотиреозу. Інформаційний лист про нововведення в системі охорони здоров’я. - 2019, № 67. - 4 с.</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bCs/>
          <w:sz w:val="28"/>
          <w:szCs w:val="28"/>
        </w:rPr>
        <w:t xml:space="preserve">Раціональне лікування остеоартрозу суглобів при супутньому гіпотиреозі / Носівець Д.С., Мамчур В.Й., Опришко В.І., Жилюк В.І. - </w:t>
      </w:r>
      <w:r w:rsidRPr="00BE086B">
        <w:rPr>
          <w:sz w:val="28"/>
          <w:szCs w:val="28"/>
        </w:rPr>
        <w:t>Перелік наукової (науково-технічної) продукції, призначеної для впровадження досягнень медичної науки у сферу охорони здоров’я. Випуск 6 - К., 2020. Реєстр № 276/6/19. С. 240-241. - 363 с.</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bCs/>
          <w:sz w:val="28"/>
          <w:szCs w:val="28"/>
        </w:rPr>
        <w:t xml:space="preserve">Носивец Д.С. </w:t>
      </w:r>
      <w:r w:rsidRPr="00BE086B">
        <w:rPr>
          <w:rFonts w:eastAsia="PragmaticaBook-Reg"/>
          <w:sz w:val="28"/>
          <w:szCs w:val="28"/>
        </w:rPr>
        <w:t>Применение хондропротекторов при патологии хрящевой ткани.</w:t>
      </w:r>
      <w:r w:rsidRPr="00BE086B">
        <w:rPr>
          <w:sz w:val="28"/>
          <w:szCs w:val="28"/>
        </w:rPr>
        <w:t xml:space="preserve"> Материалы XIII Северо-Западной научно-практической конференции по ревматологии. СПб., 2013. С. 80-82.</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 xml:space="preserve">Носивец Д.С., Мамчур В.И., Старовойтова Н.А. Особенности фармакотерапии дегенеративно-дистрофических заболеваний опорно-двигательного аппарата при коморбидных состояниях. </w:t>
      </w:r>
      <w:r w:rsidRPr="00BE086B">
        <w:rPr>
          <w:rFonts w:eastAsia="PetersburgC-Italic"/>
          <w:sz w:val="28"/>
          <w:szCs w:val="28"/>
        </w:rPr>
        <w:t xml:space="preserve">Материалы XVІ </w:t>
      </w:r>
      <w:r w:rsidRPr="00BE086B">
        <w:rPr>
          <w:rFonts w:eastAsia="PetersburgC-Italic"/>
          <w:sz w:val="28"/>
          <w:szCs w:val="28"/>
        </w:rPr>
        <w:lastRenderedPageBreak/>
        <w:t xml:space="preserve">Международной конференции </w:t>
      </w:r>
      <w:r w:rsidRPr="00BE086B">
        <w:rPr>
          <w:sz w:val="28"/>
          <w:szCs w:val="28"/>
        </w:rPr>
        <w:t>«</w:t>
      </w:r>
      <w:r w:rsidRPr="00BE086B">
        <w:rPr>
          <w:rFonts w:eastAsia="PetersburgC-Italic"/>
          <w:sz w:val="28"/>
          <w:szCs w:val="28"/>
        </w:rPr>
        <w:t>Современные стратегия и тактика в неврологии</w:t>
      </w:r>
      <w:r w:rsidRPr="00BE086B">
        <w:rPr>
          <w:rFonts w:eastAsia="PetersburgC-Italic"/>
          <w:bCs/>
          <w:sz w:val="28"/>
          <w:szCs w:val="28"/>
        </w:rPr>
        <w:t>» (</w:t>
      </w:r>
      <w:r w:rsidRPr="00BE086B">
        <w:rPr>
          <w:bCs/>
          <w:iCs/>
          <w:sz w:val="28"/>
          <w:szCs w:val="28"/>
          <w:lang w:eastAsia="ru-RU"/>
        </w:rPr>
        <w:t>23-25 апреля 2014 г</w:t>
      </w:r>
      <w:r w:rsidRPr="00BE086B">
        <w:rPr>
          <w:rFonts w:eastAsia="PetersburgC-Italic"/>
          <w:sz w:val="28"/>
          <w:szCs w:val="28"/>
        </w:rPr>
        <w:t xml:space="preserve">.). </w:t>
      </w:r>
      <w:r w:rsidRPr="00BE086B">
        <w:rPr>
          <w:sz w:val="28"/>
          <w:szCs w:val="28"/>
        </w:rPr>
        <w:t>Трускавец, 2014. С. 173-176.</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Arial"/>
          <w:bCs/>
          <w:sz w:val="28"/>
          <w:szCs w:val="28"/>
        </w:rPr>
        <w:t xml:space="preserve">Носівець Д.С. Патологія кісткової та хрящової тканин на фоні тиреоїдної дисфункції. </w:t>
      </w:r>
      <w:r w:rsidRPr="00BE086B">
        <w:rPr>
          <w:sz w:val="28"/>
          <w:szCs w:val="28"/>
        </w:rPr>
        <w:t>Матеріали ХІX Міжнародного медичного конгресу студентів та молодих вчених (27-29 квітня 2015 р.). Тернопіль: Укрмедкнига, 2015. С. 298.</w:t>
      </w:r>
    </w:p>
    <w:p w:rsidR="000F7564" w:rsidRPr="00BE086B" w:rsidRDefault="000F7564" w:rsidP="000F7564">
      <w:pPr>
        <w:pStyle w:val="Default"/>
        <w:numPr>
          <w:ilvl w:val="0"/>
          <w:numId w:val="44"/>
        </w:numPr>
        <w:spacing w:line="360" w:lineRule="auto"/>
        <w:ind w:left="0" w:firstLine="709"/>
        <w:jc w:val="both"/>
        <w:rPr>
          <w:rFonts w:ascii="Times New Roman" w:hAnsi="Times New Roman" w:cs="Times New Roman"/>
          <w:color w:val="auto"/>
          <w:sz w:val="28"/>
          <w:szCs w:val="28"/>
          <w:lang w:val="uk-UA"/>
        </w:rPr>
      </w:pPr>
      <w:r w:rsidRPr="00BE086B">
        <w:rPr>
          <w:rFonts w:ascii="Times New Roman" w:hAnsi="Times New Roman" w:cs="Times New Roman"/>
          <w:bCs/>
          <w:color w:val="auto"/>
          <w:sz w:val="28"/>
          <w:szCs w:val="28"/>
          <w:lang w:val="uk-UA"/>
        </w:rPr>
        <w:t xml:space="preserve">Носивец Д.С. </w:t>
      </w:r>
      <w:r w:rsidRPr="00BE086B">
        <w:rPr>
          <w:rFonts w:ascii="Times New Roman" w:hAnsi="Times New Roman" w:cs="Times New Roman"/>
          <w:color w:val="auto"/>
          <w:sz w:val="28"/>
          <w:szCs w:val="28"/>
          <w:lang w:val="uk-UA"/>
        </w:rPr>
        <w:t xml:space="preserve">Возможные механизмы анальгезии при фармакотерапии хондропротекторами. </w:t>
      </w:r>
      <w:r w:rsidRPr="00BE086B">
        <w:rPr>
          <w:rStyle w:val="af"/>
          <w:rFonts w:ascii="Times New Roman" w:eastAsia="Tahoma" w:hAnsi="Times New Roman" w:cs="Times New Roman"/>
          <w:b w:val="0"/>
          <w:color w:val="auto"/>
          <w:sz w:val="28"/>
          <w:szCs w:val="28"/>
          <w:lang w:val="uk-UA"/>
        </w:rPr>
        <w:t xml:space="preserve">Матеріали </w:t>
      </w:r>
      <w:r w:rsidRPr="00BE086B">
        <w:rPr>
          <w:rStyle w:val="A20"/>
          <w:rFonts w:ascii="Times New Roman" w:hAnsi="Times New Roman" w:cs="Times New Roman"/>
          <w:b w:val="0"/>
          <w:color w:val="auto"/>
          <w:sz w:val="28"/>
          <w:szCs w:val="28"/>
          <w:lang w:val="uk-UA"/>
        </w:rPr>
        <w:t xml:space="preserve">науково-практичної конференції </w:t>
      </w:r>
      <w:r w:rsidRPr="00BE086B">
        <w:rPr>
          <w:rFonts w:ascii="Times New Roman" w:eastAsia="TimesNewRoman" w:hAnsi="Times New Roman" w:cs="Times New Roman"/>
          <w:color w:val="auto"/>
          <w:sz w:val="28"/>
          <w:szCs w:val="28"/>
          <w:lang w:val="uk-UA"/>
        </w:rPr>
        <w:t>з міжнародною</w:t>
      </w:r>
      <w:r w:rsidRPr="00BE086B">
        <w:rPr>
          <w:rFonts w:ascii="Times New Roman" w:hAnsi="Times New Roman" w:cs="Times New Roman"/>
          <w:color w:val="auto"/>
          <w:sz w:val="28"/>
          <w:szCs w:val="28"/>
          <w:lang w:val="uk-UA"/>
        </w:rPr>
        <w:t xml:space="preserve"> </w:t>
      </w:r>
      <w:r w:rsidRPr="00BE086B">
        <w:rPr>
          <w:rFonts w:ascii="Times New Roman" w:eastAsia="TimesNewRoman" w:hAnsi="Times New Roman" w:cs="Times New Roman"/>
          <w:color w:val="auto"/>
          <w:sz w:val="28"/>
          <w:szCs w:val="28"/>
          <w:lang w:val="uk-UA"/>
        </w:rPr>
        <w:t xml:space="preserve">участю </w:t>
      </w:r>
      <w:r w:rsidRPr="00BE086B">
        <w:rPr>
          <w:rStyle w:val="A20"/>
          <w:rFonts w:ascii="Times New Roman" w:hAnsi="Times New Roman" w:cs="Times New Roman"/>
          <w:b w:val="0"/>
          <w:color w:val="auto"/>
          <w:sz w:val="28"/>
          <w:szCs w:val="28"/>
          <w:lang w:val="uk-UA"/>
        </w:rPr>
        <w:t>«Філатовські читання - 2016» (</w:t>
      </w:r>
      <w:r w:rsidRPr="00BE086B">
        <w:rPr>
          <w:rFonts w:ascii="Times New Roman" w:hAnsi="Times New Roman" w:cs="Times New Roman"/>
          <w:color w:val="auto"/>
          <w:sz w:val="28"/>
          <w:szCs w:val="28"/>
          <w:lang w:val="uk-UA"/>
        </w:rPr>
        <w:t>19-20 травня 2016 р.</w:t>
      </w:r>
      <w:r w:rsidRPr="00BE086B">
        <w:rPr>
          <w:rStyle w:val="A20"/>
          <w:rFonts w:ascii="Times New Roman" w:hAnsi="Times New Roman" w:cs="Times New Roman"/>
          <w:b w:val="0"/>
          <w:color w:val="auto"/>
          <w:sz w:val="28"/>
          <w:szCs w:val="28"/>
          <w:lang w:val="uk-UA"/>
        </w:rPr>
        <w:t>). Одеса, 2016. С. 222.</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bCs/>
          <w:sz w:val="28"/>
          <w:szCs w:val="28"/>
        </w:rPr>
        <w:t xml:space="preserve">Носивец Д.С. </w:t>
      </w:r>
      <w:r w:rsidRPr="00BE086B">
        <w:rPr>
          <w:sz w:val="28"/>
          <w:szCs w:val="28"/>
        </w:rPr>
        <w:t xml:space="preserve">Изменение болевого порога у крыс при экспериментальном остеоартрозе после введения хондроитина сульфата. </w:t>
      </w:r>
      <w:r w:rsidRPr="00BE086B">
        <w:rPr>
          <w:rStyle w:val="af"/>
          <w:rFonts w:eastAsia="Tahoma"/>
          <w:b w:val="0"/>
          <w:sz w:val="28"/>
          <w:szCs w:val="28"/>
        </w:rPr>
        <w:t>Матеріали</w:t>
      </w:r>
      <w:r w:rsidRPr="00BE086B">
        <w:rPr>
          <w:rFonts w:eastAsia="Calibri"/>
          <w:sz w:val="28"/>
          <w:szCs w:val="28"/>
        </w:rPr>
        <w:t xml:space="preserve"> V Національного з’їзду фармакологів України (18-20 жовтня 2017 р.). Запоріжжя, 2017. С. 101.</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bCs/>
          <w:sz w:val="28"/>
          <w:szCs w:val="28"/>
        </w:rPr>
        <w:t xml:space="preserve">Носивец Д.С. </w:t>
      </w:r>
      <w:r w:rsidRPr="00BE086B">
        <w:rPr>
          <w:rFonts w:eastAsia="Calibri"/>
          <w:sz w:val="28"/>
          <w:szCs w:val="28"/>
        </w:rPr>
        <w:t xml:space="preserve">Механизмы анальгезии при фармакотерапии хондропротекторами. </w:t>
      </w:r>
      <w:r w:rsidRPr="00BE086B">
        <w:rPr>
          <w:rFonts w:eastAsia="Calibri-Bold"/>
          <w:sz w:val="28"/>
          <w:szCs w:val="28"/>
        </w:rPr>
        <w:t xml:space="preserve">I Международный конгресс </w:t>
      </w:r>
      <w:r w:rsidRPr="00BE086B">
        <w:rPr>
          <w:rFonts w:eastAsia="Calibri"/>
          <w:sz w:val="28"/>
          <w:szCs w:val="28"/>
        </w:rPr>
        <w:t>ассоциации ревмоортопедов (28-29 сентября 2017 г.): тезисы докладов конгресса / редколлегия: М. А. Макаров [и др.]; Ассоциация ревмоортопедов. Воронеж: Издательско-полиграфический центр «Научная книга», 2017. С. 37-38.</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bCs/>
          <w:sz w:val="28"/>
          <w:szCs w:val="28"/>
        </w:rPr>
        <w:t xml:space="preserve">Носивец Д.С. Морфометрическая оценка состояния суставов крыс при экспериментальном остеоартрозе на фоне введения хондроитина сульфата. </w:t>
      </w:r>
      <w:r w:rsidRPr="00BE086B">
        <w:rPr>
          <w:rFonts w:eastAsia="TimesNewRomanPS-BoldMT"/>
          <w:sz w:val="28"/>
          <w:szCs w:val="28"/>
        </w:rPr>
        <w:t xml:space="preserve">Сучасні аспекти клінічної фармакології на тлі досягнень доказової медицини / </w:t>
      </w:r>
      <w:r w:rsidRPr="00BE086B">
        <w:rPr>
          <w:rStyle w:val="af"/>
          <w:rFonts w:eastAsia="Tahoma"/>
          <w:b w:val="0"/>
          <w:sz w:val="28"/>
          <w:szCs w:val="28"/>
        </w:rPr>
        <w:t>Матеріали</w:t>
      </w:r>
      <w:r w:rsidRPr="00BE086B">
        <w:rPr>
          <w:rFonts w:eastAsia="TimesNewRomanPSMT"/>
          <w:sz w:val="28"/>
          <w:szCs w:val="28"/>
        </w:rPr>
        <w:t xml:space="preserve"> ІХ Всеукраїнської науково-практичної конференції з міжнародною участю, 16-17 листопада </w:t>
      </w:r>
      <w:r w:rsidRPr="00BE086B">
        <w:rPr>
          <w:rFonts w:eastAsia="TimesNewRomanPSMT"/>
          <w:bCs/>
          <w:sz w:val="28"/>
          <w:szCs w:val="28"/>
        </w:rPr>
        <w:t>2017 року. – Вінниця, Нілан-ЛТД, 2017. С. 76-83.</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Fonts w:eastAsia="Arial"/>
          <w:sz w:val="28"/>
          <w:szCs w:val="28"/>
        </w:rPr>
        <w:t xml:space="preserve">Носівець Д.С. </w:t>
      </w:r>
      <w:r w:rsidRPr="00BE086B">
        <w:rPr>
          <w:rFonts w:eastAsia="TimesNewRomanPSMT"/>
          <w:sz w:val="28"/>
          <w:szCs w:val="28"/>
        </w:rPr>
        <w:t xml:space="preserve">Фармакологічні аспекти використання нестероїдних протизапальних засобів при остеоартрозі за умов гіпотиреозу. </w:t>
      </w:r>
      <w:r w:rsidRPr="00BE086B">
        <w:rPr>
          <w:rStyle w:val="af"/>
          <w:b w:val="0"/>
          <w:sz w:val="28"/>
          <w:szCs w:val="28"/>
          <w:lang w:val="en-US"/>
        </w:rPr>
        <w:t xml:space="preserve">International scientific and practical conference «Prospects for the development of medicine in EU countries and Ukraine» Wloclawek, Republic of Poland, December 21–22, 2018. </w:t>
      </w:r>
      <w:r w:rsidRPr="00BE086B">
        <w:rPr>
          <w:rStyle w:val="af"/>
          <w:b w:val="0"/>
          <w:sz w:val="28"/>
          <w:szCs w:val="28"/>
        </w:rPr>
        <w:t>Wloclawek: Izdevnieciba «Baltija Publishing», 2018. Р. 44-46.</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lastRenderedPageBreak/>
        <w:t>Носивец Д.С. Биохимические маркеры при патологии хрящевой и костной ткани. Современные аспекты травматологии, ортопедии и реконструктивной хирургии: Материалы научно-практической конференции с международным участием, посвященной 90-летию со дня рождения профессора Н.П. Демичева (г. Астрахань, 22-23 марта 2019 г.) / под ред. д-ра мед. наук С.В. Дианова и д-ра мед. наук А.Н. Тарасова. – Астрахань: Изд-во Астраханского государственного медицинского университета, 2019. С. 90-92.</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 xml:space="preserve">Носівець Д.С. Корекція проявів остеоартрозу при супутньому гіпотиреозі. </w:t>
      </w:r>
      <w:r w:rsidRPr="00BE086B">
        <w:rPr>
          <w:rFonts w:eastAsia="TimesNewRoman"/>
          <w:sz w:val="28"/>
          <w:szCs w:val="28"/>
        </w:rPr>
        <w:t>Фізіологічні та біохімічні механізми розвитку і корекції патологічних станів</w:t>
      </w:r>
      <w:r w:rsidRPr="00BE086B">
        <w:rPr>
          <w:sz w:val="28"/>
          <w:szCs w:val="28"/>
        </w:rPr>
        <w:t xml:space="preserve">: </w:t>
      </w:r>
      <w:r w:rsidRPr="00BE086B">
        <w:rPr>
          <w:rFonts w:eastAsia="TimesNewRoman"/>
          <w:sz w:val="28"/>
          <w:szCs w:val="28"/>
        </w:rPr>
        <w:t>матеріали міжвузівської</w:t>
      </w:r>
      <w:r w:rsidRPr="00BE086B">
        <w:rPr>
          <w:sz w:val="28"/>
          <w:szCs w:val="28"/>
        </w:rPr>
        <w:t xml:space="preserve"> </w:t>
      </w:r>
      <w:r w:rsidRPr="00BE086B">
        <w:rPr>
          <w:rFonts w:eastAsia="TimesNewRoman"/>
          <w:sz w:val="28"/>
          <w:szCs w:val="28"/>
        </w:rPr>
        <w:t>науково</w:t>
      </w:r>
      <w:r w:rsidRPr="00BE086B">
        <w:rPr>
          <w:sz w:val="28"/>
          <w:szCs w:val="28"/>
        </w:rPr>
        <w:t>-</w:t>
      </w:r>
      <w:r w:rsidRPr="00BE086B">
        <w:rPr>
          <w:rFonts w:eastAsia="TimesNewRoman"/>
          <w:sz w:val="28"/>
          <w:szCs w:val="28"/>
        </w:rPr>
        <w:t>практичної</w:t>
      </w:r>
      <w:r w:rsidRPr="00BE086B">
        <w:rPr>
          <w:sz w:val="28"/>
          <w:szCs w:val="28"/>
        </w:rPr>
        <w:t xml:space="preserve"> </w:t>
      </w:r>
      <w:r w:rsidRPr="00BE086B">
        <w:rPr>
          <w:rFonts w:eastAsia="TimesNewRoman"/>
          <w:sz w:val="28"/>
          <w:szCs w:val="28"/>
        </w:rPr>
        <w:t>конференції</w:t>
      </w:r>
      <w:r w:rsidRPr="00BE086B">
        <w:rPr>
          <w:sz w:val="28"/>
          <w:szCs w:val="28"/>
        </w:rPr>
        <w:t xml:space="preserve"> </w:t>
      </w:r>
      <w:r w:rsidRPr="00BE086B">
        <w:rPr>
          <w:rFonts w:eastAsia="TimesNewRoman"/>
          <w:sz w:val="28"/>
          <w:szCs w:val="28"/>
        </w:rPr>
        <w:t>молодих учених та студентів з міжнародною</w:t>
      </w:r>
      <w:r w:rsidRPr="00BE086B">
        <w:rPr>
          <w:sz w:val="28"/>
          <w:szCs w:val="28"/>
        </w:rPr>
        <w:t xml:space="preserve"> </w:t>
      </w:r>
      <w:r w:rsidRPr="00BE086B">
        <w:rPr>
          <w:rFonts w:eastAsia="TimesNewRoman"/>
          <w:sz w:val="28"/>
          <w:szCs w:val="28"/>
        </w:rPr>
        <w:t xml:space="preserve">участю </w:t>
      </w:r>
      <w:r w:rsidRPr="00BE086B">
        <w:rPr>
          <w:sz w:val="28"/>
          <w:szCs w:val="28"/>
        </w:rPr>
        <w:t xml:space="preserve">(5-6 </w:t>
      </w:r>
      <w:r w:rsidRPr="00BE086B">
        <w:rPr>
          <w:rFonts w:eastAsia="TimesNewRoman"/>
          <w:sz w:val="28"/>
          <w:szCs w:val="28"/>
        </w:rPr>
        <w:t>квітня</w:t>
      </w:r>
      <w:r w:rsidRPr="00BE086B">
        <w:rPr>
          <w:sz w:val="28"/>
          <w:szCs w:val="28"/>
        </w:rPr>
        <w:t xml:space="preserve"> 2019 </w:t>
      </w:r>
      <w:r w:rsidRPr="00BE086B">
        <w:rPr>
          <w:rFonts w:eastAsia="TimesNewRoman"/>
          <w:sz w:val="28"/>
          <w:szCs w:val="28"/>
        </w:rPr>
        <w:t>р</w:t>
      </w:r>
      <w:r w:rsidRPr="00BE086B">
        <w:rPr>
          <w:sz w:val="28"/>
          <w:szCs w:val="28"/>
        </w:rPr>
        <w:t xml:space="preserve">.) / </w:t>
      </w:r>
      <w:r w:rsidRPr="00BE086B">
        <w:rPr>
          <w:rFonts w:eastAsia="TimesNewRoman"/>
          <w:sz w:val="28"/>
          <w:szCs w:val="28"/>
        </w:rPr>
        <w:t>редколегія</w:t>
      </w:r>
      <w:r w:rsidRPr="00BE086B">
        <w:rPr>
          <w:sz w:val="28"/>
          <w:szCs w:val="28"/>
        </w:rPr>
        <w:t xml:space="preserve">: </w:t>
      </w:r>
      <w:r w:rsidRPr="00BE086B">
        <w:rPr>
          <w:rFonts w:eastAsia="TimesNewRoman"/>
          <w:sz w:val="28"/>
          <w:szCs w:val="28"/>
        </w:rPr>
        <w:t>А</w:t>
      </w:r>
      <w:r w:rsidRPr="00BE086B">
        <w:rPr>
          <w:sz w:val="28"/>
          <w:szCs w:val="28"/>
        </w:rPr>
        <w:t xml:space="preserve">. </w:t>
      </w:r>
      <w:r w:rsidRPr="00BE086B">
        <w:rPr>
          <w:rFonts w:eastAsia="TimesNewRoman"/>
          <w:sz w:val="28"/>
          <w:szCs w:val="28"/>
        </w:rPr>
        <w:t>Л</w:t>
      </w:r>
      <w:r w:rsidRPr="00BE086B">
        <w:rPr>
          <w:sz w:val="28"/>
          <w:szCs w:val="28"/>
        </w:rPr>
        <w:t xml:space="preserve">. </w:t>
      </w:r>
      <w:r w:rsidRPr="00BE086B">
        <w:rPr>
          <w:rFonts w:eastAsia="TimesNewRoman"/>
          <w:sz w:val="28"/>
          <w:szCs w:val="28"/>
        </w:rPr>
        <w:t>Загайко</w:t>
      </w:r>
      <w:r w:rsidRPr="00BE086B">
        <w:rPr>
          <w:sz w:val="28"/>
          <w:szCs w:val="28"/>
        </w:rPr>
        <w:t xml:space="preserve">, </w:t>
      </w:r>
      <w:r w:rsidRPr="00BE086B">
        <w:rPr>
          <w:rFonts w:eastAsia="TimesNewRoman"/>
          <w:sz w:val="28"/>
          <w:szCs w:val="28"/>
        </w:rPr>
        <w:t>Д</w:t>
      </w:r>
      <w:r w:rsidRPr="00BE086B">
        <w:rPr>
          <w:sz w:val="28"/>
          <w:szCs w:val="28"/>
        </w:rPr>
        <w:t xml:space="preserve">. </w:t>
      </w:r>
      <w:r w:rsidRPr="00BE086B">
        <w:rPr>
          <w:rFonts w:eastAsia="TimesNewRoman"/>
          <w:sz w:val="28"/>
          <w:szCs w:val="28"/>
        </w:rPr>
        <w:t>І</w:t>
      </w:r>
      <w:r w:rsidRPr="00BE086B">
        <w:rPr>
          <w:sz w:val="28"/>
          <w:szCs w:val="28"/>
        </w:rPr>
        <w:t xml:space="preserve">. </w:t>
      </w:r>
      <w:r w:rsidRPr="00BE086B">
        <w:rPr>
          <w:rFonts w:eastAsia="TimesNewRoman"/>
          <w:sz w:val="28"/>
          <w:szCs w:val="28"/>
        </w:rPr>
        <w:t>Маракушин</w:t>
      </w:r>
      <w:r w:rsidRPr="00BE086B">
        <w:rPr>
          <w:sz w:val="28"/>
          <w:szCs w:val="28"/>
        </w:rPr>
        <w:t xml:space="preserve">, </w:t>
      </w:r>
      <w:r w:rsidRPr="00BE086B">
        <w:rPr>
          <w:rFonts w:eastAsia="TimesNewRoman"/>
          <w:sz w:val="28"/>
          <w:szCs w:val="28"/>
        </w:rPr>
        <w:t>В</w:t>
      </w:r>
      <w:r w:rsidRPr="00BE086B">
        <w:rPr>
          <w:sz w:val="28"/>
          <w:szCs w:val="28"/>
        </w:rPr>
        <w:t xml:space="preserve">. </w:t>
      </w:r>
      <w:r w:rsidRPr="00BE086B">
        <w:rPr>
          <w:rFonts w:eastAsia="TimesNewRoman"/>
          <w:sz w:val="28"/>
          <w:szCs w:val="28"/>
        </w:rPr>
        <w:t>М</w:t>
      </w:r>
      <w:r w:rsidRPr="00BE086B">
        <w:rPr>
          <w:sz w:val="28"/>
          <w:szCs w:val="28"/>
        </w:rPr>
        <w:t xml:space="preserve">. </w:t>
      </w:r>
      <w:r w:rsidRPr="00BE086B">
        <w:rPr>
          <w:rFonts w:eastAsia="TimesNewRoman"/>
          <w:sz w:val="28"/>
          <w:szCs w:val="28"/>
        </w:rPr>
        <w:t>Кравченко [та ін</w:t>
      </w:r>
      <w:r w:rsidRPr="00BE086B">
        <w:rPr>
          <w:sz w:val="28"/>
          <w:szCs w:val="28"/>
        </w:rPr>
        <w:t xml:space="preserve">.]. </w:t>
      </w:r>
      <w:r w:rsidRPr="00BE086B">
        <w:rPr>
          <w:rFonts w:eastAsia="TimesNewRoman"/>
          <w:sz w:val="28"/>
          <w:szCs w:val="28"/>
        </w:rPr>
        <w:t>Харків</w:t>
      </w:r>
      <w:r w:rsidRPr="00BE086B">
        <w:rPr>
          <w:sz w:val="28"/>
          <w:szCs w:val="28"/>
        </w:rPr>
        <w:t xml:space="preserve">: </w:t>
      </w:r>
      <w:r w:rsidRPr="00BE086B">
        <w:rPr>
          <w:rFonts w:eastAsia="TimesNewRoman"/>
          <w:sz w:val="28"/>
          <w:szCs w:val="28"/>
        </w:rPr>
        <w:t>НФаУ</w:t>
      </w:r>
      <w:r w:rsidRPr="00BE086B">
        <w:rPr>
          <w:sz w:val="28"/>
          <w:szCs w:val="28"/>
        </w:rPr>
        <w:t>, 2019. С. 37.</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 xml:space="preserve">Носівець Д.С. Використання НПЗЗ та хондропротекторів для лікування остеоартрозу на фоні гормональної дисфункції щитоподібної залози. </w:t>
      </w:r>
      <w:r w:rsidRPr="00BE086B">
        <w:rPr>
          <w:rStyle w:val="af"/>
          <w:rFonts w:eastAsia="Tahoma"/>
          <w:b w:val="0"/>
          <w:sz w:val="28"/>
          <w:szCs w:val="28"/>
        </w:rPr>
        <w:t>Матеріали</w:t>
      </w:r>
      <w:r w:rsidRPr="00BE086B">
        <w:rPr>
          <w:rStyle w:val="A20"/>
          <w:rFonts w:ascii="Times New Roman" w:hAnsi="Times New Roman" w:cs="Times New Roman"/>
          <w:b w:val="0"/>
          <w:color w:val="auto"/>
          <w:sz w:val="28"/>
          <w:szCs w:val="28"/>
        </w:rPr>
        <w:t xml:space="preserve"> науково-практичної конференції з міжнародною участю «Сучасні аспекти діагностики та лікування захворювань внутрішніх органів» (11 квітня 2019 р.). Івано-Франківськ, 2019. С. 68-69.</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Носивец Д.С. Рациональное использование НПВС и хондропротекторов для лечения остеоартроза при сопутствующем гипотиреозе. Актуальные проблемы современной медицины и фармации 2019: Сборник тезисов докладов LXXIII Международной научно-практической конференции студентов и молодых учёных / под редакцией А.В. Сикорского, В.Я. Хрыщановича. Минск: БГМУ, 2019. С. 1495.</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 xml:space="preserve">Носивец Д.С. Выбор НПВС для симптоматической терапии проявлений остеоартроза при сопутствующем гипотиреозе. </w:t>
      </w:r>
      <w:r w:rsidRPr="00BE086B">
        <w:rPr>
          <w:rFonts w:eastAsia="Calibri"/>
          <w:sz w:val="28"/>
          <w:szCs w:val="28"/>
        </w:rPr>
        <w:t xml:space="preserve">Материалы всероссийской научно-образовательной конференции «Научные достижения и современные технологии в российской травматологии и ортопедии», посвященной памяти профессора А.Н. Горячева. </w:t>
      </w:r>
      <w:r w:rsidRPr="00BE086B">
        <w:rPr>
          <w:sz w:val="28"/>
          <w:szCs w:val="28"/>
        </w:rPr>
        <w:t>Омск: Издательство «Омскбланкиздат», 2019. С. 48-50.</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lang w:val="en-US"/>
        </w:rPr>
        <w:lastRenderedPageBreak/>
        <w:t xml:space="preserve">Nosivets D.S. Application of nonsteroidal anti-inflammatory drugs and hondroprotectors in treatment of osteoarthritis in complex hypothyroidism. International scientific conference «Medicine under the modern conditions of integration development of European countries» (May 10-11, 2019). </w:t>
      </w:r>
      <w:r w:rsidRPr="00BE086B">
        <w:rPr>
          <w:rStyle w:val="A20"/>
          <w:rFonts w:ascii="Times New Roman" w:hAnsi="Times New Roman" w:cs="Times New Roman"/>
          <w:b w:val="0"/>
          <w:color w:val="auto"/>
          <w:sz w:val="28"/>
          <w:szCs w:val="28"/>
        </w:rPr>
        <w:t>Lublin: Izdevnieciba «Baltija Publishing», 2019. С. 146-149.</w:t>
      </w:r>
    </w:p>
    <w:p w:rsidR="000F7564" w:rsidRPr="00BE086B" w:rsidRDefault="000F7564" w:rsidP="000F7564">
      <w:pPr>
        <w:numPr>
          <w:ilvl w:val="0"/>
          <w:numId w:val="44"/>
        </w:numPr>
        <w:autoSpaceDN w:val="0"/>
        <w:spacing w:line="360" w:lineRule="auto"/>
        <w:ind w:left="0" w:firstLine="709"/>
        <w:jc w:val="both"/>
        <w:rPr>
          <w:rStyle w:val="A20"/>
          <w:rFonts w:ascii="Times New Roman" w:hAnsi="Times New Roman" w:cs="Times New Roman"/>
          <w:b w:val="0"/>
          <w:bCs w:val="0"/>
          <w:color w:val="auto"/>
          <w:sz w:val="28"/>
          <w:szCs w:val="28"/>
        </w:rPr>
      </w:pPr>
      <w:r w:rsidRPr="00BE086B">
        <w:rPr>
          <w:sz w:val="28"/>
          <w:szCs w:val="28"/>
        </w:rPr>
        <w:t xml:space="preserve">Носивец Д.С. Структурные изменения костной и хрящевой ткани при экспериментальном гипотиреозе. </w:t>
      </w:r>
      <w:r w:rsidRPr="00BE086B">
        <w:rPr>
          <w:rStyle w:val="A20"/>
          <w:rFonts w:ascii="Times New Roman" w:hAnsi="Times New Roman" w:cs="Times New Roman"/>
          <w:b w:val="0"/>
          <w:color w:val="auto"/>
          <w:sz w:val="28"/>
          <w:szCs w:val="28"/>
        </w:rPr>
        <w:t>III Международный конгресс ассоциации ревмоортопедов: тезисы докладов конгресса / редколлегия: М. А. Макаров [и др.]; Ассоциация ревмоортопедов (</w:t>
      </w:r>
      <w:r w:rsidRPr="00BE086B">
        <w:rPr>
          <w:sz w:val="28"/>
          <w:szCs w:val="28"/>
          <w:lang w:eastAsia="ru-RU"/>
        </w:rPr>
        <w:t xml:space="preserve">Москва, 20-21 сентября 2019 г.). </w:t>
      </w:r>
      <w:r w:rsidRPr="00BE086B">
        <w:rPr>
          <w:rStyle w:val="A20"/>
          <w:rFonts w:ascii="Times New Roman" w:hAnsi="Times New Roman" w:cs="Times New Roman"/>
          <w:b w:val="0"/>
          <w:color w:val="auto"/>
          <w:sz w:val="28"/>
          <w:szCs w:val="28"/>
        </w:rPr>
        <w:t>Воронеж: Издательско-полиграфический центр «Научная книга», 2019. С. 83-85.</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sz w:val="28"/>
          <w:szCs w:val="28"/>
        </w:rPr>
        <w:t>Носивец Д.С. Клинические и экспериментальные аспекты остеоартроза при сопутствующем гипотиреозе. Материалы международной научно-практической конференции «Илизаровские чтения» «Осложнения в ортопедии и травматологии. Клинические и экспериментальные аспекты» (</w:t>
      </w:r>
      <w:r w:rsidRPr="00BE086B">
        <w:rPr>
          <w:bCs/>
          <w:sz w:val="28"/>
          <w:szCs w:val="28"/>
        </w:rPr>
        <w:t>14-15 июня 2019 г.)</w:t>
      </w:r>
      <w:r w:rsidRPr="00BE086B">
        <w:rPr>
          <w:sz w:val="28"/>
          <w:szCs w:val="28"/>
        </w:rPr>
        <w:t>. Курган, 2019. С. 120-122.</w:t>
      </w:r>
    </w:p>
    <w:p w:rsidR="000F7564" w:rsidRPr="00BE086B" w:rsidRDefault="000F7564" w:rsidP="000F7564">
      <w:pPr>
        <w:numPr>
          <w:ilvl w:val="0"/>
          <w:numId w:val="44"/>
        </w:numPr>
        <w:suppressAutoHyphens w:val="0"/>
        <w:autoSpaceDN w:val="0"/>
        <w:adjustRightInd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Носівець Д.С. П</w:t>
      </w:r>
      <w:r w:rsidRPr="00BE086B">
        <w:rPr>
          <w:rStyle w:val="longtext1"/>
          <w:sz w:val="28"/>
          <w:szCs w:val="28"/>
        </w:rPr>
        <w:t xml:space="preserve">рофілактика остеоартрозу при функціональній недостатності щитоподібної залози. </w:t>
      </w:r>
      <w:r w:rsidRPr="00BE086B">
        <w:rPr>
          <w:rStyle w:val="af"/>
          <w:rFonts w:eastAsia="Tahoma"/>
          <w:b w:val="0"/>
          <w:sz w:val="28"/>
          <w:szCs w:val="28"/>
        </w:rPr>
        <w:t>Матеріали</w:t>
      </w:r>
      <w:r w:rsidRPr="00BE086B">
        <w:rPr>
          <w:sz w:val="28"/>
          <w:szCs w:val="28"/>
        </w:rPr>
        <w:t xml:space="preserve"> науково-практичної конференції з міжнародною участю </w:t>
      </w:r>
      <w:r w:rsidRPr="00BE086B">
        <w:rPr>
          <w:rStyle w:val="A20"/>
          <w:rFonts w:ascii="Times New Roman" w:hAnsi="Times New Roman" w:cs="Times New Roman"/>
          <w:b w:val="0"/>
          <w:color w:val="auto"/>
          <w:sz w:val="28"/>
          <w:szCs w:val="28"/>
        </w:rPr>
        <w:t>«Новітні тенденції в діагностиці та лікуванні внутрішніх хвороб» (</w:t>
      </w:r>
      <w:r w:rsidRPr="00BE086B">
        <w:rPr>
          <w:sz w:val="28"/>
          <w:szCs w:val="28"/>
        </w:rPr>
        <w:t>15-</w:t>
      </w:r>
      <w:r w:rsidRPr="00BE086B">
        <w:rPr>
          <w:sz w:val="28"/>
          <w:szCs w:val="28"/>
          <w:lang w:eastAsia="ru-RU"/>
        </w:rPr>
        <w:t xml:space="preserve">16 жовтня 2019 р.) </w:t>
      </w:r>
      <w:r w:rsidRPr="00BE086B">
        <w:rPr>
          <w:sz w:val="28"/>
          <w:szCs w:val="28"/>
        </w:rPr>
        <w:t>/ за ред. О.М. Біловола [та ін.]. Харків, 2019. С. 152-153.</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 xml:space="preserve">Носівець Д.С. Аналіз взаємодії лікарських засобів при фармакотерапії остеоартрозу внаслідок гіпотиреозу. Сучасна клінічна фармакологія в фармакотерапії та профілактиці захворювань з позицій доказової медицини / </w:t>
      </w:r>
      <w:r w:rsidRPr="00BE086B">
        <w:rPr>
          <w:rStyle w:val="af"/>
          <w:rFonts w:eastAsia="Tahoma"/>
          <w:b w:val="0"/>
          <w:sz w:val="28"/>
          <w:szCs w:val="28"/>
        </w:rPr>
        <w:t>Матеріали</w:t>
      </w:r>
      <w:r w:rsidRPr="00BE086B">
        <w:rPr>
          <w:rStyle w:val="A20"/>
          <w:rFonts w:ascii="Times New Roman" w:hAnsi="Times New Roman" w:cs="Times New Roman"/>
          <w:b w:val="0"/>
          <w:color w:val="auto"/>
          <w:sz w:val="28"/>
          <w:szCs w:val="28"/>
        </w:rPr>
        <w:t xml:space="preserve"> Х Всеукраїнської науково-практичної конференції </w:t>
      </w:r>
      <w:r w:rsidRPr="00BE086B">
        <w:rPr>
          <w:sz w:val="28"/>
          <w:szCs w:val="28"/>
          <w:lang w:eastAsia="ru-RU"/>
        </w:rPr>
        <w:t xml:space="preserve">за участю міжнародних спеціалістів з клінічної фармакології (7-8 листопада 2019 р.). </w:t>
      </w:r>
      <w:r w:rsidRPr="00BE086B">
        <w:rPr>
          <w:rStyle w:val="A20"/>
          <w:rFonts w:ascii="Times New Roman" w:hAnsi="Times New Roman" w:cs="Times New Roman"/>
          <w:b w:val="0"/>
          <w:color w:val="auto"/>
          <w:sz w:val="28"/>
          <w:szCs w:val="28"/>
        </w:rPr>
        <w:t>Вінниця, Нілан-ЛТД, 2019. 272 с. С. 153-154.</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 xml:space="preserve">Носівець Д.С. </w:t>
      </w:r>
      <w:r w:rsidRPr="00BE086B">
        <w:rPr>
          <w:rStyle w:val="A20"/>
          <w:rFonts w:ascii="Times New Roman" w:hAnsi="Times New Roman" w:cs="Times New Roman"/>
          <w:b w:val="0"/>
          <w:color w:val="auto"/>
          <w:sz w:val="28"/>
          <w:szCs w:val="28"/>
          <w:lang w:eastAsia="uk-UA"/>
        </w:rPr>
        <w:t xml:space="preserve">Сучасні аспекти дослідження стану хрящової та кісткової тканини при остеоартрозі внаслідок гіпотиреозу. Розвиток природничих наук як основа новітніх досягнень у медицині: </w:t>
      </w:r>
      <w:r w:rsidRPr="00BE086B">
        <w:rPr>
          <w:rStyle w:val="af"/>
          <w:rFonts w:eastAsia="Tahoma"/>
          <w:b w:val="0"/>
          <w:sz w:val="28"/>
          <w:szCs w:val="28"/>
        </w:rPr>
        <w:t>матеріали</w:t>
      </w:r>
      <w:r w:rsidRPr="00BE086B">
        <w:rPr>
          <w:rStyle w:val="A20"/>
          <w:rFonts w:ascii="Times New Roman" w:hAnsi="Times New Roman" w:cs="Times New Roman"/>
          <w:b w:val="0"/>
          <w:color w:val="auto"/>
          <w:sz w:val="28"/>
          <w:szCs w:val="28"/>
          <w:lang w:eastAsia="uk-UA"/>
        </w:rPr>
        <w:t xml:space="preserve"> </w:t>
      </w:r>
      <w:r w:rsidRPr="00BE086B">
        <w:rPr>
          <w:rStyle w:val="A20"/>
          <w:rFonts w:ascii="Times New Roman" w:hAnsi="Times New Roman" w:cs="Times New Roman"/>
          <w:b w:val="0"/>
          <w:color w:val="auto"/>
          <w:sz w:val="28"/>
          <w:szCs w:val="28"/>
          <w:lang w:eastAsia="uk-UA"/>
        </w:rPr>
        <w:lastRenderedPageBreak/>
        <w:t xml:space="preserve">науково-практичної інтернет-конференції (27 листопада 2019 р.) / за ред. В.І. Федіва – Чернівці: БДМУ, 2019. – 390 с. - </w:t>
      </w:r>
      <w:r w:rsidRPr="00BE086B">
        <w:rPr>
          <w:rStyle w:val="af"/>
          <w:b w:val="0"/>
          <w:sz w:val="28"/>
          <w:szCs w:val="28"/>
          <w:lang w:eastAsia="uk-UA"/>
        </w:rPr>
        <w:t>С. 85-86.</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rStyle w:val="A20"/>
          <w:rFonts w:ascii="Times New Roman" w:hAnsi="Times New Roman" w:cs="Times New Roman"/>
          <w:b w:val="0"/>
          <w:color w:val="auto"/>
          <w:sz w:val="28"/>
          <w:szCs w:val="28"/>
        </w:rPr>
        <w:t>Носівець Д.С. Біохімічні зміни маркерів запалення у сироватці крові щурів при призначені НПЗЗ та парацетамолу на тлі остеоартрозу та гіпотиреозу. «Ліки – людині. Сучасні проблеми фармакотерапії і призначення лікарських засобів»: матеріали ІV Міжнародної науково-практичної конференції (12-13 березня 2020 року) / у 2-х т. – Харків: НФаУ, 2020. – Т. 2. – 696 с. – (Серія «Наука»). - С. 410-411.</w:t>
      </w:r>
    </w:p>
    <w:p w:rsidR="000F7564" w:rsidRPr="00BE086B" w:rsidRDefault="000F7564" w:rsidP="000F7564">
      <w:pPr>
        <w:numPr>
          <w:ilvl w:val="0"/>
          <w:numId w:val="44"/>
        </w:numPr>
        <w:autoSpaceDN w:val="0"/>
        <w:spacing w:line="360" w:lineRule="auto"/>
        <w:ind w:left="0" w:firstLine="709"/>
        <w:jc w:val="both"/>
        <w:rPr>
          <w:rStyle w:val="a9"/>
          <w:color w:val="auto"/>
          <w:sz w:val="28"/>
          <w:szCs w:val="28"/>
          <w:u w:val="none"/>
        </w:rPr>
      </w:pPr>
      <w:r w:rsidRPr="00BE086B">
        <w:rPr>
          <w:rStyle w:val="A20"/>
          <w:rFonts w:ascii="Times New Roman" w:hAnsi="Times New Roman" w:cs="Times New Roman"/>
          <w:b w:val="0"/>
          <w:color w:val="auto"/>
          <w:kern w:val="2"/>
          <w:sz w:val="28"/>
          <w:szCs w:val="28"/>
        </w:rPr>
        <w:t xml:space="preserve">Носівець Д.С. </w:t>
      </w:r>
      <w:r w:rsidRPr="00BE086B">
        <w:rPr>
          <w:rStyle w:val="a9"/>
          <w:color w:val="auto"/>
          <w:kern w:val="2"/>
          <w:sz w:val="28"/>
          <w:szCs w:val="28"/>
          <w:u w:val="none"/>
        </w:rPr>
        <w:t xml:space="preserve">Іноваційні заходи лікування проявів остеоартрозу внаслідок функціональної недостатності щитоподібної залози. Сучасний стан та перспективи розвитку природничих дисциплін в медичній освіті: </w:t>
      </w:r>
      <w:r w:rsidRPr="00BE086B">
        <w:rPr>
          <w:rStyle w:val="af"/>
          <w:rFonts w:eastAsia="Tahoma"/>
          <w:b w:val="0"/>
          <w:sz w:val="28"/>
          <w:szCs w:val="28"/>
        </w:rPr>
        <w:t>Матеріали</w:t>
      </w:r>
      <w:r w:rsidRPr="00BE086B">
        <w:rPr>
          <w:rStyle w:val="a9"/>
          <w:color w:val="auto"/>
          <w:kern w:val="2"/>
          <w:sz w:val="28"/>
          <w:szCs w:val="28"/>
          <w:u w:val="none"/>
        </w:rPr>
        <w:t xml:space="preserve"> Всеукраїнської науково-практичної інтернет-конференції, м. Кропивницький, 20 березня 2020 р. / за ред. Л.П. Суховірської – Кропивницький, 2020 р. – 196 с. - С. 114-117.</w:t>
      </w:r>
    </w:p>
    <w:p w:rsidR="000F7564" w:rsidRPr="00BE086B" w:rsidRDefault="000F7564" w:rsidP="000F7564">
      <w:pPr>
        <w:numPr>
          <w:ilvl w:val="0"/>
          <w:numId w:val="44"/>
        </w:numPr>
        <w:autoSpaceDN w:val="0"/>
        <w:spacing w:line="360" w:lineRule="auto"/>
        <w:ind w:left="0" w:firstLine="709"/>
        <w:jc w:val="both"/>
        <w:rPr>
          <w:bCs/>
          <w:sz w:val="28"/>
          <w:szCs w:val="28"/>
        </w:rPr>
      </w:pPr>
      <w:r w:rsidRPr="00BE086B">
        <w:rPr>
          <w:bCs/>
          <w:sz w:val="28"/>
          <w:szCs w:val="28"/>
        </w:rPr>
        <w:t xml:space="preserve">Носівець Д.С. Використання комбінованого засобу: диклофенак натрію, хондроїтин сульфат та L-тироксин при остеоартрозі на фоні гіпотиреозу. </w:t>
      </w:r>
      <w:r w:rsidRPr="00BE086B">
        <w:rPr>
          <w:rStyle w:val="A20"/>
          <w:rFonts w:ascii="Times New Roman" w:hAnsi="Times New Roman" w:cs="Times New Roman"/>
          <w:b w:val="0"/>
          <w:color w:val="auto"/>
          <w:sz w:val="28"/>
          <w:szCs w:val="28"/>
        </w:rPr>
        <w:t>«Ліки – людині. Сучасні проблеми фармакотерапії та призначення лікарських засобів»: матеріали V Міжнародної науково-практичної конференції (11-12 березня 2021 року) – Харків: НФаУ, 2021. – 918 с. – С. 616-618.</w:t>
      </w:r>
    </w:p>
    <w:p w:rsidR="000F7564" w:rsidRPr="00BE086B" w:rsidRDefault="000F7564" w:rsidP="000F7564">
      <w:pPr>
        <w:numPr>
          <w:ilvl w:val="0"/>
          <w:numId w:val="44"/>
        </w:numPr>
        <w:autoSpaceDN w:val="0"/>
        <w:spacing w:line="360" w:lineRule="auto"/>
        <w:ind w:left="0" w:firstLine="709"/>
        <w:jc w:val="both"/>
        <w:rPr>
          <w:sz w:val="28"/>
          <w:szCs w:val="28"/>
        </w:rPr>
      </w:pPr>
      <w:r w:rsidRPr="00BE086B">
        <w:rPr>
          <w:bCs/>
          <w:sz w:val="28"/>
          <w:szCs w:val="28"/>
        </w:rPr>
        <w:t xml:space="preserve">Носівець Д.С. </w:t>
      </w:r>
      <w:r w:rsidRPr="00BE086B">
        <w:rPr>
          <w:sz w:val="28"/>
          <w:szCs w:val="28"/>
        </w:rPr>
        <w:t xml:space="preserve">Іноваційні заходи лікування остеоартриту на фоні гіпофункції щитоподібної залози. </w:t>
      </w:r>
      <w:r w:rsidRPr="00BE086B">
        <w:rPr>
          <w:rStyle w:val="a9"/>
          <w:color w:val="auto"/>
          <w:kern w:val="2"/>
          <w:sz w:val="28"/>
          <w:szCs w:val="28"/>
          <w:u w:val="none"/>
        </w:rPr>
        <w:t xml:space="preserve">Сучасний стан та перспективи розвитку природничих дисциплін в медичній освіті: </w:t>
      </w:r>
      <w:r w:rsidRPr="00BE086B">
        <w:rPr>
          <w:rStyle w:val="af"/>
          <w:rFonts w:eastAsia="Tahoma"/>
          <w:b w:val="0"/>
          <w:sz w:val="28"/>
          <w:szCs w:val="28"/>
        </w:rPr>
        <w:t>Матеріали</w:t>
      </w:r>
      <w:r w:rsidRPr="00BE086B">
        <w:rPr>
          <w:rStyle w:val="a9"/>
          <w:color w:val="auto"/>
          <w:kern w:val="2"/>
          <w:sz w:val="28"/>
          <w:szCs w:val="28"/>
          <w:u w:val="none"/>
        </w:rPr>
        <w:t xml:space="preserve"> ІІ Всеукраїнської науково-практичної інтернет-конференції, м. Кропивницький, 19 березня 2021 р. / за ред. Л. П. Суховірської – Кропивницький, 2021 р. – 296 с. - С. 327-239.</w:t>
      </w:r>
    </w:p>
    <w:p w:rsidR="008B13C0" w:rsidRDefault="008B13C0"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Default="00125A5A" w:rsidP="009D0803">
      <w:pPr>
        <w:pStyle w:val="af0"/>
        <w:ind w:firstLine="709"/>
        <w:jc w:val="both"/>
        <w:rPr>
          <w:sz w:val="28"/>
          <w:szCs w:val="28"/>
          <w:lang w:val="uk-UA"/>
        </w:rPr>
      </w:pPr>
    </w:p>
    <w:p w:rsidR="00125A5A" w:rsidRPr="00BE086B" w:rsidRDefault="00125A5A" w:rsidP="009D0803">
      <w:pPr>
        <w:pStyle w:val="af0"/>
        <w:ind w:firstLine="709"/>
        <w:jc w:val="both"/>
        <w:rPr>
          <w:sz w:val="28"/>
          <w:szCs w:val="28"/>
          <w:lang w:val="uk-UA"/>
        </w:rPr>
      </w:pPr>
    </w:p>
    <w:p w:rsidR="005579C9" w:rsidRPr="00BE086B" w:rsidRDefault="005579C9" w:rsidP="005579C9">
      <w:pPr>
        <w:spacing w:line="360" w:lineRule="auto"/>
        <w:ind w:firstLine="709"/>
        <w:jc w:val="center"/>
        <w:rPr>
          <w:b/>
          <w:sz w:val="28"/>
          <w:szCs w:val="28"/>
          <w:lang w:val="uk-UA"/>
        </w:rPr>
      </w:pPr>
      <w:r w:rsidRPr="00BE086B">
        <w:rPr>
          <w:b/>
          <w:sz w:val="28"/>
          <w:szCs w:val="28"/>
          <w:lang w:val="uk-UA"/>
        </w:rPr>
        <w:lastRenderedPageBreak/>
        <w:t>ДОДАТОК 2</w:t>
      </w:r>
    </w:p>
    <w:p w:rsidR="005579C9" w:rsidRPr="00BE086B" w:rsidRDefault="005579C9" w:rsidP="005579C9">
      <w:pPr>
        <w:spacing w:line="360" w:lineRule="auto"/>
        <w:ind w:firstLine="709"/>
        <w:jc w:val="center"/>
        <w:rPr>
          <w:b/>
          <w:sz w:val="28"/>
          <w:szCs w:val="28"/>
          <w:lang w:val="uk-UA"/>
        </w:rPr>
      </w:pPr>
    </w:p>
    <w:p w:rsidR="005579C9" w:rsidRPr="00BE086B" w:rsidRDefault="005579C9" w:rsidP="005579C9">
      <w:pPr>
        <w:spacing w:line="360" w:lineRule="auto"/>
        <w:ind w:firstLine="709"/>
        <w:jc w:val="center"/>
        <w:rPr>
          <w:sz w:val="28"/>
          <w:szCs w:val="28"/>
          <w:lang w:val="uk-UA"/>
        </w:rPr>
      </w:pPr>
      <w:r w:rsidRPr="00BE086B">
        <w:rPr>
          <w:b/>
          <w:sz w:val="28"/>
          <w:szCs w:val="28"/>
          <w:lang w:val="uk-UA"/>
        </w:rPr>
        <w:t>АПРОБАЦІЯ РЕЗУЛЬТАТІВ ДИСЕРТАЦІЇ</w:t>
      </w:r>
    </w:p>
    <w:p w:rsidR="005579C9" w:rsidRPr="00BE086B" w:rsidRDefault="005579C9" w:rsidP="005579C9">
      <w:pPr>
        <w:spacing w:line="360" w:lineRule="auto"/>
        <w:ind w:firstLine="709"/>
        <w:jc w:val="both"/>
        <w:rPr>
          <w:sz w:val="28"/>
          <w:szCs w:val="28"/>
          <w:lang w:val="uk-UA"/>
        </w:rPr>
      </w:pPr>
    </w:p>
    <w:p w:rsidR="005579C9" w:rsidRPr="00BE086B" w:rsidRDefault="005579C9" w:rsidP="005579C9">
      <w:pPr>
        <w:spacing w:line="360" w:lineRule="auto"/>
        <w:ind w:firstLine="709"/>
        <w:jc w:val="both"/>
        <w:rPr>
          <w:sz w:val="28"/>
          <w:szCs w:val="28"/>
          <w:lang w:val="uk-UA"/>
        </w:rPr>
      </w:pPr>
      <w:r w:rsidRPr="00BE086B">
        <w:rPr>
          <w:sz w:val="28"/>
          <w:szCs w:val="28"/>
          <w:lang w:val="uk-UA"/>
        </w:rPr>
        <w:t>Матеріали дисертаційної роботи представлені на:</w:t>
      </w:r>
    </w:p>
    <w:p w:rsidR="005579C9" w:rsidRPr="00BE086B" w:rsidRDefault="005579C9" w:rsidP="005579C9">
      <w:pPr>
        <w:spacing w:line="360" w:lineRule="auto"/>
        <w:ind w:firstLine="709"/>
        <w:jc w:val="both"/>
        <w:rPr>
          <w:sz w:val="28"/>
          <w:szCs w:val="28"/>
          <w:lang w:val="uk-UA"/>
        </w:rPr>
      </w:pPr>
    </w:p>
    <w:p w:rsidR="005579C9" w:rsidRPr="00BE086B" w:rsidRDefault="005579C9" w:rsidP="005579C9">
      <w:pPr>
        <w:numPr>
          <w:ilvl w:val="0"/>
          <w:numId w:val="45"/>
        </w:numPr>
        <w:spacing w:line="360" w:lineRule="auto"/>
        <w:ind w:left="0" w:firstLine="709"/>
        <w:jc w:val="both"/>
        <w:rPr>
          <w:sz w:val="28"/>
          <w:szCs w:val="28"/>
          <w:lang w:val="uk-UA"/>
        </w:rPr>
      </w:pPr>
      <w:r w:rsidRPr="00BE086B">
        <w:rPr>
          <w:sz w:val="28"/>
          <w:szCs w:val="28"/>
        </w:rPr>
        <w:t>XIII</w:t>
      </w:r>
      <w:r w:rsidRPr="00BE086B">
        <w:rPr>
          <w:sz w:val="28"/>
          <w:szCs w:val="28"/>
          <w:lang w:val="uk-UA"/>
        </w:rPr>
        <w:t xml:space="preserve"> Северо-Западной научно-практической конференции по ревматологии (Санкт-Петербург, 2013)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sz w:val="28"/>
          <w:szCs w:val="28"/>
          <w:lang w:val="uk-UA"/>
        </w:rPr>
      </w:pPr>
      <w:r w:rsidRPr="00BE086B">
        <w:rPr>
          <w:rFonts w:eastAsia="PetersburgC-Italic"/>
          <w:sz w:val="28"/>
          <w:szCs w:val="28"/>
          <w:lang w:val="uk-UA"/>
        </w:rPr>
        <w:t xml:space="preserve">XVІ Міжнародній конференції </w:t>
      </w:r>
      <w:r w:rsidRPr="00BE086B">
        <w:rPr>
          <w:sz w:val="28"/>
          <w:szCs w:val="28"/>
          <w:lang w:val="uk-UA"/>
        </w:rPr>
        <w:t>«</w:t>
      </w:r>
      <w:r w:rsidRPr="00BE086B">
        <w:rPr>
          <w:rFonts w:eastAsia="PetersburgC-Italic"/>
          <w:sz w:val="28"/>
          <w:szCs w:val="28"/>
          <w:lang w:val="uk-UA"/>
        </w:rPr>
        <w:t>Современные стратегия и тактика в неврологии</w:t>
      </w:r>
      <w:r w:rsidRPr="00BE086B">
        <w:rPr>
          <w:sz w:val="28"/>
          <w:szCs w:val="28"/>
          <w:lang w:val="uk-UA"/>
        </w:rPr>
        <w:t>»</w:t>
      </w:r>
      <w:r w:rsidRPr="00BE086B">
        <w:rPr>
          <w:rFonts w:eastAsia="PetersburgC-Italic"/>
          <w:sz w:val="28"/>
          <w:szCs w:val="28"/>
          <w:lang w:val="uk-UA"/>
        </w:rPr>
        <w:t xml:space="preserve"> (</w:t>
      </w:r>
      <w:r w:rsidRPr="00BE086B">
        <w:rPr>
          <w:sz w:val="28"/>
          <w:szCs w:val="28"/>
          <w:lang w:val="uk-UA"/>
        </w:rPr>
        <w:t xml:space="preserve">Трускавець, 2014)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sz w:val="28"/>
          <w:szCs w:val="28"/>
          <w:lang w:val="uk-UA"/>
        </w:rPr>
      </w:pPr>
      <w:r w:rsidRPr="00BE086B">
        <w:rPr>
          <w:sz w:val="28"/>
          <w:szCs w:val="28"/>
          <w:lang w:val="uk-UA"/>
        </w:rPr>
        <w:t xml:space="preserve">ХІX Міжнародному медичному конгресі студентів та молодих вчених (Тернопіль, 2015)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Fonts w:eastAsia="Calibri"/>
          <w:sz w:val="28"/>
          <w:szCs w:val="28"/>
          <w:lang w:val="uk-UA"/>
        </w:rPr>
      </w:pPr>
      <w:r w:rsidRPr="00BE086B">
        <w:rPr>
          <w:rStyle w:val="af"/>
          <w:rFonts w:eastAsia="Tahoma"/>
          <w:b w:val="0"/>
          <w:sz w:val="28"/>
          <w:szCs w:val="28"/>
          <w:lang w:val="uk-UA"/>
        </w:rPr>
        <w:t>Н</w:t>
      </w:r>
      <w:r w:rsidRPr="00BE086B">
        <w:rPr>
          <w:rStyle w:val="af"/>
          <w:b w:val="0"/>
          <w:sz w:val="28"/>
          <w:szCs w:val="28"/>
          <w:lang w:val="uk-UA"/>
        </w:rPr>
        <w:t xml:space="preserve">ауково-практичній конференції </w:t>
      </w:r>
      <w:r w:rsidRPr="00BE086B">
        <w:rPr>
          <w:rStyle w:val="A20"/>
          <w:rFonts w:ascii="Times New Roman" w:hAnsi="Times New Roman" w:cs="Times New Roman"/>
          <w:b w:val="0"/>
          <w:color w:val="auto"/>
          <w:sz w:val="28"/>
          <w:szCs w:val="28"/>
          <w:lang w:val="uk-UA"/>
        </w:rPr>
        <w:t xml:space="preserve">«Філатовські читання - 2016» (Одеса, 2016)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sz w:val="28"/>
          <w:szCs w:val="28"/>
          <w:lang w:val="uk-UA"/>
        </w:rPr>
      </w:pPr>
      <w:r w:rsidRPr="00BE086B">
        <w:rPr>
          <w:rFonts w:eastAsia="Calibri"/>
          <w:sz w:val="28"/>
          <w:szCs w:val="28"/>
          <w:lang w:val="uk-UA"/>
        </w:rPr>
        <w:t xml:space="preserve">V Національному з’їзді фармакологів України (Запоріжжя, 2017)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Fonts w:eastAsia="Calibri"/>
          <w:sz w:val="28"/>
          <w:szCs w:val="28"/>
          <w:lang w:val="uk-UA"/>
        </w:rPr>
      </w:pPr>
      <w:r w:rsidRPr="00BE086B">
        <w:rPr>
          <w:rFonts w:eastAsia="Calibri-Bold"/>
          <w:sz w:val="28"/>
          <w:szCs w:val="28"/>
          <w:lang w:val="uk-UA"/>
        </w:rPr>
        <w:t>I Міжнародному конгресі асоціації</w:t>
      </w:r>
      <w:r w:rsidRPr="00BE086B">
        <w:rPr>
          <w:rFonts w:eastAsia="Calibri"/>
          <w:sz w:val="28"/>
          <w:szCs w:val="28"/>
          <w:lang w:val="uk-UA"/>
        </w:rPr>
        <w:t xml:space="preserve"> ревмоортопедів (Воронеж, 2017)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Fonts w:eastAsia="TimesNewRomanPSMT"/>
          <w:sz w:val="28"/>
          <w:szCs w:val="28"/>
          <w:lang w:val="uk-UA"/>
        </w:rPr>
      </w:pPr>
      <w:r w:rsidRPr="00BE086B">
        <w:rPr>
          <w:rFonts w:eastAsia="TimesNewRomanPSMT"/>
          <w:sz w:val="28"/>
          <w:szCs w:val="28"/>
          <w:lang w:val="uk-UA"/>
        </w:rPr>
        <w:t xml:space="preserve">ІХ Всеукраїнській науково-практичній конференції </w:t>
      </w:r>
      <w:r w:rsidRPr="00BE086B">
        <w:rPr>
          <w:rStyle w:val="A20"/>
          <w:rFonts w:ascii="Times New Roman" w:hAnsi="Times New Roman" w:cs="Times New Roman"/>
          <w:color w:val="auto"/>
          <w:sz w:val="28"/>
          <w:szCs w:val="28"/>
          <w:lang w:val="uk-UA"/>
        </w:rPr>
        <w:t>«</w:t>
      </w:r>
      <w:r w:rsidRPr="00BE086B">
        <w:rPr>
          <w:rFonts w:eastAsia="TimesNewRomanPSMT"/>
          <w:sz w:val="28"/>
          <w:szCs w:val="28"/>
          <w:lang w:val="uk-UA"/>
        </w:rPr>
        <w:t>Сучасні аспекти клінічної фармакології на тлі досягнень доказової медицини</w:t>
      </w:r>
      <w:r w:rsidRPr="00BE086B">
        <w:rPr>
          <w:rStyle w:val="A20"/>
          <w:rFonts w:ascii="Times New Roman" w:hAnsi="Times New Roman" w:cs="Times New Roman"/>
          <w:color w:val="auto"/>
          <w:sz w:val="28"/>
          <w:szCs w:val="28"/>
          <w:lang w:val="uk-UA"/>
        </w:rPr>
        <w:t>»</w:t>
      </w:r>
      <w:r w:rsidRPr="00BE086B">
        <w:rPr>
          <w:rFonts w:eastAsia="TimesNewRomanPSMT"/>
          <w:sz w:val="28"/>
          <w:szCs w:val="28"/>
          <w:lang w:val="uk-UA"/>
        </w:rPr>
        <w:t xml:space="preserve"> (Вінниця, 2017)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f"/>
          <w:b w:val="0"/>
          <w:sz w:val="28"/>
          <w:szCs w:val="28"/>
          <w:lang w:val="uk-UA"/>
        </w:rPr>
      </w:pPr>
      <w:r w:rsidRPr="00BE086B">
        <w:rPr>
          <w:rStyle w:val="af"/>
          <w:b w:val="0"/>
          <w:sz w:val="28"/>
          <w:szCs w:val="28"/>
          <w:lang w:val="uk-UA"/>
        </w:rPr>
        <w:t xml:space="preserve">International scientific and practical conference «Prospects for the development of medicine in EU countries and Ukraine» (Wloclawek, Republic of Poland, 2018)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sz w:val="28"/>
          <w:szCs w:val="28"/>
          <w:lang w:val="uk-UA"/>
        </w:rPr>
      </w:pPr>
      <w:r w:rsidRPr="00BE086B">
        <w:rPr>
          <w:rStyle w:val="af"/>
          <w:rFonts w:eastAsia="PetersburgC-Italic"/>
          <w:b w:val="0"/>
          <w:sz w:val="28"/>
          <w:szCs w:val="28"/>
          <w:lang w:val="uk-UA"/>
        </w:rPr>
        <w:t>Н</w:t>
      </w:r>
      <w:r w:rsidRPr="00BE086B">
        <w:rPr>
          <w:sz w:val="28"/>
          <w:szCs w:val="28"/>
          <w:lang w:val="uk-UA"/>
        </w:rPr>
        <w:t>аучно-практической конференции с международным участием, посвященной 90-летию со дня рождения профессора Н.П. Демичева</w:t>
      </w:r>
      <w:r w:rsidRPr="00BE086B">
        <w:rPr>
          <w:rStyle w:val="af"/>
          <w:sz w:val="28"/>
          <w:szCs w:val="28"/>
          <w:lang w:val="uk-UA"/>
        </w:rPr>
        <w:t xml:space="preserve"> </w:t>
      </w:r>
      <w:r w:rsidRPr="00BE086B">
        <w:rPr>
          <w:sz w:val="28"/>
          <w:szCs w:val="28"/>
          <w:lang w:val="uk-UA"/>
        </w:rPr>
        <w:t xml:space="preserve">(Астрахань,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sz w:val="28"/>
          <w:szCs w:val="28"/>
          <w:lang w:val="uk-UA"/>
        </w:rPr>
      </w:pPr>
      <w:r w:rsidRPr="00BE086B">
        <w:rPr>
          <w:rFonts w:eastAsia="TimesNewRoman"/>
          <w:sz w:val="28"/>
          <w:szCs w:val="28"/>
          <w:lang w:val="uk-UA"/>
        </w:rPr>
        <w:t>Міжвузівський</w:t>
      </w:r>
      <w:r w:rsidRPr="00BE086B">
        <w:rPr>
          <w:sz w:val="28"/>
          <w:szCs w:val="28"/>
          <w:lang w:val="uk-UA"/>
        </w:rPr>
        <w:t xml:space="preserve"> </w:t>
      </w:r>
      <w:r w:rsidRPr="00BE086B">
        <w:rPr>
          <w:rFonts w:eastAsia="TimesNewRoman"/>
          <w:sz w:val="28"/>
          <w:szCs w:val="28"/>
          <w:lang w:val="uk-UA"/>
        </w:rPr>
        <w:t>науково</w:t>
      </w:r>
      <w:r w:rsidRPr="00BE086B">
        <w:rPr>
          <w:sz w:val="28"/>
          <w:szCs w:val="28"/>
          <w:lang w:val="uk-UA"/>
        </w:rPr>
        <w:t>-</w:t>
      </w:r>
      <w:r w:rsidRPr="00BE086B">
        <w:rPr>
          <w:rFonts w:eastAsia="TimesNewRoman"/>
          <w:sz w:val="28"/>
          <w:szCs w:val="28"/>
          <w:lang w:val="uk-UA"/>
        </w:rPr>
        <w:t>практичній</w:t>
      </w:r>
      <w:r w:rsidRPr="00BE086B">
        <w:rPr>
          <w:sz w:val="28"/>
          <w:szCs w:val="28"/>
          <w:lang w:val="uk-UA"/>
        </w:rPr>
        <w:t xml:space="preserve"> </w:t>
      </w:r>
      <w:r w:rsidRPr="00BE086B">
        <w:rPr>
          <w:rFonts w:eastAsia="TimesNewRoman"/>
          <w:sz w:val="28"/>
          <w:szCs w:val="28"/>
          <w:lang w:val="uk-UA"/>
        </w:rPr>
        <w:t>конференції</w:t>
      </w:r>
      <w:r w:rsidRPr="00BE086B">
        <w:rPr>
          <w:sz w:val="28"/>
          <w:szCs w:val="28"/>
          <w:lang w:val="uk-UA"/>
        </w:rPr>
        <w:t xml:space="preserve"> </w:t>
      </w:r>
      <w:r w:rsidRPr="00BE086B">
        <w:rPr>
          <w:rFonts w:eastAsia="TimesNewRoman"/>
          <w:sz w:val="28"/>
          <w:szCs w:val="28"/>
          <w:lang w:val="uk-UA"/>
        </w:rPr>
        <w:t>молодих учених та студентів</w:t>
      </w:r>
      <w:r w:rsidRPr="00BE086B">
        <w:rPr>
          <w:rStyle w:val="af"/>
          <w:sz w:val="28"/>
          <w:szCs w:val="28"/>
          <w:lang w:val="uk-UA"/>
        </w:rPr>
        <w:t xml:space="preserve"> «</w:t>
      </w:r>
      <w:r w:rsidRPr="00BE086B">
        <w:rPr>
          <w:rFonts w:eastAsia="TimesNewRoman"/>
          <w:sz w:val="28"/>
          <w:szCs w:val="28"/>
          <w:lang w:val="uk-UA"/>
        </w:rPr>
        <w:t>Фізіологічні та біохімічні механізми розвитку і корекції</w:t>
      </w:r>
      <w:r w:rsidRPr="00BE086B">
        <w:rPr>
          <w:sz w:val="28"/>
          <w:szCs w:val="28"/>
          <w:lang w:val="uk-UA"/>
        </w:rPr>
        <w:t xml:space="preserve"> </w:t>
      </w:r>
      <w:r w:rsidRPr="00BE086B">
        <w:rPr>
          <w:rFonts w:eastAsia="TimesNewRoman"/>
          <w:sz w:val="28"/>
          <w:szCs w:val="28"/>
          <w:lang w:val="uk-UA"/>
        </w:rPr>
        <w:t>патологічних станів</w:t>
      </w:r>
      <w:r w:rsidRPr="00BE086B">
        <w:rPr>
          <w:rStyle w:val="af"/>
          <w:b w:val="0"/>
          <w:sz w:val="28"/>
          <w:szCs w:val="28"/>
          <w:lang w:val="uk-UA"/>
        </w:rPr>
        <w:t>» (</w:t>
      </w:r>
      <w:r w:rsidRPr="00BE086B">
        <w:rPr>
          <w:rFonts w:eastAsia="TimesNewRoman"/>
          <w:sz w:val="28"/>
          <w:szCs w:val="28"/>
          <w:lang w:val="uk-UA"/>
        </w:rPr>
        <w:t>Харків</w:t>
      </w:r>
      <w:r w:rsidRPr="00BE086B">
        <w:rPr>
          <w:sz w:val="28"/>
          <w:szCs w:val="28"/>
          <w:lang w:val="uk-UA"/>
        </w:rPr>
        <w:t xml:space="preserve">,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20"/>
          <w:rFonts w:ascii="Times New Roman" w:hAnsi="Times New Roman" w:cs="Times New Roman"/>
          <w:b w:val="0"/>
          <w:color w:val="auto"/>
          <w:sz w:val="28"/>
          <w:szCs w:val="28"/>
          <w:lang w:val="uk-UA"/>
        </w:rPr>
      </w:pPr>
      <w:r w:rsidRPr="00BE086B">
        <w:rPr>
          <w:rStyle w:val="af"/>
          <w:rFonts w:eastAsia="PetersburgC-Italic"/>
          <w:b w:val="0"/>
          <w:sz w:val="28"/>
          <w:szCs w:val="28"/>
          <w:lang w:val="uk-UA"/>
        </w:rPr>
        <w:lastRenderedPageBreak/>
        <w:t xml:space="preserve">Міжнародній </w:t>
      </w:r>
      <w:r w:rsidRPr="00BE086B">
        <w:rPr>
          <w:rStyle w:val="af"/>
          <w:rFonts w:eastAsia="Tahoma"/>
          <w:b w:val="0"/>
          <w:sz w:val="28"/>
          <w:szCs w:val="28"/>
          <w:lang w:val="uk-UA"/>
        </w:rPr>
        <w:t>н</w:t>
      </w:r>
      <w:r w:rsidRPr="00BE086B">
        <w:rPr>
          <w:rStyle w:val="af"/>
          <w:b w:val="0"/>
          <w:sz w:val="28"/>
          <w:szCs w:val="28"/>
          <w:lang w:val="uk-UA"/>
        </w:rPr>
        <w:t>ауково-практичній конференції</w:t>
      </w:r>
      <w:r w:rsidRPr="00BE086B">
        <w:rPr>
          <w:rStyle w:val="A20"/>
          <w:rFonts w:ascii="Times New Roman" w:hAnsi="Times New Roman" w:cs="Times New Roman"/>
          <w:b w:val="0"/>
          <w:color w:val="auto"/>
          <w:sz w:val="28"/>
          <w:szCs w:val="28"/>
          <w:lang w:val="uk-UA"/>
        </w:rPr>
        <w:t xml:space="preserve"> «Сучасні стандарти діагностики та лікування захворювань внутрішніх органів» (Івано-Франківськ, 2019)</w:t>
      </w:r>
      <w:r w:rsidRPr="00BE086B">
        <w:rPr>
          <w:i/>
          <w:sz w:val="28"/>
          <w:szCs w:val="28"/>
          <w:lang w:val="uk-UA"/>
        </w:rPr>
        <w:t xml:space="preserve"> (форма участі – публікація тез).</w:t>
      </w:r>
    </w:p>
    <w:p w:rsidR="005579C9" w:rsidRPr="00BE086B" w:rsidRDefault="005579C9" w:rsidP="005579C9">
      <w:pPr>
        <w:numPr>
          <w:ilvl w:val="0"/>
          <w:numId w:val="45"/>
        </w:numPr>
        <w:spacing w:line="360" w:lineRule="auto"/>
        <w:ind w:left="0" w:firstLine="709"/>
        <w:jc w:val="both"/>
        <w:rPr>
          <w:sz w:val="28"/>
          <w:szCs w:val="28"/>
          <w:lang w:val="uk-UA"/>
        </w:rPr>
      </w:pPr>
      <w:r w:rsidRPr="00BE086B">
        <w:rPr>
          <w:rStyle w:val="A20"/>
          <w:rFonts w:ascii="Times New Roman" w:hAnsi="Times New Roman" w:cs="Times New Roman"/>
          <w:b w:val="0"/>
          <w:color w:val="auto"/>
          <w:sz w:val="28"/>
          <w:szCs w:val="28"/>
          <w:lang w:val="uk-UA"/>
        </w:rPr>
        <w:t xml:space="preserve">LXXIII </w:t>
      </w:r>
      <w:r w:rsidRPr="00BE086B">
        <w:rPr>
          <w:rStyle w:val="af"/>
          <w:rFonts w:eastAsia="PetersburgC-Italic"/>
          <w:b w:val="0"/>
          <w:sz w:val="28"/>
          <w:szCs w:val="28"/>
          <w:lang w:val="uk-UA"/>
        </w:rPr>
        <w:t xml:space="preserve">Міжнародній </w:t>
      </w:r>
      <w:r w:rsidRPr="00BE086B">
        <w:rPr>
          <w:rStyle w:val="af"/>
          <w:rFonts w:eastAsia="Tahoma"/>
          <w:b w:val="0"/>
          <w:sz w:val="28"/>
          <w:szCs w:val="28"/>
          <w:lang w:val="uk-UA"/>
        </w:rPr>
        <w:t>н</w:t>
      </w:r>
      <w:r w:rsidRPr="00BE086B">
        <w:rPr>
          <w:rStyle w:val="af"/>
          <w:b w:val="0"/>
          <w:sz w:val="28"/>
          <w:szCs w:val="28"/>
          <w:lang w:val="uk-UA"/>
        </w:rPr>
        <w:t>ауково-практичній конференції</w:t>
      </w:r>
      <w:r w:rsidRPr="00BE086B">
        <w:rPr>
          <w:b/>
          <w:sz w:val="28"/>
          <w:szCs w:val="28"/>
          <w:lang w:val="uk-UA"/>
        </w:rPr>
        <w:t xml:space="preserve"> </w:t>
      </w:r>
      <w:r w:rsidRPr="00BE086B">
        <w:rPr>
          <w:rStyle w:val="A20"/>
          <w:rFonts w:ascii="Times New Roman" w:hAnsi="Times New Roman" w:cs="Times New Roman"/>
          <w:b w:val="0"/>
          <w:color w:val="auto"/>
          <w:sz w:val="28"/>
          <w:szCs w:val="28"/>
          <w:lang w:val="uk-UA"/>
        </w:rPr>
        <w:t>«</w:t>
      </w:r>
      <w:r w:rsidRPr="00BE086B">
        <w:rPr>
          <w:sz w:val="28"/>
          <w:szCs w:val="28"/>
          <w:lang w:val="uk-UA"/>
        </w:rPr>
        <w:t>Актуальные проблемы современной медицины и фармации 2019</w:t>
      </w:r>
      <w:r w:rsidRPr="00BE086B">
        <w:rPr>
          <w:rStyle w:val="A20"/>
          <w:rFonts w:ascii="Times New Roman" w:hAnsi="Times New Roman" w:cs="Times New Roman"/>
          <w:b w:val="0"/>
          <w:color w:val="auto"/>
          <w:sz w:val="28"/>
          <w:szCs w:val="28"/>
          <w:lang w:val="uk-UA"/>
        </w:rPr>
        <w:t>» (</w:t>
      </w:r>
      <w:r w:rsidRPr="00BE086B">
        <w:rPr>
          <w:sz w:val="28"/>
          <w:szCs w:val="28"/>
          <w:lang w:val="uk-UA"/>
        </w:rPr>
        <w:t xml:space="preserve">Мінськ, Білорусь,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sz w:val="28"/>
          <w:szCs w:val="28"/>
          <w:lang w:val="uk-UA"/>
        </w:rPr>
      </w:pPr>
      <w:r w:rsidRPr="00BE086B">
        <w:rPr>
          <w:sz w:val="28"/>
          <w:szCs w:val="28"/>
          <w:lang w:val="uk-UA"/>
        </w:rPr>
        <w:t xml:space="preserve">Науково-освітній конференції </w:t>
      </w:r>
      <w:r w:rsidRPr="00BE086B">
        <w:rPr>
          <w:rFonts w:eastAsia="Calibri"/>
          <w:sz w:val="28"/>
          <w:szCs w:val="28"/>
          <w:lang w:val="uk-UA"/>
        </w:rPr>
        <w:t>«Научные достижения и современные технологии в российской травматологии и ортопедии» (</w:t>
      </w:r>
      <w:r w:rsidRPr="00BE086B">
        <w:rPr>
          <w:sz w:val="28"/>
          <w:szCs w:val="28"/>
          <w:lang w:val="uk-UA"/>
        </w:rPr>
        <w:t xml:space="preserve">Омск,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20"/>
          <w:rFonts w:ascii="Times New Roman" w:hAnsi="Times New Roman" w:cs="Times New Roman"/>
          <w:b w:val="0"/>
          <w:color w:val="auto"/>
          <w:sz w:val="28"/>
          <w:szCs w:val="28"/>
          <w:lang w:val="uk-UA"/>
        </w:rPr>
      </w:pPr>
      <w:r w:rsidRPr="00BE086B">
        <w:rPr>
          <w:rStyle w:val="A20"/>
          <w:rFonts w:ascii="Times New Roman" w:hAnsi="Times New Roman" w:cs="Times New Roman"/>
          <w:b w:val="0"/>
          <w:color w:val="auto"/>
          <w:sz w:val="28"/>
          <w:szCs w:val="28"/>
          <w:lang w:val="en-US"/>
        </w:rPr>
        <w:t>International</w:t>
      </w:r>
      <w:r w:rsidRPr="00BE086B">
        <w:rPr>
          <w:rStyle w:val="A20"/>
          <w:rFonts w:ascii="Times New Roman" w:hAnsi="Times New Roman" w:cs="Times New Roman"/>
          <w:b w:val="0"/>
          <w:color w:val="auto"/>
          <w:sz w:val="28"/>
          <w:szCs w:val="28"/>
          <w:lang w:val="uk-UA"/>
        </w:rPr>
        <w:t xml:space="preserve"> </w:t>
      </w:r>
      <w:r w:rsidRPr="00BE086B">
        <w:rPr>
          <w:rStyle w:val="A20"/>
          <w:rFonts w:ascii="Times New Roman" w:hAnsi="Times New Roman" w:cs="Times New Roman"/>
          <w:b w:val="0"/>
          <w:color w:val="auto"/>
          <w:sz w:val="28"/>
          <w:szCs w:val="28"/>
          <w:lang w:val="en-US"/>
        </w:rPr>
        <w:t>scientific</w:t>
      </w:r>
      <w:r w:rsidRPr="00BE086B">
        <w:rPr>
          <w:rStyle w:val="A20"/>
          <w:rFonts w:ascii="Times New Roman" w:hAnsi="Times New Roman" w:cs="Times New Roman"/>
          <w:b w:val="0"/>
          <w:color w:val="auto"/>
          <w:sz w:val="28"/>
          <w:szCs w:val="28"/>
          <w:lang w:val="uk-UA"/>
        </w:rPr>
        <w:t xml:space="preserve"> </w:t>
      </w:r>
      <w:r w:rsidRPr="00BE086B">
        <w:rPr>
          <w:rStyle w:val="A20"/>
          <w:rFonts w:ascii="Times New Roman" w:hAnsi="Times New Roman" w:cs="Times New Roman"/>
          <w:b w:val="0"/>
          <w:color w:val="auto"/>
          <w:sz w:val="28"/>
          <w:szCs w:val="28"/>
          <w:lang w:val="en-US"/>
        </w:rPr>
        <w:t>conference</w:t>
      </w:r>
      <w:r w:rsidRPr="00BE086B">
        <w:rPr>
          <w:rStyle w:val="A20"/>
          <w:rFonts w:ascii="Times New Roman" w:hAnsi="Times New Roman" w:cs="Times New Roman"/>
          <w:b w:val="0"/>
          <w:color w:val="auto"/>
          <w:sz w:val="28"/>
          <w:szCs w:val="28"/>
          <w:lang w:val="uk-UA"/>
        </w:rPr>
        <w:t xml:space="preserve"> «Medicine under the modern conditions of integration development of European countries» (Lublin, </w:t>
      </w:r>
      <w:r w:rsidRPr="00BE086B">
        <w:rPr>
          <w:rStyle w:val="af"/>
          <w:b w:val="0"/>
          <w:sz w:val="28"/>
          <w:szCs w:val="28"/>
          <w:lang w:val="uk-UA"/>
        </w:rPr>
        <w:t>Republic of Poland,</w:t>
      </w:r>
      <w:r w:rsidRPr="00BE086B">
        <w:rPr>
          <w:rStyle w:val="A20"/>
          <w:rFonts w:ascii="Times New Roman" w:hAnsi="Times New Roman" w:cs="Times New Roman"/>
          <w:b w:val="0"/>
          <w:color w:val="auto"/>
          <w:sz w:val="28"/>
          <w:szCs w:val="28"/>
          <w:lang w:val="uk-UA"/>
        </w:rPr>
        <w:t xml:space="preserve">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20"/>
          <w:rFonts w:ascii="Times New Roman" w:hAnsi="Times New Roman" w:cs="Times New Roman"/>
          <w:b w:val="0"/>
          <w:color w:val="auto"/>
          <w:sz w:val="28"/>
          <w:szCs w:val="28"/>
          <w:lang w:val="uk-UA"/>
        </w:rPr>
      </w:pPr>
      <w:r w:rsidRPr="00BE086B">
        <w:rPr>
          <w:rStyle w:val="A20"/>
          <w:rFonts w:ascii="Times New Roman" w:hAnsi="Times New Roman" w:cs="Times New Roman"/>
          <w:b w:val="0"/>
          <w:color w:val="auto"/>
          <w:sz w:val="28"/>
          <w:szCs w:val="28"/>
          <w:lang w:val="uk-UA"/>
        </w:rPr>
        <w:t xml:space="preserve">III Міжнародному конгресі асоціації ревмоортопедів (Воронеж,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sz w:val="28"/>
          <w:szCs w:val="28"/>
          <w:lang w:val="uk-UA"/>
        </w:rPr>
      </w:pPr>
      <w:r w:rsidRPr="00BE086B">
        <w:rPr>
          <w:rStyle w:val="af"/>
          <w:rFonts w:eastAsia="PetersburgC-Italic"/>
          <w:b w:val="0"/>
          <w:sz w:val="28"/>
          <w:szCs w:val="28"/>
          <w:lang w:val="uk-UA"/>
        </w:rPr>
        <w:t xml:space="preserve">Міжнародній </w:t>
      </w:r>
      <w:r w:rsidRPr="00BE086B">
        <w:rPr>
          <w:rStyle w:val="af"/>
          <w:rFonts w:eastAsia="Tahoma"/>
          <w:b w:val="0"/>
          <w:sz w:val="28"/>
          <w:szCs w:val="28"/>
          <w:lang w:val="uk-UA"/>
        </w:rPr>
        <w:t>н</w:t>
      </w:r>
      <w:r w:rsidRPr="00BE086B">
        <w:rPr>
          <w:rStyle w:val="af"/>
          <w:b w:val="0"/>
          <w:sz w:val="28"/>
          <w:szCs w:val="28"/>
          <w:lang w:val="uk-UA"/>
        </w:rPr>
        <w:t>ауково-практичній конференції</w:t>
      </w:r>
      <w:r w:rsidRPr="00BE086B">
        <w:rPr>
          <w:sz w:val="28"/>
          <w:szCs w:val="28"/>
          <w:lang w:val="uk-UA"/>
        </w:rPr>
        <w:t xml:space="preserve"> «Илизаровские чтения» «Осложнения в ортопедии и травматологии. Клинические и экспериментальные аспекты» (Курган,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20"/>
          <w:rFonts w:ascii="Times New Roman" w:hAnsi="Times New Roman" w:cs="Times New Roman"/>
          <w:b w:val="0"/>
          <w:color w:val="auto"/>
          <w:sz w:val="28"/>
          <w:szCs w:val="28"/>
          <w:lang w:val="uk-UA"/>
        </w:rPr>
      </w:pPr>
      <w:r w:rsidRPr="00BE086B">
        <w:rPr>
          <w:sz w:val="28"/>
          <w:szCs w:val="28"/>
          <w:lang w:val="uk-UA"/>
        </w:rPr>
        <w:t>Н</w:t>
      </w:r>
      <w:r w:rsidRPr="00BE086B">
        <w:rPr>
          <w:rStyle w:val="A20"/>
          <w:rFonts w:ascii="Times New Roman" w:hAnsi="Times New Roman" w:cs="Times New Roman"/>
          <w:b w:val="0"/>
          <w:color w:val="auto"/>
          <w:sz w:val="28"/>
          <w:szCs w:val="28"/>
          <w:lang w:val="uk-UA"/>
        </w:rPr>
        <w:t xml:space="preserve">ауково-практичній конференції «Новітні тенденції в діагностиці та лікуванні внутрішніх хвороб» (Харків,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20"/>
          <w:rFonts w:ascii="Times New Roman" w:hAnsi="Times New Roman" w:cs="Times New Roman"/>
          <w:b w:val="0"/>
          <w:color w:val="auto"/>
          <w:sz w:val="28"/>
          <w:szCs w:val="28"/>
          <w:lang w:val="uk-UA"/>
        </w:rPr>
      </w:pPr>
      <w:r w:rsidRPr="00BE086B">
        <w:rPr>
          <w:rStyle w:val="A20"/>
          <w:rFonts w:ascii="Times New Roman" w:hAnsi="Times New Roman" w:cs="Times New Roman"/>
          <w:b w:val="0"/>
          <w:color w:val="auto"/>
          <w:sz w:val="28"/>
          <w:szCs w:val="28"/>
          <w:lang w:val="uk-UA"/>
        </w:rPr>
        <w:t xml:space="preserve">X Всеукраїнській науково-практичній конференції «Сучасна клінічна фармакологія в фармакотерапії та профілактиці з позицій доказової медицини» (Вінниця,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f"/>
          <w:b w:val="0"/>
          <w:sz w:val="28"/>
          <w:szCs w:val="28"/>
          <w:lang w:val="uk-UA" w:eastAsia="uk-UA"/>
        </w:rPr>
      </w:pPr>
      <w:r w:rsidRPr="00BE086B">
        <w:rPr>
          <w:rStyle w:val="af"/>
          <w:b w:val="0"/>
          <w:sz w:val="28"/>
          <w:szCs w:val="28"/>
          <w:lang w:val="uk-UA" w:eastAsia="uk-UA"/>
        </w:rPr>
        <w:t xml:space="preserve">Науково-практичній інтернет-конференції </w:t>
      </w:r>
      <w:r w:rsidRPr="00BE086B">
        <w:rPr>
          <w:rStyle w:val="A20"/>
          <w:rFonts w:ascii="Times New Roman" w:hAnsi="Times New Roman" w:cs="Times New Roman"/>
          <w:b w:val="0"/>
          <w:color w:val="auto"/>
          <w:sz w:val="28"/>
          <w:szCs w:val="28"/>
          <w:lang w:val="uk-UA"/>
        </w:rPr>
        <w:t>«</w:t>
      </w:r>
      <w:r w:rsidRPr="00BE086B">
        <w:rPr>
          <w:rStyle w:val="af"/>
          <w:b w:val="0"/>
          <w:sz w:val="28"/>
          <w:szCs w:val="28"/>
          <w:lang w:val="uk-UA" w:eastAsia="uk-UA"/>
        </w:rPr>
        <w:t>Розвиток природничих наук як основа новітніх досягнень у медицині</w:t>
      </w:r>
      <w:r w:rsidRPr="00BE086B">
        <w:rPr>
          <w:rStyle w:val="A20"/>
          <w:rFonts w:ascii="Times New Roman" w:hAnsi="Times New Roman" w:cs="Times New Roman"/>
          <w:b w:val="0"/>
          <w:color w:val="auto"/>
          <w:sz w:val="28"/>
          <w:szCs w:val="28"/>
          <w:lang w:val="uk-UA"/>
        </w:rPr>
        <w:t>» (Чернівці,</w:t>
      </w:r>
      <w:r w:rsidRPr="00BE086B">
        <w:rPr>
          <w:rStyle w:val="af"/>
          <w:b w:val="0"/>
          <w:sz w:val="28"/>
          <w:szCs w:val="28"/>
          <w:lang w:val="uk-UA" w:eastAsia="uk-UA"/>
        </w:rPr>
        <w:t xml:space="preserve"> 2019)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20"/>
          <w:rFonts w:ascii="Times New Roman" w:hAnsi="Times New Roman" w:cs="Times New Roman"/>
          <w:b w:val="0"/>
          <w:color w:val="auto"/>
          <w:sz w:val="28"/>
          <w:szCs w:val="28"/>
          <w:lang w:val="uk-UA"/>
        </w:rPr>
      </w:pPr>
      <w:r w:rsidRPr="00BE086B">
        <w:rPr>
          <w:rStyle w:val="A20"/>
          <w:rFonts w:ascii="Times New Roman" w:hAnsi="Times New Roman" w:cs="Times New Roman"/>
          <w:b w:val="0"/>
          <w:color w:val="auto"/>
          <w:sz w:val="28"/>
          <w:szCs w:val="28"/>
          <w:lang w:val="uk-UA"/>
        </w:rPr>
        <w:t xml:space="preserve">ІV Міжнародній науково-практичній конференції «Ліки – людині. Сучасні проблеми фармакотерапії і призначення лікарських засобів» (Харків, 2020) </w:t>
      </w:r>
      <w:r w:rsidRPr="00BE086B">
        <w:rPr>
          <w:i/>
          <w:sz w:val="28"/>
          <w:szCs w:val="28"/>
          <w:lang w:val="uk-UA"/>
        </w:rPr>
        <w:t>(форма участі – публікація тез).</w:t>
      </w:r>
    </w:p>
    <w:p w:rsidR="005579C9" w:rsidRPr="00BE086B" w:rsidRDefault="005579C9" w:rsidP="005579C9">
      <w:pPr>
        <w:numPr>
          <w:ilvl w:val="0"/>
          <w:numId w:val="45"/>
        </w:numPr>
        <w:spacing w:line="360" w:lineRule="auto"/>
        <w:ind w:left="0" w:firstLine="709"/>
        <w:jc w:val="both"/>
        <w:rPr>
          <w:rStyle w:val="A20"/>
          <w:rFonts w:ascii="Times New Roman" w:eastAsia="SimSun" w:hAnsi="Times New Roman" w:cs="Times New Roman"/>
          <w:b w:val="0"/>
          <w:bCs w:val="0"/>
          <w:color w:val="auto"/>
          <w:sz w:val="28"/>
          <w:szCs w:val="28"/>
          <w:lang w:val="uk-UA"/>
        </w:rPr>
      </w:pPr>
      <w:r w:rsidRPr="00BE086B">
        <w:rPr>
          <w:rStyle w:val="A20"/>
          <w:rFonts w:ascii="Times New Roman" w:hAnsi="Times New Roman" w:cs="Times New Roman"/>
          <w:b w:val="0"/>
          <w:color w:val="auto"/>
          <w:sz w:val="28"/>
          <w:szCs w:val="28"/>
          <w:lang w:val="uk-UA"/>
        </w:rPr>
        <w:lastRenderedPageBreak/>
        <w:t xml:space="preserve">Всеукраїнській науково-практичній інтернет-конференції «Сучасний стан та перспективи розвитку природничих дисциплін в медичній освіті» (Кропивницький, 2020) </w:t>
      </w:r>
      <w:r w:rsidRPr="00BE086B">
        <w:rPr>
          <w:i/>
          <w:sz w:val="28"/>
          <w:szCs w:val="28"/>
          <w:lang w:val="uk-UA"/>
        </w:rPr>
        <w:t>(форма участі – публікація тез).</w:t>
      </w:r>
    </w:p>
    <w:p w:rsidR="005579C9" w:rsidRPr="00BE086B" w:rsidRDefault="005579C9" w:rsidP="005579C9">
      <w:pPr>
        <w:pStyle w:val="af0"/>
        <w:numPr>
          <w:ilvl w:val="0"/>
          <w:numId w:val="45"/>
        </w:numPr>
        <w:ind w:left="0" w:firstLine="709"/>
        <w:jc w:val="both"/>
        <w:rPr>
          <w:rStyle w:val="A20"/>
          <w:rFonts w:ascii="Times New Roman" w:eastAsia="SimSun" w:hAnsi="Times New Roman" w:cs="Times New Roman"/>
          <w:b w:val="0"/>
          <w:bCs w:val="0"/>
          <w:color w:val="auto"/>
          <w:sz w:val="28"/>
          <w:szCs w:val="28"/>
          <w:lang w:val="uk-UA"/>
        </w:rPr>
      </w:pPr>
      <w:r w:rsidRPr="00BE086B">
        <w:rPr>
          <w:rStyle w:val="A20"/>
          <w:rFonts w:ascii="Times New Roman" w:hAnsi="Times New Roman" w:cs="Times New Roman"/>
          <w:b w:val="0"/>
          <w:color w:val="auto"/>
          <w:sz w:val="28"/>
          <w:szCs w:val="28"/>
        </w:rPr>
        <w:t>V</w:t>
      </w:r>
      <w:r w:rsidRPr="00BE086B">
        <w:rPr>
          <w:rStyle w:val="A20"/>
          <w:rFonts w:ascii="Times New Roman" w:hAnsi="Times New Roman" w:cs="Times New Roman"/>
          <w:b w:val="0"/>
          <w:color w:val="auto"/>
          <w:sz w:val="28"/>
          <w:szCs w:val="28"/>
          <w:lang w:val="uk-UA"/>
        </w:rPr>
        <w:t xml:space="preserve"> Міжнародній науково-практичній конференції «Ліки – людині. Сучасні проблеми фармакотерапії та призначення лікарських засобів» (Харків, 2021) </w:t>
      </w:r>
      <w:r w:rsidRPr="00BE086B">
        <w:rPr>
          <w:i/>
          <w:sz w:val="28"/>
          <w:szCs w:val="28"/>
          <w:lang w:val="uk-UA"/>
        </w:rPr>
        <w:t>(форма участі – публікація тез).</w:t>
      </w:r>
    </w:p>
    <w:p w:rsidR="005579C9" w:rsidRPr="00BE086B" w:rsidRDefault="005579C9" w:rsidP="005579C9">
      <w:pPr>
        <w:pStyle w:val="af0"/>
        <w:numPr>
          <w:ilvl w:val="0"/>
          <w:numId w:val="45"/>
        </w:numPr>
        <w:ind w:left="0" w:firstLine="709"/>
        <w:jc w:val="both"/>
        <w:rPr>
          <w:sz w:val="28"/>
          <w:szCs w:val="28"/>
          <w:lang w:val="uk-UA"/>
        </w:rPr>
      </w:pPr>
      <w:r w:rsidRPr="00BE086B">
        <w:rPr>
          <w:rStyle w:val="A20"/>
          <w:rFonts w:ascii="Times New Roman" w:hAnsi="Times New Roman" w:cs="Times New Roman"/>
          <w:b w:val="0"/>
          <w:color w:val="auto"/>
          <w:sz w:val="28"/>
          <w:szCs w:val="28"/>
          <w:lang w:val="uk-UA"/>
        </w:rPr>
        <w:t xml:space="preserve">ІІ Всеукраїнській науково-практичній інтернет-конференції «Сучасний стан та перспективи розвитку природничих дисциплін в медичній освіті» (Кропивницький, 2021) </w:t>
      </w:r>
      <w:r w:rsidRPr="00BE086B">
        <w:rPr>
          <w:i/>
          <w:sz w:val="28"/>
          <w:szCs w:val="28"/>
          <w:lang w:val="uk-UA"/>
        </w:rPr>
        <w:t>(форма участі – публікація тез).</w:t>
      </w:r>
    </w:p>
    <w:p w:rsidR="001E2E53" w:rsidRPr="00BE086B" w:rsidRDefault="001E2E53"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5579C9" w:rsidRPr="00BE086B" w:rsidRDefault="005579C9" w:rsidP="009D0803">
      <w:pPr>
        <w:pStyle w:val="af0"/>
        <w:ind w:firstLine="709"/>
        <w:jc w:val="both"/>
        <w:rPr>
          <w:sz w:val="28"/>
          <w:szCs w:val="28"/>
          <w:lang w:val="uk-UA"/>
        </w:rPr>
      </w:pPr>
    </w:p>
    <w:p w:rsidR="0026380A" w:rsidRPr="00BE086B" w:rsidRDefault="0026380A" w:rsidP="000F1331">
      <w:pPr>
        <w:spacing w:line="360" w:lineRule="auto"/>
        <w:jc w:val="center"/>
        <w:rPr>
          <w:b/>
          <w:sz w:val="28"/>
          <w:szCs w:val="28"/>
          <w:lang w:val="uk-UA"/>
        </w:rPr>
      </w:pPr>
      <w:r w:rsidRPr="00BE086B">
        <w:rPr>
          <w:b/>
          <w:sz w:val="28"/>
          <w:szCs w:val="28"/>
          <w:lang w:val="uk-UA"/>
        </w:rPr>
        <w:lastRenderedPageBreak/>
        <w:t>ДОДАТОК 3</w:t>
      </w:r>
    </w:p>
    <w:p w:rsidR="0026380A" w:rsidRPr="00BE086B" w:rsidRDefault="0026380A" w:rsidP="000F1331">
      <w:pPr>
        <w:spacing w:line="360" w:lineRule="auto"/>
        <w:jc w:val="center"/>
        <w:rPr>
          <w:sz w:val="28"/>
          <w:szCs w:val="28"/>
          <w:lang w:val="uk-UA"/>
        </w:rPr>
      </w:pPr>
      <w:r w:rsidRPr="00BE086B">
        <w:rPr>
          <w:b/>
          <w:sz w:val="28"/>
          <w:szCs w:val="28"/>
          <w:lang w:val="uk-UA"/>
        </w:rPr>
        <w:t>АКТИ ВПРОВАДЖЕННЯ</w:t>
      </w:r>
    </w:p>
    <w:p w:rsidR="005579C9" w:rsidRPr="00BE086B" w:rsidRDefault="005579C9" w:rsidP="00450B1B">
      <w:pPr>
        <w:pStyle w:val="af0"/>
        <w:jc w:val="both"/>
        <w:rPr>
          <w:sz w:val="28"/>
          <w:szCs w:val="28"/>
          <w:lang w:val="uk-UA"/>
        </w:rPr>
      </w:pPr>
    </w:p>
    <w:p w:rsidR="005579C9" w:rsidRPr="00BE086B" w:rsidRDefault="0094735A" w:rsidP="0094735A">
      <w:pPr>
        <w:pStyle w:val="af0"/>
        <w:jc w:val="both"/>
        <w:rPr>
          <w:sz w:val="28"/>
          <w:szCs w:val="28"/>
          <w:lang w:val="uk-UA"/>
        </w:rPr>
      </w:pPr>
      <w:r>
        <w:rPr>
          <w:noProof/>
          <w:sz w:val="28"/>
          <w:szCs w:val="28"/>
          <w:lang w:eastAsia="ru-RU"/>
        </w:rPr>
        <w:drawing>
          <wp:inline distT="0" distB="0" distL="0" distR="0">
            <wp:extent cx="5569200" cy="81036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1.jpg"/>
                    <pic:cNvPicPr/>
                  </pic:nvPicPr>
                  <pic:blipFill>
                    <a:blip r:embed="rId111">
                      <a:extLst>
                        <a:ext uri="{28A0092B-C50C-407E-A947-70E740481C1C}">
                          <a14:useLocalDpi xmlns:a14="http://schemas.microsoft.com/office/drawing/2010/main" val="0"/>
                        </a:ext>
                      </a:extLst>
                    </a:blip>
                    <a:stretch>
                      <a:fillRect/>
                    </a:stretch>
                  </pic:blipFill>
                  <pic:spPr>
                    <a:xfrm>
                      <a:off x="0" y="0"/>
                      <a:ext cx="5569200" cy="8103600"/>
                    </a:xfrm>
                    <a:prstGeom prst="rect">
                      <a:avLst/>
                    </a:prstGeom>
                  </pic:spPr>
                </pic:pic>
              </a:graphicData>
            </a:graphic>
          </wp:inline>
        </w:drawing>
      </w:r>
    </w:p>
    <w:p w:rsidR="00AE5992" w:rsidRPr="00BE086B" w:rsidRDefault="0094735A" w:rsidP="00AE5992">
      <w:pPr>
        <w:pStyle w:val="af0"/>
        <w:jc w:val="both"/>
        <w:rPr>
          <w:sz w:val="28"/>
          <w:szCs w:val="28"/>
          <w:lang w:val="uk-UA"/>
        </w:rPr>
      </w:pPr>
      <w:r>
        <w:rPr>
          <w:noProof/>
          <w:sz w:val="28"/>
          <w:szCs w:val="28"/>
          <w:lang w:eastAsia="ru-RU"/>
        </w:rPr>
        <w:lastRenderedPageBreak/>
        <w:drawing>
          <wp:inline distT="0" distB="0" distL="0" distR="0">
            <wp:extent cx="5943600" cy="83340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2.jpg"/>
                    <pic:cNvPicPr/>
                  </pic:nvPicPr>
                  <pic:blipFill>
                    <a:blip r:embed="rId112">
                      <a:extLst>
                        <a:ext uri="{28A0092B-C50C-407E-A947-70E740481C1C}">
                          <a14:useLocalDpi xmlns:a14="http://schemas.microsoft.com/office/drawing/2010/main" val="0"/>
                        </a:ext>
                      </a:extLst>
                    </a:blip>
                    <a:stretch>
                      <a:fillRect/>
                    </a:stretch>
                  </pic:blipFill>
                  <pic:spPr>
                    <a:xfrm>
                      <a:off x="0" y="0"/>
                      <a:ext cx="5943600" cy="83340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94735A" w:rsidP="00AE5992">
      <w:pPr>
        <w:pStyle w:val="af0"/>
        <w:jc w:val="both"/>
        <w:rPr>
          <w:sz w:val="28"/>
          <w:szCs w:val="28"/>
          <w:lang w:val="uk-UA"/>
        </w:rPr>
      </w:pPr>
      <w:r>
        <w:rPr>
          <w:noProof/>
          <w:sz w:val="28"/>
          <w:szCs w:val="28"/>
          <w:lang w:eastAsia="ru-RU"/>
        </w:rPr>
        <w:lastRenderedPageBreak/>
        <w:drawing>
          <wp:inline distT="0" distB="0" distL="0" distR="0">
            <wp:extent cx="5943600" cy="82188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3.jpg"/>
                    <pic:cNvPicPr/>
                  </pic:nvPicPr>
                  <pic:blipFill>
                    <a:blip r:embed="rId113">
                      <a:extLst>
                        <a:ext uri="{28A0092B-C50C-407E-A947-70E740481C1C}">
                          <a14:useLocalDpi xmlns:a14="http://schemas.microsoft.com/office/drawing/2010/main" val="0"/>
                        </a:ext>
                      </a:extLst>
                    </a:blip>
                    <a:stretch>
                      <a:fillRect/>
                    </a:stretch>
                  </pic:blipFill>
                  <pic:spPr>
                    <a:xfrm>
                      <a:off x="0" y="0"/>
                      <a:ext cx="5943600" cy="82188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94735A" w:rsidP="00AE5992">
      <w:pPr>
        <w:pStyle w:val="af0"/>
        <w:jc w:val="both"/>
        <w:rPr>
          <w:sz w:val="28"/>
          <w:szCs w:val="28"/>
          <w:lang w:val="uk-UA"/>
        </w:rPr>
      </w:pPr>
      <w:r>
        <w:rPr>
          <w:noProof/>
          <w:sz w:val="28"/>
          <w:szCs w:val="28"/>
          <w:lang w:eastAsia="ru-RU"/>
        </w:rPr>
        <w:lastRenderedPageBreak/>
        <w:drawing>
          <wp:inline distT="0" distB="0" distL="0" distR="0">
            <wp:extent cx="5954400" cy="7801200"/>
            <wp:effectExtent l="0" t="0" r="825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4.jpg"/>
                    <pic:cNvPicPr/>
                  </pic:nvPicPr>
                  <pic:blipFill>
                    <a:blip r:embed="rId114">
                      <a:extLst>
                        <a:ext uri="{28A0092B-C50C-407E-A947-70E740481C1C}">
                          <a14:useLocalDpi xmlns:a14="http://schemas.microsoft.com/office/drawing/2010/main" val="0"/>
                        </a:ext>
                      </a:extLst>
                    </a:blip>
                    <a:stretch>
                      <a:fillRect/>
                    </a:stretch>
                  </pic:blipFill>
                  <pic:spPr>
                    <a:xfrm>
                      <a:off x="0" y="0"/>
                      <a:ext cx="5954400" cy="78012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94735A" w:rsidP="00AE5992">
      <w:pPr>
        <w:pStyle w:val="af0"/>
        <w:jc w:val="both"/>
        <w:rPr>
          <w:sz w:val="28"/>
          <w:szCs w:val="28"/>
          <w:lang w:val="uk-UA"/>
        </w:rPr>
      </w:pPr>
      <w:r>
        <w:rPr>
          <w:noProof/>
          <w:sz w:val="28"/>
          <w:szCs w:val="28"/>
          <w:lang w:eastAsia="ru-RU"/>
        </w:rPr>
        <w:drawing>
          <wp:inline distT="0" distB="0" distL="0" distR="0">
            <wp:extent cx="5950800" cy="8676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5.jpg"/>
                    <pic:cNvPicPr/>
                  </pic:nvPicPr>
                  <pic:blipFill>
                    <a:blip r:embed="rId115">
                      <a:extLst>
                        <a:ext uri="{28A0092B-C50C-407E-A947-70E740481C1C}">
                          <a14:useLocalDpi xmlns:a14="http://schemas.microsoft.com/office/drawing/2010/main" val="0"/>
                        </a:ext>
                      </a:extLst>
                    </a:blip>
                    <a:stretch>
                      <a:fillRect/>
                    </a:stretch>
                  </pic:blipFill>
                  <pic:spPr>
                    <a:xfrm>
                      <a:off x="0" y="0"/>
                      <a:ext cx="5950800" cy="8676000"/>
                    </a:xfrm>
                    <a:prstGeom prst="rect">
                      <a:avLst/>
                    </a:prstGeom>
                  </pic:spPr>
                </pic:pic>
              </a:graphicData>
            </a:graphic>
          </wp:inline>
        </w:drawing>
      </w:r>
    </w:p>
    <w:p w:rsidR="00AE5992" w:rsidRDefault="0094735A" w:rsidP="00AE5992">
      <w:pPr>
        <w:pStyle w:val="af0"/>
        <w:jc w:val="both"/>
        <w:rPr>
          <w:sz w:val="28"/>
          <w:szCs w:val="28"/>
          <w:lang w:val="uk-UA"/>
        </w:rPr>
      </w:pPr>
      <w:r>
        <w:rPr>
          <w:noProof/>
          <w:sz w:val="28"/>
          <w:szCs w:val="28"/>
          <w:lang w:eastAsia="ru-RU"/>
        </w:rPr>
        <w:lastRenderedPageBreak/>
        <w:drawing>
          <wp:inline distT="0" distB="0" distL="0" distR="0">
            <wp:extent cx="5943600" cy="8182800"/>
            <wp:effectExtent l="0" t="0" r="0" b="889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6.jpg"/>
                    <pic:cNvPicPr/>
                  </pic:nvPicPr>
                  <pic:blipFill>
                    <a:blip r:embed="rId116">
                      <a:extLst>
                        <a:ext uri="{28A0092B-C50C-407E-A947-70E740481C1C}">
                          <a14:useLocalDpi xmlns:a14="http://schemas.microsoft.com/office/drawing/2010/main" val="0"/>
                        </a:ext>
                      </a:extLst>
                    </a:blip>
                    <a:stretch>
                      <a:fillRect/>
                    </a:stretch>
                  </pic:blipFill>
                  <pic:spPr>
                    <a:xfrm>
                      <a:off x="0" y="0"/>
                      <a:ext cx="5943600" cy="8182800"/>
                    </a:xfrm>
                    <a:prstGeom prst="rect">
                      <a:avLst/>
                    </a:prstGeom>
                  </pic:spPr>
                </pic:pic>
              </a:graphicData>
            </a:graphic>
          </wp:inline>
        </w:drawing>
      </w:r>
    </w:p>
    <w:p w:rsidR="0094735A" w:rsidRDefault="0094735A" w:rsidP="00AE5992">
      <w:pPr>
        <w:pStyle w:val="af0"/>
        <w:jc w:val="both"/>
        <w:rPr>
          <w:sz w:val="28"/>
          <w:szCs w:val="28"/>
          <w:lang w:val="uk-UA"/>
        </w:rPr>
      </w:pPr>
    </w:p>
    <w:p w:rsidR="0094735A" w:rsidRDefault="0094735A" w:rsidP="00AE5992">
      <w:pPr>
        <w:pStyle w:val="af0"/>
        <w:jc w:val="both"/>
        <w:rPr>
          <w:noProof/>
          <w:sz w:val="28"/>
          <w:szCs w:val="28"/>
          <w:lang w:eastAsia="ru-RU"/>
        </w:rPr>
      </w:pPr>
    </w:p>
    <w:p w:rsidR="00E368F8" w:rsidRDefault="00E368F8" w:rsidP="00AE5992">
      <w:pPr>
        <w:pStyle w:val="af0"/>
        <w:jc w:val="both"/>
        <w:rPr>
          <w:noProof/>
          <w:sz w:val="28"/>
          <w:szCs w:val="28"/>
          <w:lang w:eastAsia="ru-RU"/>
        </w:rPr>
      </w:pPr>
    </w:p>
    <w:p w:rsidR="00E368F8" w:rsidRDefault="00E368F8" w:rsidP="00AE5992">
      <w:pPr>
        <w:pStyle w:val="af0"/>
        <w:jc w:val="both"/>
        <w:rPr>
          <w:noProof/>
          <w:sz w:val="28"/>
          <w:szCs w:val="28"/>
          <w:lang w:eastAsia="ru-RU"/>
        </w:rPr>
      </w:pPr>
      <w:r>
        <w:rPr>
          <w:noProof/>
          <w:sz w:val="28"/>
          <w:szCs w:val="28"/>
          <w:lang w:eastAsia="ru-RU"/>
        </w:rPr>
        <w:lastRenderedPageBreak/>
        <w:drawing>
          <wp:inline distT="0" distB="0" distL="0" distR="0" wp14:anchorId="6934E5EF" wp14:editId="2D65EDF2">
            <wp:extent cx="5939790" cy="8871609"/>
            <wp:effectExtent l="0" t="0" r="3810" b="571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7.jpg"/>
                    <pic:cNvPicPr/>
                  </pic:nvPicPr>
                  <pic:blipFill>
                    <a:blip r:embed="rId117">
                      <a:extLst>
                        <a:ext uri="{28A0092B-C50C-407E-A947-70E740481C1C}">
                          <a14:useLocalDpi xmlns:a14="http://schemas.microsoft.com/office/drawing/2010/main" val="0"/>
                        </a:ext>
                      </a:extLst>
                    </a:blip>
                    <a:stretch>
                      <a:fillRect/>
                    </a:stretch>
                  </pic:blipFill>
                  <pic:spPr>
                    <a:xfrm>
                      <a:off x="0" y="0"/>
                      <a:ext cx="5939790" cy="8871609"/>
                    </a:xfrm>
                    <a:prstGeom prst="rect">
                      <a:avLst/>
                    </a:prstGeom>
                  </pic:spPr>
                </pic:pic>
              </a:graphicData>
            </a:graphic>
          </wp:inline>
        </w:drawing>
      </w:r>
    </w:p>
    <w:p w:rsidR="0094735A" w:rsidRDefault="0094735A" w:rsidP="00AE5992">
      <w:pPr>
        <w:pStyle w:val="af0"/>
        <w:jc w:val="both"/>
        <w:rPr>
          <w:noProof/>
          <w:sz w:val="28"/>
          <w:szCs w:val="28"/>
          <w:lang w:eastAsia="ru-RU"/>
        </w:rPr>
      </w:pPr>
    </w:p>
    <w:p w:rsidR="0094735A" w:rsidRPr="00BE086B" w:rsidRDefault="0094735A" w:rsidP="00AE5992">
      <w:pPr>
        <w:pStyle w:val="af0"/>
        <w:jc w:val="both"/>
        <w:rPr>
          <w:sz w:val="28"/>
          <w:szCs w:val="28"/>
          <w:lang w:val="uk-UA"/>
        </w:rPr>
      </w:pPr>
      <w:r>
        <w:rPr>
          <w:noProof/>
          <w:sz w:val="28"/>
          <w:szCs w:val="28"/>
          <w:lang w:eastAsia="ru-RU"/>
        </w:rPr>
        <w:drawing>
          <wp:inline distT="0" distB="0" distL="0" distR="0">
            <wp:extent cx="5943600" cy="84600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8.jpg"/>
                    <pic:cNvPicPr/>
                  </pic:nvPicPr>
                  <pic:blipFill>
                    <a:blip r:embed="rId118">
                      <a:extLst>
                        <a:ext uri="{28A0092B-C50C-407E-A947-70E740481C1C}">
                          <a14:useLocalDpi xmlns:a14="http://schemas.microsoft.com/office/drawing/2010/main" val="0"/>
                        </a:ext>
                      </a:extLst>
                    </a:blip>
                    <a:stretch>
                      <a:fillRect/>
                    </a:stretch>
                  </pic:blipFill>
                  <pic:spPr>
                    <a:xfrm>
                      <a:off x="0" y="0"/>
                      <a:ext cx="5943600" cy="84600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50800" cy="8838000"/>
            <wp:effectExtent l="0" t="0" r="0" b="127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9.jpg"/>
                    <pic:cNvPicPr/>
                  </pic:nvPicPr>
                  <pic:blipFill>
                    <a:blip r:embed="rId119">
                      <a:extLst>
                        <a:ext uri="{28A0092B-C50C-407E-A947-70E740481C1C}">
                          <a14:useLocalDpi xmlns:a14="http://schemas.microsoft.com/office/drawing/2010/main" val="0"/>
                        </a:ext>
                      </a:extLst>
                    </a:blip>
                    <a:stretch>
                      <a:fillRect/>
                    </a:stretch>
                  </pic:blipFill>
                  <pic:spPr>
                    <a:xfrm>
                      <a:off x="0" y="0"/>
                      <a:ext cx="5950800" cy="8838000"/>
                    </a:xfrm>
                    <a:prstGeom prst="rect">
                      <a:avLst/>
                    </a:prstGeom>
                  </pic:spPr>
                </pic:pic>
              </a:graphicData>
            </a:graphic>
          </wp:inline>
        </w:drawing>
      </w: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43600" cy="8820000"/>
            <wp:effectExtent l="0" t="0" r="0" b="63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10.jpg"/>
                    <pic:cNvPicPr/>
                  </pic:nvPicPr>
                  <pic:blipFill>
                    <a:blip r:embed="rId120">
                      <a:extLst>
                        <a:ext uri="{28A0092B-C50C-407E-A947-70E740481C1C}">
                          <a14:useLocalDpi xmlns:a14="http://schemas.microsoft.com/office/drawing/2010/main" val="0"/>
                        </a:ext>
                      </a:extLst>
                    </a:blip>
                    <a:stretch>
                      <a:fillRect/>
                    </a:stretch>
                  </pic:blipFill>
                  <pic:spPr>
                    <a:xfrm>
                      <a:off x="0" y="0"/>
                      <a:ext cx="5943600" cy="88200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43600" cy="82692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1.jpg"/>
                    <pic:cNvPicPr/>
                  </pic:nvPicPr>
                  <pic:blipFill>
                    <a:blip r:embed="rId121">
                      <a:extLst>
                        <a:ext uri="{28A0092B-C50C-407E-A947-70E740481C1C}">
                          <a14:useLocalDpi xmlns:a14="http://schemas.microsoft.com/office/drawing/2010/main" val="0"/>
                        </a:ext>
                      </a:extLst>
                    </a:blip>
                    <a:stretch>
                      <a:fillRect/>
                    </a:stretch>
                  </pic:blipFill>
                  <pic:spPr>
                    <a:xfrm>
                      <a:off x="0" y="0"/>
                      <a:ext cx="5943600" cy="82692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43600" cy="8982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12.jpg"/>
                    <pic:cNvPicPr/>
                  </pic:nvPicPr>
                  <pic:blipFill>
                    <a:blip r:embed="rId122">
                      <a:extLst>
                        <a:ext uri="{28A0092B-C50C-407E-A947-70E740481C1C}">
                          <a14:useLocalDpi xmlns:a14="http://schemas.microsoft.com/office/drawing/2010/main" val="0"/>
                        </a:ext>
                      </a:extLst>
                    </a:blip>
                    <a:stretch>
                      <a:fillRect/>
                    </a:stretch>
                  </pic:blipFill>
                  <pic:spPr>
                    <a:xfrm>
                      <a:off x="0" y="0"/>
                      <a:ext cx="5943600" cy="8982000"/>
                    </a:xfrm>
                    <a:prstGeom prst="rect">
                      <a:avLst/>
                    </a:prstGeom>
                  </pic:spPr>
                </pic:pic>
              </a:graphicData>
            </a:graphic>
          </wp:inline>
        </w:drawing>
      </w: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50800" cy="7981200"/>
            <wp:effectExtent l="0" t="0" r="0" b="127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13.jpg"/>
                    <pic:cNvPicPr/>
                  </pic:nvPicPr>
                  <pic:blipFill>
                    <a:blip r:embed="rId123">
                      <a:extLst>
                        <a:ext uri="{28A0092B-C50C-407E-A947-70E740481C1C}">
                          <a14:useLocalDpi xmlns:a14="http://schemas.microsoft.com/office/drawing/2010/main" val="0"/>
                        </a:ext>
                      </a:extLst>
                    </a:blip>
                    <a:stretch>
                      <a:fillRect/>
                    </a:stretch>
                  </pic:blipFill>
                  <pic:spPr>
                    <a:xfrm>
                      <a:off x="0" y="0"/>
                      <a:ext cx="5950800" cy="79812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43600" cy="84204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14.jpg"/>
                    <pic:cNvPicPr/>
                  </pic:nvPicPr>
                  <pic:blipFill>
                    <a:blip r:embed="rId124">
                      <a:extLst>
                        <a:ext uri="{28A0092B-C50C-407E-A947-70E740481C1C}">
                          <a14:useLocalDpi xmlns:a14="http://schemas.microsoft.com/office/drawing/2010/main" val="0"/>
                        </a:ext>
                      </a:extLst>
                    </a:blip>
                    <a:stretch>
                      <a:fillRect/>
                    </a:stretch>
                  </pic:blipFill>
                  <pic:spPr>
                    <a:xfrm>
                      <a:off x="0" y="0"/>
                      <a:ext cx="5943600" cy="84204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AE5992" w:rsidP="00AE5992">
      <w:pPr>
        <w:pStyle w:val="af0"/>
        <w:jc w:val="both"/>
        <w:rPr>
          <w:sz w:val="28"/>
          <w:szCs w:val="28"/>
          <w:lang w:val="uk-UA"/>
        </w:rPr>
      </w:pP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50800" cy="8629200"/>
            <wp:effectExtent l="0" t="0" r="0" b="63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15.jpg"/>
                    <pic:cNvPicPr/>
                  </pic:nvPicPr>
                  <pic:blipFill>
                    <a:blip r:embed="rId125">
                      <a:extLst>
                        <a:ext uri="{28A0092B-C50C-407E-A947-70E740481C1C}">
                          <a14:useLocalDpi xmlns:a14="http://schemas.microsoft.com/office/drawing/2010/main" val="0"/>
                        </a:ext>
                      </a:extLst>
                    </a:blip>
                    <a:stretch>
                      <a:fillRect/>
                    </a:stretch>
                  </pic:blipFill>
                  <pic:spPr>
                    <a:xfrm>
                      <a:off x="0" y="0"/>
                      <a:ext cx="5950800" cy="86292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43600" cy="86004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6.jpg"/>
                    <pic:cNvPicPr/>
                  </pic:nvPicPr>
                  <pic:blipFill>
                    <a:blip r:embed="rId126">
                      <a:extLst>
                        <a:ext uri="{28A0092B-C50C-407E-A947-70E740481C1C}">
                          <a14:useLocalDpi xmlns:a14="http://schemas.microsoft.com/office/drawing/2010/main" val="0"/>
                        </a:ext>
                      </a:extLst>
                    </a:blip>
                    <a:stretch>
                      <a:fillRect/>
                    </a:stretch>
                  </pic:blipFill>
                  <pic:spPr>
                    <a:xfrm>
                      <a:off x="0" y="0"/>
                      <a:ext cx="5943600" cy="86004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54400" cy="8535600"/>
            <wp:effectExtent l="0" t="0" r="825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7.jpg"/>
                    <pic:cNvPicPr/>
                  </pic:nvPicPr>
                  <pic:blipFill>
                    <a:blip r:embed="rId127">
                      <a:extLst>
                        <a:ext uri="{28A0092B-C50C-407E-A947-70E740481C1C}">
                          <a14:useLocalDpi xmlns:a14="http://schemas.microsoft.com/office/drawing/2010/main" val="0"/>
                        </a:ext>
                      </a:extLst>
                    </a:blip>
                    <a:stretch>
                      <a:fillRect/>
                    </a:stretch>
                  </pic:blipFill>
                  <pic:spPr>
                    <a:xfrm>
                      <a:off x="0" y="0"/>
                      <a:ext cx="5954400" cy="8535600"/>
                    </a:xfrm>
                    <a:prstGeom prst="rect">
                      <a:avLst/>
                    </a:prstGeom>
                  </pic:spPr>
                </pic:pic>
              </a:graphicData>
            </a:graphic>
          </wp:inline>
        </w:drawing>
      </w:r>
    </w:p>
    <w:p w:rsidR="00AE5992" w:rsidRPr="00BE086B" w:rsidRDefault="00AE5992" w:rsidP="00AE5992">
      <w:pPr>
        <w:pStyle w:val="af0"/>
        <w:jc w:val="both"/>
        <w:rPr>
          <w:sz w:val="28"/>
          <w:szCs w:val="28"/>
          <w:lang w:val="uk-UA"/>
        </w:rPr>
      </w:pPr>
    </w:p>
    <w:p w:rsidR="00AE599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54400" cy="8611200"/>
            <wp:effectExtent l="0" t="0" r="825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8.jpg"/>
                    <pic:cNvPicPr/>
                  </pic:nvPicPr>
                  <pic:blipFill>
                    <a:blip r:embed="rId128">
                      <a:extLst>
                        <a:ext uri="{28A0092B-C50C-407E-A947-70E740481C1C}">
                          <a14:useLocalDpi xmlns:a14="http://schemas.microsoft.com/office/drawing/2010/main" val="0"/>
                        </a:ext>
                      </a:extLst>
                    </a:blip>
                    <a:stretch>
                      <a:fillRect/>
                    </a:stretch>
                  </pic:blipFill>
                  <pic:spPr>
                    <a:xfrm>
                      <a:off x="0" y="0"/>
                      <a:ext cx="5954400" cy="8611200"/>
                    </a:xfrm>
                    <a:prstGeom prst="rect">
                      <a:avLst/>
                    </a:prstGeom>
                  </pic:spPr>
                </pic:pic>
              </a:graphicData>
            </a:graphic>
          </wp:inline>
        </w:drawing>
      </w:r>
    </w:p>
    <w:p w:rsidR="008E53AF" w:rsidRPr="00BE086B" w:rsidRDefault="008E53AF" w:rsidP="00AE5992">
      <w:pPr>
        <w:pStyle w:val="af0"/>
        <w:jc w:val="both"/>
        <w:rPr>
          <w:sz w:val="28"/>
          <w:szCs w:val="28"/>
          <w:lang w:val="uk-UA"/>
        </w:rPr>
      </w:pPr>
    </w:p>
    <w:p w:rsidR="008E53AF"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54400" cy="8593200"/>
            <wp:effectExtent l="0" t="0" r="825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9.jpg"/>
                    <pic:cNvPicPr/>
                  </pic:nvPicPr>
                  <pic:blipFill>
                    <a:blip r:embed="rId129">
                      <a:extLst>
                        <a:ext uri="{28A0092B-C50C-407E-A947-70E740481C1C}">
                          <a14:useLocalDpi xmlns:a14="http://schemas.microsoft.com/office/drawing/2010/main" val="0"/>
                        </a:ext>
                      </a:extLst>
                    </a:blip>
                    <a:stretch>
                      <a:fillRect/>
                    </a:stretch>
                  </pic:blipFill>
                  <pic:spPr>
                    <a:xfrm>
                      <a:off x="0" y="0"/>
                      <a:ext cx="5954400" cy="8593200"/>
                    </a:xfrm>
                    <a:prstGeom prst="rect">
                      <a:avLst/>
                    </a:prstGeom>
                  </pic:spPr>
                </pic:pic>
              </a:graphicData>
            </a:graphic>
          </wp:inline>
        </w:drawing>
      </w:r>
    </w:p>
    <w:p w:rsidR="008E53AF" w:rsidRPr="00BE086B" w:rsidRDefault="008E53AF" w:rsidP="00AE5992">
      <w:pPr>
        <w:pStyle w:val="af0"/>
        <w:jc w:val="both"/>
        <w:rPr>
          <w:sz w:val="28"/>
          <w:szCs w:val="28"/>
          <w:lang w:val="uk-UA"/>
        </w:rPr>
      </w:pPr>
    </w:p>
    <w:p w:rsidR="008E53AF"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54400" cy="7934400"/>
            <wp:effectExtent l="0" t="0" r="825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20.jpg"/>
                    <pic:cNvPicPr/>
                  </pic:nvPicPr>
                  <pic:blipFill>
                    <a:blip r:embed="rId130">
                      <a:extLst>
                        <a:ext uri="{28A0092B-C50C-407E-A947-70E740481C1C}">
                          <a14:useLocalDpi xmlns:a14="http://schemas.microsoft.com/office/drawing/2010/main" val="0"/>
                        </a:ext>
                      </a:extLst>
                    </a:blip>
                    <a:stretch>
                      <a:fillRect/>
                    </a:stretch>
                  </pic:blipFill>
                  <pic:spPr>
                    <a:xfrm>
                      <a:off x="0" y="0"/>
                      <a:ext cx="5954400" cy="7934400"/>
                    </a:xfrm>
                    <a:prstGeom prst="rect">
                      <a:avLst/>
                    </a:prstGeom>
                  </pic:spPr>
                </pic:pic>
              </a:graphicData>
            </a:graphic>
          </wp:inline>
        </w:drawing>
      </w:r>
    </w:p>
    <w:p w:rsidR="008E53AF" w:rsidRDefault="008E53AF" w:rsidP="00AE5992">
      <w:pPr>
        <w:pStyle w:val="af0"/>
        <w:jc w:val="both"/>
        <w:rPr>
          <w:sz w:val="28"/>
          <w:szCs w:val="28"/>
          <w:lang w:val="uk-UA"/>
        </w:rPr>
      </w:pP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r>
        <w:rPr>
          <w:noProof/>
          <w:sz w:val="28"/>
          <w:szCs w:val="28"/>
          <w:lang w:eastAsia="ru-RU"/>
        </w:rPr>
        <w:lastRenderedPageBreak/>
        <w:drawing>
          <wp:inline distT="0" distB="0" distL="0" distR="0">
            <wp:extent cx="5943600" cy="82764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21.jpg"/>
                    <pic:cNvPicPr/>
                  </pic:nvPicPr>
                  <pic:blipFill>
                    <a:blip r:embed="rId131">
                      <a:extLst>
                        <a:ext uri="{28A0092B-C50C-407E-A947-70E740481C1C}">
                          <a14:useLocalDpi xmlns:a14="http://schemas.microsoft.com/office/drawing/2010/main" val="0"/>
                        </a:ext>
                      </a:extLst>
                    </a:blip>
                    <a:stretch>
                      <a:fillRect/>
                    </a:stretch>
                  </pic:blipFill>
                  <pic:spPr>
                    <a:xfrm>
                      <a:off x="0" y="0"/>
                      <a:ext cx="5943600" cy="8276400"/>
                    </a:xfrm>
                    <a:prstGeom prst="rect">
                      <a:avLst/>
                    </a:prstGeom>
                  </pic:spPr>
                </pic:pic>
              </a:graphicData>
            </a:graphic>
          </wp:inline>
        </w:drawing>
      </w: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r>
        <w:rPr>
          <w:noProof/>
          <w:sz w:val="28"/>
          <w:szCs w:val="28"/>
          <w:lang w:eastAsia="ru-RU"/>
        </w:rPr>
        <w:lastRenderedPageBreak/>
        <w:drawing>
          <wp:inline distT="0" distB="0" distL="0" distR="0">
            <wp:extent cx="5950800" cy="84276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22.jpg"/>
                    <pic:cNvPicPr/>
                  </pic:nvPicPr>
                  <pic:blipFill>
                    <a:blip r:embed="rId132">
                      <a:extLst>
                        <a:ext uri="{28A0092B-C50C-407E-A947-70E740481C1C}">
                          <a14:useLocalDpi xmlns:a14="http://schemas.microsoft.com/office/drawing/2010/main" val="0"/>
                        </a:ext>
                      </a:extLst>
                    </a:blip>
                    <a:stretch>
                      <a:fillRect/>
                    </a:stretch>
                  </pic:blipFill>
                  <pic:spPr>
                    <a:xfrm>
                      <a:off x="0" y="0"/>
                      <a:ext cx="5950800" cy="8427600"/>
                    </a:xfrm>
                    <a:prstGeom prst="rect">
                      <a:avLst/>
                    </a:prstGeom>
                  </pic:spPr>
                </pic:pic>
              </a:graphicData>
            </a:graphic>
          </wp:inline>
        </w:drawing>
      </w: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r>
        <w:rPr>
          <w:noProof/>
          <w:sz w:val="28"/>
          <w:szCs w:val="28"/>
          <w:lang w:eastAsia="ru-RU"/>
        </w:rPr>
        <w:lastRenderedPageBreak/>
        <w:drawing>
          <wp:inline distT="0" distB="0" distL="0" distR="0">
            <wp:extent cx="5943600" cy="84600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23.jpg"/>
                    <pic:cNvPicPr/>
                  </pic:nvPicPr>
                  <pic:blipFill>
                    <a:blip r:embed="rId133">
                      <a:extLst>
                        <a:ext uri="{28A0092B-C50C-407E-A947-70E740481C1C}">
                          <a14:useLocalDpi xmlns:a14="http://schemas.microsoft.com/office/drawing/2010/main" val="0"/>
                        </a:ext>
                      </a:extLst>
                    </a:blip>
                    <a:stretch>
                      <a:fillRect/>
                    </a:stretch>
                  </pic:blipFill>
                  <pic:spPr>
                    <a:xfrm>
                      <a:off x="0" y="0"/>
                      <a:ext cx="5943600" cy="8460000"/>
                    </a:xfrm>
                    <a:prstGeom prst="rect">
                      <a:avLst/>
                    </a:prstGeom>
                  </pic:spPr>
                </pic:pic>
              </a:graphicData>
            </a:graphic>
          </wp:inline>
        </w:drawing>
      </w: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p>
    <w:p w:rsidR="004B1C62" w:rsidRPr="00BE086B" w:rsidRDefault="004B1C62" w:rsidP="00AE5992">
      <w:pPr>
        <w:pStyle w:val="af0"/>
        <w:jc w:val="both"/>
        <w:rPr>
          <w:sz w:val="28"/>
          <w:szCs w:val="28"/>
          <w:lang w:val="uk-UA"/>
        </w:rPr>
      </w:pPr>
      <w:r>
        <w:rPr>
          <w:noProof/>
          <w:sz w:val="28"/>
          <w:szCs w:val="28"/>
          <w:lang w:eastAsia="ru-RU"/>
        </w:rPr>
        <w:lastRenderedPageBreak/>
        <w:drawing>
          <wp:inline distT="0" distB="0" distL="0" distR="0">
            <wp:extent cx="5950800" cy="7923600"/>
            <wp:effectExtent l="0" t="0" r="0" b="127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24.jpg"/>
                    <pic:cNvPicPr/>
                  </pic:nvPicPr>
                  <pic:blipFill>
                    <a:blip r:embed="rId134">
                      <a:extLst>
                        <a:ext uri="{28A0092B-C50C-407E-A947-70E740481C1C}">
                          <a14:useLocalDpi xmlns:a14="http://schemas.microsoft.com/office/drawing/2010/main" val="0"/>
                        </a:ext>
                      </a:extLst>
                    </a:blip>
                    <a:stretch>
                      <a:fillRect/>
                    </a:stretch>
                  </pic:blipFill>
                  <pic:spPr>
                    <a:xfrm>
                      <a:off x="0" y="0"/>
                      <a:ext cx="5950800" cy="7923600"/>
                    </a:xfrm>
                    <a:prstGeom prst="rect">
                      <a:avLst/>
                    </a:prstGeom>
                  </pic:spPr>
                </pic:pic>
              </a:graphicData>
            </a:graphic>
          </wp:inline>
        </w:drawing>
      </w:r>
    </w:p>
    <w:p w:rsidR="008E53AF" w:rsidRDefault="008E53AF" w:rsidP="00AE5992">
      <w:pPr>
        <w:pStyle w:val="af0"/>
        <w:jc w:val="both"/>
        <w:rPr>
          <w:sz w:val="28"/>
          <w:szCs w:val="28"/>
          <w:lang w:val="uk-UA"/>
        </w:rPr>
      </w:pP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r>
        <w:rPr>
          <w:noProof/>
          <w:sz w:val="28"/>
          <w:szCs w:val="28"/>
          <w:lang w:eastAsia="ru-RU"/>
        </w:rPr>
        <w:lastRenderedPageBreak/>
        <w:drawing>
          <wp:inline distT="0" distB="0" distL="0" distR="0">
            <wp:extent cx="5954400" cy="8154000"/>
            <wp:effectExtent l="0" t="0" r="825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25.jpg"/>
                    <pic:cNvPicPr/>
                  </pic:nvPicPr>
                  <pic:blipFill>
                    <a:blip r:embed="rId135">
                      <a:extLst>
                        <a:ext uri="{28A0092B-C50C-407E-A947-70E740481C1C}">
                          <a14:useLocalDpi xmlns:a14="http://schemas.microsoft.com/office/drawing/2010/main" val="0"/>
                        </a:ext>
                      </a:extLst>
                    </a:blip>
                    <a:stretch>
                      <a:fillRect/>
                    </a:stretch>
                  </pic:blipFill>
                  <pic:spPr>
                    <a:xfrm>
                      <a:off x="0" y="0"/>
                      <a:ext cx="5954400" cy="8154000"/>
                    </a:xfrm>
                    <a:prstGeom prst="rect">
                      <a:avLst/>
                    </a:prstGeom>
                  </pic:spPr>
                </pic:pic>
              </a:graphicData>
            </a:graphic>
          </wp:inline>
        </w:drawing>
      </w:r>
    </w:p>
    <w:p w:rsidR="004B1C62" w:rsidRDefault="004B1C62" w:rsidP="00AE5992">
      <w:pPr>
        <w:pStyle w:val="af0"/>
        <w:jc w:val="both"/>
        <w:rPr>
          <w:sz w:val="28"/>
          <w:szCs w:val="28"/>
          <w:lang w:val="uk-UA"/>
        </w:rPr>
      </w:pPr>
    </w:p>
    <w:p w:rsidR="004B1C62" w:rsidRDefault="004B1C62" w:rsidP="00AE5992">
      <w:pPr>
        <w:pStyle w:val="af0"/>
        <w:jc w:val="both"/>
        <w:rPr>
          <w:sz w:val="28"/>
          <w:szCs w:val="28"/>
          <w:lang w:val="uk-UA"/>
        </w:rPr>
      </w:pPr>
    </w:p>
    <w:p w:rsidR="004B1C62" w:rsidRPr="00BE086B" w:rsidRDefault="004B1C62" w:rsidP="00AE5992">
      <w:pPr>
        <w:pStyle w:val="af0"/>
        <w:jc w:val="both"/>
        <w:rPr>
          <w:sz w:val="28"/>
          <w:szCs w:val="28"/>
          <w:lang w:val="uk-UA"/>
        </w:rPr>
      </w:pPr>
    </w:p>
    <w:p w:rsidR="008E53AF" w:rsidRPr="00BE086B" w:rsidRDefault="008E53AF" w:rsidP="008E53AF">
      <w:pPr>
        <w:spacing w:line="360" w:lineRule="auto"/>
        <w:ind w:firstLine="709"/>
        <w:jc w:val="center"/>
        <w:rPr>
          <w:b/>
          <w:sz w:val="28"/>
          <w:szCs w:val="28"/>
          <w:lang w:val="uk-UA"/>
        </w:rPr>
      </w:pPr>
      <w:r w:rsidRPr="00BE086B">
        <w:rPr>
          <w:b/>
          <w:sz w:val="28"/>
          <w:szCs w:val="28"/>
          <w:lang w:val="uk-UA"/>
        </w:rPr>
        <w:lastRenderedPageBreak/>
        <w:t>ДОДАТОК 4</w:t>
      </w:r>
    </w:p>
    <w:p w:rsidR="008E53AF" w:rsidRPr="00BE086B" w:rsidRDefault="008E53AF" w:rsidP="008E53AF">
      <w:pPr>
        <w:pStyle w:val="af0"/>
        <w:jc w:val="center"/>
        <w:rPr>
          <w:b/>
          <w:bCs/>
          <w:sz w:val="28"/>
          <w:szCs w:val="28"/>
          <w:lang w:eastAsia="ru-RU"/>
        </w:rPr>
      </w:pPr>
      <w:r w:rsidRPr="00BE086B">
        <w:rPr>
          <w:b/>
          <w:bCs/>
          <w:sz w:val="28"/>
          <w:szCs w:val="28"/>
          <w:lang w:val="uk-UA"/>
        </w:rPr>
        <w:t xml:space="preserve">ПАТЕНТ УКРАЇНИ НА КОРИСНУ МОДЕЛЬ № </w:t>
      </w:r>
      <w:r w:rsidRPr="00BE086B">
        <w:rPr>
          <w:b/>
          <w:bCs/>
          <w:sz w:val="28"/>
          <w:szCs w:val="28"/>
          <w:lang w:eastAsia="ru-RU"/>
        </w:rPr>
        <w:t>137435</w:t>
      </w:r>
    </w:p>
    <w:p w:rsidR="008E53AF" w:rsidRPr="00BE086B" w:rsidRDefault="003D59C0" w:rsidP="008E53AF">
      <w:pPr>
        <w:pStyle w:val="af0"/>
        <w:jc w:val="center"/>
        <w:rPr>
          <w:b/>
          <w:sz w:val="28"/>
          <w:szCs w:val="28"/>
          <w:lang w:val="uk-UA"/>
        </w:rPr>
      </w:pPr>
      <w:r>
        <w:rPr>
          <w:b/>
          <w:noProof/>
          <w:sz w:val="28"/>
          <w:szCs w:val="28"/>
          <w:lang w:eastAsia="ru-RU"/>
        </w:rPr>
        <w:drawing>
          <wp:inline distT="0" distB="0" distL="0" distR="0">
            <wp:extent cx="5950800" cy="84096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п1.jpg"/>
                    <pic:cNvPicPr/>
                  </pic:nvPicPr>
                  <pic:blipFill>
                    <a:blip r:embed="rId136">
                      <a:extLst>
                        <a:ext uri="{28A0092B-C50C-407E-A947-70E740481C1C}">
                          <a14:useLocalDpi xmlns:a14="http://schemas.microsoft.com/office/drawing/2010/main" val="0"/>
                        </a:ext>
                      </a:extLst>
                    </a:blip>
                    <a:stretch>
                      <a:fillRect/>
                    </a:stretch>
                  </pic:blipFill>
                  <pic:spPr>
                    <a:xfrm>
                      <a:off x="0" y="0"/>
                      <a:ext cx="5950800" cy="8409600"/>
                    </a:xfrm>
                    <a:prstGeom prst="rect">
                      <a:avLst/>
                    </a:prstGeom>
                  </pic:spPr>
                </pic:pic>
              </a:graphicData>
            </a:graphic>
          </wp:inline>
        </w:drawing>
      </w:r>
    </w:p>
    <w:p w:rsidR="00DC03E5" w:rsidRPr="00BE086B" w:rsidRDefault="003D59C0" w:rsidP="008E53AF">
      <w:pPr>
        <w:pStyle w:val="af0"/>
        <w:jc w:val="center"/>
        <w:rPr>
          <w:b/>
          <w:sz w:val="28"/>
          <w:szCs w:val="28"/>
          <w:lang w:val="uk-UA"/>
        </w:rPr>
      </w:pPr>
      <w:r>
        <w:rPr>
          <w:b/>
          <w:noProof/>
          <w:sz w:val="28"/>
          <w:szCs w:val="28"/>
          <w:lang w:eastAsia="ru-RU"/>
        </w:rPr>
        <w:lastRenderedPageBreak/>
        <w:drawing>
          <wp:inline distT="0" distB="0" distL="0" distR="0">
            <wp:extent cx="5943600" cy="8305200"/>
            <wp:effectExtent l="0" t="0" r="0" b="63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п2.jpg"/>
                    <pic:cNvPicPr/>
                  </pic:nvPicPr>
                  <pic:blipFill>
                    <a:blip r:embed="rId137">
                      <a:extLst>
                        <a:ext uri="{28A0092B-C50C-407E-A947-70E740481C1C}">
                          <a14:useLocalDpi xmlns:a14="http://schemas.microsoft.com/office/drawing/2010/main" val="0"/>
                        </a:ext>
                      </a:extLst>
                    </a:blip>
                    <a:stretch>
                      <a:fillRect/>
                    </a:stretch>
                  </pic:blipFill>
                  <pic:spPr>
                    <a:xfrm>
                      <a:off x="0" y="0"/>
                      <a:ext cx="5943600" cy="8305200"/>
                    </a:xfrm>
                    <a:prstGeom prst="rect">
                      <a:avLst/>
                    </a:prstGeom>
                  </pic:spPr>
                </pic:pic>
              </a:graphicData>
            </a:graphic>
          </wp:inline>
        </w:drawing>
      </w:r>
    </w:p>
    <w:p w:rsidR="00DC03E5" w:rsidRPr="00BE086B" w:rsidRDefault="00DC03E5" w:rsidP="008E53AF">
      <w:pPr>
        <w:pStyle w:val="af0"/>
        <w:jc w:val="center"/>
        <w:rPr>
          <w:b/>
          <w:sz w:val="28"/>
          <w:szCs w:val="28"/>
          <w:lang w:val="uk-UA"/>
        </w:rPr>
      </w:pPr>
    </w:p>
    <w:p w:rsidR="00DC03E5" w:rsidRPr="00BE086B" w:rsidRDefault="00DC03E5" w:rsidP="008E53AF">
      <w:pPr>
        <w:pStyle w:val="af0"/>
        <w:jc w:val="center"/>
        <w:rPr>
          <w:b/>
          <w:sz w:val="28"/>
          <w:szCs w:val="28"/>
          <w:lang w:val="uk-UA"/>
        </w:rPr>
      </w:pPr>
    </w:p>
    <w:p w:rsidR="00DC03E5" w:rsidRPr="00BE086B" w:rsidRDefault="003D59C0" w:rsidP="008E53AF">
      <w:pPr>
        <w:pStyle w:val="af0"/>
        <w:jc w:val="center"/>
        <w:rPr>
          <w:b/>
          <w:sz w:val="28"/>
          <w:szCs w:val="28"/>
          <w:lang w:val="uk-UA"/>
        </w:rPr>
      </w:pPr>
      <w:r>
        <w:rPr>
          <w:b/>
          <w:noProof/>
          <w:sz w:val="28"/>
          <w:szCs w:val="28"/>
          <w:lang w:eastAsia="ru-RU"/>
        </w:rPr>
        <w:lastRenderedPageBreak/>
        <w:drawing>
          <wp:inline distT="0" distB="0" distL="0" distR="0">
            <wp:extent cx="5950800" cy="8571600"/>
            <wp:effectExtent l="0" t="0" r="0" b="127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п3.jpg"/>
                    <pic:cNvPicPr/>
                  </pic:nvPicPr>
                  <pic:blipFill>
                    <a:blip r:embed="rId138">
                      <a:extLst>
                        <a:ext uri="{28A0092B-C50C-407E-A947-70E740481C1C}">
                          <a14:useLocalDpi xmlns:a14="http://schemas.microsoft.com/office/drawing/2010/main" val="0"/>
                        </a:ext>
                      </a:extLst>
                    </a:blip>
                    <a:stretch>
                      <a:fillRect/>
                    </a:stretch>
                  </pic:blipFill>
                  <pic:spPr>
                    <a:xfrm>
                      <a:off x="0" y="0"/>
                      <a:ext cx="5950800" cy="8571600"/>
                    </a:xfrm>
                    <a:prstGeom prst="rect">
                      <a:avLst/>
                    </a:prstGeom>
                  </pic:spPr>
                </pic:pic>
              </a:graphicData>
            </a:graphic>
          </wp:inline>
        </w:drawing>
      </w:r>
    </w:p>
    <w:p w:rsidR="00DC03E5" w:rsidRPr="00BE086B" w:rsidRDefault="00DC03E5" w:rsidP="008E53AF">
      <w:pPr>
        <w:pStyle w:val="af0"/>
        <w:jc w:val="center"/>
        <w:rPr>
          <w:b/>
          <w:sz w:val="28"/>
          <w:szCs w:val="28"/>
          <w:lang w:val="uk-UA"/>
        </w:rPr>
      </w:pPr>
    </w:p>
    <w:p w:rsidR="00DC03E5" w:rsidRPr="00BE086B" w:rsidRDefault="003D59C0" w:rsidP="008E53AF">
      <w:pPr>
        <w:pStyle w:val="af0"/>
        <w:jc w:val="center"/>
        <w:rPr>
          <w:b/>
          <w:sz w:val="28"/>
          <w:szCs w:val="28"/>
          <w:lang w:val="uk-UA"/>
        </w:rPr>
      </w:pPr>
      <w:r>
        <w:rPr>
          <w:b/>
          <w:noProof/>
          <w:sz w:val="28"/>
          <w:szCs w:val="28"/>
          <w:lang w:eastAsia="ru-RU"/>
        </w:rPr>
        <w:lastRenderedPageBreak/>
        <w:drawing>
          <wp:inline distT="0" distB="0" distL="0" distR="0">
            <wp:extent cx="5943600" cy="9154800"/>
            <wp:effectExtent l="0" t="0" r="0" b="825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п4.jpg"/>
                    <pic:cNvPicPr/>
                  </pic:nvPicPr>
                  <pic:blipFill>
                    <a:blip r:embed="rId139">
                      <a:extLst>
                        <a:ext uri="{28A0092B-C50C-407E-A947-70E740481C1C}">
                          <a14:useLocalDpi xmlns:a14="http://schemas.microsoft.com/office/drawing/2010/main" val="0"/>
                        </a:ext>
                      </a:extLst>
                    </a:blip>
                    <a:stretch>
                      <a:fillRect/>
                    </a:stretch>
                  </pic:blipFill>
                  <pic:spPr>
                    <a:xfrm>
                      <a:off x="0" y="0"/>
                      <a:ext cx="5943600" cy="9154800"/>
                    </a:xfrm>
                    <a:prstGeom prst="rect">
                      <a:avLst/>
                    </a:prstGeom>
                  </pic:spPr>
                </pic:pic>
              </a:graphicData>
            </a:graphic>
          </wp:inline>
        </w:drawing>
      </w:r>
    </w:p>
    <w:p w:rsidR="00DC03E5" w:rsidRPr="00BE086B" w:rsidRDefault="003D59C0" w:rsidP="008E53AF">
      <w:pPr>
        <w:pStyle w:val="af0"/>
        <w:jc w:val="center"/>
        <w:rPr>
          <w:b/>
          <w:sz w:val="28"/>
          <w:szCs w:val="28"/>
          <w:lang w:val="uk-UA"/>
        </w:rPr>
      </w:pPr>
      <w:r>
        <w:rPr>
          <w:b/>
          <w:noProof/>
          <w:sz w:val="28"/>
          <w:szCs w:val="28"/>
          <w:lang w:eastAsia="ru-RU"/>
        </w:rPr>
        <w:lastRenderedPageBreak/>
        <w:drawing>
          <wp:inline distT="0" distB="0" distL="0" distR="0">
            <wp:extent cx="5943600" cy="91152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п5.jpg"/>
                    <pic:cNvPicPr/>
                  </pic:nvPicPr>
                  <pic:blipFill>
                    <a:blip r:embed="rId140">
                      <a:extLst>
                        <a:ext uri="{28A0092B-C50C-407E-A947-70E740481C1C}">
                          <a14:useLocalDpi xmlns:a14="http://schemas.microsoft.com/office/drawing/2010/main" val="0"/>
                        </a:ext>
                      </a:extLst>
                    </a:blip>
                    <a:stretch>
                      <a:fillRect/>
                    </a:stretch>
                  </pic:blipFill>
                  <pic:spPr>
                    <a:xfrm>
                      <a:off x="0" y="0"/>
                      <a:ext cx="5943600" cy="9115200"/>
                    </a:xfrm>
                    <a:prstGeom prst="rect">
                      <a:avLst/>
                    </a:prstGeom>
                  </pic:spPr>
                </pic:pic>
              </a:graphicData>
            </a:graphic>
          </wp:inline>
        </w:drawing>
      </w:r>
    </w:p>
    <w:p w:rsidR="00DC03E5" w:rsidRPr="00BE086B" w:rsidRDefault="003D59C0" w:rsidP="008E53AF">
      <w:pPr>
        <w:pStyle w:val="af0"/>
        <w:jc w:val="center"/>
        <w:rPr>
          <w:b/>
          <w:sz w:val="28"/>
          <w:szCs w:val="28"/>
          <w:lang w:val="uk-UA"/>
        </w:rPr>
      </w:pPr>
      <w:r>
        <w:rPr>
          <w:b/>
          <w:noProof/>
          <w:sz w:val="28"/>
          <w:szCs w:val="28"/>
          <w:lang w:eastAsia="ru-RU"/>
        </w:rPr>
        <w:lastRenderedPageBreak/>
        <w:drawing>
          <wp:inline distT="0" distB="0" distL="0" distR="0">
            <wp:extent cx="5943600" cy="89820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п6.jpg"/>
                    <pic:cNvPicPr/>
                  </pic:nvPicPr>
                  <pic:blipFill>
                    <a:blip r:embed="rId141">
                      <a:extLst>
                        <a:ext uri="{28A0092B-C50C-407E-A947-70E740481C1C}">
                          <a14:useLocalDpi xmlns:a14="http://schemas.microsoft.com/office/drawing/2010/main" val="0"/>
                        </a:ext>
                      </a:extLst>
                    </a:blip>
                    <a:stretch>
                      <a:fillRect/>
                    </a:stretch>
                  </pic:blipFill>
                  <pic:spPr>
                    <a:xfrm>
                      <a:off x="0" y="0"/>
                      <a:ext cx="5943600" cy="8982000"/>
                    </a:xfrm>
                    <a:prstGeom prst="rect">
                      <a:avLst/>
                    </a:prstGeom>
                  </pic:spPr>
                </pic:pic>
              </a:graphicData>
            </a:graphic>
          </wp:inline>
        </w:drawing>
      </w:r>
    </w:p>
    <w:p w:rsidR="00DC03E5" w:rsidRPr="00BE086B" w:rsidRDefault="003D59C0" w:rsidP="008E53AF">
      <w:pPr>
        <w:pStyle w:val="af0"/>
        <w:jc w:val="center"/>
        <w:rPr>
          <w:b/>
          <w:sz w:val="28"/>
          <w:szCs w:val="28"/>
          <w:lang w:val="uk-UA"/>
        </w:rPr>
      </w:pPr>
      <w:r>
        <w:rPr>
          <w:b/>
          <w:noProof/>
          <w:sz w:val="28"/>
          <w:szCs w:val="28"/>
          <w:lang w:eastAsia="ru-RU"/>
        </w:rPr>
        <w:lastRenderedPageBreak/>
        <w:drawing>
          <wp:inline distT="0" distB="0" distL="0" distR="0">
            <wp:extent cx="5943600" cy="9028800"/>
            <wp:effectExtent l="0" t="0" r="0" b="127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п7.jpg"/>
                    <pic:cNvPicPr/>
                  </pic:nvPicPr>
                  <pic:blipFill>
                    <a:blip r:embed="rId142">
                      <a:extLst>
                        <a:ext uri="{28A0092B-C50C-407E-A947-70E740481C1C}">
                          <a14:useLocalDpi xmlns:a14="http://schemas.microsoft.com/office/drawing/2010/main" val="0"/>
                        </a:ext>
                      </a:extLst>
                    </a:blip>
                    <a:stretch>
                      <a:fillRect/>
                    </a:stretch>
                  </pic:blipFill>
                  <pic:spPr>
                    <a:xfrm>
                      <a:off x="0" y="0"/>
                      <a:ext cx="5943600" cy="9028800"/>
                    </a:xfrm>
                    <a:prstGeom prst="rect">
                      <a:avLst/>
                    </a:prstGeom>
                  </pic:spPr>
                </pic:pic>
              </a:graphicData>
            </a:graphic>
          </wp:inline>
        </w:drawing>
      </w:r>
    </w:p>
    <w:p w:rsidR="00DC03E5" w:rsidRPr="00BE086B" w:rsidRDefault="003D59C0" w:rsidP="008E53AF">
      <w:pPr>
        <w:pStyle w:val="af0"/>
        <w:jc w:val="center"/>
        <w:rPr>
          <w:b/>
          <w:sz w:val="28"/>
          <w:szCs w:val="28"/>
          <w:lang w:val="uk-UA"/>
        </w:rPr>
      </w:pPr>
      <w:r>
        <w:rPr>
          <w:b/>
          <w:noProof/>
          <w:sz w:val="28"/>
          <w:szCs w:val="28"/>
          <w:lang w:eastAsia="ru-RU"/>
        </w:rPr>
        <w:lastRenderedPageBreak/>
        <w:drawing>
          <wp:inline distT="0" distB="0" distL="0" distR="0">
            <wp:extent cx="5878800" cy="9259200"/>
            <wp:effectExtent l="0" t="0" r="825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п8.jpg"/>
                    <pic:cNvPicPr/>
                  </pic:nvPicPr>
                  <pic:blipFill>
                    <a:blip r:embed="rId143">
                      <a:extLst>
                        <a:ext uri="{28A0092B-C50C-407E-A947-70E740481C1C}">
                          <a14:useLocalDpi xmlns:a14="http://schemas.microsoft.com/office/drawing/2010/main" val="0"/>
                        </a:ext>
                      </a:extLst>
                    </a:blip>
                    <a:stretch>
                      <a:fillRect/>
                    </a:stretch>
                  </pic:blipFill>
                  <pic:spPr>
                    <a:xfrm>
                      <a:off x="0" y="0"/>
                      <a:ext cx="5878800" cy="9259200"/>
                    </a:xfrm>
                    <a:prstGeom prst="rect">
                      <a:avLst/>
                    </a:prstGeom>
                  </pic:spPr>
                </pic:pic>
              </a:graphicData>
            </a:graphic>
          </wp:inline>
        </w:drawing>
      </w:r>
    </w:p>
    <w:p w:rsidR="00DC03E5" w:rsidRPr="00BE086B" w:rsidRDefault="003D59C0" w:rsidP="008E53AF">
      <w:pPr>
        <w:pStyle w:val="af0"/>
        <w:jc w:val="center"/>
        <w:rPr>
          <w:b/>
          <w:sz w:val="28"/>
          <w:szCs w:val="28"/>
          <w:lang w:val="uk-UA"/>
        </w:rPr>
      </w:pPr>
      <w:r>
        <w:rPr>
          <w:b/>
          <w:noProof/>
          <w:sz w:val="28"/>
          <w:szCs w:val="28"/>
          <w:lang w:eastAsia="ru-RU"/>
        </w:rPr>
        <w:lastRenderedPageBreak/>
        <w:drawing>
          <wp:inline distT="0" distB="0" distL="0" distR="0">
            <wp:extent cx="5954400" cy="8982000"/>
            <wp:effectExtent l="0" t="0" r="825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п9.jpg"/>
                    <pic:cNvPicPr/>
                  </pic:nvPicPr>
                  <pic:blipFill>
                    <a:blip r:embed="rId144">
                      <a:extLst>
                        <a:ext uri="{28A0092B-C50C-407E-A947-70E740481C1C}">
                          <a14:useLocalDpi xmlns:a14="http://schemas.microsoft.com/office/drawing/2010/main" val="0"/>
                        </a:ext>
                      </a:extLst>
                    </a:blip>
                    <a:stretch>
                      <a:fillRect/>
                    </a:stretch>
                  </pic:blipFill>
                  <pic:spPr>
                    <a:xfrm>
                      <a:off x="0" y="0"/>
                      <a:ext cx="5954400" cy="8982000"/>
                    </a:xfrm>
                    <a:prstGeom prst="rect">
                      <a:avLst/>
                    </a:prstGeom>
                  </pic:spPr>
                </pic:pic>
              </a:graphicData>
            </a:graphic>
          </wp:inline>
        </w:drawing>
      </w:r>
    </w:p>
    <w:p w:rsidR="009B41FA" w:rsidRPr="00BE086B" w:rsidRDefault="009B41FA" w:rsidP="00BD043D">
      <w:pPr>
        <w:spacing w:line="360" w:lineRule="auto"/>
        <w:jc w:val="center"/>
        <w:rPr>
          <w:b/>
          <w:sz w:val="28"/>
          <w:szCs w:val="28"/>
          <w:lang w:val="uk-UA"/>
        </w:rPr>
      </w:pPr>
      <w:r w:rsidRPr="00BE086B">
        <w:rPr>
          <w:b/>
          <w:sz w:val="28"/>
          <w:szCs w:val="28"/>
          <w:lang w:val="uk-UA"/>
        </w:rPr>
        <w:lastRenderedPageBreak/>
        <w:t>ДОДАТОК 5</w:t>
      </w:r>
    </w:p>
    <w:p w:rsidR="00DC03E5" w:rsidRPr="00BE086B" w:rsidRDefault="009B41FA" w:rsidP="00BD043D">
      <w:pPr>
        <w:pStyle w:val="af0"/>
        <w:jc w:val="center"/>
        <w:rPr>
          <w:b/>
          <w:bCs/>
          <w:sz w:val="28"/>
          <w:szCs w:val="28"/>
          <w:lang w:val="uk-UA"/>
        </w:rPr>
      </w:pPr>
      <w:r w:rsidRPr="00BE086B">
        <w:rPr>
          <w:b/>
          <w:bCs/>
          <w:sz w:val="28"/>
          <w:szCs w:val="28"/>
          <w:lang w:val="uk-UA"/>
        </w:rPr>
        <w:t>ІНФОРМАЦІЙНІ ЛИСТИ</w:t>
      </w:r>
    </w:p>
    <w:p w:rsidR="0085668D" w:rsidRPr="00BE086B" w:rsidRDefault="00FA78A0" w:rsidP="0085668D">
      <w:pPr>
        <w:pStyle w:val="af0"/>
        <w:jc w:val="center"/>
        <w:rPr>
          <w:b/>
          <w:sz w:val="28"/>
          <w:szCs w:val="28"/>
          <w:lang w:val="uk-UA"/>
        </w:rPr>
      </w:pPr>
      <w:r>
        <w:rPr>
          <w:b/>
          <w:noProof/>
          <w:sz w:val="28"/>
          <w:szCs w:val="28"/>
          <w:lang w:eastAsia="ru-RU"/>
        </w:rPr>
        <w:drawing>
          <wp:inline distT="0" distB="0" distL="0" distR="0">
            <wp:extent cx="5939790" cy="7842250"/>
            <wp:effectExtent l="0" t="0" r="3810" b="635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и1.jpg"/>
                    <pic:cNvPicPr/>
                  </pic:nvPicPr>
                  <pic:blipFill>
                    <a:blip r:embed="rId145">
                      <a:extLst>
                        <a:ext uri="{28A0092B-C50C-407E-A947-70E740481C1C}">
                          <a14:useLocalDpi xmlns:a14="http://schemas.microsoft.com/office/drawing/2010/main" val="0"/>
                        </a:ext>
                      </a:extLst>
                    </a:blip>
                    <a:stretch>
                      <a:fillRect/>
                    </a:stretch>
                  </pic:blipFill>
                  <pic:spPr>
                    <a:xfrm>
                      <a:off x="0" y="0"/>
                      <a:ext cx="5939790" cy="7842250"/>
                    </a:xfrm>
                    <a:prstGeom prst="rect">
                      <a:avLst/>
                    </a:prstGeom>
                  </pic:spPr>
                </pic:pic>
              </a:graphicData>
            </a:graphic>
          </wp:inline>
        </w:drawing>
      </w:r>
    </w:p>
    <w:p w:rsidR="00BD043D" w:rsidRPr="00BE086B" w:rsidRDefault="00BD043D" w:rsidP="0085668D">
      <w:pPr>
        <w:pStyle w:val="af0"/>
        <w:jc w:val="center"/>
        <w:rPr>
          <w:b/>
          <w:sz w:val="28"/>
          <w:szCs w:val="28"/>
          <w:lang w:val="uk-UA"/>
        </w:rPr>
      </w:pPr>
    </w:p>
    <w:p w:rsidR="00BD043D" w:rsidRDefault="00BD043D" w:rsidP="0085668D">
      <w:pPr>
        <w:pStyle w:val="af0"/>
        <w:jc w:val="center"/>
        <w:rPr>
          <w:b/>
          <w:sz w:val="28"/>
          <w:szCs w:val="28"/>
          <w:lang w:val="uk-UA"/>
        </w:rPr>
      </w:pPr>
    </w:p>
    <w:p w:rsidR="00FA78A0" w:rsidRPr="00BE086B" w:rsidRDefault="00FA78A0" w:rsidP="0085668D">
      <w:pPr>
        <w:pStyle w:val="af0"/>
        <w:jc w:val="center"/>
        <w:rPr>
          <w:b/>
          <w:sz w:val="28"/>
          <w:szCs w:val="28"/>
          <w:lang w:val="uk-UA"/>
        </w:rPr>
      </w:pPr>
    </w:p>
    <w:p w:rsidR="00BD043D" w:rsidRPr="00BE086B" w:rsidRDefault="00FA78A0" w:rsidP="0085668D">
      <w:pPr>
        <w:pStyle w:val="af0"/>
        <w:jc w:val="center"/>
        <w:rPr>
          <w:b/>
          <w:sz w:val="28"/>
          <w:szCs w:val="28"/>
          <w:lang w:val="uk-UA"/>
        </w:rPr>
      </w:pPr>
      <w:r>
        <w:rPr>
          <w:b/>
          <w:noProof/>
          <w:sz w:val="28"/>
          <w:szCs w:val="28"/>
          <w:lang w:eastAsia="ru-RU"/>
        </w:rPr>
        <w:drawing>
          <wp:inline distT="0" distB="0" distL="0" distR="0">
            <wp:extent cx="6001200" cy="7977600"/>
            <wp:effectExtent l="0" t="0" r="0" b="444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и2.jpg"/>
                    <pic:cNvPicPr/>
                  </pic:nvPicPr>
                  <pic:blipFill>
                    <a:blip r:embed="rId146">
                      <a:extLst>
                        <a:ext uri="{28A0092B-C50C-407E-A947-70E740481C1C}">
                          <a14:useLocalDpi xmlns:a14="http://schemas.microsoft.com/office/drawing/2010/main" val="0"/>
                        </a:ext>
                      </a:extLst>
                    </a:blip>
                    <a:stretch>
                      <a:fillRect/>
                    </a:stretch>
                  </pic:blipFill>
                  <pic:spPr>
                    <a:xfrm>
                      <a:off x="0" y="0"/>
                      <a:ext cx="6001200" cy="7977600"/>
                    </a:xfrm>
                    <a:prstGeom prst="rect">
                      <a:avLst/>
                    </a:prstGeom>
                  </pic:spPr>
                </pic:pic>
              </a:graphicData>
            </a:graphic>
          </wp:inline>
        </w:drawing>
      </w:r>
    </w:p>
    <w:p w:rsidR="00BD043D" w:rsidRPr="00BE086B" w:rsidRDefault="00BD043D" w:rsidP="0085668D">
      <w:pPr>
        <w:pStyle w:val="af0"/>
        <w:jc w:val="center"/>
        <w:rPr>
          <w:b/>
          <w:sz w:val="28"/>
          <w:szCs w:val="28"/>
          <w:lang w:val="uk-UA"/>
        </w:rPr>
      </w:pPr>
    </w:p>
    <w:p w:rsidR="00BD043D" w:rsidRPr="00BE086B" w:rsidRDefault="00BD043D" w:rsidP="0085668D">
      <w:pPr>
        <w:pStyle w:val="af0"/>
        <w:jc w:val="center"/>
        <w:rPr>
          <w:b/>
          <w:sz w:val="28"/>
          <w:szCs w:val="28"/>
          <w:lang w:val="uk-UA"/>
        </w:rPr>
      </w:pPr>
    </w:p>
    <w:p w:rsidR="0085668D" w:rsidRPr="00BE086B" w:rsidRDefault="0085668D" w:rsidP="0085668D">
      <w:pPr>
        <w:pStyle w:val="af0"/>
        <w:jc w:val="center"/>
        <w:rPr>
          <w:b/>
          <w:sz w:val="28"/>
          <w:szCs w:val="28"/>
          <w:lang w:val="uk-UA"/>
        </w:rPr>
      </w:pPr>
    </w:p>
    <w:p w:rsidR="00BD043D" w:rsidRPr="00BE086B" w:rsidRDefault="00FA78A0" w:rsidP="0085668D">
      <w:pPr>
        <w:pStyle w:val="af0"/>
        <w:jc w:val="center"/>
        <w:rPr>
          <w:b/>
          <w:sz w:val="28"/>
          <w:szCs w:val="28"/>
          <w:lang w:val="uk-UA"/>
        </w:rPr>
      </w:pPr>
      <w:r>
        <w:rPr>
          <w:b/>
          <w:noProof/>
          <w:sz w:val="28"/>
          <w:szCs w:val="28"/>
          <w:lang w:eastAsia="ru-RU"/>
        </w:rPr>
        <w:drawing>
          <wp:inline distT="0" distB="0" distL="0" distR="0">
            <wp:extent cx="6080400" cy="8035200"/>
            <wp:effectExtent l="0" t="0" r="0" b="444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и3.jpg"/>
                    <pic:cNvPicPr/>
                  </pic:nvPicPr>
                  <pic:blipFill>
                    <a:blip r:embed="rId147">
                      <a:extLst>
                        <a:ext uri="{28A0092B-C50C-407E-A947-70E740481C1C}">
                          <a14:useLocalDpi xmlns:a14="http://schemas.microsoft.com/office/drawing/2010/main" val="0"/>
                        </a:ext>
                      </a:extLst>
                    </a:blip>
                    <a:stretch>
                      <a:fillRect/>
                    </a:stretch>
                  </pic:blipFill>
                  <pic:spPr>
                    <a:xfrm>
                      <a:off x="0" y="0"/>
                      <a:ext cx="6080400" cy="8035200"/>
                    </a:xfrm>
                    <a:prstGeom prst="rect">
                      <a:avLst/>
                    </a:prstGeom>
                  </pic:spPr>
                </pic:pic>
              </a:graphicData>
            </a:graphic>
          </wp:inline>
        </w:drawing>
      </w:r>
    </w:p>
    <w:p w:rsidR="00BD043D" w:rsidRPr="00BE086B" w:rsidRDefault="00BD043D" w:rsidP="0085668D">
      <w:pPr>
        <w:pStyle w:val="af0"/>
        <w:jc w:val="center"/>
        <w:rPr>
          <w:b/>
          <w:sz w:val="28"/>
          <w:szCs w:val="28"/>
          <w:lang w:val="uk-UA"/>
        </w:rPr>
      </w:pPr>
    </w:p>
    <w:p w:rsidR="00BD043D" w:rsidRPr="00BE086B" w:rsidRDefault="00BD043D" w:rsidP="0085668D">
      <w:pPr>
        <w:pStyle w:val="af0"/>
        <w:jc w:val="center"/>
        <w:rPr>
          <w:b/>
          <w:sz w:val="28"/>
          <w:szCs w:val="28"/>
          <w:lang w:val="uk-UA"/>
        </w:rPr>
      </w:pPr>
    </w:p>
    <w:p w:rsidR="00BD043D" w:rsidRPr="00BE086B" w:rsidRDefault="00BD043D" w:rsidP="0085668D">
      <w:pPr>
        <w:pStyle w:val="af0"/>
        <w:jc w:val="center"/>
        <w:rPr>
          <w:b/>
          <w:sz w:val="28"/>
          <w:szCs w:val="28"/>
          <w:lang w:val="uk-UA"/>
        </w:rPr>
      </w:pPr>
    </w:p>
    <w:p w:rsidR="00BD043D" w:rsidRPr="00BE086B" w:rsidRDefault="00FA78A0" w:rsidP="0085668D">
      <w:pPr>
        <w:pStyle w:val="af0"/>
        <w:jc w:val="center"/>
        <w:rPr>
          <w:b/>
          <w:sz w:val="28"/>
          <w:szCs w:val="28"/>
          <w:lang w:val="uk-UA"/>
        </w:rPr>
      </w:pPr>
      <w:r>
        <w:rPr>
          <w:b/>
          <w:noProof/>
          <w:sz w:val="28"/>
          <w:szCs w:val="28"/>
          <w:lang w:eastAsia="ru-RU"/>
        </w:rPr>
        <w:drawing>
          <wp:inline distT="0" distB="0" distL="0" distR="0">
            <wp:extent cx="5896800" cy="7995600"/>
            <wp:effectExtent l="0" t="0" r="8890" b="571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и4.jpg"/>
                    <pic:cNvPicPr/>
                  </pic:nvPicPr>
                  <pic:blipFill>
                    <a:blip r:embed="rId148">
                      <a:extLst>
                        <a:ext uri="{28A0092B-C50C-407E-A947-70E740481C1C}">
                          <a14:useLocalDpi xmlns:a14="http://schemas.microsoft.com/office/drawing/2010/main" val="0"/>
                        </a:ext>
                      </a:extLst>
                    </a:blip>
                    <a:stretch>
                      <a:fillRect/>
                    </a:stretch>
                  </pic:blipFill>
                  <pic:spPr>
                    <a:xfrm>
                      <a:off x="0" y="0"/>
                      <a:ext cx="5896800" cy="7995600"/>
                    </a:xfrm>
                    <a:prstGeom prst="rect">
                      <a:avLst/>
                    </a:prstGeom>
                  </pic:spPr>
                </pic:pic>
              </a:graphicData>
            </a:graphic>
          </wp:inline>
        </w:drawing>
      </w:r>
    </w:p>
    <w:p w:rsidR="0085668D" w:rsidRPr="00BE086B" w:rsidRDefault="0085668D" w:rsidP="0085668D">
      <w:pPr>
        <w:pStyle w:val="af0"/>
        <w:jc w:val="center"/>
        <w:rPr>
          <w:b/>
          <w:sz w:val="28"/>
          <w:szCs w:val="28"/>
          <w:lang w:val="uk-UA"/>
        </w:rPr>
      </w:pPr>
    </w:p>
    <w:p w:rsidR="0085668D" w:rsidRPr="00BE086B" w:rsidRDefault="0085668D" w:rsidP="0085668D">
      <w:pPr>
        <w:pStyle w:val="af0"/>
        <w:jc w:val="center"/>
        <w:rPr>
          <w:b/>
          <w:sz w:val="28"/>
          <w:szCs w:val="28"/>
          <w:lang w:val="uk-UA"/>
        </w:rPr>
      </w:pPr>
    </w:p>
    <w:p w:rsidR="0085668D" w:rsidRPr="00BE086B" w:rsidRDefault="0085668D" w:rsidP="0085668D">
      <w:pPr>
        <w:pStyle w:val="af0"/>
        <w:jc w:val="center"/>
        <w:rPr>
          <w:b/>
          <w:sz w:val="28"/>
          <w:szCs w:val="28"/>
          <w:lang w:val="uk-UA"/>
        </w:rPr>
      </w:pPr>
    </w:p>
    <w:p w:rsidR="00D91944" w:rsidRPr="00BE086B" w:rsidRDefault="00FA78A0" w:rsidP="00BD043D">
      <w:pPr>
        <w:spacing w:line="360" w:lineRule="auto"/>
        <w:jc w:val="center"/>
        <w:rPr>
          <w:b/>
          <w:sz w:val="28"/>
          <w:szCs w:val="28"/>
          <w:lang w:val="uk-UA"/>
        </w:rPr>
      </w:pPr>
      <w:r>
        <w:rPr>
          <w:b/>
          <w:noProof/>
          <w:sz w:val="28"/>
          <w:szCs w:val="28"/>
          <w:lang w:eastAsia="ru-RU"/>
        </w:rPr>
        <w:drawing>
          <wp:inline distT="0" distB="0" distL="0" distR="0">
            <wp:extent cx="5857200" cy="8265600"/>
            <wp:effectExtent l="0" t="0" r="0" b="254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и5.jpg"/>
                    <pic:cNvPicPr/>
                  </pic:nvPicPr>
                  <pic:blipFill>
                    <a:blip r:embed="rId149">
                      <a:extLst>
                        <a:ext uri="{28A0092B-C50C-407E-A947-70E740481C1C}">
                          <a14:useLocalDpi xmlns:a14="http://schemas.microsoft.com/office/drawing/2010/main" val="0"/>
                        </a:ext>
                      </a:extLst>
                    </a:blip>
                    <a:stretch>
                      <a:fillRect/>
                    </a:stretch>
                  </pic:blipFill>
                  <pic:spPr>
                    <a:xfrm>
                      <a:off x="0" y="0"/>
                      <a:ext cx="5857200" cy="8265600"/>
                    </a:xfrm>
                    <a:prstGeom prst="rect">
                      <a:avLst/>
                    </a:prstGeom>
                  </pic:spPr>
                </pic:pic>
              </a:graphicData>
            </a:graphic>
          </wp:inline>
        </w:drawing>
      </w:r>
    </w:p>
    <w:p w:rsidR="00D91944" w:rsidRPr="00BE086B" w:rsidRDefault="00D91944" w:rsidP="00BD043D">
      <w:pPr>
        <w:spacing w:line="360" w:lineRule="auto"/>
        <w:jc w:val="center"/>
        <w:rPr>
          <w:b/>
          <w:sz w:val="28"/>
          <w:szCs w:val="28"/>
          <w:lang w:val="uk-UA"/>
        </w:rPr>
      </w:pPr>
    </w:p>
    <w:p w:rsidR="00D91944" w:rsidRPr="00BE086B" w:rsidRDefault="00BE5E7F" w:rsidP="00BD043D">
      <w:pPr>
        <w:spacing w:line="360" w:lineRule="auto"/>
        <w:jc w:val="center"/>
        <w:rPr>
          <w:b/>
          <w:sz w:val="28"/>
          <w:szCs w:val="28"/>
          <w:lang w:val="uk-UA"/>
        </w:rPr>
      </w:pPr>
      <w:r>
        <w:rPr>
          <w:b/>
          <w:noProof/>
          <w:sz w:val="28"/>
          <w:szCs w:val="28"/>
          <w:lang w:eastAsia="ru-RU"/>
        </w:rPr>
        <w:lastRenderedPageBreak/>
        <w:drawing>
          <wp:inline distT="0" distB="0" distL="0" distR="0">
            <wp:extent cx="5932800" cy="79488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и6.jpg"/>
                    <pic:cNvPicPr/>
                  </pic:nvPicPr>
                  <pic:blipFill>
                    <a:blip r:embed="rId150">
                      <a:extLst>
                        <a:ext uri="{28A0092B-C50C-407E-A947-70E740481C1C}">
                          <a14:useLocalDpi xmlns:a14="http://schemas.microsoft.com/office/drawing/2010/main" val="0"/>
                        </a:ext>
                      </a:extLst>
                    </a:blip>
                    <a:stretch>
                      <a:fillRect/>
                    </a:stretch>
                  </pic:blipFill>
                  <pic:spPr>
                    <a:xfrm>
                      <a:off x="0" y="0"/>
                      <a:ext cx="5932800" cy="7948800"/>
                    </a:xfrm>
                    <a:prstGeom prst="rect">
                      <a:avLst/>
                    </a:prstGeom>
                  </pic:spPr>
                </pic:pic>
              </a:graphicData>
            </a:graphic>
          </wp:inline>
        </w:drawing>
      </w:r>
    </w:p>
    <w:p w:rsidR="00D91944" w:rsidRPr="00BE086B" w:rsidRDefault="00D91944"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D91944" w:rsidRPr="00BE086B" w:rsidRDefault="00BE5E7F" w:rsidP="00BD043D">
      <w:pPr>
        <w:spacing w:line="360" w:lineRule="auto"/>
        <w:jc w:val="center"/>
        <w:rPr>
          <w:b/>
          <w:sz w:val="28"/>
          <w:szCs w:val="28"/>
          <w:lang w:val="uk-UA"/>
        </w:rPr>
      </w:pPr>
      <w:r>
        <w:rPr>
          <w:b/>
          <w:noProof/>
          <w:sz w:val="28"/>
          <w:szCs w:val="28"/>
          <w:lang w:eastAsia="ru-RU"/>
        </w:rPr>
        <w:lastRenderedPageBreak/>
        <w:drawing>
          <wp:inline distT="0" distB="0" distL="0" distR="0">
            <wp:extent cx="5961600" cy="4150800"/>
            <wp:effectExtent l="0" t="0" r="1270" b="254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и7.jpg"/>
                    <pic:cNvPicPr/>
                  </pic:nvPicPr>
                  <pic:blipFill>
                    <a:blip r:embed="rId151">
                      <a:extLst>
                        <a:ext uri="{28A0092B-C50C-407E-A947-70E740481C1C}">
                          <a14:useLocalDpi xmlns:a14="http://schemas.microsoft.com/office/drawing/2010/main" val="0"/>
                        </a:ext>
                      </a:extLst>
                    </a:blip>
                    <a:stretch>
                      <a:fillRect/>
                    </a:stretch>
                  </pic:blipFill>
                  <pic:spPr>
                    <a:xfrm>
                      <a:off x="0" y="0"/>
                      <a:ext cx="5961600" cy="4150800"/>
                    </a:xfrm>
                    <a:prstGeom prst="rect">
                      <a:avLst/>
                    </a:prstGeom>
                  </pic:spPr>
                </pic:pic>
              </a:graphicData>
            </a:graphic>
          </wp:inline>
        </w:drawing>
      </w:r>
    </w:p>
    <w:p w:rsidR="00D91944" w:rsidRDefault="00D91944" w:rsidP="00BD043D">
      <w:pPr>
        <w:spacing w:line="360" w:lineRule="auto"/>
        <w:jc w:val="center"/>
        <w:rPr>
          <w:b/>
          <w:sz w:val="28"/>
          <w:szCs w:val="28"/>
          <w:lang w:val="uk-UA"/>
        </w:rPr>
      </w:pPr>
    </w:p>
    <w:p w:rsidR="00BE5E7F" w:rsidRDefault="00BE5E7F" w:rsidP="00BD043D">
      <w:pPr>
        <w:spacing w:line="360" w:lineRule="auto"/>
        <w:jc w:val="center"/>
        <w:rPr>
          <w:b/>
          <w:sz w:val="28"/>
          <w:szCs w:val="28"/>
          <w:lang w:val="uk-UA"/>
        </w:rPr>
      </w:pPr>
    </w:p>
    <w:p w:rsidR="00BE5E7F" w:rsidRDefault="00BE5E7F" w:rsidP="00BD043D">
      <w:pPr>
        <w:spacing w:line="360" w:lineRule="auto"/>
        <w:jc w:val="center"/>
        <w:rPr>
          <w:b/>
          <w:sz w:val="28"/>
          <w:szCs w:val="28"/>
          <w:lang w:val="uk-UA"/>
        </w:rPr>
      </w:pPr>
    </w:p>
    <w:p w:rsidR="00BE5E7F" w:rsidRDefault="00BE5E7F" w:rsidP="00BD043D">
      <w:pPr>
        <w:spacing w:line="360" w:lineRule="auto"/>
        <w:jc w:val="center"/>
        <w:rPr>
          <w:b/>
          <w:sz w:val="28"/>
          <w:szCs w:val="28"/>
          <w:lang w:val="uk-UA"/>
        </w:rPr>
      </w:pPr>
    </w:p>
    <w:p w:rsidR="00BE5E7F" w:rsidRDefault="00BE5E7F" w:rsidP="00BD043D">
      <w:pPr>
        <w:spacing w:line="360" w:lineRule="auto"/>
        <w:jc w:val="center"/>
        <w:rPr>
          <w:b/>
          <w:sz w:val="28"/>
          <w:szCs w:val="28"/>
          <w:lang w:val="uk-UA"/>
        </w:rPr>
      </w:pPr>
    </w:p>
    <w:p w:rsidR="00BE5E7F" w:rsidRDefault="00BE5E7F" w:rsidP="00BD043D">
      <w:pPr>
        <w:spacing w:line="360" w:lineRule="auto"/>
        <w:jc w:val="center"/>
        <w:rPr>
          <w:b/>
          <w:sz w:val="28"/>
          <w:szCs w:val="28"/>
          <w:lang w:val="uk-UA"/>
        </w:rPr>
      </w:pPr>
    </w:p>
    <w:p w:rsidR="00BE5E7F" w:rsidRDefault="00BE5E7F" w:rsidP="00BD043D">
      <w:pPr>
        <w:spacing w:line="360" w:lineRule="auto"/>
        <w:jc w:val="center"/>
        <w:rPr>
          <w:b/>
          <w:sz w:val="28"/>
          <w:szCs w:val="28"/>
          <w:lang w:val="uk-UA"/>
        </w:rPr>
      </w:pPr>
    </w:p>
    <w:p w:rsidR="00BE5E7F" w:rsidRDefault="00BE5E7F" w:rsidP="00BD043D">
      <w:pPr>
        <w:spacing w:line="360" w:lineRule="auto"/>
        <w:jc w:val="center"/>
        <w:rPr>
          <w:b/>
          <w:sz w:val="28"/>
          <w:szCs w:val="28"/>
          <w:lang w:val="uk-UA"/>
        </w:rPr>
      </w:pPr>
    </w:p>
    <w:p w:rsidR="00BE5E7F" w:rsidRPr="00BE086B" w:rsidRDefault="00BE5E7F"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D91944" w:rsidRPr="00BE086B" w:rsidRDefault="00D91944" w:rsidP="00BD043D">
      <w:pPr>
        <w:spacing w:line="360" w:lineRule="auto"/>
        <w:jc w:val="center"/>
        <w:rPr>
          <w:b/>
          <w:sz w:val="28"/>
          <w:szCs w:val="28"/>
          <w:lang w:val="uk-UA"/>
        </w:rPr>
      </w:pPr>
    </w:p>
    <w:p w:rsidR="00BD043D" w:rsidRPr="00BE086B" w:rsidRDefault="00BD043D" w:rsidP="00BD043D">
      <w:pPr>
        <w:spacing w:line="360" w:lineRule="auto"/>
        <w:jc w:val="center"/>
        <w:rPr>
          <w:b/>
          <w:sz w:val="28"/>
          <w:szCs w:val="28"/>
          <w:lang w:val="uk-UA"/>
        </w:rPr>
      </w:pPr>
      <w:r w:rsidRPr="00BE086B">
        <w:rPr>
          <w:b/>
          <w:sz w:val="28"/>
          <w:szCs w:val="28"/>
          <w:lang w:val="uk-UA"/>
        </w:rPr>
        <w:lastRenderedPageBreak/>
        <w:t>ДОДАТОК 6</w:t>
      </w:r>
    </w:p>
    <w:p w:rsidR="00BD043D" w:rsidRPr="00BE086B" w:rsidRDefault="00BD043D" w:rsidP="00BD043D">
      <w:pPr>
        <w:pStyle w:val="af0"/>
        <w:jc w:val="center"/>
        <w:rPr>
          <w:b/>
          <w:sz w:val="28"/>
          <w:szCs w:val="28"/>
          <w:lang w:val="uk-UA"/>
        </w:rPr>
      </w:pPr>
      <w:r w:rsidRPr="00BE086B">
        <w:rPr>
          <w:b/>
          <w:sz w:val="28"/>
          <w:szCs w:val="28"/>
          <w:lang w:val="uk-UA"/>
        </w:rPr>
        <w:t>Н</w:t>
      </w:r>
      <w:r w:rsidRPr="00BE086B">
        <w:rPr>
          <w:b/>
          <w:sz w:val="28"/>
          <w:szCs w:val="28"/>
        </w:rPr>
        <w:t>АУКОВ</w:t>
      </w:r>
      <w:r w:rsidRPr="00BE086B">
        <w:rPr>
          <w:b/>
          <w:sz w:val="28"/>
          <w:szCs w:val="28"/>
          <w:lang w:val="uk-UA"/>
        </w:rPr>
        <w:t>А</w:t>
      </w:r>
      <w:r w:rsidRPr="00BE086B">
        <w:rPr>
          <w:b/>
          <w:sz w:val="28"/>
          <w:szCs w:val="28"/>
        </w:rPr>
        <w:t xml:space="preserve"> (НАУКОВО-ТЕХНІЧН</w:t>
      </w:r>
      <w:r w:rsidRPr="00BE086B">
        <w:rPr>
          <w:b/>
          <w:sz w:val="28"/>
          <w:szCs w:val="28"/>
          <w:lang w:val="uk-UA"/>
        </w:rPr>
        <w:t>А</w:t>
      </w:r>
      <w:r w:rsidRPr="00BE086B">
        <w:rPr>
          <w:b/>
          <w:sz w:val="28"/>
          <w:szCs w:val="28"/>
        </w:rPr>
        <w:t>) ПРОДУКЦІ</w:t>
      </w:r>
      <w:r w:rsidRPr="00BE086B">
        <w:rPr>
          <w:b/>
          <w:sz w:val="28"/>
          <w:szCs w:val="28"/>
          <w:lang w:val="uk-UA"/>
        </w:rPr>
        <w:t>Я</w:t>
      </w:r>
      <w:r w:rsidRPr="00BE086B">
        <w:rPr>
          <w:b/>
          <w:sz w:val="28"/>
          <w:szCs w:val="28"/>
        </w:rPr>
        <w:t>, ПРИЗНАЧЕН</w:t>
      </w:r>
      <w:r w:rsidRPr="00BE086B">
        <w:rPr>
          <w:b/>
          <w:sz w:val="28"/>
          <w:szCs w:val="28"/>
          <w:lang w:val="uk-UA"/>
        </w:rPr>
        <w:t>А</w:t>
      </w:r>
      <w:r w:rsidRPr="00BE086B">
        <w:rPr>
          <w:b/>
          <w:sz w:val="28"/>
          <w:szCs w:val="28"/>
        </w:rPr>
        <w:t xml:space="preserve"> ДЛЯ ВПРОВАДЖЕННЯ У СФЕРУ ОХОРОНИ ЗДОРОВ’Я</w:t>
      </w:r>
      <w:r w:rsidRPr="00BE086B">
        <w:rPr>
          <w:b/>
          <w:sz w:val="28"/>
          <w:szCs w:val="28"/>
          <w:lang w:val="uk-UA"/>
        </w:rPr>
        <w:t xml:space="preserve"> – </w:t>
      </w:r>
    </w:p>
    <w:p w:rsidR="00BD043D" w:rsidRPr="00BE086B" w:rsidRDefault="00BD043D" w:rsidP="00BD043D">
      <w:pPr>
        <w:pStyle w:val="af0"/>
        <w:jc w:val="center"/>
        <w:rPr>
          <w:b/>
          <w:bCs/>
          <w:sz w:val="28"/>
          <w:szCs w:val="28"/>
          <w:lang w:val="uk-UA"/>
        </w:rPr>
      </w:pPr>
      <w:r w:rsidRPr="00BE086B">
        <w:rPr>
          <w:b/>
          <w:sz w:val="28"/>
          <w:szCs w:val="28"/>
          <w:lang w:eastAsia="ru-RU"/>
        </w:rPr>
        <w:t>РЕЄСТР. № 276 /6/19</w:t>
      </w:r>
    </w:p>
    <w:p w:rsidR="00BD043D" w:rsidRPr="00BE086B" w:rsidRDefault="00337C41" w:rsidP="009B41FA">
      <w:pPr>
        <w:pStyle w:val="af0"/>
        <w:jc w:val="center"/>
        <w:rPr>
          <w:b/>
          <w:sz w:val="28"/>
          <w:szCs w:val="28"/>
          <w:lang w:val="uk-UA"/>
        </w:rPr>
      </w:pPr>
      <w:r>
        <w:rPr>
          <w:b/>
          <w:noProof/>
          <w:sz w:val="28"/>
          <w:szCs w:val="28"/>
          <w:lang w:eastAsia="ru-RU"/>
        </w:rPr>
        <w:drawing>
          <wp:inline distT="0" distB="0" distL="0" distR="0">
            <wp:extent cx="5943600" cy="77436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н1.jpg"/>
                    <pic:cNvPicPr/>
                  </pic:nvPicPr>
                  <pic:blipFill>
                    <a:blip r:embed="rId152">
                      <a:extLst>
                        <a:ext uri="{28A0092B-C50C-407E-A947-70E740481C1C}">
                          <a14:useLocalDpi xmlns:a14="http://schemas.microsoft.com/office/drawing/2010/main" val="0"/>
                        </a:ext>
                      </a:extLst>
                    </a:blip>
                    <a:stretch>
                      <a:fillRect/>
                    </a:stretch>
                  </pic:blipFill>
                  <pic:spPr>
                    <a:xfrm>
                      <a:off x="0" y="0"/>
                      <a:ext cx="5943600" cy="7743600"/>
                    </a:xfrm>
                    <a:prstGeom prst="rect">
                      <a:avLst/>
                    </a:prstGeom>
                  </pic:spPr>
                </pic:pic>
              </a:graphicData>
            </a:graphic>
          </wp:inline>
        </w:drawing>
      </w:r>
    </w:p>
    <w:p w:rsidR="009A6E14" w:rsidRPr="00BE086B" w:rsidRDefault="00337C41" w:rsidP="009B41FA">
      <w:pPr>
        <w:pStyle w:val="af0"/>
        <w:jc w:val="center"/>
        <w:rPr>
          <w:b/>
          <w:sz w:val="28"/>
          <w:szCs w:val="28"/>
          <w:lang w:val="uk-UA"/>
        </w:rPr>
      </w:pPr>
      <w:r>
        <w:rPr>
          <w:b/>
          <w:noProof/>
          <w:sz w:val="28"/>
          <w:szCs w:val="28"/>
          <w:lang w:eastAsia="ru-RU"/>
        </w:rPr>
        <w:lastRenderedPageBreak/>
        <w:drawing>
          <wp:inline distT="0" distB="0" distL="0" distR="0">
            <wp:extent cx="5943600" cy="90684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н2.jpg"/>
                    <pic:cNvPicPr/>
                  </pic:nvPicPr>
                  <pic:blipFill>
                    <a:blip r:embed="rId153">
                      <a:extLst>
                        <a:ext uri="{28A0092B-C50C-407E-A947-70E740481C1C}">
                          <a14:useLocalDpi xmlns:a14="http://schemas.microsoft.com/office/drawing/2010/main" val="0"/>
                        </a:ext>
                      </a:extLst>
                    </a:blip>
                    <a:stretch>
                      <a:fillRect/>
                    </a:stretch>
                  </pic:blipFill>
                  <pic:spPr>
                    <a:xfrm>
                      <a:off x="0" y="0"/>
                      <a:ext cx="5943600" cy="9068400"/>
                    </a:xfrm>
                    <a:prstGeom prst="rect">
                      <a:avLst/>
                    </a:prstGeom>
                  </pic:spPr>
                </pic:pic>
              </a:graphicData>
            </a:graphic>
          </wp:inline>
        </w:drawing>
      </w:r>
    </w:p>
    <w:p w:rsidR="009A6E14" w:rsidRPr="00BE086B" w:rsidRDefault="00337C41" w:rsidP="009B41FA">
      <w:pPr>
        <w:pStyle w:val="af0"/>
        <w:jc w:val="center"/>
        <w:rPr>
          <w:b/>
          <w:sz w:val="28"/>
          <w:szCs w:val="28"/>
          <w:lang w:val="uk-UA"/>
        </w:rPr>
      </w:pPr>
      <w:r>
        <w:rPr>
          <w:b/>
          <w:noProof/>
          <w:sz w:val="28"/>
          <w:szCs w:val="28"/>
          <w:lang w:eastAsia="ru-RU"/>
        </w:rPr>
        <w:lastRenderedPageBreak/>
        <w:drawing>
          <wp:inline distT="0" distB="0" distL="0" distR="0">
            <wp:extent cx="5943600" cy="89244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н3.jpg"/>
                    <pic:cNvPicPr/>
                  </pic:nvPicPr>
                  <pic:blipFill>
                    <a:blip r:embed="rId154">
                      <a:extLst>
                        <a:ext uri="{28A0092B-C50C-407E-A947-70E740481C1C}">
                          <a14:useLocalDpi xmlns:a14="http://schemas.microsoft.com/office/drawing/2010/main" val="0"/>
                        </a:ext>
                      </a:extLst>
                    </a:blip>
                    <a:stretch>
                      <a:fillRect/>
                    </a:stretch>
                  </pic:blipFill>
                  <pic:spPr>
                    <a:xfrm>
                      <a:off x="0" y="0"/>
                      <a:ext cx="5943600" cy="8924400"/>
                    </a:xfrm>
                    <a:prstGeom prst="rect">
                      <a:avLst/>
                    </a:prstGeom>
                  </pic:spPr>
                </pic:pic>
              </a:graphicData>
            </a:graphic>
          </wp:inline>
        </w:drawing>
      </w:r>
    </w:p>
    <w:p w:rsidR="009A6E14" w:rsidRPr="00BE086B" w:rsidRDefault="009A6E14" w:rsidP="009A6E14">
      <w:pPr>
        <w:spacing w:line="360" w:lineRule="auto"/>
        <w:jc w:val="center"/>
        <w:rPr>
          <w:b/>
          <w:sz w:val="28"/>
          <w:szCs w:val="28"/>
          <w:lang w:val="uk-UA"/>
        </w:rPr>
      </w:pPr>
      <w:r w:rsidRPr="00BE086B">
        <w:rPr>
          <w:b/>
          <w:sz w:val="28"/>
          <w:szCs w:val="28"/>
          <w:lang w:val="uk-UA"/>
        </w:rPr>
        <w:lastRenderedPageBreak/>
        <w:t>ДОДАТОК 7</w:t>
      </w:r>
    </w:p>
    <w:p w:rsidR="009A6E14" w:rsidRPr="00BE086B" w:rsidRDefault="009A6E14" w:rsidP="009A6E14">
      <w:pPr>
        <w:pStyle w:val="af0"/>
        <w:jc w:val="center"/>
        <w:rPr>
          <w:b/>
          <w:bCs/>
          <w:sz w:val="28"/>
          <w:szCs w:val="28"/>
          <w:lang w:val="uk-UA"/>
        </w:rPr>
      </w:pPr>
      <w:r w:rsidRPr="00BE086B">
        <w:rPr>
          <w:b/>
          <w:bCs/>
          <w:sz w:val="28"/>
          <w:szCs w:val="28"/>
          <w:lang w:val="uk-UA"/>
        </w:rPr>
        <w:t>ЛИСТИ ВІД ПРАТ «ФІТОФАРМ»</w:t>
      </w:r>
    </w:p>
    <w:p w:rsidR="009A6E14" w:rsidRPr="00BE086B" w:rsidRDefault="00337C41" w:rsidP="009A6E14">
      <w:pPr>
        <w:pStyle w:val="af0"/>
        <w:jc w:val="center"/>
        <w:rPr>
          <w:b/>
          <w:sz w:val="28"/>
          <w:szCs w:val="28"/>
          <w:lang w:val="uk-UA"/>
        </w:rPr>
      </w:pPr>
      <w:r>
        <w:rPr>
          <w:b/>
          <w:noProof/>
          <w:sz w:val="28"/>
          <w:szCs w:val="28"/>
          <w:lang w:eastAsia="ru-RU"/>
        </w:rPr>
        <w:drawing>
          <wp:inline distT="0" distB="0" distL="0" distR="0">
            <wp:extent cx="5943600" cy="5428800"/>
            <wp:effectExtent l="0" t="0" r="0" b="63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письмо1.jpg"/>
                    <pic:cNvPicPr/>
                  </pic:nvPicPr>
                  <pic:blipFill>
                    <a:blip r:embed="rId155">
                      <a:extLst>
                        <a:ext uri="{28A0092B-C50C-407E-A947-70E740481C1C}">
                          <a14:useLocalDpi xmlns:a14="http://schemas.microsoft.com/office/drawing/2010/main" val="0"/>
                        </a:ext>
                      </a:extLst>
                    </a:blip>
                    <a:stretch>
                      <a:fillRect/>
                    </a:stretch>
                  </pic:blipFill>
                  <pic:spPr>
                    <a:xfrm>
                      <a:off x="0" y="0"/>
                      <a:ext cx="5943600" cy="5428800"/>
                    </a:xfrm>
                    <a:prstGeom prst="rect">
                      <a:avLst/>
                    </a:prstGeom>
                  </pic:spPr>
                </pic:pic>
              </a:graphicData>
            </a:graphic>
          </wp:inline>
        </w:drawing>
      </w:r>
    </w:p>
    <w:p w:rsidR="009E7937" w:rsidRPr="00BE086B" w:rsidRDefault="009E7937" w:rsidP="009A6E14">
      <w:pPr>
        <w:pStyle w:val="af0"/>
        <w:jc w:val="center"/>
        <w:rPr>
          <w:b/>
          <w:sz w:val="28"/>
          <w:szCs w:val="28"/>
          <w:lang w:val="uk-UA"/>
        </w:rPr>
      </w:pPr>
    </w:p>
    <w:p w:rsidR="009E7937" w:rsidRPr="00BE086B" w:rsidRDefault="009E7937" w:rsidP="009A6E14">
      <w:pPr>
        <w:pStyle w:val="af0"/>
        <w:jc w:val="center"/>
        <w:rPr>
          <w:b/>
          <w:sz w:val="28"/>
          <w:szCs w:val="28"/>
          <w:lang w:val="uk-UA"/>
        </w:rPr>
      </w:pPr>
    </w:p>
    <w:p w:rsidR="009E7937" w:rsidRPr="00BE086B" w:rsidRDefault="009E7937" w:rsidP="009A6E14">
      <w:pPr>
        <w:pStyle w:val="af0"/>
        <w:jc w:val="center"/>
        <w:rPr>
          <w:b/>
          <w:sz w:val="28"/>
          <w:szCs w:val="28"/>
          <w:lang w:val="uk-UA"/>
        </w:rPr>
      </w:pPr>
    </w:p>
    <w:p w:rsidR="009E7937" w:rsidRPr="00BE086B" w:rsidRDefault="009E7937" w:rsidP="009A6E14">
      <w:pPr>
        <w:pStyle w:val="af0"/>
        <w:jc w:val="center"/>
        <w:rPr>
          <w:b/>
          <w:sz w:val="28"/>
          <w:szCs w:val="28"/>
          <w:lang w:val="uk-UA"/>
        </w:rPr>
      </w:pPr>
    </w:p>
    <w:p w:rsidR="009E7937" w:rsidRPr="00BE086B" w:rsidRDefault="009E7937" w:rsidP="009A6E14">
      <w:pPr>
        <w:pStyle w:val="af0"/>
        <w:jc w:val="center"/>
        <w:rPr>
          <w:b/>
          <w:sz w:val="28"/>
          <w:szCs w:val="28"/>
          <w:lang w:val="uk-UA"/>
        </w:rPr>
      </w:pPr>
    </w:p>
    <w:p w:rsidR="009E7937" w:rsidRPr="00BE086B" w:rsidRDefault="009E7937" w:rsidP="009A6E14">
      <w:pPr>
        <w:pStyle w:val="af0"/>
        <w:jc w:val="center"/>
        <w:rPr>
          <w:b/>
          <w:sz w:val="28"/>
          <w:szCs w:val="28"/>
          <w:lang w:val="uk-UA"/>
        </w:rPr>
      </w:pPr>
    </w:p>
    <w:p w:rsidR="009E7937" w:rsidRPr="00BE086B" w:rsidRDefault="009E7937" w:rsidP="009A6E14">
      <w:pPr>
        <w:pStyle w:val="af0"/>
        <w:jc w:val="center"/>
        <w:rPr>
          <w:b/>
          <w:sz w:val="28"/>
          <w:szCs w:val="28"/>
          <w:lang w:val="uk-UA"/>
        </w:rPr>
      </w:pPr>
    </w:p>
    <w:p w:rsidR="009E7937" w:rsidRPr="00BE086B" w:rsidRDefault="009E7937" w:rsidP="009A6E14">
      <w:pPr>
        <w:pStyle w:val="af0"/>
        <w:jc w:val="center"/>
        <w:rPr>
          <w:b/>
          <w:sz w:val="28"/>
          <w:szCs w:val="28"/>
          <w:lang w:val="uk-UA"/>
        </w:rPr>
      </w:pPr>
    </w:p>
    <w:p w:rsidR="009E7937" w:rsidRPr="00BE086B" w:rsidRDefault="009E7937" w:rsidP="009A6E14">
      <w:pPr>
        <w:pStyle w:val="af0"/>
        <w:jc w:val="center"/>
        <w:rPr>
          <w:b/>
          <w:sz w:val="28"/>
          <w:szCs w:val="28"/>
          <w:lang w:val="uk-UA"/>
        </w:rPr>
      </w:pPr>
    </w:p>
    <w:p w:rsidR="009E7937" w:rsidRDefault="009E7937" w:rsidP="009A6E14">
      <w:pPr>
        <w:pStyle w:val="af0"/>
        <w:jc w:val="center"/>
        <w:rPr>
          <w:b/>
          <w:sz w:val="28"/>
          <w:szCs w:val="28"/>
          <w:lang w:val="uk-UA"/>
        </w:rPr>
      </w:pPr>
    </w:p>
    <w:p w:rsidR="00337C41" w:rsidRPr="00BE086B" w:rsidRDefault="00337C41" w:rsidP="009A6E14">
      <w:pPr>
        <w:pStyle w:val="af0"/>
        <w:jc w:val="center"/>
        <w:rPr>
          <w:b/>
          <w:sz w:val="28"/>
          <w:szCs w:val="28"/>
          <w:lang w:val="uk-UA"/>
        </w:rPr>
      </w:pPr>
      <w:bookmarkStart w:id="10" w:name="_GoBack"/>
      <w:bookmarkEnd w:id="10"/>
    </w:p>
    <w:p w:rsidR="009E7937" w:rsidRPr="00BE086B" w:rsidRDefault="00337C41" w:rsidP="009A6E14">
      <w:pPr>
        <w:pStyle w:val="af0"/>
        <w:jc w:val="center"/>
        <w:rPr>
          <w:b/>
          <w:sz w:val="28"/>
          <w:szCs w:val="28"/>
          <w:lang w:val="uk-UA"/>
        </w:rPr>
      </w:pPr>
      <w:r>
        <w:rPr>
          <w:b/>
          <w:noProof/>
          <w:sz w:val="28"/>
          <w:szCs w:val="28"/>
          <w:lang w:eastAsia="ru-RU"/>
        </w:rPr>
        <w:drawing>
          <wp:inline distT="0" distB="0" distL="0" distR="0">
            <wp:extent cx="5943600" cy="61416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письмо2.jpg"/>
                    <pic:cNvPicPr/>
                  </pic:nvPicPr>
                  <pic:blipFill>
                    <a:blip r:embed="rId156">
                      <a:extLst>
                        <a:ext uri="{28A0092B-C50C-407E-A947-70E740481C1C}">
                          <a14:useLocalDpi xmlns:a14="http://schemas.microsoft.com/office/drawing/2010/main" val="0"/>
                        </a:ext>
                      </a:extLst>
                    </a:blip>
                    <a:stretch>
                      <a:fillRect/>
                    </a:stretch>
                  </pic:blipFill>
                  <pic:spPr>
                    <a:xfrm>
                      <a:off x="0" y="0"/>
                      <a:ext cx="5943600" cy="6141600"/>
                    </a:xfrm>
                    <a:prstGeom prst="rect">
                      <a:avLst/>
                    </a:prstGeom>
                  </pic:spPr>
                </pic:pic>
              </a:graphicData>
            </a:graphic>
          </wp:inline>
        </w:drawing>
      </w:r>
    </w:p>
    <w:sectPr w:rsidR="009E7937" w:rsidRPr="00BE086B" w:rsidSect="00FB2078">
      <w:headerReference w:type="even" r:id="rId157"/>
      <w:headerReference w:type="default" r:id="rId158"/>
      <w:footerReference w:type="even" r:id="rId159"/>
      <w:footerReference w:type="default" r:id="rId160"/>
      <w:headerReference w:type="first" r:id="rId161"/>
      <w:footerReference w:type="first" r:id="rId162"/>
      <w:pgSz w:w="11906" w:h="16838"/>
      <w:pgMar w:top="1134" w:right="851" w:bottom="1134" w:left="1701" w:header="709"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6B91" w:rsidRDefault="00316B91">
      <w:r>
        <w:separator/>
      </w:r>
    </w:p>
  </w:endnote>
  <w:endnote w:type="continuationSeparator" w:id="0">
    <w:p w:rsidR="00316B91" w:rsidRDefault="00316B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PragmaticaC">
    <w:altName w:val="Ink Free"/>
    <w:charset w:val="CC"/>
    <w:family w:val="script"/>
    <w:pitch w:val="default"/>
  </w:font>
  <w:font w:name="BlinkMacSystemFont">
    <w:altName w:val="Times New Roman"/>
    <w:charset w:val="CC"/>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Liberation Serif">
    <w:panose1 w:val="02020603050405020304"/>
    <w:charset w:val="CC"/>
    <w:family w:val="roman"/>
    <w:pitch w:val="variable"/>
    <w:sig w:usb0="E0000AFF" w:usb1="500078FF" w:usb2="00000021" w:usb3="00000000" w:csb0="000001BF" w:csb1="00000000"/>
  </w:font>
  <w:font w:name="NewtonC">
    <w:altName w:val="Times New Roman"/>
    <w:charset w:val="00"/>
    <w:family w:val="roman"/>
    <w:pitch w:val="default"/>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angal">
    <w:panose1 w:val="00000400000000000000"/>
    <w:charset w:val="01"/>
    <w:family w:val="roman"/>
    <w:pitch w:val="variable"/>
    <w:sig w:usb0="00002000" w:usb1="00000000" w:usb2="00000000" w:usb3="00000000" w:csb0="00000000" w:csb1="00000000"/>
  </w:font>
  <w:font w:name="Lucida Sans">
    <w:panose1 w:val="020B0602030504020204"/>
    <w:charset w:val="00"/>
    <w:family w:val="swiss"/>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roman"/>
    <w:pitch w:val="fixed"/>
    <w:sig w:usb0="00000001" w:usb1="08070000" w:usb2="00000010" w:usb3="00000000" w:csb0="00020000" w:csb1="00000000"/>
  </w:font>
  <w:font w:name="OpenSymbol">
    <w:panose1 w:val="05010000000000000000"/>
    <w:charset w:val="00"/>
    <w:family w:val="auto"/>
    <w:pitch w:val="variable"/>
    <w:sig w:usb0="800000AF" w:usb1="1001ECEA" w:usb2="00000000" w:usb3="00000000" w:csb0="00000001" w:csb1="00000000"/>
  </w:font>
  <w:font w:name="NSimSun">
    <w:panose1 w:val="02010609030101010101"/>
    <w:charset w:val="86"/>
    <w:family w:val="modern"/>
    <w:pitch w:val="fixed"/>
    <w:sig w:usb0="00000283" w:usb1="288F0000" w:usb2="00000016" w:usb3="00000000" w:csb0="00040001" w:csb1="00000000"/>
  </w:font>
  <w:font w:name="Franklin Gothic Demi">
    <w:panose1 w:val="020B0703020102020204"/>
    <w:charset w:val="CC"/>
    <w:family w:val="swiss"/>
    <w:pitch w:val="variable"/>
    <w:sig w:usb0="00000287" w:usb1="00000000" w:usb2="00000000" w:usb3="00000000" w:csb0="0000009F" w:csb1="00000000"/>
  </w:font>
  <w:font w:name="Calibri-Bold">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PragmaticaBook-Reg">
    <w:altName w:val="Arial Unicode MS"/>
    <w:charset w:val="CC"/>
    <w:family w:val="swiss"/>
    <w:pitch w:val="default"/>
  </w:font>
  <w:font w:name="PetersburgC-Italic">
    <w:panose1 w:val="00000000000000000000"/>
    <w:charset w:val="00"/>
    <w:family w:val="roman"/>
    <w:notTrueType/>
    <w:pitch w:val="default"/>
  </w:font>
  <w:font w:name="TimesNewRoman">
    <w:altName w:val="Bold"/>
    <w:charset w:val="CC"/>
    <w:family w:val="auto"/>
    <w:pitch w:val="default"/>
    <w:sig w:usb0="00000001" w:usb1="08070000" w:usb2="00000010" w:usb3="00000000" w:csb0="00020000" w:csb1="00000000"/>
  </w:font>
  <w:font w:name="TimesNewRomanPS-BoldMT">
    <w:panose1 w:val="00000000000000000000"/>
    <w:charset w:val="00"/>
    <w:family w:val="roman"/>
    <w:notTrueType/>
    <w:pitch w:val="default"/>
    <w:sig w:usb0="00000001" w:usb1="08070000" w:usb2="00000010" w:usb3="00000000" w:csb0="00020000" w:csb1="00000000"/>
  </w:font>
  <w:font w:name="TimesNewRomanPSMT">
    <w:altName w:val="MS Gothic"/>
    <w:panose1 w:val="00000000000000000000"/>
    <w:charset w:val="00"/>
    <w:family w:val="roman"/>
    <w:notTrueType/>
    <w:pitch w:val="default"/>
    <w:sig w:usb0="00000000" w:usb1="08070000" w:usb2="00000010" w:usb3="00000000" w:csb0="00020005" w:csb1="00000000"/>
  </w:font>
  <w:font w:name="TimesNewRomanPS">
    <w:charset w:val="00"/>
    <w:family w:val="roman"/>
    <w:pitch w:val="default"/>
  </w:font>
  <w:font w:name="AdvP2E44">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CC"/>
    <w:family w:val="swiss"/>
    <w:pitch w:val="variable"/>
    <w:sig w:usb0="E0002EFF" w:usb1="C000785B" w:usb2="00000009" w:usb3="00000000" w:csb0="000001FF" w:csb1="00000000"/>
  </w:font>
  <w:font w:name="PetersburgC">
    <w:altName w:val="MS Gothic"/>
    <w:panose1 w:val="00000000000000000000"/>
    <w:charset w:val="80"/>
    <w:family w:val="auto"/>
    <w:notTrueType/>
    <w:pitch w:val="default"/>
    <w:sig w:usb0="00000000" w:usb1="08070000" w:usb2="00000010" w:usb3="00000000" w:csb0="00020000" w:csb1="00000000"/>
  </w:font>
  <w:font w:name="Calibri-Italic">
    <w:altName w:val="MS Gothic"/>
    <w:panose1 w:val="00000000000000000000"/>
    <w:charset w:val="80"/>
    <w:family w:val="auto"/>
    <w:notTrueType/>
    <w:pitch w:val="default"/>
    <w:sig w:usb0="00000001" w:usb1="08070000" w:usb2="00000010" w:usb3="00000000" w:csb0="00020000" w:csb1="00000000"/>
  </w:font>
  <w:font w:name="FreeSetC-Bold">
    <w:charset w:val="CC"/>
    <w:family w:val="auto"/>
    <w:pitch w:val="default"/>
  </w:font>
  <w:font w:name="HeliosLight">
    <w:charset w:val="CC"/>
    <w:family w:val="auto"/>
    <w:pitch w:val="default"/>
  </w:font>
  <w:font w:name="Arial-BoldItalicMT">
    <w:charset w:val="CC"/>
    <w:family w:val="swiss"/>
    <w:pitch w:val="default"/>
  </w:font>
  <w:font w:name="HeliosCond-Bold">
    <w:charset w:val="CC"/>
    <w:family w:val="auto"/>
    <w:pitch w:val="default"/>
  </w:font>
  <w:font w:name="Arial-BoldMT">
    <w:charset w:val="CC"/>
    <w:family w:val="swiss"/>
    <w:pitch w:val="default"/>
    <w:sig w:usb0="00000201" w:usb1="00000000" w:usb2="00000000" w:usb3="00000000" w:csb0="00000004" w:csb1="00000000"/>
  </w:font>
  <w:font w:name="Exo2-Regular">
    <w:altName w:val="MS Gothic"/>
    <w:panose1 w:val="00000000000000000000"/>
    <w:charset w:val="80"/>
    <w:family w:val="auto"/>
    <w:notTrueType/>
    <w:pitch w:val="default"/>
    <w:sig w:usb0="00000001" w:usb1="08070000" w:usb2="00000010" w:usb3="00000000" w:csb0="00020000" w:csb1="00000000"/>
  </w:font>
  <w:font w:name="Arimo-Bold">
    <w:altName w:val="MS Gothic"/>
    <w:panose1 w:val="00000000000000000000"/>
    <w:charset w:val="80"/>
    <w:family w:val="auto"/>
    <w:notTrueType/>
    <w:pitch w:val="default"/>
    <w:sig w:usb0="00000000" w:usb1="08070000" w:usb2="00000010" w:usb3="00000000" w:csb0="00020001" w:csb1="00000000"/>
  </w:font>
  <w:font w:name="Benguiat">
    <w:charset w:val="CC"/>
    <w:family w:val="swiss"/>
    <w:pitch w:val="default"/>
  </w:font>
  <w:font w:name="TimesNewRomanPS-ItalicMT">
    <w:altName w:val="Times New Roman"/>
    <w:panose1 w:val="00000000000000000000"/>
    <w:charset w:val="00"/>
    <w:family w:val="roman"/>
    <w:notTrueType/>
    <w:pitch w:val="default"/>
  </w:font>
  <w:font w:name="GulliverRM">
    <w:panose1 w:val="00000000000000000000"/>
    <w:charset w:val="00"/>
    <w:family w:val="roman"/>
    <w:notTrueType/>
    <w:pitch w:val="default"/>
  </w:font>
  <w:font w:name="Times New Roman;Times New Roman">
    <w:panose1 w:val="00000000000000000000"/>
    <w:charset w:val="00"/>
    <w:family w:val="roman"/>
    <w:notTrueType/>
    <w:pitch w:val="default"/>
  </w:font>
  <w:font w:name="ThiemeArgo2008-Bold">
    <w:panose1 w:val="00000000000000000000"/>
    <w:charset w:val="00"/>
    <w:family w:val="roman"/>
    <w:notTrueType/>
    <w:pitch w:val="default"/>
  </w:font>
  <w:font w:name="Martel-Regular">
    <w:panose1 w:val="00000000000000000000"/>
    <w:charset w:val="00"/>
    <w:family w:val="roman"/>
    <w:notTrueType/>
    <w:pitch w:val="default"/>
  </w:font>
  <w:font w:name="ThiemeArgo2008-Light">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135A" w:rsidRDefault="009B135A"/>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135A" w:rsidRDefault="009B135A"/>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135A" w:rsidRDefault="009B135A"/>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6B91" w:rsidRDefault="00316B91">
      <w:r>
        <w:separator/>
      </w:r>
    </w:p>
  </w:footnote>
  <w:footnote w:type="continuationSeparator" w:id="0">
    <w:p w:rsidR="00316B91" w:rsidRDefault="00316B9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135A" w:rsidRDefault="009B135A"/>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135A" w:rsidRPr="005D0450" w:rsidRDefault="009B135A">
    <w:pPr>
      <w:pStyle w:val="af7"/>
      <w:jc w:val="right"/>
      <w:rPr>
        <w:rFonts w:ascii="Times New Roman" w:hAnsi="Times New Roman" w:cs="Times New Roman"/>
        <w:sz w:val="28"/>
        <w:szCs w:val="28"/>
      </w:rPr>
    </w:pPr>
    <w:r w:rsidRPr="005D0450">
      <w:rPr>
        <w:rFonts w:ascii="Times New Roman" w:hAnsi="Times New Roman" w:cs="Times New Roman"/>
        <w:sz w:val="28"/>
        <w:szCs w:val="28"/>
      </w:rPr>
      <w:fldChar w:fldCharType="begin"/>
    </w:r>
    <w:r w:rsidRPr="005D0450">
      <w:rPr>
        <w:rFonts w:ascii="Times New Roman" w:hAnsi="Times New Roman" w:cs="Times New Roman"/>
        <w:sz w:val="28"/>
        <w:szCs w:val="28"/>
      </w:rPr>
      <w:instrText>PAGE   \* MERGEFORMAT</w:instrText>
    </w:r>
    <w:r w:rsidRPr="005D0450">
      <w:rPr>
        <w:rFonts w:ascii="Times New Roman" w:hAnsi="Times New Roman" w:cs="Times New Roman"/>
        <w:sz w:val="28"/>
        <w:szCs w:val="28"/>
      </w:rPr>
      <w:fldChar w:fldCharType="separate"/>
    </w:r>
    <w:r w:rsidR="00337C41">
      <w:rPr>
        <w:rFonts w:ascii="Times New Roman" w:hAnsi="Times New Roman" w:cs="Times New Roman"/>
        <w:noProof/>
        <w:sz w:val="28"/>
        <w:szCs w:val="28"/>
      </w:rPr>
      <w:t>383</w:t>
    </w:r>
    <w:r w:rsidRPr="005D0450">
      <w:rPr>
        <w:rFonts w:ascii="Times New Roman" w:hAnsi="Times New Roman" w:cs="Times New Roman"/>
        <w:sz w:val="28"/>
        <w:szCs w:val="28"/>
      </w:rPr>
      <w:fldChar w:fldCharType="end"/>
    </w:r>
  </w:p>
  <w:p w:rsidR="009B135A" w:rsidRDefault="009B135A">
    <w:pPr>
      <w:pStyle w:val="af7"/>
      <w:ind w:right="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135A" w:rsidRDefault="009B135A"/>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pStyle w:val="4"/>
      <w:suff w:val="nothing"/>
      <w:lvlText w:val=""/>
      <w:lvlJc w:val="left"/>
      <w:pPr>
        <w:tabs>
          <w:tab w:val="num" w:pos="0"/>
        </w:tabs>
        <w:ind w:left="864" w:hanging="864"/>
      </w:pPr>
    </w:lvl>
    <w:lvl w:ilvl="4">
      <w:start w:val="1"/>
      <w:numFmt w:val="none"/>
      <w:pStyle w:val="5"/>
      <w:suff w:val="nothing"/>
      <w:lvlText w:val=""/>
      <w:lvlJc w:val="left"/>
      <w:pPr>
        <w:tabs>
          <w:tab w:val="num" w:pos="0"/>
        </w:tabs>
        <w:ind w:left="1008" w:hanging="1008"/>
      </w:pPr>
    </w:lvl>
    <w:lvl w:ilvl="5">
      <w:start w:val="1"/>
      <w:numFmt w:val="none"/>
      <w:pStyle w:val="6"/>
      <w:suff w:val="nothing"/>
      <w:lvlText w:val=""/>
      <w:lvlJc w:val="left"/>
      <w:pPr>
        <w:tabs>
          <w:tab w:val="num" w:pos="0"/>
        </w:tabs>
        <w:ind w:left="1152" w:hanging="1152"/>
      </w:pPr>
    </w:lvl>
    <w:lvl w:ilvl="6">
      <w:start w:val="1"/>
      <w:numFmt w:val="none"/>
      <w:suff w:val="nothing"/>
      <w:lvlText w:val=""/>
      <w:lvlJc w:val="left"/>
      <w:pPr>
        <w:tabs>
          <w:tab w:val="num" w:pos="0"/>
        </w:tabs>
        <w:ind w:left="0" w:firstLine="0"/>
      </w:pPr>
    </w:lvl>
    <w:lvl w:ilvl="7">
      <w:start w:val="1"/>
      <w:numFmt w:val="none"/>
      <w:pStyle w:val="8"/>
      <w:suff w:val="nothing"/>
      <w:lvlText w:val=""/>
      <w:lvlJc w:val="left"/>
      <w:pPr>
        <w:tabs>
          <w:tab w:val="num" w:pos="0"/>
        </w:tabs>
        <w:ind w:left="1440" w:hanging="144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2"/>
    <w:lvl w:ilvl="0">
      <w:start w:val="1"/>
      <w:numFmt w:val="decimal"/>
      <w:lvlText w:val="%1."/>
      <w:lvlJc w:val="left"/>
      <w:pPr>
        <w:tabs>
          <w:tab w:val="num" w:pos="759"/>
        </w:tabs>
        <w:ind w:left="759" w:hanging="360"/>
      </w:pPr>
      <w:rPr>
        <w:rFonts w:ascii="Times New Roman" w:eastAsia="PragmaticaC" w:hAnsi="Times New Roman" w:cs="Times New Roman"/>
        <w:b w:val="0"/>
        <w:bCs/>
        <w:i w:val="0"/>
        <w:iCs w:val="0"/>
        <w:kern w:val="1"/>
        <w:sz w:val="28"/>
        <w:szCs w:val="28"/>
        <w:lang w:val="uk-UA" w:eastAsia="uk-UA" w:bidi="hi-IN"/>
      </w:rPr>
    </w:lvl>
  </w:abstractNum>
  <w:abstractNum w:abstractNumId="2" w15:restartNumberingAfterBreak="0">
    <w:nsid w:val="00000003"/>
    <w:multiLevelType w:val="singleLevel"/>
    <w:tmpl w:val="00000003"/>
    <w:name w:val="WW8Num3"/>
    <w:lvl w:ilvl="0">
      <w:start w:val="1"/>
      <w:numFmt w:val="decimal"/>
      <w:suff w:val="space"/>
      <w:lvlText w:val="%1."/>
      <w:lvlJc w:val="left"/>
      <w:pPr>
        <w:tabs>
          <w:tab w:val="num" w:pos="0"/>
        </w:tabs>
        <w:ind w:left="0" w:firstLine="0"/>
      </w:pPr>
    </w:lvl>
  </w:abstractNum>
  <w:abstractNum w:abstractNumId="3" w15:restartNumberingAfterBreak="0">
    <w:nsid w:val="00000004"/>
    <w:multiLevelType w:val="multilevel"/>
    <w:tmpl w:val="0000000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072A15A8"/>
    <w:multiLevelType w:val="singleLevel"/>
    <w:tmpl w:val="00000002"/>
    <w:lvl w:ilvl="0">
      <w:start w:val="1"/>
      <w:numFmt w:val="decimal"/>
      <w:lvlText w:val="%1."/>
      <w:lvlJc w:val="left"/>
      <w:pPr>
        <w:tabs>
          <w:tab w:val="num" w:pos="759"/>
        </w:tabs>
        <w:ind w:left="759" w:hanging="360"/>
      </w:pPr>
      <w:rPr>
        <w:rFonts w:ascii="Times New Roman" w:eastAsia="PragmaticaC" w:hAnsi="Times New Roman" w:cs="Times New Roman"/>
        <w:b w:val="0"/>
        <w:bCs/>
        <w:i w:val="0"/>
        <w:iCs w:val="0"/>
        <w:kern w:val="1"/>
        <w:sz w:val="28"/>
        <w:szCs w:val="28"/>
        <w:lang w:val="uk-UA" w:eastAsia="uk-UA" w:bidi="hi-IN"/>
      </w:rPr>
    </w:lvl>
  </w:abstractNum>
  <w:abstractNum w:abstractNumId="5" w15:restartNumberingAfterBreak="0">
    <w:nsid w:val="094A7E50"/>
    <w:multiLevelType w:val="hybridMultilevel"/>
    <w:tmpl w:val="421A415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5517714"/>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7" w15:restartNumberingAfterBreak="0">
    <w:nsid w:val="176C39E6"/>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8" w15:restartNumberingAfterBreak="0">
    <w:nsid w:val="1AA316A7"/>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9" w15:restartNumberingAfterBreak="0">
    <w:nsid w:val="1D103122"/>
    <w:multiLevelType w:val="multilevel"/>
    <w:tmpl w:val="2C66A4A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22E26032"/>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11" w15:restartNumberingAfterBreak="0">
    <w:nsid w:val="2870149F"/>
    <w:multiLevelType w:val="hybridMultilevel"/>
    <w:tmpl w:val="A7921D5C"/>
    <w:lvl w:ilvl="0" w:tplc="58C604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A8E5598"/>
    <w:multiLevelType w:val="hybridMultilevel"/>
    <w:tmpl w:val="0D76DA7C"/>
    <w:lvl w:ilvl="0" w:tplc="864698A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9FE08FF"/>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14" w15:restartNumberingAfterBreak="0">
    <w:nsid w:val="3B4A4F21"/>
    <w:multiLevelType w:val="hybridMultilevel"/>
    <w:tmpl w:val="E02444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D6E69C7"/>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16" w15:restartNumberingAfterBreak="0">
    <w:nsid w:val="3F8C155C"/>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17" w15:restartNumberingAfterBreak="0">
    <w:nsid w:val="417D0FBA"/>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18" w15:restartNumberingAfterBreak="0">
    <w:nsid w:val="41E941B5"/>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19" w15:restartNumberingAfterBreak="0">
    <w:nsid w:val="42074C9B"/>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20" w15:restartNumberingAfterBreak="0">
    <w:nsid w:val="47681CC7"/>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21" w15:restartNumberingAfterBreak="0">
    <w:nsid w:val="4795551E"/>
    <w:multiLevelType w:val="multilevel"/>
    <w:tmpl w:val="00000002"/>
    <w:lvl w:ilvl="0">
      <w:start w:val="1"/>
      <w:numFmt w:val="decimal"/>
      <w:lvlText w:val="%1."/>
      <w:lvlJc w:val="left"/>
      <w:pPr>
        <w:tabs>
          <w:tab w:val="num" w:pos="720"/>
        </w:tabs>
        <w:ind w:left="720" w:hanging="360"/>
      </w:pPr>
      <w:rPr>
        <w:rFonts w:ascii="Times New Roman" w:eastAsia="BlinkMacSystemFont" w:hAnsi="Times New Roman" w:cs="Times New Roman"/>
        <w:b w:val="0"/>
        <w:bCs w:val="0"/>
        <w:i w:val="0"/>
        <w:iCs w:val="0"/>
        <w:caps w:val="0"/>
        <w:smallCaps w:val="0"/>
        <w:strike w:val="0"/>
        <w:dstrike w:val="0"/>
        <w:spacing w:val="0"/>
        <w:kern w:val="2"/>
        <w:sz w:val="28"/>
        <w:szCs w:val="28"/>
        <w:u w:val="none"/>
        <w:effect w:val="none"/>
        <w:lang w:val="ru-RU" w:eastAsia="en-US"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2" w15:restartNumberingAfterBreak="0">
    <w:nsid w:val="497D7C9A"/>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23" w15:restartNumberingAfterBreak="0">
    <w:nsid w:val="4AB957AB"/>
    <w:multiLevelType w:val="hybridMultilevel"/>
    <w:tmpl w:val="BB566BD4"/>
    <w:lvl w:ilvl="0" w:tplc="C9FA1FAE">
      <w:start w:val="1"/>
      <w:numFmt w:val="decimal"/>
      <w:lvlText w:val="%1."/>
      <w:lvlJc w:val="left"/>
      <w:pPr>
        <w:ind w:left="720" w:hanging="360"/>
      </w:pPr>
      <w:rPr>
        <w:rFonts w:cs="Times New Roman"/>
        <w:sz w:val="22"/>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4DF75541"/>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25" w15:restartNumberingAfterBreak="0">
    <w:nsid w:val="4F9669AD"/>
    <w:multiLevelType w:val="multilevel"/>
    <w:tmpl w:val="A72A812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6" w15:restartNumberingAfterBreak="0">
    <w:nsid w:val="53465EF9"/>
    <w:multiLevelType w:val="hybridMultilevel"/>
    <w:tmpl w:val="F0826BCA"/>
    <w:lvl w:ilvl="0" w:tplc="A6DE40A2">
      <w:start w:val="1"/>
      <w:numFmt w:val="decimal"/>
      <w:lvlText w:val="%1."/>
      <w:lvlJc w:val="left"/>
      <w:pPr>
        <w:ind w:left="2860" w:hanging="450"/>
      </w:pPr>
      <w:rPr>
        <w:rFonts w:eastAsia="Times New Roman"/>
        <w:color w:val="auto"/>
      </w:rPr>
    </w:lvl>
    <w:lvl w:ilvl="1" w:tplc="04190019">
      <w:start w:val="1"/>
      <w:numFmt w:val="lowerLetter"/>
      <w:lvlText w:val="%2."/>
      <w:lvlJc w:val="left"/>
      <w:pPr>
        <w:ind w:left="3490" w:hanging="360"/>
      </w:pPr>
    </w:lvl>
    <w:lvl w:ilvl="2" w:tplc="0419001B">
      <w:start w:val="1"/>
      <w:numFmt w:val="lowerRoman"/>
      <w:lvlText w:val="%3."/>
      <w:lvlJc w:val="right"/>
      <w:pPr>
        <w:ind w:left="4210" w:hanging="180"/>
      </w:pPr>
    </w:lvl>
    <w:lvl w:ilvl="3" w:tplc="0419000F">
      <w:start w:val="1"/>
      <w:numFmt w:val="decimal"/>
      <w:lvlText w:val="%4."/>
      <w:lvlJc w:val="left"/>
      <w:pPr>
        <w:ind w:left="4930" w:hanging="360"/>
      </w:pPr>
    </w:lvl>
    <w:lvl w:ilvl="4" w:tplc="04190019">
      <w:start w:val="1"/>
      <w:numFmt w:val="lowerLetter"/>
      <w:lvlText w:val="%5."/>
      <w:lvlJc w:val="left"/>
      <w:pPr>
        <w:ind w:left="5650" w:hanging="360"/>
      </w:pPr>
    </w:lvl>
    <w:lvl w:ilvl="5" w:tplc="0419001B">
      <w:start w:val="1"/>
      <w:numFmt w:val="lowerRoman"/>
      <w:lvlText w:val="%6."/>
      <w:lvlJc w:val="right"/>
      <w:pPr>
        <w:ind w:left="6370" w:hanging="180"/>
      </w:pPr>
    </w:lvl>
    <w:lvl w:ilvl="6" w:tplc="0419000F">
      <w:start w:val="1"/>
      <w:numFmt w:val="decimal"/>
      <w:lvlText w:val="%7."/>
      <w:lvlJc w:val="left"/>
      <w:pPr>
        <w:ind w:left="7090" w:hanging="360"/>
      </w:pPr>
    </w:lvl>
    <w:lvl w:ilvl="7" w:tplc="04190019">
      <w:start w:val="1"/>
      <w:numFmt w:val="lowerLetter"/>
      <w:lvlText w:val="%8."/>
      <w:lvlJc w:val="left"/>
      <w:pPr>
        <w:ind w:left="7810" w:hanging="360"/>
      </w:pPr>
    </w:lvl>
    <w:lvl w:ilvl="8" w:tplc="0419001B">
      <w:start w:val="1"/>
      <w:numFmt w:val="lowerRoman"/>
      <w:lvlText w:val="%9."/>
      <w:lvlJc w:val="right"/>
      <w:pPr>
        <w:ind w:left="8530" w:hanging="180"/>
      </w:pPr>
    </w:lvl>
  </w:abstractNum>
  <w:abstractNum w:abstractNumId="27" w15:restartNumberingAfterBreak="0">
    <w:nsid w:val="53651D84"/>
    <w:multiLevelType w:val="hybridMultilevel"/>
    <w:tmpl w:val="1968EC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53D71A41"/>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29" w15:restartNumberingAfterBreak="0">
    <w:nsid w:val="54C96811"/>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30" w15:restartNumberingAfterBreak="0">
    <w:nsid w:val="5EFC2DBB"/>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31" w15:restartNumberingAfterBreak="0">
    <w:nsid w:val="5FB60569"/>
    <w:multiLevelType w:val="hybridMultilevel"/>
    <w:tmpl w:val="87CC3E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2646471"/>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33" w15:restartNumberingAfterBreak="0">
    <w:nsid w:val="6554157D"/>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34" w15:restartNumberingAfterBreak="0">
    <w:nsid w:val="65F5388D"/>
    <w:multiLevelType w:val="multilevel"/>
    <w:tmpl w:val="7DD4B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F50E56"/>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36" w15:restartNumberingAfterBreak="0">
    <w:nsid w:val="6A8245DD"/>
    <w:multiLevelType w:val="multilevel"/>
    <w:tmpl w:val="3E584724"/>
    <w:lvl w:ilvl="0">
      <w:start w:val="1"/>
      <w:numFmt w:val="decimal"/>
      <w:lvlText w:val="%1."/>
      <w:lvlJc w:val="left"/>
      <w:pPr>
        <w:ind w:left="420" w:hanging="420"/>
      </w:pPr>
      <w:rPr>
        <w:rFonts w:cs="Times New Roman" w:hint="default"/>
        <w:b/>
        <w:sz w:val="28"/>
      </w:rPr>
    </w:lvl>
    <w:lvl w:ilvl="1">
      <w:start w:val="1"/>
      <w:numFmt w:val="decimal"/>
      <w:lvlText w:val="%1.%2."/>
      <w:lvlJc w:val="left"/>
      <w:pPr>
        <w:ind w:left="1129" w:hanging="420"/>
      </w:pPr>
      <w:rPr>
        <w:rFonts w:cs="Times New Roman" w:hint="default"/>
        <w:b/>
        <w:sz w:val="28"/>
      </w:rPr>
    </w:lvl>
    <w:lvl w:ilvl="2">
      <w:start w:val="1"/>
      <w:numFmt w:val="decimal"/>
      <w:lvlText w:val="%1.%2.%3."/>
      <w:lvlJc w:val="left"/>
      <w:pPr>
        <w:ind w:left="2138" w:hanging="720"/>
      </w:pPr>
      <w:rPr>
        <w:rFonts w:cs="Times New Roman" w:hint="default"/>
        <w:b/>
        <w:sz w:val="28"/>
      </w:rPr>
    </w:lvl>
    <w:lvl w:ilvl="3">
      <w:start w:val="1"/>
      <w:numFmt w:val="decimal"/>
      <w:lvlText w:val="%1.%2.%3.%4."/>
      <w:lvlJc w:val="left"/>
      <w:pPr>
        <w:ind w:left="2847" w:hanging="720"/>
      </w:pPr>
      <w:rPr>
        <w:rFonts w:cs="Times New Roman" w:hint="default"/>
        <w:b/>
        <w:sz w:val="28"/>
      </w:rPr>
    </w:lvl>
    <w:lvl w:ilvl="4">
      <w:start w:val="1"/>
      <w:numFmt w:val="decimal"/>
      <w:lvlText w:val="%1.%2.%3.%4.%5."/>
      <w:lvlJc w:val="left"/>
      <w:pPr>
        <w:ind w:left="3916" w:hanging="1080"/>
      </w:pPr>
      <w:rPr>
        <w:rFonts w:cs="Times New Roman" w:hint="default"/>
        <w:b/>
        <w:sz w:val="28"/>
      </w:rPr>
    </w:lvl>
    <w:lvl w:ilvl="5">
      <w:start w:val="1"/>
      <w:numFmt w:val="decimal"/>
      <w:lvlText w:val="%1.%2.%3.%4.%5.%6."/>
      <w:lvlJc w:val="left"/>
      <w:pPr>
        <w:ind w:left="4625" w:hanging="1080"/>
      </w:pPr>
      <w:rPr>
        <w:rFonts w:cs="Times New Roman" w:hint="default"/>
        <w:b/>
        <w:sz w:val="28"/>
      </w:rPr>
    </w:lvl>
    <w:lvl w:ilvl="6">
      <w:start w:val="1"/>
      <w:numFmt w:val="decimal"/>
      <w:lvlText w:val="%1.%2.%3.%4.%5.%6.%7."/>
      <w:lvlJc w:val="left"/>
      <w:pPr>
        <w:ind w:left="5694" w:hanging="1440"/>
      </w:pPr>
      <w:rPr>
        <w:rFonts w:cs="Times New Roman" w:hint="default"/>
        <w:b/>
        <w:sz w:val="28"/>
      </w:rPr>
    </w:lvl>
    <w:lvl w:ilvl="7">
      <w:start w:val="1"/>
      <w:numFmt w:val="decimal"/>
      <w:lvlText w:val="%1.%2.%3.%4.%5.%6.%7.%8."/>
      <w:lvlJc w:val="left"/>
      <w:pPr>
        <w:ind w:left="6403" w:hanging="1440"/>
      </w:pPr>
      <w:rPr>
        <w:rFonts w:cs="Times New Roman" w:hint="default"/>
        <w:b/>
        <w:sz w:val="28"/>
      </w:rPr>
    </w:lvl>
    <w:lvl w:ilvl="8">
      <w:start w:val="1"/>
      <w:numFmt w:val="decimal"/>
      <w:lvlText w:val="%1.%2.%3.%4.%5.%6.%7.%8.%9."/>
      <w:lvlJc w:val="left"/>
      <w:pPr>
        <w:ind w:left="7472" w:hanging="1800"/>
      </w:pPr>
      <w:rPr>
        <w:rFonts w:cs="Times New Roman" w:hint="default"/>
        <w:b/>
        <w:sz w:val="28"/>
      </w:rPr>
    </w:lvl>
  </w:abstractNum>
  <w:abstractNum w:abstractNumId="37" w15:restartNumberingAfterBreak="0">
    <w:nsid w:val="6E2B3504"/>
    <w:multiLevelType w:val="hybridMultilevel"/>
    <w:tmpl w:val="437E9E7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8" w15:restartNumberingAfterBreak="0">
    <w:nsid w:val="6F5B3C3D"/>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39" w15:restartNumberingAfterBreak="0">
    <w:nsid w:val="72B13426"/>
    <w:multiLevelType w:val="multilevel"/>
    <w:tmpl w:val="0000000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1">
      <w:start w:val="1"/>
      <w:numFmt w:val="decimal"/>
      <w:lvlText w:val="%2."/>
      <w:lvlJc w:val="left"/>
      <w:pPr>
        <w:tabs>
          <w:tab w:val="num" w:pos="1080"/>
        </w:tabs>
        <w:ind w:left="10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3">
      <w:start w:val="1"/>
      <w:numFmt w:val="decimal"/>
      <w:lvlText w:val="%4."/>
      <w:lvlJc w:val="left"/>
      <w:pPr>
        <w:tabs>
          <w:tab w:val="num" w:pos="1800"/>
        </w:tabs>
        <w:ind w:left="180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4">
      <w:start w:val="1"/>
      <w:numFmt w:val="decimal"/>
      <w:lvlText w:val="%5."/>
      <w:lvlJc w:val="left"/>
      <w:pPr>
        <w:tabs>
          <w:tab w:val="num" w:pos="2160"/>
        </w:tabs>
        <w:ind w:left="216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5">
      <w:start w:val="1"/>
      <w:numFmt w:val="decimal"/>
      <w:lvlText w:val="%6."/>
      <w:lvlJc w:val="left"/>
      <w:pPr>
        <w:tabs>
          <w:tab w:val="num" w:pos="2520"/>
        </w:tabs>
        <w:ind w:left="252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6">
      <w:start w:val="1"/>
      <w:numFmt w:val="decimal"/>
      <w:lvlText w:val="%7."/>
      <w:lvlJc w:val="left"/>
      <w:pPr>
        <w:tabs>
          <w:tab w:val="num" w:pos="2880"/>
        </w:tabs>
        <w:ind w:left="288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7">
      <w:start w:val="1"/>
      <w:numFmt w:val="decimal"/>
      <w:lvlText w:val="%8."/>
      <w:lvlJc w:val="left"/>
      <w:pPr>
        <w:tabs>
          <w:tab w:val="num" w:pos="3240"/>
        </w:tabs>
        <w:ind w:left="3240" w:hanging="360"/>
      </w:pPr>
      <w:rPr>
        <w:rFonts w:ascii="Times New Roman" w:eastAsia="Times New Roman" w:hAnsi="Times New Roman" w:cs="Times New Roman"/>
        <w:b w:val="0"/>
        <w:bCs w:val="0"/>
        <w:i w:val="0"/>
        <w:iCs w:val="0"/>
        <w:caps w:val="0"/>
        <w:smallCaps w:val="0"/>
        <w:spacing w:val="0"/>
        <w:sz w:val="28"/>
        <w:szCs w:val="28"/>
        <w:lang w:val="ru-RU" w:eastAsia="ru-RU" w:bidi="hi-IN"/>
      </w:rPr>
    </w:lvl>
    <w:lvl w:ilvl="8">
      <w:start w:val="1"/>
      <w:numFmt w:val="decimal"/>
      <w:lvlText w:val="%9."/>
      <w:lvlJc w:val="left"/>
      <w:pPr>
        <w:tabs>
          <w:tab w:val="num" w:pos="3600"/>
        </w:tabs>
        <w:ind w:left="3600" w:hanging="360"/>
      </w:pPr>
      <w:rPr>
        <w:rFonts w:ascii="Times New Roman" w:eastAsia="Times New Roman" w:hAnsi="Times New Roman" w:cs="Times New Roman"/>
        <w:b w:val="0"/>
        <w:bCs w:val="0"/>
        <w:i w:val="0"/>
        <w:iCs w:val="0"/>
        <w:caps w:val="0"/>
        <w:smallCaps w:val="0"/>
        <w:spacing w:val="0"/>
        <w:sz w:val="28"/>
        <w:szCs w:val="28"/>
        <w:lang w:val="ru-RU" w:eastAsia="ru-RU" w:bidi="hi-IN"/>
      </w:rPr>
    </w:lvl>
  </w:abstractNum>
  <w:abstractNum w:abstractNumId="40" w15:restartNumberingAfterBreak="0">
    <w:nsid w:val="7A4E4906"/>
    <w:multiLevelType w:val="hybridMultilevel"/>
    <w:tmpl w:val="0D76DA7C"/>
    <w:lvl w:ilvl="0" w:tplc="864698A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1"/>
    <w:lvlOverride w:ilvl="0">
      <w:startOverride w:val="1"/>
    </w:lvlOverride>
  </w:num>
  <w:num w:numId="4">
    <w:abstractNumId w:val="26"/>
  </w:num>
  <w:num w:numId="5">
    <w:abstractNumId w:val="34"/>
  </w:num>
  <w:num w:numId="6">
    <w:abstractNumId w:val="11"/>
  </w:num>
  <w:num w:numId="7">
    <w:abstractNumId w:val="36"/>
  </w:num>
  <w:num w:numId="8">
    <w:abstractNumId w:val="1"/>
    <w:lvlOverride w:ilvl="0">
      <w:startOverride w:val="1"/>
    </w:lvlOverride>
  </w:num>
  <w:num w:numId="9">
    <w:abstractNumId w:val="14"/>
  </w:num>
  <w:num w:numId="10">
    <w:abstractNumId w:val="2"/>
  </w:num>
  <w:num w:numId="11">
    <w:abstractNumId w:val="3"/>
  </w:num>
  <w:num w:numId="12">
    <w:abstractNumId w:val="25"/>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0"/>
  </w:num>
  <w:num w:numId="15">
    <w:abstractNumId w:val="12"/>
  </w:num>
  <w:num w:numId="16">
    <w:abstractNumId w:val="13"/>
  </w:num>
  <w:num w:numId="17">
    <w:abstractNumId w:val="10"/>
  </w:num>
  <w:num w:numId="18">
    <w:abstractNumId w:val="7"/>
  </w:num>
  <w:num w:numId="19">
    <w:abstractNumId w:val="38"/>
  </w:num>
  <w:num w:numId="20">
    <w:abstractNumId w:val="24"/>
  </w:num>
  <w:num w:numId="21">
    <w:abstractNumId w:val="31"/>
  </w:num>
  <w:num w:numId="22">
    <w:abstractNumId w:val="29"/>
  </w:num>
  <w:num w:numId="23">
    <w:abstractNumId w:val="16"/>
  </w:num>
  <w:num w:numId="24">
    <w:abstractNumId w:val="35"/>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num>
  <w:num w:numId="2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num>
  <w:num w:numId="31">
    <w:abstractNumId w:val="6"/>
  </w:num>
  <w:num w:numId="32">
    <w:abstractNumId w:val="39"/>
  </w:num>
  <w:num w:numId="33">
    <w:abstractNumId w:val="28"/>
  </w:num>
  <w:num w:numId="34">
    <w:abstractNumId w:val="17"/>
  </w:num>
  <w:num w:numId="35">
    <w:abstractNumId w:val="15"/>
  </w:num>
  <w:num w:numId="36">
    <w:abstractNumId w:val="32"/>
  </w:num>
  <w:num w:numId="37">
    <w:abstractNumId w:val="18"/>
  </w:num>
  <w:num w:numId="3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num>
  <w:num w:numId="41">
    <w:abstractNumId w:val="20"/>
  </w:num>
  <w:num w:numId="42">
    <w:abstractNumId w:val="22"/>
  </w:num>
  <w:num w:numId="43">
    <w:abstractNumId w:val="33"/>
  </w:num>
  <w:num w:numId="44">
    <w:abstractNumId w:val="4"/>
  </w:num>
  <w:num w:numId="4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hideSpellingErrors/>
  <w:hideGrammatical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208"/>
    <w:rsid w:val="000028AD"/>
    <w:rsid w:val="00002E2F"/>
    <w:rsid w:val="00005208"/>
    <w:rsid w:val="0001369E"/>
    <w:rsid w:val="00023A8A"/>
    <w:rsid w:val="00031B72"/>
    <w:rsid w:val="00032FD9"/>
    <w:rsid w:val="0004627B"/>
    <w:rsid w:val="000553C9"/>
    <w:rsid w:val="000671C5"/>
    <w:rsid w:val="00070791"/>
    <w:rsid w:val="00081938"/>
    <w:rsid w:val="00085069"/>
    <w:rsid w:val="000B0B8C"/>
    <w:rsid w:val="000B684B"/>
    <w:rsid w:val="000D0132"/>
    <w:rsid w:val="000D0A66"/>
    <w:rsid w:val="000D1FA0"/>
    <w:rsid w:val="000D447B"/>
    <w:rsid w:val="000D68D5"/>
    <w:rsid w:val="000D7407"/>
    <w:rsid w:val="000E25D9"/>
    <w:rsid w:val="000E312B"/>
    <w:rsid w:val="000E39A5"/>
    <w:rsid w:val="000E62A2"/>
    <w:rsid w:val="000F1331"/>
    <w:rsid w:val="000F1500"/>
    <w:rsid w:val="000F74A9"/>
    <w:rsid w:val="000F7564"/>
    <w:rsid w:val="00102915"/>
    <w:rsid w:val="0010471D"/>
    <w:rsid w:val="00110D49"/>
    <w:rsid w:val="001142BF"/>
    <w:rsid w:val="00125A5A"/>
    <w:rsid w:val="001307CA"/>
    <w:rsid w:val="00130E59"/>
    <w:rsid w:val="00137E65"/>
    <w:rsid w:val="0014367D"/>
    <w:rsid w:val="00144BB7"/>
    <w:rsid w:val="00145F4E"/>
    <w:rsid w:val="0014682B"/>
    <w:rsid w:val="00146B43"/>
    <w:rsid w:val="00153B73"/>
    <w:rsid w:val="00163714"/>
    <w:rsid w:val="001823B1"/>
    <w:rsid w:val="00182460"/>
    <w:rsid w:val="0018607C"/>
    <w:rsid w:val="00190F49"/>
    <w:rsid w:val="00195D3A"/>
    <w:rsid w:val="001A1F1F"/>
    <w:rsid w:val="001A7856"/>
    <w:rsid w:val="001B10CA"/>
    <w:rsid w:val="001B2431"/>
    <w:rsid w:val="001B3B11"/>
    <w:rsid w:val="001C0EB4"/>
    <w:rsid w:val="001C1551"/>
    <w:rsid w:val="001C5605"/>
    <w:rsid w:val="001D13A3"/>
    <w:rsid w:val="001E2E53"/>
    <w:rsid w:val="001F2A2F"/>
    <w:rsid w:val="001F58FE"/>
    <w:rsid w:val="001F77EC"/>
    <w:rsid w:val="00206017"/>
    <w:rsid w:val="00212D6D"/>
    <w:rsid w:val="00215BF6"/>
    <w:rsid w:val="0023091D"/>
    <w:rsid w:val="0023193B"/>
    <w:rsid w:val="002319A5"/>
    <w:rsid w:val="00233CF8"/>
    <w:rsid w:val="00235EA9"/>
    <w:rsid w:val="002429D1"/>
    <w:rsid w:val="0024465D"/>
    <w:rsid w:val="00261DBF"/>
    <w:rsid w:val="002631B3"/>
    <w:rsid w:val="0026380A"/>
    <w:rsid w:val="00263AA3"/>
    <w:rsid w:val="002677F3"/>
    <w:rsid w:val="0027051C"/>
    <w:rsid w:val="00275227"/>
    <w:rsid w:val="0028645C"/>
    <w:rsid w:val="002A47A7"/>
    <w:rsid w:val="002C0B49"/>
    <w:rsid w:val="002C522A"/>
    <w:rsid w:val="002D05C1"/>
    <w:rsid w:val="002D350C"/>
    <w:rsid w:val="002E7E14"/>
    <w:rsid w:val="002F7626"/>
    <w:rsid w:val="0030154A"/>
    <w:rsid w:val="00303110"/>
    <w:rsid w:val="00316B91"/>
    <w:rsid w:val="00317844"/>
    <w:rsid w:val="00322C80"/>
    <w:rsid w:val="00324138"/>
    <w:rsid w:val="00335630"/>
    <w:rsid w:val="00337C41"/>
    <w:rsid w:val="00337D23"/>
    <w:rsid w:val="00340C77"/>
    <w:rsid w:val="003446DD"/>
    <w:rsid w:val="003471F6"/>
    <w:rsid w:val="0034727F"/>
    <w:rsid w:val="00351234"/>
    <w:rsid w:val="00356AFB"/>
    <w:rsid w:val="00356BFA"/>
    <w:rsid w:val="00360BA6"/>
    <w:rsid w:val="00365B08"/>
    <w:rsid w:val="003713EB"/>
    <w:rsid w:val="00374FC9"/>
    <w:rsid w:val="00377E2B"/>
    <w:rsid w:val="00380CA6"/>
    <w:rsid w:val="0038751E"/>
    <w:rsid w:val="003A0991"/>
    <w:rsid w:val="003A1141"/>
    <w:rsid w:val="003A43D8"/>
    <w:rsid w:val="003A5FF1"/>
    <w:rsid w:val="003B005E"/>
    <w:rsid w:val="003B09CF"/>
    <w:rsid w:val="003B33E9"/>
    <w:rsid w:val="003B5D88"/>
    <w:rsid w:val="003B783E"/>
    <w:rsid w:val="003C236F"/>
    <w:rsid w:val="003C42EA"/>
    <w:rsid w:val="003D1B7C"/>
    <w:rsid w:val="003D59C0"/>
    <w:rsid w:val="003D707F"/>
    <w:rsid w:val="003D7C60"/>
    <w:rsid w:val="003E10C6"/>
    <w:rsid w:val="003E42CF"/>
    <w:rsid w:val="003E4F86"/>
    <w:rsid w:val="003F022E"/>
    <w:rsid w:val="00403B9B"/>
    <w:rsid w:val="00404EF8"/>
    <w:rsid w:val="00406A61"/>
    <w:rsid w:val="00407973"/>
    <w:rsid w:val="0041149E"/>
    <w:rsid w:val="00411B29"/>
    <w:rsid w:val="00416098"/>
    <w:rsid w:val="00421F9B"/>
    <w:rsid w:val="004235CB"/>
    <w:rsid w:val="00430C45"/>
    <w:rsid w:val="00436ACE"/>
    <w:rsid w:val="00445A6A"/>
    <w:rsid w:val="00446C1A"/>
    <w:rsid w:val="00450B1B"/>
    <w:rsid w:val="004561EE"/>
    <w:rsid w:val="004615D9"/>
    <w:rsid w:val="004647C1"/>
    <w:rsid w:val="004850FF"/>
    <w:rsid w:val="004B1C62"/>
    <w:rsid w:val="004B247F"/>
    <w:rsid w:val="004B6204"/>
    <w:rsid w:val="004C656A"/>
    <w:rsid w:val="004D7C11"/>
    <w:rsid w:val="004D7FFE"/>
    <w:rsid w:val="004E51CE"/>
    <w:rsid w:val="004E6526"/>
    <w:rsid w:val="004F747B"/>
    <w:rsid w:val="004F7A64"/>
    <w:rsid w:val="004F7A66"/>
    <w:rsid w:val="005075F8"/>
    <w:rsid w:val="00511126"/>
    <w:rsid w:val="005124F1"/>
    <w:rsid w:val="0051366F"/>
    <w:rsid w:val="00515C0F"/>
    <w:rsid w:val="00526395"/>
    <w:rsid w:val="0053007C"/>
    <w:rsid w:val="005316D2"/>
    <w:rsid w:val="00537288"/>
    <w:rsid w:val="0054670A"/>
    <w:rsid w:val="00554B94"/>
    <w:rsid w:val="005579C9"/>
    <w:rsid w:val="00573C38"/>
    <w:rsid w:val="00573E3A"/>
    <w:rsid w:val="00582B38"/>
    <w:rsid w:val="005838B0"/>
    <w:rsid w:val="00584A27"/>
    <w:rsid w:val="00586609"/>
    <w:rsid w:val="00597683"/>
    <w:rsid w:val="005977D1"/>
    <w:rsid w:val="00597BD1"/>
    <w:rsid w:val="005A03BD"/>
    <w:rsid w:val="005A1B2D"/>
    <w:rsid w:val="005A691C"/>
    <w:rsid w:val="005B75C8"/>
    <w:rsid w:val="005C1537"/>
    <w:rsid w:val="005C4685"/>
    <w:rsid w:val="005C61A3"/>
    <w:rsid w:val="005D0450"/>
    <w:rsid w:val="005E15DA"/>
    <w:rsid w:val="005E7D1A"/>
    <w:rsid w:val="0060112C"/>
    <w:rsid w:val="00603AC6"/>
    <w:rsid w:val="00610093"/>
    <w:rsid w:val="00610401"/>
    <w:rsid w:val="00611AFB"/>
    <w:rsid w:val="00612BF8"/>
    <w:rsid w:val="00620F38"/>
    <w:rsid w:val="006219F5"/>
    <w:rsid w:val="00641114"/>
    <w:rsid w:val="00641B68"/>
    <w:rsid w:val="00645BC6"/>
    <w:rsid w:val="006462F7"/>
    <w:rsid w:val="006479C0"/>
    <w:rsid w:val="00651C69"/>
    <w:rsid w:val="006557B6"/>
    <w:rsid w:val="006611C6"/>
    <w:rsid w:val="0067331B"/>
    <w:rsid w:val="00676664"/>
    <w:rsid w:val="00684CE6"/>
    <w:rsid w:val="006854B5"/>
    <w:rsid w:val="0068633B"/>
    <w:rsid w:val="006913DC"/>
    <w:rsid w:val="006933CB"/>
    <w:rsid w:val="006A17D0"/>
    <w:rsid w:val="006A76ED"/>
    <w:rsid w:val="006B2405"/>
    <w:rsid w:val="006B426B"/>
    <w:rsid w:val="006C1BE2"/>
    <w:rsid w:val="006C3528"/>
    <w:rsid w:val="006D05C9"/>
    <w:rsid w:val="006D1A27"/>
    <w:rsid w:val="006D2F9B"/>
    <w:rsid w:val="006D56B0"/>
    <w:rsid w:val="00703D85"/>
    <w:rsid w:val="007108E3"/>
    <w:rsid w:val="00711BB4"/>
    <w:rsid w:val="00712D6E"/>
    <w:rsid w:val="00725EB0"/>
    <w:rsid w:val="00726870"/>
    <w:rsid w:val="00744221"/>
    <w:rsid w:val="007519A2"/>
    <w:rsid w:val="00751AFF"/>
    <w:rsid w:val="00754F90"/>
    <w:rsid w:val="00756BC5"/>
    <w:rsid w:val="0076049A"/>
    <w:rsid w:val="00762131"/>
    <w:rsid w:val="00762553"/>
    <w:rsid w:val="0076452A"/>
    <w:rsid w:val="007646F4"/>
    <w:rsid w:val="00772617"/>
    <w:rsid w:val="007737FE"/>
    <w:rsid w:val="00773E06"/>
    <w:rsid w:val="00775F21"/>
    <w:rsid w:val="00780C59"/>
    <w:rsid w:val="007824F2"/>
    <w:rsid w:val="00783D62"/>
    <w:rsid w:val="007861D1"/>
    <w:rsid w:val="00786384"/>
    <w:rsid w:val="00791780"/>
    <w:rsid w:val="00791CBF"/>
    <w:rsid w:val="00792FAE"/>
    <w:rsid w:val="007A25F4"/>
    <w:rsid w:val="007A2DC7"/>
    <w:rsid w:val="007B5280"/>
    <w:rsid w:val="007D2151"/>
    <w:rsid w:val="007E122F"/>
    <w:rsid w:val="007F6F5B"/>
    <w:rsid w:val="00800963"/>
    <w:rsid w:val="008226D5"/>
    <w:rsid w:val="00823CAE"/>
    <w:rsid w:val="00824FC9"/>
    <w:rsid w:val="008269E4"/>
    <w:rsid w:val="00826B84"/>
    <w:rsid w:val="00831597"/>
    <w:rsid w:val="0083165F"/>
    <w:rsid w:val="00833ACA"/>
    <w:rsid w:val="00851285"/>
    <w:rsid w:val="00851FFB"/>
    <w:rsid w:val="0085248B"/>
    <w:rsid w:val="0085668D"/>
    <w:rsid w:val="00856AFC"/>
    <w:rsid w:val="008646C5"/>
    <w:rsid w:val="00872FE6"/>
    <w:rsid w:val="00880408"/>
    <w:rsid w:val="00880CB6"/>
    <w:rsid w:val="0088510B"/>
    <w:rsid w:val="00885EA5"/>
    <w:rsid w:val="00891D7F"/>
    <w:rsid w:val="00893F3E"/>
    <w:rsid w:val="0089406E"/>
    <w:rsid w:val="008B13C0"/>
    <w:rsid w:val="008B19AA"/>
    <w:rsid w:val="008B70A3"/>
    <w:rsid w:val="008C7AEF"/>
    <w:rsid w:val="008D0500"/>
    <w:rsid w:val="008E1B6D"/>
    <w:rsid w:val="008E2D59"/>
    <w:rsid w:val="008E41C8"/>
    <w:rsid w:val="008E53AF"/>
    <w:rsid w:val="008E5DEF"/>
    <w:rsid w:val="008F3552"/>
    <w:rsid w:val="009003E4"/>
    <w:rsid w:val="009038F6"/>
    <w:rsid w:val="00903E97"/>
    <w:rsid w:val="00912336"/>
    <w:rsid w:val="00917528"/>
    <w:rsid w:val="00930504"/>
    <w:rsid w:val="009328D5"/>
    <w:rsid w:val="00933482"/>
    <w:rsid w:val="0094735A"/>
    <w:rsid w:val="00967C39"/>
    <w:rsid w:val="00973CE7"/>
    <w:rsid w:val="00980617"/>
    <w:rsid w:val="0098709A"/>
    <w:rsid w:val="00990183"/>
    <w:rsid w:val="00990ED4"/>
    <w:rsid w:val="009A08AE"/>
    <w:rsid w:val="009A2F27"/>
    <w:rsid w:val="009A3046"/>
    <w:rsid w:val="009A6E14"/>
    <w:rsid w:val="009B135A"/>
    <w:rsid w:val="009B2812"/>
    <w:rsid w:val="009B41FA"/>
    <w:rsid w:val="009B4479"/>
    <w:rsid w:val="009B4D1D"/>
    <w:rsid w:val="009B5FD4"/>
    <w:rsid w:val="009B7450"/>
    <w:rsid w:val="009B7CB4"/>
    <w:rsid w:val="009C2F39"/>
    <w:rsid w:val="009D0803"/>
    <w:rsid w:val="009D314E"/>
    <w:rsid w:val="009E1D3F"/>
    <w:rsid w:val="009E2229"/>
    <w:rsid w:val="009E7937"/>
    <w:rsid w:val="009F0F0F"/>
    <w:rsid w:val="009F7F01"/>
    <w:rsid w:val="00A07082"/>
    <w:rsid w:val="00A12CDF"/>
    <w:rsid w:val="00A1373E"/>
    <w:rsid w:val="00A1657B"/>
    <w:rsid w:val="00A16972"/>
    <w:rsid w:val="00A258D7"/>
    <w:rsid w:val="00A40910"/>
    <w:rsid w:val="00A412C5"/>
    <w:rsid w:val="00A41C4C"/>
    <w:rsid w:val="00A44AFA"/>
    <w:rsid w:val="00A45692"/>
    <w:rsid w:val="00A50701"/>
    <w:rsid w:val="00A50896"/>
    <w:rsid w:val="00A50947"/>
    <w:rsid w:val="00A7341E"/>
    <w:rsid w:val="00A80766"/>
    <w:rsid w:val="00A86F6A"/>
    <w:rsid w:val="00A905F2"/>
    <w:rsid w:val="00AA5E68"/>
    <w:rsid w:val="00AA5FF1"/>
    <w:rsid w:val="00AB586A"/>
    <w:rsid w:val="00AB7103"/>
    <w:rsid w:val="00AB7878"/>
    <w:rsid w:val="00AD5691"/>
    <w:rsid w:val="00AE0E72"/>
    <w:rsid w:val="00AE4B18"/>
    <w:rsid w:val="00AE5992"/>
    <w:rsid w:val="00AF27FE"/>
    <w:rsid w:val="00AF3A77"/>
    <w:rsid w:val="00AF3BD4"/>
    <w:rsid w:val="00AF418B"/>
    <w:rsid w:val="00B0443E"/>
    <w:rsid w:val="00B0449F"/>
    <w:rsid w:val="00B05E7A"/>
    <w:rsid w:val="00B06781"/>
    <w:rsid w:val="00B071AA"/>
    <w:rsid w:val="00B07A52"/>
    <w:rsid w:val="00B15770"/>
    <w:rsid w:val="00B30266"/>
    <w:rsid w:val="00B304AF"/>
    <w:rsid w:val="00B34667"/>
    <w:rsid w:val="00B35742"/>
    <w:rsid w:val="00B36F47"/>
    <w:rsid w:val="00B46242"/>
    <w:rsid w:val="00B509B0"/>
    <w:rsid w:val="00B53875"/>
    <w:rsid w:val="00B60811"/>
    <w:rsid w:val="00B641B1"/>
    <w:rsid w:val="00B700DF"/>
    <w:rsid w:val="00B8275F"/>
    <w:rsid w:val="00B867D6"/>
    <w:rsid w:val="00BC1614"/>
    <w:rsid w:val="00BC4A83"/>
    <w:rsid w:val="00BC6B3A"/>
    <w:rsid w:val="00BD043D"/>
    <w:rsid w:val="00BD0F80"/>
    <w:rsid w:val="00BD617F"/>
    <w:rsid w:val="00BD76DF"/>
    <w:rsid w:val="00BE086B"/>
    <w:rsid w:val="00BE5638"/>
    <w:rsid w:val="00BE5E7F"/>
    <w:rsid w:val="00BF1B3F"/>
    <w:rsid w:val="00C15C24"/>
    <w:rsid w:val="00C22E20"/>
    <w:rsid w:val="00C31177"/>
    <w:rsid w:val="00C41444"/>
    <w:rsid w:val="00C454AA"/>
    <w:rsid w:val="00C62AD3"/>
    <w:rsid w:val="00C63A65"/>
    <w:rsid w:val="00C67283"/>
    <w:rsid w:val="00C74DB7"/>
    <w:rsid w:val="00C769E2"/>
    <w:rsid w:val="00C778FD"/>
    <w:rsid w:val="00C86429"/>
    <w:rsid w:val="00C9109F"/>
    <w:rsid w:val="00C93804"/>
    <w:rsid w:val="00CA490A"/>
    <w:rsid w:val="00CB7B83"/>
    <w:rsid w:val="00CC2AC3"/>
    <w:rsid w:val="00CC4C59"/>
    <w:rsid w:val="00CE0FB4"/>
    <w:rsid w:val="00D05799"/>
    <w:rsid w:val="00D262D6"/>
    <w:rsid w:val="00D26DA6"/>
    <w:rsid w:val="00D3307C"/>
    <w:rsid w:val="00D34C39"/>
    <w:rsid w:val="00D41503"/>
    <w:rsid w:val="00D41643"/>
    <w:rsid w:val="00D42B44"/>
    <w:rsid w:val="00D440FB"/>
    <w:rsid w:val="00D562DD"/>
    <w:rsid w:val="00D56F87"/>
    <w:rsid w:val="00D629E6"/>
    <w:rsid w:val="00D70DBD"/>
    <w:rsid w:val="00D718FB"/>
    <w:rsid w:val="00D73892"/>
    <w:rsid w:val="00D86BB4"/>
    <w:rsid w:val="00D91944"/>
    <w:rsid w:val="00D92D95"/>
    <w:rsid w:val="00D9643C"/>
    <w:rsid w:val="00D969BD"/>
    <w:rsid w:val="00DC03E5"/>
    <w:rsid w:val="00DC2558"/>
    <w:rsid w:val="00DC5691"/>
    <w:rsid w:val="00DC72D4"/>
    <w:rsid w:val="00DC7DA1"/>
    <w:rsid w:val="00DD326C"/>
    <w:rsid w:val="00DD37F7"/>
    <w:rsid w:val="00DE3CE9"/>
    <w:rsid w:val="00DF0376"/>
    <w:rsid w:val="00DF06B2"/>
    <w:rsid w:val="00DF24B4"/>
    <w:rsid w:val="00DF3755"/>
    <w:rsid w:val="00DF4D2C"/>
    <w:rsid w:val="00DF7E83"/>
    <w:rsid w:val="00E00089"/>
    <w:rsid w:val="00E05E44"/>
    <w:rsid w:val="00E06A5D"/>
    <w:rsid w:val="00E076E4"/>
    <w:rsid w:val="00E10792"/>
    <w:rsid w:val="00E16976"/>
    <w:rsid w:val="00E25E59"/>
    <w:rsid w:val="00E368F8"/>
    <w:rsid w:val="00E36C44"/>
    <w:rsid w:val="00E37D49"/>
    <w:rsid w:val="00E51A5F"/>
    <w:rsid w:val="00E530F5"/>
    <w:rsid w:val="00E61609"/>
    <w:rsid w:val="00E62A35"/>
    <w:rsid w:val="00E70226"/>
    <w:rsid w:val="00E81F6E"/>
    <w:rsid w:val="00E905D2"/>
    <w:rsid w:val="00E92498"/>
    <w:rsid w:val="00E93121"/>
    <w:rsid w:val="00E95B02"/>
    <w:rsid w:val="00EA7C1D"/>
    <w:rsid w:val="00EC05FD"/>
    <w:rsid w:val="00EC2D23"/>
    <w:rsid w:val="00EC5E77"/>
    <w:rsid w:val="00EC6353"/>
    <w:rsid w:val="00EE19C8"/>
    <w:rsid w:val="00EE4E2A"/>
    <w:rsid w:val="00EE57D8"/>
    <w:rsid w:val="00EF7099"/>
    <w:rsid w:val="00F10868"/>
    <w:rsid w:val="00F11D60"/>
    <w:rsid w:val="00F12AD5"/>
    <w:rsid w:val="00F17D45"/>
    <w:rsid w:val="00F17E14"/>
    <w:rsid w:val="00F22B48"/>
    <w:rsid w:val="00F26117"/>
    <w:rsid w:val="00F27D84"/>
    <w:rsid w:val="00F50E9A"/>
    <w:rsid w:val="00F62137"/>
    <w:rsid w:val="00F63285"/>
    <w:rsid w:val="00F641E8"/>
    <w:rsid w:val="00F666EF"/>
    <w:rsid w:val="00F66954"/>
    <w:rsid w:val="00F66F9B"/>
    <w:rsid w:val="00F82170"/>
    <w:rsid w:val="00F82893"/>
    <w:rsid w:val="00F86BB0"/>
    <w:rsid w:val="00F91DBA"/>
    <w:rsid w:val="00FA5729"/>
    <w:rsid w:val="00FA78A0"/>
    <w:rsid w:val="00FB2078"/>
    <w:rsid w:val="00FB643D"/>
    <w:rsid w:val="00FD4672"/>
    <w:rsid w:val="00FD616A"/>
    <w:rsid w:val="00FE2099"/>
    <w:rsid w:val="00FE2E71"/>
    <w:rsid w:val="00FE437E"/>
    <w:rsid w:val="00FE5E6D"/>
    <w:rsid w:val="00FE7D55"/>
    <w:rsid w:val="00FF32B6"/>
    <w:rsid w:val="00FF3F60"/>
    <w:rsid w:val="00FF5675"/>
    <w:rsid w:val="00FF70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BDFB687"/>
  <w15:chartTrackingRefBased/>
  <w15:docId w15:val="{CB2568F8-C769-4138-8CE3-4A82E3BD2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uppressAutoHyphens/>
    </w:pPr>
    <w:rPr>
      <w:sz w:val="24"/>
      <w:szCs w:val="24"/>
      <w:lang w:eastAsia="zh-CN"/>
    </w:rPr>
  </w:style>
  <w:style w:type="paragraph" w:styleId="1">
    <w:name w:val="heading 1"/>
    <w:basedOn w:val="a"/>
    <w:next w:val="a"/>
    <w:qFormat/>
    <w:pPr>
      <w:keepNext/>
      <w:numPr>
        <w:numId w:val="1"/>
      </w:numPr>
      <w:ind w:left="360" w:right="465" w:firstLine="0"/>
      <w:jc w:val="right"/>
      <w:outlineLvl w:val="0"/>
    </w:pPr>
    <w:rPr>
      <w:sz w:val="28"/>
      <w:lang w:val="uk-UA"/>
    </w:rPr>
  </w:style>
  <w:style w:type="paragraph" w:styleId="2">
    <w:name w:val="heading 2"/>
    <w:basedOn w:val="a"/>
    <w:next w:val="a"/>
    <w:qFormat/>
    <w:pPr>
      <w:keepNext/>
      <w:numPr>
        <w:ilvl w:val="1"/>
        <w:numId w:val="1"/>
      </w:numPr>
      <w:ind w:left="360" w:right="465" w:firstLine="0"/>
      <w:jc w:val="center"/>
      <w:outlineLvl w:val="1"/>
    </w:pPr>
    <w:rPr>
      <w:rFonts w:eastAsia="Arial Unicode MS"/>
      <w:sz w:val="28"/>
      <w:lang w:val="uk-UA"/>
    </w:rPr>
  </w:style>
  <w:style w:type="paragraph" w:styleId="3">
    <w:name w:val="heading 3"/>
    <w:basedOn w:val="a"/>
    <w:next w:val="a"/>
    <w:uiPriority w:val="9"/>
    <w:qFormat/>
    <w:pPr>
      <w:keepNext/>
      <w:numPr>
        <w:ilvl w:val="2"/>
        <w:numId w:val="1"/>
      </w:numPr>
      <w:ind w:left="0" w:right="465" w:firstLine="0"/>
      <w:jc w:val="center"/>
      <w:outlineLvl w:val="2"/>
    </w:pPr>
    <w:rPr>
      <w:rFonts w:eastAsia="Arial Unicode MS"/>
      <w:sz w:val="28"/>
      <w:lang w:val="uk-UA"/>
    </w:rPr>
  </w:style>
  <w:style w:type="paragraph" w:styleId="4">
    <w:name w:val="heading 4"/>
    <w:basedOn w:val="a"/>
    <w:next w:val="a"/>
    <w:qFormat/>
    <w:pPr>
      <w:keepNext/>
      <w:numPr>
        <w:ilvl w:val="3"/>
        <w:numId w:val="1"/>
      </w:numPr>
      <w:jc w:val="center"/>
      <w:outlineLvl w:val="3"/>
    </w:pPr>
    <w:rPr>
      <w:sz w:val="28"/>
      <w:lang w:val="uk-UA"/>
    </w:rPr>
  </w:style>
  <w:style w:type="paragraph" w:styleId="5">
    <w:name w:val="heading 5"/>
    <w:basedOn w:val="a"/>
    <w:next w:val="a"/>
    <w:qFormat/>
    <w:pPr>
      <w:keepNext/>
      <w:numPr>
        <w:ilvl w:val="4"/>
        <w:numId w:val="1"/>
      </w:numPr>
      <w:ind w:left="360" w:right="465" w:firstLine="0"/>
      <w:jc w:val="center"/>
      <w:outlineLvl w:val="4"/>
    </w:pPr>
    <w:rPr>
      <w:rFonts w:eastAsia="Arial Unicode MS"/>
      <w:b/>
      <w:bCs/>
      <w:sz w:val="28"/>
      <w:lang w:val="uk-UA"/>
    </w:rPr>
  </w:style>
  <w:style w:type="paragraph" w:styleId="6">
    <w:name w:val="heading 6"/>
    <w:basedOn w:val="a"/>
    <w:next w:val="a"/>
    <w:qFormat/>
    <w:pPr>
      <w:widowControl w:val="0"/>
      <w:numPr>
        <w:ilvl w:val="5"/>
        <w:numId w:val="1"/>
      </w:numPr>
      <w:spacing w:before="240" w:after="60"/>
      <w:outlineLvl w:val="5"/>
    </w:pPr>
    <w:rPr>
      <w:rFonts w:ascii="Calibri" w:eastAsia="Calibri" w:hAnsi="Calibri" w:cs="Calibri"/>
      <w:b/>
      <w:bCs/>
      <w:kern w:val="1"/>
      <w:sz w:val="22"/>
      <w:szCs w:val="22"/>
    </w:rPr>
  </w:style>
  <w:style w:type="paragraph" w:styleId="8">
    <w:name w:val="heading 8"/>
    <w:basedOn w:val="a"/>
    <w:next w:val="a"/>
    <w:qFormat/>
    <w:pPr>
      <w:widowControl w:val="0"/>
      <w:numPr>
        <w:ilvl w:val="7"/>
        <w:numId w:val="1"/>
      </w:numPr>
      <w:spacing w:before="240" w:after="60"/>
      <w:outlineLvl w:val="7"/>
    </w:pPr>
    <w:rPr>
      <w:rFonts w:ascii="Calibri" w:hAnsi="Calibri" w:cs="Calibri"/>
      <w:i/>
      <w:iCs/>
      <w:kern w:val="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eastAsia="PragmaticaC" w:hAnsi="Times New Roman" w:cs="Times New Roman"/>
      <w:b w:val="0"/>
      <w:bCs/>
      <w:i w:val="0"/>
      <w:iCs w:val="0"/>
      <w:kern w:val="1"/>
      <w:sz w:val="28"/>
      <w:szCs w:val="28"/>
      <w:lang w:val="uk-UA" w:eastAsia="uk-UA" w:bidi="hi-IN"/>
    </w:rPr>
  </w:style>
  <w:style w:type="character" w:customStyle="1" w:styleId="WW8Num3z0">
    <w:name w:val="WW8Num3z0"/>
  </w:style>
  <w:style w:type="character" w:customStyle="1" w:styleId="20">
    <w:name w:val="Основной шрифт абзаца2"/>
  </w:style>
  <w:style w:type="character" w:customStyle="1" w:styleId="Absatz-Standardschriftart">
    <w:name w:val="Absatz-Standardschriftart"/>
  </w:style>
  <w:style w:type="character" w:customStyle="1" w:styleId="WW8Num4z0">
    <w:name w:val="WW8Num4z0"/>
    <w:rPr>
      <w:rFonts w:cs="Times New Roman"/>
    </w:rPr>
  </w:style>
  <w:style w:type="character" w:customStyle="1" w:styleId="WW8Num5z0">
    <w:name w:val="WW8Num5z0"/>
    <w:rPr>
      <w:rFonts w:ascii="Symbol" w:hAnsi="Symbol" w:cs="Symbol"/>
    </w:rPr>
  </w:style>
  <w:style w:type="character" w:customStyle="1" w:styleId="WW8Num6z0">
    <w:name w:val="WW8Num6z0"/>
    <w:rPr>
      <w:rFonts w:ascii="Symbol" w:hAnsi="Symbol" w:cs="Symbol"/>
    </w:rPr>
  </w:style>
  <w:style w:type="character" w:customStyle="1" w:styleId="WW8Num7z0">
    <w:name w:val="WW8Num7z0"/>
    <w:rPr>
      <w:rFonts w:ascii="Symbol" w:hAnsi="Symbol" w:cs="Symbol"/>
    </w:rPr>
  </w:style>
  <w:style w:type="character" w:customStyle="1" w:styleId="WW8Num8z0">
    <w:name w:val="WW8Num8z0"/>
    <w:rPr>
      <w:rFonts w:ascii="Symbol" w:hAnsi="Symbol" w:cs="Symbol"/>
    </w:rPr>
  </w:style>
  <w:style w:type="character" w:customStyle="1" w:styleId="WW8Num9z0">
    <w:name w:val="WW8Num9z0"/>
    <w:rPr>
      <w:rFonts w:cs="Times New Roman"/>
    </w:rPr>
  </w:style>
  <w:style w:type="character" w:customStyle="1" w:styleId="WW8Num10z0">
    <w:name w:val="WW8Num10z0"/>
    <w:rPr>
      <w:rFonts w:ascii="Symbol" w:hAnsi="Symbol" w:cs="Symbol"/>
    </w:rPr>
  </w:style>
  <w:style w:type="character" w:customStyle="1" w:styleId="WW8Num11z0">
    <w:name w:val="WW8Num11z0"/>
    <w:rPr>
      <w:rFonts w:ascii="Times New Roman" w:hAnsi="Times New Roman" w:cs="Times New Roman"/>
      <w:b w:val="0"/>
      <w:i w:val="0"/>
      <w:caps w:val="0"/>
      <w:smallCaps w:val="0"/>
      <w:strike w:val="0"/>
      <w:dstrike w:val="0"/>
      <w:vanish w:val="0"/>
      <w:color w:val="auto"/>
      <w:spacing w:val="0"/>
      <w:w w:val="100"/>
      <w:kern w:val="1"/>
      <w:position w:val="0"/>
      <w:sz w:val="28"/>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2z0">
    <w:name w:val="WW8Num12z0"/>
    <w:rPr>
      <w:rFonts w:cs="Times New Roman"/>
      <w:b w:val="0"/>
      <w:sz w:val="28"/>
    </w:rPr>
  </w:style>
  <w:style w:type="character" w:customStyle="1" w:styleId="WW8Num12z1">
    <w:name w:val="WW8Num12z1"/>
    <w:rPr>
      <w:rFonts w:cs="Times New Roman"/>
    </w:rPr>
  </w:style>
  <w:style w:type="character" w:customStyle="1" w:styleId="WW8Num13z0">
    <w:name w:val="WW8Num13z0"/>
    <w:rPr>
      <w:rFonts w:cs="Times New Roman"/>
    </w:rPr>
  </w:style>
  <w:style w:type="character" w:customStyle="1" w:styleId="WW8Num14z0">
    <w:name w:val="WW8Num14z0"/>
    <w:rPr>
      <w:rFonts w:ascii="Times New Roman" w:hAnsi="Times New Roman" w:cs="Times New Roman"/>
      <w:color w:val="auto"/>
    </w:rPr>
  </w:style>
  <w:style w:type="character" w:customStyle="1" w:styleId="WW8Num14z1">
    <w:name w:val="WW8Num14z1"/>
    <w:rPr>
      <w:rFonts w:cs="Times New Roman"/>
    </w:rPr>
  </w:style>
  <w:style w:type="character" w:customStyle="1" w:styleId="WW8Num16z0">
    <w:name w:val="WW8Num16z0"/>
    <w:rPr>
      <w:rFonts w:ascii="Times New Roman" w:eastAsia="Times New Roman" w:hAnsi="Times New Roman" w:cs="Times New Roman"/>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cs="Times New Roman"/>
    </w:rPr>
  </w:style>
  <w:style w:type="character" w:customStyle="1" w:styleId="WW8Num19z0">
    <w:name w:val="WW8Num19z0"/>
    <w:rPr>
      <w:rFonts w:cs="Times New Roman"/>
    </w:rPr>
  </w:style>
  <w:style w:type="character" w:customStyle="1" w:styleId="WW8Num20z0">
    <w:name w:val="WW8Num20z0"/>
    <w:rPr>
      <w:rFonts w:ascii="Symbol" w:hAnsi="Symbol" w:cs="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cs="Wingdings"/>
    </w:rPr>
  </w:style>
  <w:style w:type="character" w:customStyle="1" w:styleId="10">
    <w:name w:val="Основной шрифт абзаца1"/>
  </w:style>
  <w:style w:type="character" w:customStyle="1" w:styleId="a3">
    <w:name w:val="Название Знак"/>
    <w:rPr>
      <w:b/>
      <w:bCs/>
      <w:sz w:val="28"/>
      <w:szCs w:val="24"/>
      <w:lang w:val="uk-UA" w:bidi="ar-SA"/>
    </w:rPr>
  </w:style>
  <w:style w:type="character" w:customStyle="1" w:styleId="21">
    <w:name w:val="Заголовок 2 Знак"/>
    <w:rPr>
      <w:rFonts w:eastAsia="Arial Unicode MS"/>
      <w:sz w:val="28"/>
      <w:szCs w:val="24"/>
      <w:lang w:val="uk-UA" w:bidi="ar-SA"/>
    </w:rPr>
  </w:style>
  <w:style w:type="character" w:customStyle="1" w:styleId="30">
    <w:name w:val="Заголовок 3 Знак"/>
    <w:uiPriority w:val="9"/>
    <w:rPr>
      <w:rFonts w:eastAsia="Arial Unicode MS"/>
      <w:sz w:val="28"/>
      <w:szCs w:val="24"/>
      <w:lang w:val="uk-UA" w:bidi="ar-SA"/>
    </w:rPr>
  </w:style>
  <w:style w:type="character" w:customStyle="1" w:styleId="50">
    <w:name w:val="Заголовок 5 Знак"/>
    <w:rPr>
      <w:rFonts w:eastAsia="Arial Unicode MS"/>
      <w:b/>
      <w:bCs/>
      <w:sz w:val="28"/>
      <w:szCs w:val="24"/>
      <w:lang w:val="uk-UA" w:bidi="ar-SA"/>
    </w:rPr>
  </w:style>
  <w:style w:type="character" w:customStyle="1" w:styleId="60">
    <w:name w:val="Заголовок 6 Знак"/>
    <w:rPr>
      <w:rFonts w:ascii="Calibri" w:eastAsia="Calibri" w:hAnsi="Calibri" w:cs="Calibri"/>
      <w:b/>
      <w:bCs/>
      <w:kern w:val="1"/>
      <w:sz w:val="22"/>
      <w:szCs w:val="22"/>
      <w:lang w:val="ru-RU" w:bidi="ar-SA"/>
    </w:rPr>
  </w:style>
  <w:style w:type="character" w:customStyle="1" w:styleId="80">
    <w:name w:val="Заголовок 8 Знак"/>
    <w:rPr>
      <w:rFonts w:ascii="Calibri" w:hAnsi="Calibri" w:cs="Calibri"/>
      <w:i/>
      <w:iCs/>
      <w:kern w:val="1"/>
      <w:sz w:val="24"/>
      <w:szCs w:val="24"/>
      <w:lang w:val="ru-RU" w:bidi="ar-SA"/>
    </w:rPr>
  </w:style>
  <w:style w:type="character" w:customStyle="1" w:styleId="TitleChar">
    <w:name w:val="Title Char"/>
    <w:rPr>
      <w:rFonts w:ascii="Times New Roman" w:hAnsi="Times New Roman" w:cs="Times New Roman"/>
      <w:sz w:val="20"/>
      <w:lang w:val="x-none"/>
    </w:rPr>
  </w:style>
  <w:style w:type="character" w:customStyle="1" w:styleId="a4">
    <w:name w:val="Основной текст Знак"/>
    <w:rPr>
      <w:sz w:val="26"/>
      <w:szCs w:val="24"/>
      <w:lang w:val="ru-RU" w:bidi="ar-SA"/>
    </w:rPr>
  </w:style>
  <w:style w:type="character" w:customStyle="1" w:styleId="22">
    <w:name w:val="Основной текст 2 Знак"/>
    <w:rPr>
      <w:sz w:val="26"/>
      <w:szCs w:val="24"/>
      <w:lang w:val="uk-UA" w:bidi="ar-SA"/>
    </w:rPr>
  </w:style>
  <w:style w:type="character" w:customStyle="1" w:styleId="a5">
    <w:name w:val="Символы концевой сноски"/>
    <w:rPr>
      <w:rFonts w:cs="Times New Roman"/>
      <w:vertAlign w:val="superscript"/>
    </w:rPr>
  </w:style>
  <w:style w:type="character" w:customStyle="1" w:styleId="a6">
    <w:name w:val="Текст Знак"/>
    <w:rPr>
      <w:rFonts w:ascii="Courier New" w:hAnsi="Courier New" w:cs="Courier New"/>
      <w:lang w:val="ru-RU" w:bidi="ar-SA"/>
    </w:rPr>
  </w:style>
  <w:style w:type="character" w:customStyle="1" w:styleId="a7">
    <w:name w:val="Основной текст с отступом Знак"/>
    <w:rPr>
      <w:rFonts w:ascii="Liberation Serif" w:hAnsi="Liberation Serif" w:cs="Liberation Serif"/>
      <w:kern w:val="1"/>
      <w:sz w:val="24"/>
      <w:szCs w:val="24"/>
      <w:lang w:val="ru-RU" w:bidi="ar-SA"/>
    </w:rPr>
  </w:style>
  <w:style w:type="character" w:customStyle="1" w:styleId="a8">
    <w:name w:val="Нижний колонтитул Знак"/>
    <w:uiPriority w:val="99"/>
    <w:rPr>
      <w:rFonts w:eastAsia="Calibri"/>
      <w:sz w:val="24"/>
      <w:szCs w:val="24"/>
      <w:lang w:val="uk-UA" w:bidi="ar-SA"/>
    </w:rPr>
  </w:style>
  <w:style w:type="character" w:styleId="a9">
    <w:name w:val="Hyperlink"/>
    <w:rPr>
      <w:rFonts w:cs="Times New Roman"/>
      <w:color w:val="0000FF"/>
      <w:u w:val="single"/>
    </w:rPr>
  </w:style>
  <w:style w:type="character" w:customStyle="1" w:styleId="fontstyle01">
    <w:name w:val="fontstyle01"/>
    <w:rPr>
      <w:rFonts w:ascii="NewtonC" w:hAnsi="NewtonC" w:cs="NewtonC"/>
      <w:color w:val="231F20"/>
      <w:sz w:val="26"/>
    </w:rPr>
  </w:style>
  <w:style w:type="character" w:customStyle="1" w:styleId="aa">
    <w:name w:val="Верхний колонтитул Знак"/>
    <w:uiPriority w:val="99"/>
    <w:rPr>
      <w:rFonts w:ascii="Liberation Serif" w:hAnsi="Liberation Serif" w:cs="Liberation Serif"/>
      <w:kern w:val="1"/>
      <w:sz w:val="24"/>
      <w:szCs w:val="24"/>
      <w:lang w:val="ru-RU" w:bidi="ar-SA"/>
    </w:rPr>
  </w:style>
  <w:style w:type="character" w:customStyle="1" w:styleId="ab">
    <w:name w:val="Текст выноски Знак"/>
    <w:rPr>
      <w:rFonts w:ascii="Tahoma" w:hAnsi="Tahoma" w:cs="Tahoma"/>
      <w:kern w:val="1"/>
      <w:sz w:val="16"/>
      <w:szCs w:val="16"/>
      <w:lang w:val="ru-RU" w:bidi="ar-SA"/>
    </w:rPr>
  </w:style>
  <w:style w:type="character" w:customStyle="1" w:styleId="apple-converted-space">
    <w:name w:val="apple-converted-space"/>
    <w:rPr>
      <w:rFonts w:cs="Times New Roman"/>
    </w:rPr>
  </w:style>
  <w:style w:type="character" w:styleId="ac">
    <w:name w:val="Emphasis"/>
    <w:uiPriority w:val="20"/>
    <w:qFormat/>
    <w:rPr>
      <w:rFonts w:cs="Times New Roman"/>
      <w:i/>
      <w:iCs/>
    </w:rPr>
  </w:style>
  <w:style w:type="character" w:customStyle="1" w:styleId="61">
    <w:name w:val="Знак Знак6"/>
    <w:rPr>
      <w:rFonts w:ascii="Times New Roman" w:hAnsi="Times New Roman" w:cs="Times New Roman"/>
      <w:b/>
      <w:bCs/>
      <w:sz w:val="24"/>
      <w:szCs w:val="24"/>
      <w:lang w:val="x-none"/>
    </w:rPr>
  </w:style>
  <w:style w:type="character" w:customStyle="1" w:styleId="ad">
    <w:name w:val="Знак Знак"/>
    <w:rPr>
      <w:sz w:val="28"/>
      <w:lang w:val="ru-RU" w:bidi="ar-SA"/>
    </w:rPr>
  </w:style>
  <w:style w:type="character" w:customStyle="1" w:styleId="translation-chunk">
    <w:name w:val="translation-chunk"/>
    <w:basedOn w:val="10"/>
  </w:style>
  <w:style w:type="character" w:styleId="ae">
    <w:name w:val="page number"/>
    <w:basedOn w:val="10"/>
  </w:style>
  <w:style w:type="character" w:styleId="af">
    <w:name w:val="Strong"/>
    <w:qFormat/>
    <w:rPr>
      <w:b/>
      <w:bCs/>
    </w:rPr>
  </w:style>
  <w:style w:type="character" w:customStyle="1" w:styleId="highlight">
    <w:name w:val="highlight"/>
    <w:basedOn w:val="10"/>
    <w:qFormat/>
  </w:style>
  <w:style w:type="character" w:customStyle="1" w:styleId="LO-Normal">
    <w:name w:val="LO-Normal"/>
    <w:rPr>
      <w:rFonts w:ascii="Tahoma" w:eastAsia="Tahoma" w:hAnsi="Tahoma" w:cs="Tahoma"/>
      <w:color w:val="000000"/>
      <w:sz w:val="24"/>
      <w:szCs w:val="24"/>
    </w:rPr>
  </w:style>
  <w:style w:type="character" w:customStyle="1" w:styleId="A20">
    <w:name w:val="A2"/>
    <w:qFormat/>
    <w:rPr>
      <w:rFonts w:ascii="Arial" w:eastAsia="Arial" w:hAnsi="Arial" w:cs="Arial"/>
      <w:b/>
      <w:bCs/>
      <w:color w:val="000000"/>
      <w:sz w:val="25"/>
      <w:szCs w:val="25"/>
    </w:rPr>
  </w:style>
  <w:style w:type="character" w:customStyle="1" w:styleId="longtext1">
    <w:name w:val="long_text1"/>
    <w:qFormat/>
    <w:rPr>
      <w:sz w:val="20"/>
      <w:szCs w:val="20"/>
    </w:rPr>
  </w:style>
  <w:style w:type="paragraph" w:customStyle="1" w:styleId="11">
    <w:name w:val="Заголовок1"/>
    <w:basedOn w:val="a"/>
    <w:next w:val="af0"/>
    <w:pPr>
      <w:jc w:val="center"/>
    </w:pPr>
    <w:rPr>
      <w:b/>
      <w:bCs/>
      <w:sz w:val="28"/>
      <w:lang w:val="uk-UA"/>
    </w:rPr>
  </w:style>
  <w:style w:type="paragraph" w:styleId="af0">
    <w:name w:val="Body Text"/>
    <w:basedOn w:val="a"/>
    <w:pPr>
      <w:spacing w:line="360" w:lineRule="auto"/>
    </w:pPr>
    <w:rPr>
      <w:sz w:val="26"/>
    </w:rPr>
  </w:style>
  <w:style w:type="paragraph" w:styleId="af1">
    <w:name w:val="List"/>
    <w:basedOn w:val="af0"/>
    <w:rPr>
      <w:rFonts w:cs="Mangal"/>
    </w:rPr>
  </w:style>
  <w:style w:type="paragraph" w:styleId="af2">
    <w:name w:val="caption"/>
    <w:basedOn w:val="a"/>
    <w:qFormat/>
    <w:pPr>
      <w:suppressLineNumbers/>
      <w:spacing w:before="120" w:after="120"/>
    </w:pPr>
    <w:rPr>
      <w:rFonts w:cs="Lucida Sans"/>
      <w:i/>
      <w:iCs/>
    </w:rPr>
  </w:style>
  <w:style w:type="paragraph" w:customStyle="1" w:styleId="23">
    <w:name w:val="Указатель2"/>
    <w:basedOn w:val="a"/>
    <w:pPr>
      <w:suppressLineNumbers/>
    </w:pPr>
    <w:rPr>
      <w:rFonts w:cs="Lucida Sans"/>
    </w:rPr>
  </w:style>
  <w:style w:type="paragraph" w:customStyle="1" w:styleId="12">
    <w:name w:val="Название объекта1"/>
    <w:basedOn w:val="a"/>
    <w:uiPriority w:val="99"/>
    <w:pPr>
      <w:suppressLineNumbers/>
      <w:spacing w:before="120" w:after="120"/>
    </w:pPr>
    <w:rPr>
      <w:rFonts w:cs="Mangal"/>
      <w:i/>
      <w:iCs/>
    </w:rPr>
  </w:style>
  <w:style w:type="paragraph" w:customStyle="1" w:styleId="13">
    <w:name w:val="Указатель1"/>
    <w:basedOn w:val="a"/>
    <w:pPr>
      <w:suppressLineNumbers/>
    </w:pPr>
    <w:rPr>
      <w:rFonts w:cs="Mangal"/>
    </w:rPr>
  </w:style>
  <w:style w:type="paragraph" w:customStyle="1" w:styleId="31">
    <w:name w:val="Основной текст 31"/>
    <w:basedOn w:val="a"/>
    <w:uiPriority w:val="99"/>
    <w:qFormat/>
    <w:rPr>
      <w:sz w:val="28"/>
      <w:lang w:val="uk-UA"/>
    </w:rPr>
  </w:style>
  <w:style w:type="paragraph" w:customStyle="1" w:styleId="210">
    <w:name w:val="Основной текст 21"/>
    <w:basedOn w:val="a"/>
    <w:pPr>
      <w:jc w:val="both"/>
    </w:pPr>
    <w:rPr>
      <w:sz w:val="26"/>
      <w:lang w:val="uk-UA"/>
    </w:rPr>
  </w:style>
  <w:style w:type="paragraph" w:styleId="af3">
    <w:name w:val="Normal (Web)"/>
    <w:basedOn w:val="a"/>
    <w:pPr>
      <w:spacing w:before="280" w:after="280"/>
    </w:pPr>
  </w:style>
  <w:style w:type="paragraph" w:customStyle="1" w:styleId="14">
    <w:name w:val="Знак1"/>
    <w:basedOn w:val="a"/>
    <w:pPr>
      <w:spacing w:before="280" w:after="280"/>
    </w:pPr>
    <w:rPr>
      <w:rFonts w:ascii="Tahoma" w:eastAsia="Calibri" w:hAnsi="Tahoma" w:cs="Tahoma"/>
      <w:sz w:val="20"/>
      <w:szCs w:val="20"/>
      <w:lang w:val="en-US"/>
    </w:rPr>
  </w:style>
  <w:style w:type="paragraph" w:customStyle="1" w:styleId="af4">
    <w:name w:val="Знак Знак Знак"/>
    <w:basedOn w:val="a"/>
    <w:pPr>
      <w:spacing w:before="280" w:after="280"/>
    </w:pPr>
    <w:rPr>
      <w:rFonts w:ascii="Tahoma" w:eastAsia="Calibri" w:hAnsi="Tahoma" w:cs="Tahoma"/>
      <w:sz w:val="20"/>
      <w:szCs w:val="20"/>
      <w:lang w:val="en-US"/>
    </w:rPr>
  </w:style>
  <w:style w:type="paragraph" w:customStyle="1" w:styleId="15">
    <w:name w:val="Текст1"/>
    <w:basedOn w:val="a"/>
    <w:rPr>
      <w:rFonts w:ascii="Courier New" w:hAnsi="Courier New" w:cs="Courier New"/>
      <w:sz w:val="20"/>
      <w:szCs w:val="20"/>
    </w:rPr>
  </w:style>
  <w:style w:type="paragraph" w:customStyle="1" w:styleId="32">
    <w:name w:val="Знак3"/>
    <w:basedOn w:val="a"/>
    <w:pPr>
      <w:spacing w:before="280" w:after="280"/>
    </w:pPr>
    <w:rPr>
      <w:rFonts w:ascii="Tahoma" w:eastAsia="Calibri" w:hAnsi="Tahoma" w:cs="Tahoma"/>
      <w:sz w:val="20"/>
      <w:szCs w:val="20"/>
      <w:lang w:val="en-US"/>
    </w:rPr>
  </w:style>
  <w:style w:type="paragraph" w:styleId="af5">
    <w:name w:val="Body Text Indent"/>
    <w:basedOn w:val="a"/>
    <w:pPr>
      <w:widowControl w:val="0"/>
      <w:spacing w:after="120"/>
      <w:ind w:left="283"/>
    </w:pPr>
    <w:rPr>
      <w:rFonts w:ascii="Liberation Serif" w:hAnsi="Liberation Serif" w:cs="Liberation Serif"/>
      <w:kern w:val="1"/>
    </w:rPr>
  </w:style>
  <w:style w:type="paragraph" w:customStyle="1" w:styleId="16">
    <w:name w:val="Абзац списка1"/>
    <w:basedOn w:val="a"/>
    <w:pPr>
      <w:ind w:left="720"/>
      <w:contextualSpacing/>
    </w:pPr>
    <w:rPr>
      <w:rFonts w:eastAsia="Calibri"/>
    </w:rPr>
  </w:style>
  <w:style w:type="paragraph" w:styleId="af6">
    <w:name w:val="footer"/>
    <w:basedOn w:val="a"/>
    <w:uiPriority w:val="99"/>
    <w:pPr>
      <w:tabs>
        <w:tab w:val="center" w:pos="4677"/>
        <w:tab w:val="right" w:pos="9355"/>
      </w:tabs>
    </w:pPr>
    <w:rPr>
      <w:rFonts w:eastAsia="Calibri"/>
      <w:lang w:val="uk-UA"/>
    </w:rPr>
  </w:style>
  <w:style w:type="paragraph" w:styleId="af7">
    <w:name w:val="header"/>
    <w:basedOn w:val="a"/>
    <w:uiPriority w:val="99"/>
    <w:pPr>
      <w:widowControl w:val="0"/>
      <w:tabs>
        <w:tab w:val="center" w:pos="4819"/>
        <w:tab w:val="right" w:pos="9639"/>
      </w:tabs>
    </w:pPr>
    <w:rPr>
      <w:rFonts w:ascii="Liberation Serif" w:hAnsi="Liberation Serif" w:cs="Liberation Serif"/>
      <w:kern w:val="1"/>
    </w:rPr>
  </w:style>
  <w:style w:type="paragraph" w:styleId="af8">
    <w:name w:val="Balloon Text"/>
    <w:basedOn w:val="a"/>
    <w:pPr>
      <w:widowControl w:val="0"/>
    </w:pPr>
    <w:rPr>
      <w:rFonts w:ascii="Tahoma" w:hAnsi="Tahoma" w:cs="Tahoma"/>
      <w:kern w:val="1"/>
      <w:sz w:val="16"/>
      <w:szCs w:val="16"/>
    </w:rPr>
  </w:style>
  <w:style w:type="paragraph" w:customStyle="1" w:styleId="af9">
    <w:name w:val="Содержимое таблицы"/>
    <w:basedOn w:val="a"/>
    <w:pPr>
      <w:suppressLineNumbers/>
    </w:pPr>
  </w:style>
  <w:style w:type="paragraph" w:customStyle="1" w:styleId="afa">
    <w:name w:val="Заголовок таблицы"/>
    <w:basedOn w:val="af9"/>
    <w:pPr>
      <w:jc w:val="center"/>
    </w:pPr>
    <w:rPr>
      <w:b/>
      <w:bCs/>
    </w:rPr>
  </w:style>
  <w:style w:type="paragraph" w:customStyle="1" w:styleId="afb">
    <w:name w:val="Содержимое врезки"/>
    <w:basedOn w:val="af0"/>
  </w:style>
  <w:style w:type="paragraph" w:customStyle="1" w:styleId="western">
    <w:name w:val="western"/>
    <w:basedOn w:val="a"/>
    <w:qFormat/>
    <w:pPr>
      <w:suppressAutoHyphens w:val="0"/>
      <w:spacing w:before="280" w:after="142" w:line="288" w:lineRule="auto"/>
    </w:pPr>
    <w:rPr>
      <w:rFonts w:ascii="Liberation Serif" w:hAnsi="Liberation Serif" w:cs="Liberation Serif"/>
      <w:color w:val="000000"/>
    </w:rPr>
  </w:style>
  <w:style w:type="paragraph" w:customStyle="1" w:styleId="WW-">
    <w:name w:val="WW-Базовый"/>
    <w:qFormat/>
    <w:pPr>
      <w:suppressAutoHyphens/>
      <w:spacing w:after="200" w:line="276" w:lineRule="auto"/>
    </w:pPr>
    <w:rPr>
      <w:rFonts w:ascii="Book Antiqua" w:eastAsia="Book Antiqua" w:hAnsi="Book Antiqua" w:cs="Book Antiqua"/>
      <w:color w:val="000000"/>
      <w:sz w:val="24"/>
      <w:szCs w:val="24"/>
      <w:lang w:eastAsia="zh-CN"/>
    </w:rPr>
  </w:style>
  <w:style w:type="paragraph" w:customStyle="1" w:styleId="24">
    <w:name w:val="Текст2"/>
    <w:basedOn w:val="a"/>
    <w:rPr>
      <w:rFonts w:ascii="Courier New" w:hAnsi="Courier New" w:cs="Courier New"/>
      <w:sz w:val="20"/>
      <w:szCs w:val="20"/>
      <w:lang w:eastAsia="ru-RU"/>
    </w:rPr>
  </w:style>
  <w:style w:type="character" w:customStyle="1" w:styleId="Default20Paragraph20Font">
    <w:name w:val="Default_20_Paragraph_20_Font"/>
    <w:qFormat/>
    <w:rsid w:val="00B07A52"/>
  </w:style>
  <w:style w:type="paragraph" w:customStyle="1" w:styleId="Default">
    <w:name w:val="Default"/>
    <w:qFormat/>
    <w:rsid w:val="009E2229"/>
    <w:pPr>
      <w:autoSpaceDE w:val="0"/>
      <w:autoSpaceDN w:val="0"/>
      <w:adjustRightInd w:val="0"/>
    </w:pPr>
    <w:rPr>
      <w:rFonts w:ascii="Calibri" w:hAnsi="Calibri" w:cs="Calibri"/>
      <w:color w:val="000000"/>
      <w:sz w:val="24"/>
      <w:szCs w:val="24"/>
    </w:rPr>
  </w:style>
  <w:style w:type="character" w:customStyle="1" w:styleId="authors-list-item">
    <w:name w:val="authors-list-item"/>
    <w:rsid w:val="00E81F6E"/>
  </w:style>
  <w:style w:type="character" w:customStyle="1" w:styleId="comma">
    <w:name w:val="comma"/>
    <w:rsid w:val="00E81F6E"/>
  </w:style>
  <w:style w:type="paragraph" w:customStyle="1" w:styleId="WW-1">
    <w:name w:val="WW-Базовый1"/>
    <w:qFormat/>
    <w:rsid w:val="007108E3"/>
    <w:pPr>
      <w:suppressAutoHyphens/>
      <w:spacing w:after="200" w:line="276" w:lineRule="auto"/>
    </w:pPr>
    <w:rPr>
      <w:rFonts w:ascii="Book Antiqua" w:eastAsia="Book Antiqua" w:hAnsi="Book Antiqua" w:cs="Book Antiqua"/>
      <w:color w:val="000000"/>
      <w:kern w:val="2"/>
      <w:sz w:val="24"/>
      <w:szCs w:val="24"/>
      <w:lang w:eastAsia="zh-CN"/>
    </w:rPr>
  </w:style>
  <w:style w:type="paragraph" w:styleId="afc">
    <w:name w:val="List Paragraph"/>
    <w:basedOn w:val="a"/>
    <w:uiPriority w:val="34"/>
    <w:qFormat/>
    <w:rsid w:val="006B2405"/>
    <w:pPr>
      <w:suppressAutoHyphens w:val="0"/>
      <w:ind w:left="112" w:right="262"/>
      <w:jc w:val="both"/>
    </w:pPr>
    <w:rPr>
      <w:color w:val="00000A"/>
      <w:sz w:val="22"/>
      <w:szCs w:val="22"/>
      <w:lang w:val="uk-UA" w:eastAsia="en-US"/>
    </w:rPr>
  </w:style>
  <w:style w:type="character" w:customStyle="1" w:styleId="ListLabel41">
    <w:name w:val="ListLabel 41"/>
    <w:qFormat/>
    <w:rsid w:val="00C15C24"/>
    <w:rPr>
      <w:lang w:val="uk-UA" w:eastAsia="en-US" w:bidi="ar-SA"/>
    </w:rPr>
  </w:style>
  <w:style w:type="character" w:customStyle="1" w:styleId="33">
    <w:name w:val="Основной шрифт абзаца3"/>
    <w:rsid w:val="00D92D95"/>
  </w:style>
  <w:style w:type="character" w:customStyle="1" w:styleId="17">
    <w:name w:val="Строгий1"/>
    <w:rsid w:val="00D92D95"/>
    <w:rPr>
      <w:b/>
      <w:bCs/>
    </w:rPr>
  </w:style>
  <w:style w:type="paragraph" w:customStyle="1" w:styleId="HTML1">
    <w:name w:val="Стандартный HTML1"/>
    <w:basedOn w:val="a"/>
    <w:rsid w:val="00D92D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kern w:val="1"/>
      <w:sz w:val="20"/>
      <w:szCs w:val="20"/>
      <w:lang w:bidi="hi-IN"/>
    </w:rPr>
  </w:style>
  <w:style w:type="character" w:customStyle="1" w:styleId="ebooks-bold">
    <w:name w:val="ebooks-bold"/>
    <w:rsid w:val="00D92D95"/>
  </w:style>
  <w:style w:type="paragraph" w:customStyle="1" w:styleId="tekst-tekst-podpunkt-1-">
    <w:name w:val="tekst-tekst-podpunkt-1-"/>
    <w:basedOn w:val="a"/>
    <w:rsid w:val="00D92D95"/>
    <w:pPr>
      <w:suppressAutoHyphens w:val="0"/>
      <w:spacing w:before="100" w:beforeAutospacing="1" w:after="100" w:afterAutospacing="1"/>
    </w:pPr>
    <w:rPr>
      <w:lang w:eastAsia="ru-RU"/>
    </w:rPr>
  </w:style>
  <w:style w:type="paragraph" w:customStyle="1" w:styleId="afd">
    <w:name w:val="Базовый"/>
    <w:rsid w:val="00D92D95"/>
    <w:pPr>
      <w:suppressAutoHyphens/>
      <w:spacing w:after="200" w:line="276" w:lineRule="auto"/>
    </w:pPr>
    <w:rPr>
      <w:rFonts w:ascii="Calibri" w:eastAsia="SimSun" w:hAnsi="Calibri"/>
      <w:sz w:val="22"/>
      <w:szCs w:val="22"/>
      <w:lang w:eastAsia="en-US"/>
    </w:rPr>
  </w:style>
  <w:style w:type="character" w:customStyle="1" w:styleId="hps">
    <w:name w:val="hps"/>
    <w:rsid w:val="00D92D95"/>
    <w:rPr>
      <w:rFonts w:ascii="Times New Roman" w:hAnsi="Times New Roman" w:cs="Times New Roman" w:hint="default"/>
    </w:rPr>
  </w:style>
  <w:style w:type="table" w:styleId="afe">
    <w:name w:val="Table Grid"/>
    <w:basedOn w:val="a1"/>
    <w:uiPriority w:val="39"/>
    <w:rsid w:val="00D92D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riterslist">
    <w:name w:val="writers_list"/>
    <w:basedOn w:val="a"/>
    <w:rsid w:val="00D92D95"/>
    <w:pPr>
      <w:suppressAutoHyphens w:val="0"/>
      <w:spacing w:before="100" w:beforeAutospacing="1" w:after="100" w:afterAutospacing="1"/>
    </w:pPr>
    <w:rPr>
      <w:lang w:eastAsia="ru-RU"/>
    </w:rPr>
  </w:style>
  <w:style w:type="character" w:customStyle="1" w:styleId="d-none">
    <w:name w:val="d-none"/>
    <w:rsid w:val="004850FF"/>
  </w:style>
  <w:style w:type="paragraph" w:customStyle="1" w:styleId="310">
    <w:name w:val="Основной текст с отступом 31"/>
    <w:basedOn w:val="a"/>
    <w:rsid w:val="00A50896"/>
    <w:pPr>
      <w:spacing w:after="120"/>
      <w:ind w:left="283"/>
    </w:pPr>
    <w:rPr>
      <w:rFonts w:eastAsia="SimSun" w:cs="Lucida Sans"/>
      <w:kern w:val="1"/>
      <w:sz w:val="16"/>
      <w:szCs w:val="16"/>
      <w:lang w:val="uk-UA" w:bidi="hi-IN"/>
    </w:rPr>
  </w:style>
  <w:style w:type="paragraph" w:customStyle="1" w:styleId="18">
    <w:name w:val="Обычный (веб)1"/>
    <w:basedOn w:val="a"/>
    <w:rsid w:val="00A50896"/>
    <w:pPr>
      <w:spacing w:before="280" w:line="360" w:lineRule="auto"/>
      <w:jc w:val="both"/>
    </w:pPr>
    <w:rPr>
      <w:rFonts w:eastAsia="SimSun"/>
      <w:color w:val="000000"/>
      <w:kern w:val="1"/>
      <w:lang w:val="uk-UA" w:bidi="hi-IN"/>
    </w:rPr>
  </w:style>
  <w:style w:type="paragraph" w:styleId="HTML">
    <w:name w:val="HTML Preformatted"/>
    <w:basedOn w:val="a"/>
    <w:link w:val="HTML0"/>
    <w:rsid w:val="00A50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kern w:val="1"/>
      <w:sz w:val="20"/>
      <w:szCs w:val="20"/>
      <w:lang w:val="uk-UA" w:eastAsia="ja-JP" w:bidi="hi-IN"/>
    </w:rPr>
  </w:style>
  <w:style w:type="character" w:customStyle="1" w:styleId="HTML0">
    <w:name w:val="Стандартный HTML Знак"/>
    <w:link w:val="HTML"/>
    <w:rsid w:val="00A50896"/>
    <w:rPr>
      <w:rFonts w:ascii="Courier New" w:eastAsia="MS Mincho" w:hAnsi="Courier New" w:cs="Courier New"/>
      <w:kern w:val="1"/>
      <w:lang w:val="uk-UA" w:eastAsia="ja-JP" w:bidi="hi-IN"/>
    </w:rPr>
  </w:style>
  <w:style w:type="character" w:customStyle="1" w:styleId="WW8Num5z1">
    <w:name w:val="WW8Num5z1"/>
    <w:rsid w:val="00AF418B"/>
  </w:style>
  <w:style w:type="character" w:customStyle="1" w:styleId="WW8Num5z2">
    <w:name w:val="WW8Num5z2"/>
    <w:rsid w:val="00AF418B"/>
  </w:style>
  <w:style w:type="character" w:customStyle="1" w:styleId="WW8Num5z3">
    <w:name w:val="WW8Num5z3"/>
    <w:rsid w:val="00AF418B"/>
  </w:style>
  <w:style w:type="character" w:customStyle="1" w:styleId="WW8Num5z4">
    <w:name w:val="WW8Num5z4"/>
    <w:rsid w:val="00AF418B"/>
  </w:style>
  <w:style w:type="character" w:customStyle="1" w:styleId="WW8Num5z5">
    <w:name w:val="WW8Num5z5"/>
    <w:rsid w:val="00AF418B"/>
  </w:style>
  <w:style w:type="character" w:customStyle="1" w:styleId="WW8Num5z6">
    <w:name w:val="WW8Num5z6"/>
    <w:rsid w:val="00AF418B"/>
  </w:style>
  <w:style w:type="character" w:customStyle="1" w:styleId="WW8Num5z7">
    <w:name w:val="WW8Num5z7"/>
    <w:rsid w:val="00AF418B"/>
  </w:style>
  <w:style w:type="character" w:customStyle="1" w:styleId="WW8Num5z8">
    <w:name w:val="WW8Num5z8"/>
    <w:rsid w:val="00AF418B"/>
  </w:style>
  <w:style w:type="character" w:customStyle="1" w:styleId="WW8Num10z1">
    <w:name w:val="WW8Num10z1"/>
    <w:rsid w:val="00AF418B"/>
  </w:style>
  <w:style w:type="character" w:customStyle="1" w:styleId="WW8Num10z2">
    <w:name w:val="WW8Num10z2"/>
    <w:rsid w:val="00AF418B"/>
  </w:style>
  <w:style w:type="character" w:customStyle="1" w:styleId="WW8Num10z3">
    <w:name w:val="WW8Num10z3"/>
    <w:rsid w:val="00AF418B"/>
  </w:style>
  <w:style w:type="character" w:customStyle="1" w:styleId="WW8Num10z4">
    <w:name w:val="WW8Num10z4"/>
    <w:rsid w:val="00AF418B"/>
  </w:style>
  <w:style w:type="character" w:customStyle="1" w:styleId="WW8Num10z5">
    <w:name w:val="WW8Num10z5"/>
    <w:rsid w:val="00AF418B"/>
  </w:style>
  <w:style w:type="character" w:customStyle="1" w:styleId="WW8Num10z6">
    <w:name w:val="WW8Num10z6"/>
    <w:rsid w:val="00AF418B"/>
  </w:style>
  <w:style w:type="character" w:customStyle="1" w:styleId="WW8Num10z7">
    <w:name w:val="WW8Num10z7"/>
    <w:rsid w:val="00AF418B"/>
  </w:style>
  <w:style w:type="character" w:customStyle="1" w:styleId="WW8Num10z8">
    <w:name w:val="WW8Num10z8"/>
    <w:rsid w:val="00AF418B"/>
  </w:style>
  <w:style w:type="character" w:customStyle="1" w:styleId="aff">
    <w:name w:val="Маркеры списка"/>
    <w:rsid w:val="00AF418B"/>
    <w:rPr>
      <w:rFonts w:ascii="OpenSymbol" w:eastAsia="OpenSymbol" w:hAnsi="OpenSymbol" w:cs="OpenSymbol"/>
    </w:rPr>
  </w:style>
  <w:style w:type="paragraph" w:customStyle="1" w:styleId="aff0">
    <w:name w:val="Текст в заданном формате"/>
    <w:basedOn w:val="a"/>
    <w:rsid w:val="00AF418B"/>
    <w:rPr>
      <w:rFonts w:ascii="Courier New" w:eastAsia="NSimSun" w:hAnsi="Courier New" w:cs="Courier New"/>
      <w:sz w:val="20"/>
      <w:szCs w:val="20"/>
    </w:rPr>
  </w:style>
  <w:style w:type="character" w:customStyle="1" w:styleId="WW8Num4z1">
    <w:name w:val="WW8Num4z1"/>
    <w:rsid w:val="00215BF6"/>
  </w:style>
  <w:style w:type="character" w:customStyle="1" w:styleId="WW8Num4z2">
    <w:name w:val="WW8Num4z2"/>
    <w:rsid w:val="00215BF6"/>
  </w:style>
  <w:style w:type="character" w:customStyle="1" w:styleId="WW8Num4z3">
    <w:name w:val="WW8Num4z3"/>
    <w:rsid w:val="00215BF6"/>
  </w:style>
  <w:style w:type="character" w:customStyle="1" w:styleId="WW8Num4z4">
    <w:name w:val="WW8Num4z4"/>
    <w:rsid w:val="00215BF6"/>
  </w:style>
  <w:style w:type="character" w:customStyle="1" w:styleId="WW8Num4z5">
    <w:name w:val="WW8Num4z5"/>
    <w:rsid w:val="00215BF6"/>
  </w:style>
  <w:style w:type="character" w:customStyle="1" w:styleId="WW8Num4z6">
    <w:name w:val="WW8Num4z6"/>
    <w:rsid w:val="00215BF6"/>
  </w:style>
  <w:style w:type="character" w:customStyle="1" w:styleId="WW8Num4z7">
    <w:name w:val="WW8Num4z7"/>
    <w:rsid w:val="00215BF6"/>
  </w:style>
  <w:style w:type="character" w:customStyle="1" w:styleId="WW8Num4z8">
    <w:name w:val="WW8Num4z8"/>
    <w:rsid w:val="00215BF6"/>
  </w:style>
  <w:style w:type="character" w:customStyle="1" w:styleId="WW8Num2z1">
    <w:name w:val="WW8Num2z1"/>
    <w:rsid w:val="00215BF6"/>
  </w:style>
  <w:style w:type="character" w:customStyle="1" w:styleId="WW8Num2z2">
    <w:name w:val="WW8Num2z2"/>
    <w:rsid w:val="00215BF6"/>
  </w:style>
  <w:style w:type="character" w:customStyle="1" w:styleId="WW8Num2z3">
    <w:name w:val="WW8Num2z3"/>
    <w:rsid w:val="00215BF6"/>
  </w:style>
  <w:style w:type="character" w:customStyle="1" w:styleId="WW8Num2z4">
    <w:name w:val="WW8Num2z4"/>
    <w:rsid w:val="00215BF6"/>
  </w:style>
  <w:style w:type="character" w:customStyle="1" w:styleId="WW8Num2z5">
    <w:name w:val="WW8Num2z5"/>
    <w:rsid w:val="00215BF6"/>
  </w:style>
  <w:style w:type="character" w:customStyle="1" w:styleId="WW8Num2z6">
    <w:name w:val="WW8Num2z6"/>
    <w:rsid w:val="00215BF6"/>
  </w:style>
  <w:style w:type="character" w:customStyle="1" w:styleId="WW8Num2z7">
    <w:name w:val="WW8Num2z7"/>
    <w:rsid w:val="00215BF6"/>
  </w:style>
  <w:style w:type="character" w:customStyle="1" w:styleId="WW8Num2z8">
    <w:name w:val="WW8Num2z8"/>
    <w:rsid w:val="00215BF6"/>
  </w:style>
  <w:style w:type="character" w:customStyle="1" w:styleId="aff1">
    <w:name w:val="Символ сноски"/>
    <w:rsid w:val="00215BF6"/>
    <w:rPr>
      <w:rFonts w:ascii="Times New Roman" w:hAnsi="Times New Roman" w:cs="Times New Roman"/>
      <w:strike w:val="0"/>
      <w:dstrike w:val="0"/>
      <w:position w:val="0"/>
      <w:sz w:val="28"/>
      <w:vertAlign w:val="baseline"/>
    </w:rPr>
  </w:style>
  <w:style w:type="character" w:customStyle="1" w:styleId="19">
    <w:name w:val="Знак сноски1"/>
    <w:rsid w:val="00215BF6"/>
    <w:rPr>
      <w:vertAlign w:val="superscript"/>
    </w:rPr>
  </w:style>
  <w:style w:type="character" w:customStyle="1" w:styleId="1a">
    <w:name w:val="Знак концевой сноски1"/>
    <w:rsid w:val="00215BF6"/>
    <w:rPr>
      <w:vertAlign w:val="superscript"/>
    </w:rPr>
  </w:style>
  <w:style w:type="character" w:customStyle="1" w:styleId="1b">
    <w:name w:val="Знак примечания1"/>
    <w:rsid w:val="00215BF6"/>
    <w:rPr>
      <w:sz w:val="16"/>
      <w:szCs w:val="16"/>
    </w:rPr>
  </w:style>
  <w:style w:type="character" w:customStyle="1" w:styleId="aff2">
    <w:name w:val="Текст примечания Знак"/>
    <w:rsid w:val="00215BF6"/>
    <w:rPr>
      <w:rFonts w:eastAsia="SimSun" w:cs="Mangal"/>
      <w:kern w:val="1"/>
      <w:szCs w:val="18"/>
      <w:lang w:eastAsia="zh-CN" w:bidi="hi-IN"/>
    </w:rPr>
  </w:style>
  <w:style w:type="character" w:customStyle="1" w:styleId="aff3">
    <w:name w:val="Тема примечания Знак"/>
    <w:rsid w:val="00215BF6"/>
    <w:rPr>
      <w:rFonts w:eastAsia="SimSun" w:cs="Mangal"/>
      <w:b/>
      <w:bCs/>
      <w:kern w:val="1"/>
      <w:szCs w:val="18"/>
      <w:lang w:eastAsia="zh-CN" w:bidi="hi-IN"/>
    </w:rPr>
  </w:style>
  <w:style w:type="character" w:styleId="aff4">
    <w:name w:val="footnote reference"/>
    <w:rsid w:val="00215BF6"/>
    <w:rPr>
      <w:vertAlign w:val="superscript"/>
    </w:rPr>
  </w:style>
  <w:style w:type="character" w:styleId="aff5">
    <w:name w:val="endnote reference"/>
    <w:rsid w:val="00215BF6"/>
    <w:rPr>
      <w:vertAlign w:val="superscript"/>
    </w:rPr>
  </w:style>
  <w:style w:type="paragraph" w:styleId="aff6">
    <w:name w:val="footnote text"/>
    <w:basedOn w:val="a"/>
    <w:link w:val="aff7"/>
    <w:rsid w:val="00215BF6"/>
    <w:pPr>
      <w:suppressLineNumbers/>
      <w:ind w:left="339" w:hanging="339"/>
    </w:pPr>
    <w:rPr>
      <w:rFonts w:eastAsia="SimSun" w:cs="Lucida Sans"/>
      <w:kern w:val="1"/>
      <w:sz w:val="20"/>
      <w:szCs w:val="20"/>
      <w:lang w:bidi="hi-IN"/>
    </w:rPr>
  </w:style>
  <w:style w:type="character" w:customStyle="1" w:styleId="aff7">
    <w:name w:val="Текст сноски Знак"/>
    <w:link w:val="aff6"/>
    <w:rsid w:val="00215BF6"/>
    <w:rPr>
      <w:rFonts w:eastAsia="SimSun" w:cs="Lucida Sans"/>
      <w:kern w:val="1"/>
      <w:lang w:eastAsia="zh-CN" w:bidi="hi-IN"/>
    </w:rPr>
  </w:style>
  <w:style w:type="paragraph" w:styleId="aff8">
    <w:name w:val="endnote text"/>
    <w:basedOn w:val="a"/>
    <w:link w:val="aff9"/>
    <w:rsid w:val="00215BF6"/>
    <w:pPr>
      <w:suppressLineNumbers/>
      <w:ind w:left="339" w:hanging="339"/>
    </w:pPr>
    <w:rPr>
      <w:rFonts w:eastAsia="SimSun" w:cs="Lucida Sans"/>
      <w:kern w:val="1"/>
      <w:sz w:val="20"/>
      <w:szCs w:val="20"/>
      <w:lang w:bidi="hi-IN"/>
    </w:rPr>
  </w:style>
  <w:style w:type="character" w:customStyle="1" w:styleId="aff9">
    <w:name w:val="Текст концевой сноски Знак"/>
    <w:link w:val="aff8"/>
    <w:rsid w:val="00215BF6"/>
    <w:rPr>
      <w:rFonts w:eastAsia="SimSun" w:cs="Lucida Sans"/>
      <w:kern w:val="1"/>
      <w:lang w:eastAsia="zh-CN" w:bidi="hi-IN"/>
    </w:rPr>
  </w:style>
  <w:style w:type="paragraph" w:customStyle="1" w:styleId="1c">
    <w:name w:val="Текст примечания1"/>
    <w:basedOn w:val="a"/>
    <w:rsid w:val="00215BF6"/>
    <w:rPr>
      <w:rFonts w:eastAsia="SimSun" w:cs="Mangal"/>
      <w:kern w:val="1"/>
      <w:sz w:val="20"/>
      <w:szCs w:val="18"/>
      <w:lang w:bidi="hi-IN"/>
    </w:rPr>
  </w:style>
  <w:style w:type="paragraph" w:styleId="affa">
    <w:name w:val="annotation text"/>
    <w:basedOn w:val="a"/>
    <w:link w:val="1d"/>
    <w:uiPriority w:val="99"/>
    <w:semiHidden/>
    <w:unhideWhenUsed/>
    <w:rsid w:val="00215BF6"/>
    <w:rPr>
      <w:sz w:val="20"/>
      <w:szCs w:val="20"/>
    </w:rPr>
  </w:style>
  <w:style w:type="character" w:customStyle="1" w:styleId="1d">
    <w:name w:val="Текст примечания Знак1"/>
    <w:link w:val="affa"/>
    <w:uiPriority w:val="99"/>
    <w:semiHidden/>
    <w:rsid w:val="00215BF6"/>
    <w:rPr>
      <w:lang w:eastAsia="zh-CN"/>
    </w:rPr>
  </w:style>
  <w:style w:type="paragraph" w:styleId="affb">
    <w:name w:val="annotation subject"/>
    <w:basedOn w:val="1c"/>
    <w:next w:val="1c"/>
    <w:link w:val="1e"/>
    <w:rsid w:val="00215BF6"/>
    <w:rPr>
      <w:b/>
      <w:bCs/>
    </w:rPr>
  </w:style>
  <w:style w:type="character" w:customStyle="1" w:styleId="1e">
    <w:name w:val="Тема примечания Знак1"/>
    <w:link w:val="affb"/>
    <w:rsid w:val="00215BF6"/>
    <w:rPr>
      <w:rFonts w:eastAsia="SimSun" w:cs="Mangal"/>
      <w:b/>
      <w:bCs/>
      <w:kern w:val="1"/>
      <w:szCs w:val="18"/>
      <w:lang w:eastAsia="zh-CN" w:bidi="hi-IN"/>
    </w:rPr>
  </w:style>
  <w:style w:type="character" w:customStyle="1" w:styleId="ListLabel7">
    <w:name w:val="ListLabel 7"/>
    <w:qFormat/>
    <w:rsid w:val="00215BF6"/>
    <w:rPr>
      <w:lang w:val="uk-UA" w:eastAsia="en-US" w:bidi="ar-SA"/>
    </w:rPr>
  </w:style>
  <w:style w:type="paragraph" w:customStyle="1" w:styleId="1f">
    <w:name w:val="Абзац списка1"/>
    <w:basedOn w:val="a"/>
    <w:uiPriority w:val="99"/>
    <w:semiHidden/>
    <w:rsid w:val="00E51A5F"/>
    <w:pPr>
      <w:spacing w:after="200"/>
      <w:ind w:left="720"/>
      <w:contextualSpacing/>
    </w:pPr>
    <w:rPr>
      <w:rFonts w:ascii="Calibri" w:eastAsia="Calibri" w:hAnsi="Calibri" w:cs="Calibri"/>
      <w:kern w:val="2"/>
      <w:lang w:val="uk-UA" w:bidi="hi-IN"/>
    </w:rPr>
  </w:style>
  <w:style w:type="character" w:styleId="affc">
    <w:name w:val="FollowedHyperlink"/>
    <w:rsid w:val="008B13C0"/>
    <w:rPr>
      <w:color w:val="800000"/>
      <w:u w:val="single"/>
    </w:rPr>
  </w:style>
  <w:style w:type="character" w:customStyle="1" w:styleId="affd">
    <w:name w:val="Символ нумерации"/>
    <w:rsid w:val="008B13C0"/>
    <w:rPr>
      <w:rFonts w:ascii="Times New Roman" w:hAnsi="Times New Roman" w:cs="Times New Roman"/>
      <w:b w:val="0"/>
      <w:bCs w:val="0"/>
      <w:sz w:val="28"/>
      <w:szCs w:val="28"/>
    </w:rPr>
  </w:style>
  <w:style w:type="character" w:customStyle="1" w:styleId="1f0">
    <w:name w:val="Гиперссылка1"/>
    <w:rsid w:val="008B13C0"/>
    <w:rPr>
      <w:color w:val="0000FF"/>
      <w:u w:val="single"/>
    </w:rPr>
  </w:style>
  <w:style w:type="character" w:customStyle="1" w:styleId="WW8Num9z1">
    <w:name w:val="WW8Num9z1"/>
    <w:rsid w:val="008B13C0"/>
  </w:style>
  <w:style w:type="character" w:customStyle="1" w:styleId="WW8Num9z2">
    <w:name w:val="WW8Num9z2"/>
    <w:rsid w:val="008B13C0"/>
  </w:style>
  <w:style w:type="character" w:customStyle="1" w:styleId="WW8Num9z3">
    <w:name w:val="WW8Num9z3"/>
    <w:rsid w:val="008B13C0"/>
  </w:style>
  <w:style w:type="character" w:customStyle="1" w:styleId="WW8Num9z4">
    <w:name w:val="WW8Num9z4"/>
    <w:rsid w:val="008B13C0"/>
  </w:style>
  <w:style w:type="character" w:customStyle="1" w:styleId="WW8Num9z5">
    <w:name w:val="WW8Num9z5"/>
    <w:rsid w:val="008B13C0"/>
  </w:style>
  <w:style w:type="character" w:customStyle="1" w:styleId="WW8Num9z6">
    <w:name w:val="WW8Num9z6"/>
    <w:rsid w:val="008B13C0"/>
  </w:style>
  <w:style w:type="character" w:customStyle="1" w:styleId="WW8Num9z7">
    <w:name w:val="WW8Num9z7"/>
    <w:rsid w:val="008B13C0"/>
  </w:style>
  <w:style w:type="character" w:customStyle="1" w:styleId="WW8Num9z8">
    <w:name w:val="WW8Num9z8"/>
    <w:rsid w:val="008B13C0"/>
  </w:style>
  <w:style w:type="character" w:customStyle="1" w:styleId="WW8Num3z1">
    <w:name w:val="WW8Num3z1"/>
    <w:rsid w:val="008B13C0"/>
  </w:style>
  <w:style w:type="character" w:customStyle="1" w:styleId="WW8Num3z2">
    <w:name w:val="WW8Num3z2"/>
    <w:rsid w:val="008B13C0"/>
  </w:style>
  <w:style w:type="character" w:customStyle="1" w:styleId="WW8Num3z3">
    <w:name w:val="WW8Num3z3"/>
    <w:rsid w:val="008B13C0"/>
  </w:style>
  <w:style w:type="character" w:customStyle="1" w:styleId="WW8Num3z4">
    <w:name w:val="WW8Num3z4"/>
    <w:rsid w:val="008B13C0"/>
  </w:style>
  <w:style w:type="character" w:customStyle="1" w:styleId="WW8Num3z5">
    <w:name w:val="WW8Num3z5"/>
    <w:rsid w:val="008B13C0"/>
  </w:style>
  <w:style w:type="character" w:customStyle="1" w:styleId="WW8Num3z6">
    <w:name w:val="WW8Num3z6"/>
    <w:rsid w:val="008B13C0"/>
  </w:style>
  <w:style w:type="character" w:customStyle="1" w:styleId="WW8Num3z7">
    <w:name w:val="WW8Num3z7"/>
    <w:rsid w:val="008B13C0"/>
  </w:style>
  <w:style w:type="character" w:customStyle="1" w:styleId="WW8Num3z8">
    <w:name w:val="WW8Num3z8"/>
    <w:rsid w:val="008B13C0"/>
  </w:style>
  <w:style w:type="paragraph" w:customStyle="1" w:styleId="EndNoteBibliography">
    <w:name w:val="EndNote Bibliography"/>
    <w:basedOn w:val="a"/>
    <w:rsid w:val="008B13C0"/>
    <w:rPr>
      <w:rFonts w:eastAsia="SimSun" w:cs="Lucida Sans"/>
      <w:kern w:val="1"/>
      <w:lang w:bidi="hi-IN"/>
    </w:rPr>
  </w:style>
  <w:style w:type="character" w:customStyle="1" w:styleId="delimiter">
    <w:name w:val="delimiter"/>
    <w:rsid w:val="008B13C0"/>
  </w:style>
  <w:style w:type="character" w:customStyle="1" w:styleId="A70">
    <w:name w:val="A7"/>
    <w:uiPriority w:val="99"/>
    <w:rsid w:val="008B13C0"/>
    <w:rPr>
      <w:color w:val="000000"/>
      <w:sz w:val="14"/>
      <w:szCs w:val="14"/>
    </w:rPr>
  </w:style>
  <w:style w:type="character" w:customStyle="1" w:styleId="affe">
    <w:name w:val="_"/>
    <w:rsid w:val="008B13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677459">
      <w:bodyDiv w:val="1"/>
      <w:marLeft w:val="0"/>
      <w:marRight w:val="0"/>
      <w:marTop w:val="0"/>
      <w:marBottom w:val="0"/>
      <w:divBdr>
        <w:top w:val="none" w:sz="0" w:space="0" w:color="auto"/>
        <w:left w:val="none" w:sz="0" w:space="0" w:color="auto"/>
        <w:bottom w:val="none" w:sz="0" w:space="0" w:color="auto"/>
        <w:right w:val="none" w:sz="0" w:space="0" w:color="auto"/>
      </w:divBdr>
    </w:div>
    <w:div w:id="43063048">
      <w:bodyDiv w:val="1"/>
      <w:marLeft w:val="0"/>
      <w:marRight w:val="0"/>
      <w:marTop w:val="0"/>
      <w:marBottom w:val="0"/>
      <w:divBdr>
        <w:top w:val="none" w:sz="0" w:space="0" w:color="auto"/>
        <w:left w:val="none" w:sz="0" w:space="0" w:color="auto"/>
        <w:bottom w:val="none" w:sz="0" w:space="0" w:color="auto"/>
        <w:right w:val="none" w:sz="0" w:space="0" w:color="auto"/>
      </w:divBdr>
    </w:div>
    <w:div w:id="95836043">
      <w:bodyDiv w:val="1"/>
      <w:marLeft w:val="0"/>
      <w:marRight w:val="0"/>
      <w:marTop w:val="0"/>
      <w:marBottom w:val="0"/>
      <w:divBdr>
        <w:top w:val="none" w:sz="0" w:space="0" w:color="auto"/>
        <w:left w:val="none" w:sz="0" w:space="0" w:color="auto"/>
        <w:bottom w:val="none" w:sz="0" w:space="0" w:color="auto"/>
        <w:right w:val="none" w:sz="0" w:space="0" w:color="auto"/>
      </w:divBdr>
    </w:div>
    <w:div w:id="115760105">
      <w:bodyDiv w:val="1"/>
      <w:marLeft w:val="0"/>
      <w:marRight w:val="0"/>
      <w:marTop w:val="0"/>
      <w:marBottom w:val="0"/>
      <w:divBdr>
        <w:top w:val="none" w:sz="0" w:space="0" w:color="auto"/>
        <w:left w:val="none" w:sz="0" w:space="0" w:color="auto"/>
        <w:bottom w:val="none" w:sz="0" w:space="0" w:color="auto"/>
        <w:right w:val="none" w:sz="0" w:space="0" w:color="auto"/>
      </w:divBdr>
    </w:div>
    <w:div w:id="132020320">
      <w:bodyDiv w:val="1"/>
      <w:marLeft w:val="0"/>
      <w:marRight w:val="0"/>
      <w:marTop w:val="0"/>
      <w:marBottom w:val="0"/>
      <w:divBdr>
        <w:top w:val="none" w:sz="0" w:space="0" w:color="auto"/>
        <w:left w:val="none" w:sz="0" w:space="0" w:color="auto"/>
        <w:bottom w:val="none" w:sz="0" w:space="0" w:color="auto"/>
        <w:right w:val="none" w:sz="0" w:space="0" w:color="auto"/>
      </w:divBdr>
    </w:div>
    <w:div w:id="134491503">
      <w:bodyDiv w:val="1"/>
      <w:marLeft w:val="0"/>
      <w:marRight w:val="0"/>
      <w:marTop w:val="0"/>
      <w:marBottom w:val="0"/>
      <w:divBdr>
        <w:top w:val="none" w:sz="0" w:space="0" w:color="auto"/>
        <w:left w:val="none" w:sz="0" w:space="0" w:color="auto"/>
        <w:bottom w:val="none" w:sz="0" w:space="0" w:color="auto"/>
        <w:right w:val="none" w:sz="0" w:space="0" w:color="auto"/>
      </w:divBdr>
    </w:div>
    <w:div w:id="171801631">
      <w:bodyDiv w:val="1"/>
      <w:marLeft w:val="0"/>
      <w:marRight w:val="0"/>
      <w:marTop w:val="0"/>
      <w:marBottom w:val="0"/>
      <w:divBdr>
        <w:top w:val="none" w:sz="0" w:space="0" w:color="auto"/>
        <w:left w:val="none" w:sz="0" w:space="0" w:color="auto"/>
        <w:bottom w:val="none" w:sz="0" w:space="0" w:color="auto"/>
        <w:right w:val="none" w:sz="0" w:space="0" w:color="auto"/>
      </w:divBdr>
    </w:div>
    <w:div w:id="199172879">
      <w:bodyDiv w:val="1"/>
      <w:marLeft w:val="0"/>
      <w:marRight w:val="0"/>
      <w:marTop w:val="0"/>
      <w:marBottom w:val="0"/>
      <w:divBdr>
        <w:top w:val="none" w:sz="0" w:space="0" w:color="auto"/>
        <w:left w:val="none" w:sz="0" w:space="0" w:color="auto"/>
        <w:bottom w:val="none" w:sz="0" w:space="0" w:color="auto"/>
        <w:right w:val="none" w:sz="0" w:space="0" w:color="auto"/>
      </w:divBdr>
    </w:div>
    <w:div w:id="295725140">
      <w:bodyDiv w:val="1"/>
      <w:marLeft w:val="0"/>
      <w:marRight w:val="0"/>
      <w:marTop w:val="0"/>
      <w:marBottom w:val="0"/>
      <w:divBdr>
        <w:top w:val="none" w:sz="0" w:space="0" w:color="auto"/>
        <w:left w:val="none" w:sz="0" w:space="0" w:color="auto"/>
        <w:bottom w:val="none" w:sz="0" w:space="0" w:color="auto"/>
        <w:right w:val="none" w:sz="0" w:space="0" w:color="auto"/>
      </w:divBdr>
    </w:div>
    <w:div w:id="353724619">
      <w:bodyDiv w:val="1"/>
      <w:marLeft w:val="0"/>
      <w:marRight w:val="0"/>
      <w:marTop w:val="0"/>
      <w:marBottom w:val="0"/>
      <w:divBdr>
        <w:top w:val="none" w:sz="0" w:space="0" w:color="auto"/>
        <w:left w:val="none" w:sz="0" w:space="0" w:color="auto"/>
        <w:bottom w:val="none" w:sz="0" w:space="0" w:color="auto"/>
        <w:right w:val="none" w:sz="0" w:space="0" w:color="auto"/>
      </w:divBdr>
    </w:div>
    <w:div w:id="478621035">
      <w:bodyDiv w:val="1"/>
      <w:marLeft w:val="0"/>
      <w:marRight w:val="0"/>
      <w:marTop w:val="0"/>
      <w:marBottom w:val="0"/>
      <w:divBdr>
        <w:top w:val="none" w:sz="0" w:space="0" w:color="auto"/>
        <w:left w:val="none" w:sz="0" w:space="0" w:color="auto"/>
        <w:bottom w:val="none" w:sz="0" w:space="0" w:color="auto"/>
        <w:right w:val="none" w:sz="0" w:space="0" w:color="auto"/>
      </w:divBdr>
    </w:div>
    <w:div w:id="521746491">
      <w:bodyDiv w:val="1"/>
      <w:marLeft w:val="0"/>
      <w:marRight w:val="0"/>
      <w:marTop w:val="0"/>
      <w:marBottom w:val="0"/>
      <w:divBdr>
        <w:top w:val="none" w:sz="0" w:space="0" w:color="auto"/>
        <w:left w:val="none" w:sz="0" w:space="0" w:color="auto"/>
        <w:bottom w:val="none" w:sz="0" w:space="0" w:color="auto"/>
        <w:right w:val="none" w:sz="0" w:space="0" w:color="auto"/>
      </w:divBdr>
    </w:div>
    <w:div w:id="534271144">
      <w:bodyDiv w:val="1"/>
      <w:marLeft w:val="0"/>
      <w:marRight w:val="0"/>
      <w:marTop w:val="0"/>
      <w:marBottom w:val="0"/>
      <w:divBdr>
        <w:top w:val="none" w:sz="0" w:space="0" w:color="auto"/>
        <w:left w:val="none" w:sz="0" w:space="0" w:color="auto"/>
        <w:bottom w:val="none" w:sz="0" w:space="0" w:color="auto"/>
        <w:right w:val="none" w:sz="0" w:space="0" w:color="auto"/>
      </w:divBdr>
    </w:div>
    <w:div w:id="631406383">
      <w:bodyDiv w:val="1"/>
      <w:marLeft w:val="0"/>
      <w:marRight w:val="0"/>
      <w:marTop w:val="0"/>
      <w:marBottom w:val="0"/>
      <w:divBdr>
        <w:top w:val="none" w:sz="0" w:space="0" w:color="auto"/>
        <w:left w:val="none" w:sz="0" w:space="0" w:color="auto"/>
        <w:bottom w:val="none" w:sz="0" w:space="0" w:color="auto"/>
        <w:right w:val="none" w:sz="0" w:space="0" w:color="auto"/>
      </w:divBdr>
    </w:div>
    <w:div w:id="690373112">
      <w:bodyDiv w:val="1"/>
      <w:marLeft w:val="0"/>
      <w:marRight w:val="0"/>
      <w:marTop w:val="0"/>
      <w:marBottom w:val="0"/>
      <w:divBdr>
        <w:top w:val="none" w:sz="0" w:space="0" w:color="auto"/>
        <w:left w:val="none" w:sz="0" w:space="0" w:color="auto"/>
        <w:bottom w:val="none" w:sz="0" w:space="0" w:color="auto"/>
        <w:right w:val="none" w:sz="0" w:space="0" w:color="auto"/>
      </w:divBdr>
    </w:div>
    <w:div w:id="698510518">
      <w:bodyDiv w:val="1"/>
      <w:marLeft w:val="0"/>
      <w:marRight w:val="0"/>
      <w:marTop w:val="0"/>
      <w:marBottom w:val="0"/>
      <w:divBdr>
        <w:top w:val="none" w:sz="0" w:space="0" w:color="auto"/>
        <w:left w:val="none" w:sz="0" w:space="0" w:color="auto"/>
        <w:bottom w:val="none" w:sz="0" w:space="0" w:color="auto"/>
        <w:right w:val="none" w:sz="0" w:space="0" w:color="auto"/>
      </w:divBdr>
    </w:div>
    <w:div w:id="756513109">
      <w:bodyDiv w:val="1"/>
      <w:marLeft w:val="0"/>
      <w:marRight w:val="0"/>
      <w:marTop w:val="0"/>
      <w:marBottom w:val="0"/>
      <w:divBdr>
        <w:top w:val="none" w:sz="0" w:space="0" w:color="auto"/>
        <w:left w:val="none" w:sz="0" w:space="0" w:color="auto"/>
        <w:bottom w:val="none" w:sz="0" w:space="0" w:color="auto"/>
        <w:right w:val="none" w:sz="0" w:space="0" w:color="auto"/>
      </w:divBdr>
    </w:div>
    <w:div w:id="900139968">
      <w:bodyDiv w:val="1"/>
      <w:marLeft w:val="0"/>
      <w:marRight w:val="0"/>
      <w:marTop w:val="0"/>
      <w:marBottom w:val="0"/>
      <w:divBdr>
        <w:top w:val="none" w:sz="0" w:space="0" w:color="auto"/>
        <w:left w:val="none" w:sz="0" w:space="0" w:color="auto"/>
        <w:bottom w:val="none" w:sz="0" w:space="0" w:color="auto"/>
        <w:right w:val="none" w:sz="0" w:space="0" w:color="auto"/>
      </w:divBdr>
    </w:div>
    <w:div w:id="941494451">
      <w:bodyDiv w:val="1"/>
      <w:marLeft w:val="0"/>
      <w:marRight w:val="0"/>
      <w:marTop w:val="0"/>
      <w:marBottom w:val="0"/>
      <w:divBdr>
        <w:top w:val="none" w:sz="0" w:space="0" w:color="auto"/>
        <w:left w:val="none" w:sz="0" w:space="0" w:color="auto"/>
        <w:bottom w:val="none" w:sz="0" w:space="0" w:color="auto"/>
        <w:right w:val="none" w:sz="0" w:space="0" w:color="auto"/>
      </w:divBdr>
    </w:div>
    <w:div w:id="1066491940">
      <w:bodyDiv w:val="1"/>
      <w:marLeft w:val="0"/>
      <w:marRight w:val="0"/>
      <w:marTop w:val="0"/>
      <w:marBottom w:val="0"/>
      <w:divBdr>
        <w:top w:val="none" w:sz="0" w:space="0" w:color="auto"/>
        <w:left w:val="none" w:sz="0" w:space="0" w:color="auto"/>
        <w:bottom w:val="none" w:sz="0" w:space="0" w:color="auto"/>
        <w:right w:val="none" w:sz="0" w:space="0" w:color="auto"/>
      </w:divBdr>
    </w:div>
    <w:div w:id="1087077942">
      <w:bodyDiv w:val="1"/>
      <w:marLeft w:val="0"/>
      <w:marRight w:val="0"/>
      <w:marTop w:val="0"/>
      <w:marBottom w:val="0"/>
      <w:divBdr>
        <w:top w:val="none" w:sz="0" w:space="0" w:color="auto"/>
        <w:left w:val="none" w:sz="0" w:space="0" w:color="auto"/>
        <w:bottom w:val="none" w:sz="0" w:space="0" w:color="auto"/>
        <w:right w:val="none" w:sz="0" w:space="0" w:color="auto"/>
      </w:divBdr>
    </w:div>
    <w:div w:id="1095633213">
      <w:bodyDiv w:val="1"/>
      <w:marLeft w:val="0"/>
      <w:marRight w:val="0"/>
      <w:marTop w:val="0"/>
      <w:marBottom w:val="0"/>
      <w:divBdr>
        <w:top w:val="none" w:sz="0" w:space="0" w:color="auto"/>
        <w:left w:val="none" w:sz="0" w:space="0" w:color="auto"/>
        <w:bottom w:val="none" w:sz="0" w:space="0" w:color="auto"/>
        <w:right w:val="none" w:sz="0" w:space="0" w:color="auto"/>
      </w:divBdr>
    </w:div>
    <w:div w:id="1135021701">
      <w:bodyDiv w:val="1"/>
      <w:marLeft w:val="0"/>
      <w:marRight w:val="0"/>
      <w:marTop w:val="0"/>
      <w:marBottom w:val="0"/>
      <w:divBdr>
        <w:top w:val="none" w:sz="0" w:space="0" w:color="auto"/>
        <w:left w:val="none" w:sz="0" w:space="0" w:color="auto"/>
        <w:bottom w:val="none" w:sz="0" w:space="0" w:color="auto"/>
        <w:right w:val="none" w:sz="0" w:space="0" w:color="auto"/>
      </w:divBdr>
    </w:div>
    <w:div w:id="1198541207">
      <w:bodyDiv w:val="1"/>
      <w:marLeft w:val="0"/>
      <w:marRight w:val="0"/>
      <w:marTop w:val="0"/>
      <w:marBottom w:val="0"/>
      <w:divBdr>
        <w:top w:val="none" w:sz="0" w:space="0" w:color="auto"/>
        <w:left w:val="none" w:sz="0" w:space="0" w:color="auto"/>
        <w:bottom w:val="none" w:sz="0" w:space="0" w:color="auto"/>
        <w:right w:val="none" w:sz="0" w:space="0" w:color="auto"/>
      </w:divBdr>
    </w:div>
    <w:div w:id="1211382470">
      <w:bodyDiv w:val="1"/>
      <w:marLeft w:val="0"/>
      <w:marRight w:val="0"/>
      <w:marTop w:val="0"/>
      <w:marBottom w:val="0"/>
      <w:divBdr>
        <w:top w:val="none" w:sz="0" w:space="0" w:color="auto"/>
        <w:left w:val="none" w:sz="0" w:space="0" w:color="auto"/>
        <w:bottom w:val="none" w:sz="0" w:space="0" w:color="auto"/>
        <w:right w:val="none" w:sz="0" w:space="0" w:color="auto"/>
      </w:divBdr>
    </w:div>
    <w:div w:id="1237129028">
      <w:bodyDiv w:val="1"/>
      <w:marLeft w:val="0"/>
      <w:marRight w:val="0"/>
      <w:marTop w:val="0"/>
      <w:marBottom w:val="0"/>
      <w:divBdr>
        <w:top w:val="none" w:sz="0" w:space="0" w:color="auto"/>
        <w:left w:val="none" w:sz="0" w:space="0" w:color="auto"/>
        <w:bottom w:val="none" w:sz="0" w:space="0" w:color="auto"/>
        <w:right w:val="none" w:sz="0" w:space="0" w:color="auto"/>
      </w:divBdr>
    </w:div>
    <w:div w:id="1314527190">
      <w:bodyDiv w:val="1"/>
      <w:marLeft w:val="0"/>
      <w:marRight w:val="0"/>
      <w:marTop w:val="0"/>
      <w:marBottom w:val="0"/>
      <w:divBdr>
        <w:top w:val="none" w:sz="0" w:space="0" w:color="auto"/>
        <w:left w:val="none" w:sz="0" w:space="0" w:color="auto"/>
        <w:bottom w:val="none" w:sz="0" w:space="0" w:color="auto"/>
        <w:right w:val="none" w:sz="0" w:space="0" w:color="auto"/>
      </w:divBdr>
    </w:div>
    <w:div w:id="1339772725">
      <w:bodyDiv w:val="1"/>
      <w:marLeft w:val="0"/>
      <w:marRight w:val="0"/>
      <w:marTop w:val="0"/>
      <w:marBottom w:val="0"/>
      <w:divBdr>
        <w:top w:val="none" w:sz="0" w:space="0" w:color="auto"/>
        <w:left w:val="none" w:sz="0" w:space="0" w:color="auto"/>
        <w:bottom w:val="none" w:sz="0" w:space="0" w:color="auto"/>
        <w:right w:val="none" w:sz="0" w:space="0" w:color="auto"/>
      </w:divBdr>
    </w:div>
    <w:div w:id="1348754040">
      <w:bodyDiv w:val="1"/>
      <w:marLeft w:val="0"/>
      <w:marRight w:val="0"/>
      <w:marTop w:val="0"/>
      <w:marBottom w:val="0"/>
      <w:divBdr>
        <w:top w:val="none" w:sz="0" w:space="0" w:color="auto"/>
        <w:left w:val="none" w:sz="0" w:space="0" w:color="auto"/>
        <w:bottom w:val="none" w:sz="0" w:space="0" w:color="auto"/>
        <w:right w:val="none" w:sz="0" w:space="0" w:color="auto"/>
      </w:divBdr>
    </w:div>
    <w:div w:id="1350840320">
      <w:bodyDiv w:val="1"/>
      <w:marLeft w:val="0"/>
      <w:marRight w:val="0"/>
      <w:marTop w:val="0"/>
      <w:marBottom w:val="0"/>
      <w:divBdr>
        <w:top w:val="none" w:sz="0" w:space="0" w:color="auto"/>
        <w:left w:val="none" w:sz="0" w:space="0" w:color="auto"/>
        <w:bottom w:val="none" w:sz="0" w:space="0" w:color="auto"/>
        <w:right w:val="none" w:sz="0" w:space="0" w:color="auto"/>
      </w:divBdr>
    </w:div>
    <w:div w:id="1417748198">
      <w:bodyDiv w:val="1"/>
      <w:marLeft w:val="0"/>
      <w:marRight w:val="0"/>
      <w:marTop w:val="0"/>
      <w:marBottom w:val="0"/>
      <w:divBdr>
        <w:top w:val="none" w:sz="0" w:space="0" w:color="auto"/>
        <w:left w:val="none" w:sz="0" w:space="0" w:color="auto"/>
        <w:bottom w:val="none" w:sz="0" w:space="0" w:color="auto"/>
        <w:right w:val="none" w:sz="0" w:space="0" w:color="auto"/>
      </w:divBdr>
    </w:div>
    <w:div w:id="1489515591">
      <w:bodyDiv w:val="1"/>
      <w:marLeft w:val="0"/>
      <w:marRight w:val="0"/>
      <w:marTop w:val="0"/>
      <w:marBottom w:val="0"/>
      <w:divBdr>
        <w:top w:val="none" w:sz="0" w:space="0" w:color="auto"/>
        <w:left w:val="none" w:sz="0" w:space="0" w:color="auto"/>
        <w:bottom w:val="none" w:sz="0" w:space="0" w:color="auto"/>
        <w:right w:val="none" w:sz="0" w:space="0" w:color="auto"/>
      </w:divBdr>
    </w:div>
    <w:div w:id="1499149044">
      <w:bodyDiv w:val="1"/>
      <w:marLeft w:val="0"/>
      <w:marRight w:val="0"/>
      <w:marTop w:val="0"/>
      <w:marBottom w:val="0"/>
      <w:divBdr>
        <w:top w:val="none" w:sz="0" w:space="0" w:color="auto"/>
        <w:left w:val="none" w:sz="0" w:space="0" w:color="auto"/>
        <w:bottom w:val="none" w:sz="0" w:space="0" w:color="auto"/>
        <w:right w:val="none" w:sz="0" w:space="0" w:color="auto"/>
      </w:divBdr>
    </w:div>
    <w:div w:id="1508208605">
      <w:bodyDiv w:val="1"/>
      <w:marLeft w:val="0"/>
      <w:marRight w:val="0"/>
      <w:marTop w:val="0"/>
      <w:marBottom w:val="0"/>
      <w:divBdr>
        <w:top w:val="none" w:sz="0" w:space="0" w:color="auto"/>
        <w:left w:val="none" w:sz="0" w:space="0" w:color="auto"/>
        <w:bottom w:val="none" w:sz="0" w:space="0" w:color="auto"/>
        <w:right w:val="none" w:sz="0" w:space="0" w:color="auto"/>
      </w:divBdr>
    </w:div>
    <w:div w:id="1553074087">
      <w:bodyDiv w:val="1"/>
      <w:marLeft w:val="0"/>
      <w:marRight w:val="0"/>
      <w:marTop w:val="0"/>
      <w:marBottom w:val="0"/>
      <w:divBdr>
        <w:top w:val="none" w:sz="0" w:space="0" w:color="auto"/>
        <w:left w:val="none" w:sz="0" w:space="0" w:color="auto"/>
        <w:bottom w:val="none" w:sz="0" w:space="0" w:color="auto"/>
        <w:right w:val="none" w:sz="0" w:space="0" w:color="auto"/>
      </w:divBdr>
    </w:div>
    <w:div w:id="1567377846">
      <w:bodyDiv w:val="1"/>
      <w:marLeft w:val="0"/>
      <w:marRight w:val="0"/>
      <w:marTop w:val="0"/>
      <w:marBottom w:val="0"/>
      <w:divBdr>
        <w:top w:val="none" w:sz="0" w:space="0" w:color="auto"/>
        <w:left w:val="none" w:sz="0" w:space="0" w:color="auto"/>
        <w:bottom w:val="none" w:sz="0" w:space="0" w:color="auto"/>
        <w:right w:val="none" w:sz="0" w:space="0" w:color="auto"/>
      </w:divBdr>
    </w:div>
    <w:div w:id="1586569274">
      <w:bodyDiv w:val="1"/>
      <w:marLeft w:val="0"/>
      <w:marRight w:val="0"/>
      <w:marTop w:val="0"/>
      <w:marBottom w:val="0"/>
      <w:divBdr>
        <w:top w:val="none" w:sz="0" w:space="0" w:color="auto"/>
        <w:left w:val="none" w:sz="0" w:space="0" w:color="auto"/>
        <w:bottom w:val="none" w:sz="0" w:space="0" w:color="auto"/>
        <w:right w:val="none" w:sz="0" w:space="0" w:color="auto"/>
      </w:divBdr>
    </w:div>
    <w:div w:id="1607039889">
      <w:bodyDiv w:val="1"/>
      <w:marLeft w:val="0"/>
      <w:marRight w:val="0"/>
      <w:marTop w:val="0"/>
      <w:marBottom w:val="0"/>
      <w:divBdr>
        <w:top w:val="none" w:sz="0" w:space="0" w:color="auto"/>
        <w:left w:val="none" w:sz="0" w:space="0" w:color="auto"/>
        <w:bottom w:val="none" w:sz="0" w:space="0" w:color="auto"/>
        <w:right w:val="none" w:sz="0" w:space="0" w:color="auto"/>
      </w:divBdr>
    </w:div>
    <w:div w:id="1656834872">
      <w:bodyDiv w:val="1"/>
      <w:marLeft w:val="0"/>
      <w:marRight w:val="0"/>
      <w:marTop w:val="0"/>
      <w:marBottom w:val="0"/>
      <w:divBdr>
        <w:top w:val="none" w:sz="0" w:space="0" w:color="auto"/>
        <w:left w:val="none" w:sz="0" w:space="0" w:color="auto"/>
        <w:bottom w:val="none" w:sz="0" w:space="0" w:color="auto"/>
        <w:right w:val="none" w:sz="0" w:space="0" w:color="auto"/>
      </w:divBdr>
    </w:div>
    <w:div w:id="1662267485">
      <w:bodyDiv w:val="1"/>
      <w:marLeft w:val="0"/>
      <w:marRight w:val="0"/>
      <w:marTop w:val="0"/>
      <w:marBottom w:val="0"/>
      <w:divBdr>
        <w:top w:val="none" w:sz="0" w:space="0" w:color="auto"/>
        <w:left w:val="none" w:sz="0" w:space="0" w:color="auto"/>
        <w:bottom w:val="none" w:sz="0" w:space="0" w:color="auto"/>
        <w:right w:val="none" w:sz="0" w:space="0" w:color="auto"/>
      </w:divBdr>
    </w:div>
    <w:div w:id="1671980197">
      <w:bodyDiv w:val="1"/>
      <w:marLeft w:val="0"/>
      <w:marRight w:val="0"/>
      <w:marTop w:val="0"/>
      <w:marBottom w:val="0"/>
      <w:divBdr>
        <w:top w:val="none" w:sz="0" w:space="0" w:color="auto"/>
        <w:left w:val="none" w:sz="0" w:space="0" w:color="auto"/>
        <w:bottom w:val="none" w:sz="0" w:space="0" w:color="auto"/>
        <w:right w:val="none" w:sz="0" w:space="0" w:color="auto"/>
      </w:divBdr>
    </w:div>
    <w:div w:id="1672440397">
      <w:bodyDiv w:val="1"/>
      <w:marLeft w:val="0"/>
      <w:marRight w:val="0"/>
      <w:marTop w:val="0"/>
      <w:marBottom w:val="0"/>
      <w:divBdr>
        <w:top w:val="none" w:sz="0" w:space="0" w:color="auto"/>
        <w:left w:val="none" w:sz="0" w:space="0" w:color="auto"/>
        <w:bottom w:val="none" w:sz="0" w:space="0" w:color="auto"/>
        <w:right w:val="none" w:sz="0" w:space="0" w:color="auto"/>
      </w:divBdr>
    </w:div>
    <w:div w:id="1701008169">
      <w:bodyDiv w:val="1"/>
      <w:marLeft w:val="0"/>
      <w:marRight w:val="0"/>
      <w:marTop w:val="0"/>
      <w:marBottom w:val="0"/>
      <w:divBdr>
        <w:top w:val="none" w:sz="0" w:space="0" w:color="auto"/>
        <w:left w:val="none" w:sz="0" w:space="0" w:color="auto"/>
        <w:bottom w:val="none" w:sz="0" w:space="0" w:color="auto"/>
        <w:right w:val="none" w:sz="0" w:space="0" w:color="auto"/>
      </w:divBdr>
    </w:div>
    <w:div w:id="1736901778">
      <w:bodyDiv w:val="1"/>
      <w:marLeft w:val="0"/>
      <w:marRight w:val="0"/>
      <w:marTop w:val="0"/>
      <w:marBottom w:val="0"/>
      <w:divBdr>
        <w:top w:val="none" w:sz="0" w:space="0" w:color="auto"/>
        <w:left w:val="none" w:sz="0" w:space="0" w:color="auto"/>
        <w:bottom w:val="none" w:sz="0" w:space="0" w:color="auto"/>
        <w:right w:val="none" w:sz="0" w:space="0" w:color="auto"/>
      </w:divBdr>
    </w:div>
    <w:div w:id="1852647796">
      <w:bodyDiv w:val="1"/>
      <w:marLeft w:val="0"/>
      <w:marRight w:val="0"/>
      <w:marTop w:val="0"/>
      <w:marBottom w:val="0"/>
      <w:divBdr>
        <w:top w:val="none" w:sz="0" w:space="0" w:color="auto"/>
        <w:left w:val="none" w:sz="0" w:space="0" w:color="auto"/>
        <w:bottom w:val="none" w:sz="0" w:space="0" w:color="auto"/>
        <w:right w:val="none" w:sz="0" w:space="0" w:color="auto"/>
      </w:divBdr>
    </w:div>
    <w:div w:id="1873496119">
      <w:bodyDiv w:val="1"/>
      <w:marLeft w:val="0"/>
      <w:marRight w:val="0"/>
      <w:marTop w:val="0"/>
      <w:marBottom w:val="0"/>
      <w:divBdr>
        <w:top w:val="none" w:sz="0" w:space="0" w:color="auto"/>
        <w:left w:val="none" w:sz="0" w:space="0" w:color="auto"/>
        <w:bottom w:val="none" w:sz="0" w:space="0" w:color="auto"/>
        <w:right w:val="none" w:sz="0" w:space="0" w:color="auto"/>
      </w:divBdr>
    </w:div>
    <w:div w:id="1924218359">
      <w:bodyDiv w:val="1"/>
      <w:marLeft w:val="0"/>
      <w:marRight w:val="0"/>
      <w:marTop w:val="0"/>
      <w:marBottom w:val="0"/>
      <w:divBdr>
        <w:top w:val="none" w:sz="0" w:space="0" w:color="auto"/>
        <w:left w:val="none" w:sz="0" w:space="0" w:color="auto"/>
        <w:bottom w:val="none" w:sz="0" w:space="0" w:color="auto"/>
        <w:right w:val="none" w:sz="0" w:space="0" w:color="auto"/>
      </w:divBdr>
    </w:div>
    <w:div w:id="2027169781">
      <w:bodyDiv w:val="1"/>
      <w:marLeft w:val="0"/>
      <w:marRight w:val="0"/>
      <w:marTop w:val="0"/>
      <w:marBottom w:val="0"/>
      <w:divBdr>
        <w:top w:val="none" w:sz="0" w:space="0" w:color="auto"/>
        <w:left w:val="none" w:sz="0" w:space="0" w:color="auto"/>
        <w:bottom w:val="none" w:sz="0" w:space="0" w:color="auto"/>
        <w:right w:val="none" w:sz="0" w:space="0" w:color="auto"/>
      </w:divBdr>
    </w:div>
    <w:div w:id="2057850918">
      <w:bodyDiv w:val="1"/>
      <w:marLeft w:val="0"/>
      <w:marRight w:val="0"/>
      <w:marTop w:val="0"/>
      <w:marBottom w:val="0"/>
      <w:divBdr>
        <w:top w:val="none" w:sz="0" w:space="0" w:color="auto"/>
        <w:left w:val="none" w:sz="0" w:space="0" w:color="auto"/>
        <w:bottom w:val="none" w:sz="0" w:space="0" w:color="auto"/>
        <w:right w:val="none" w:sz="0" w:space="0" w:color="auto"/>
      </w:divBdr>
    </w:div>
    <w:div w:id="2073842952">
      <w:bodyDiv w:val="1"/>
      <w:marLeft w:val="0"/>
      <w:marRight w:val="0"/>
      <w:marTop w:val="0"/>
      <w:marBottom w:val="0"/>
      <w:divBdr>
        <w:top w:val="none" w:sz="0" w:space="0" w:color="auto"/>
        <w:left w:val="none" w:sz="0" w:space="0" w:color="auto"/>
        <w:bottom w:val="none" w:sz="0" w:space="0" w:color="auto"/>
        <w:right w:val="none" w:sz="0" w:space="0" w:color="auto"/>
      </w:divBdr>
    </w:div>
    <w:div w:id="2081295094">
      <w:bodyDiv w:val="1"/>
      <w:marLeft w:val="0"/>
      <w:marRight w:val="0"/>
      <w:marTop w:val="0"/>
      <w:marBottom w:val="0"/>
      <w:divBdr>
        <w:top w:val="none" w:sz="0" w:space="0" w:color="auto"/>
        <w:left w:val="none" w:sz="0" w:space="0" w:color="auto"/>
        <w:bottom w:val="none" w:sz="0" w:space="0" w:color="auto"/>
        <w:right w:val="none" w:sz="0" w:space="0" w:color="auto"/>
      </w:divBdr>
    </w:div>
    <w:div w:id="2102408561">
      <w:bodyDiv w:val="1"/>
      <w:marLeft w:val="0"/>
      <w:marRight w:val="0"/>
      <w:marTop w:val="0"/>
      <w:marBottom w:val="0"/>
      <w:divBdr>
        <w:top w:val="none" w:sz="0" w:space="0" w:color="auto"/>
        <w:left w:val="none" w:sz="0" w:space="0" w:color="auto"/>
        <w:bottom w:val="none" w:sz="0" w:space="0" w:color="auto"/>
        <w:right w:val="none" w:sz="0" w:space="0" w:color="auto"/>
      </w:divBdr>
    </w:div>
    <w:div w:id="2105296403">
      <w:bodyDiv w:val="1"/>
      <w:marLeft w:val="0"/>
      <w:marRight w:val="0"/>
      <w:marTop w:val="0"/>
      <w:marBottom w:val="0"/>
      <w:divBdr>
        <w:top w:val="none" w:sz="0" w:space="0" w:color="auto"/>
        <w:left w:val="none" w:sz="0" w:space="0" w:color="auto"/>
        <w:bottom w:val="none" w:sz="0" w:space="0" w:color="auto"/>
        <w:right w:val="none" w:sz="0" w:space="0" w:color="auto"/>
      </w:divBdr>
    </w:div>
    <w:div w:id="2119253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92"/>
</w:webSettings>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4.jpg"/><Relationship Id="rId42" Type="http://schemas.openxmlformats.org/officeDocument/2006/relationships/image" Target="media/image35.jpg"/><Relationship Id="rId63" Type="http://schemas.openxmlformats.org/officeDocument/2006/relationships/image" Target="media/image56.wmf"/><Relationship Id="rId84" Type="http://schemas.openxmlformats.org/officeDocument/2006/relationships/image" Target="media/image77.jpg"/><Relationship Id="rId138" Type="http://schemas.openxmlformats.org/officeDocument/2006/relationships/image" Target="media/image129.jpg"/><Relationship Id="rId159" Type="http://schemas.openxmlformats.org/officeDocument/2006/relationships/footer" Target="footer1.xml"/><Relationship Id="rId107" Type="http://schemas.openxmlformats.org/officeDocument/2006/relationships/image" Target="media/image100.jpg"/><Relationship Id="rId11" Type="http://schemas.openxmlformats.org/officeDocument/2006/relationships/image" Target="media/image4.jpg"/><Relationship Id="rId32" Type="http://schemas.openxmlformats.org/officeDocument/2006/relationships/image" Target="media/image25.jpg"/><Relationship Id="rId53" Type="http://schemas.openxmlformats.org/officeDocument/2006/relationships/image" Target="media/image46.jpg"/><Relationship Id="rId74" Type="http://schemas.openxmlformats.org/officeDocument/2006/relationships/image" Target="media/image67.wmf"/><Relationship Id="rId128" Type="http://schemas.openxmlformats.org/officeDocument/2006/relationships/image" Target="media/image119.jpg"/><Relationship Id="rId149" Type="http://schemas.openxmlformats.org/officeDocument/2006/relationships/image" Target="media/image140.jpg"/><Relationship Id="rId5" Type="http://schemas.openxmlformats.org/officeDocument/2006/relationships/webSettings" Target="webSettings.xml"/><Relationship Id="rId95" Type="http://schemas.openxmlformats.org/officeDocument/2006/relationships/image" Target="media/image88.jpg"/><Relationship Id="rId160" Type="http://schemas.openxmlformats.org/officeDocument/2006/relationships/footer" Target="footer2.xml"/><Relationship Id="rId22" Type="http://schemas.openxmlformats.org/officeDocument/2006/relationships/image" Target="media/image15.jpg"/><Relationship Id="rId43" Type="http://schemas.openxmlformats.org/officeDocument/2006/relationships/image" Target="media/image36.jpg"/><Relationship Id="rId64" Type="http://schemas.openxmlformats.org/officeDocument/2006/relationships/image" Target="media/image57.wmf"/><Relationship Id="rId118" Type="http://schemas.openxmlformats.org/officeDocument/2006/relationships/image" Target="media/image109.jpg"/><Relationship Id="rId139" Type="http://schemas.openxmlformats.org/officeDocument/2006/relationships/image" Target="media/image130.jpg"/><Relationship Id="rId85" Type="http://schemas.openxmlformats.org/officeDocument/2006/relationships/image" Target="media/image78.jpg"/><Relationship Id="rId150" Type="http://schemas.openxmlformats.org/officeDocument/2006/relationships/image" Target="media/image141.jpg"/><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08" Type="http://schemas.openxmlformats.org/officeDocument/2006/relationships/image" Target="media/image101.jpg"/><Relationship Id="rId124" Type="http://schemas.openxmlformats.org/officeDocument/2006/relationships/image" Target="media/image115.jpg"/><Relationship Id="rId129" Type="http://schemas.openxmlformats.org/officeDocument/2006/relationships/image" Target="media/image120.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g"/><Relationship Id="rId96" Type="http://schemas.openxmlformats.org/officeDocument/2006/relationships/image" Target="media/image89.jpg"/><Relationship Id="rId140" Type="http://schemas.openxmlformats.org/officeDocument/2006/relationships/image" Target="media/image131.jpg"/><Relationship Id="rId145" Type="http://schemas.openxmlformats.org/officeDocument/2006/relationships/image" Target="media/image136.jpg"/><Relationship Id="rId16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5.jpg"/><Relationship Id="rId119" Type="http://schemas.openxmlformats.org/officeDocument/2006/relationships/image" Target="media/image110.jp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wmf"/><Relationship Id="rId81" Type="http://schemas.openxmlformats.org/officeDocument/2006/relationships/image" Target="media/image74.jpg"/><Relationship Id="rId86" Type="http://schemas.openxmlformats.org/officeDocument/2006/relationships/image" Target="media/image79.jpg"/><Relationship Id="rId130" Type="http://schemas.openxmlformats.org/officeDocument/2006/relationships/image" Target="media/image121.jpg"/><Relationship Id="rId135" Type="http://schemas.openxmlformats.org/officeDocument/2006/relationships/image" Target="media/image126.jpg"/><Relationship Id="rId151" Type="http://schemas.openxmlformats.org/officeDocument/2006/relationships/image" Target="media/image142.jpg"/><Relationship Id="rId156" Type="http://schemas.openxmlformats.org/officeDocument/2006/relationships/image" Target="media/image147.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hyperlink" Target="http://www.ukrstat.gov.ua" TargetMode="External"/><Relationship Id="rId34" Type="http://schemas.openxmlformats.org/officeDocument/2006/relationships/image" Target="media/image27.jpg"/><Relationship Id="rId50" Type="http://schemas.openxmlformats.org/officeDocument/2006/relationships/image" Target="media/image43.pn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image" Target="media/image111.jpg"/><Relationship Id="rId125" Type="http://schemas.openxmlformats.org/officeDocument/2006/relationships/image" Target="media/image116.jpg"/><Relationship Id="rId141" Type="http://schemas.openxmlformats.org/officeDocument/2006/relationships/image" Target="media/image132.jpg"/><Relationship Id="rId146" Type="http://schemas.openxmlformats.org/officeDocument/2006/relationships/image" Target="media/image137.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16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wmf"/><Relationship Id="rId87" Type="http://schemas.openxmlformats.org/officeDocument/2006/relationships/image" Target="media/image80.jpg"/><Relationship Id="rId110" Type="http://schemas.openxmlformats.org/officeDocument/2006/relationships/hyperlink" Target="https://www.dec.gov.ua/wp-content/uploads/2019/11/akn_osteo.pdf" TargetMode="External"/><Relationship Id="rId115" Type="http://schemas.openxmlformats.org/officeDocument/2006/relationships/image" Target="media/image106.jpg"/><Relationship Id="rId131" Type="http://schemas.openxmlformats.org/officeDocument/2006/relationships/image" Target="media/image122.jpg"/><Relationship Id="rId136" Type="http://schemas.openxmlformats.org/officeDocument/2006/relationships/image" Target="media/image127.jpg"/><Relationship Id="rId157" Type="http://schemas.openxmlformats.org/officeDocument/2006/relationships/header" Target="header1.xml"/><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image" Target="media/image143.jp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7.jpg"/><Relationship Id="rId147" Type="http://schemas.openxmlformats.org/officeDocument/2006/relationships/image" Target="media/image138.jpg"/><Relationship Id="rId8" Type="http://schemas.openxmlformats.org/officeDocument/2006/relationships/image" Target="media/image1.jpeg"/><Relationship Id="rId51" Type="http://schemas.openxmlformats.org/officeDocument/2006/relationships/image" Target="media/image44.jpg"/><Relationship Id="rId72" Type="http://schemas.openxmlformats.org/officeDocument/2006/relationships/image" Target="media/image65.wmf"/><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2.jpg"/><Relationship Id="rId142" Type="http://schemas.openxmlformats.org/officeDocument/2006/relationships/image" Target="media/image133.jp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wmf"/><Relationship Id="rId116" Type="http://schemas.openxmlformats.org/officeDocument/2006/relationships/image" Target="media/image107.jpg"/><Relationship Id="rId137" Type="http://schemas.openxmlformats.org/officeDocument/2006/relationships/image" Target="media/image128.jpg"/><Relationship Id="rId158" Type="http://schemas.openxmlformats.org/officeDocument/2006/relationships/header" Target="header2.xml"/><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2.jpg"/><Relationship Id="rId132" Type="http://schemas.openxmlformats.org/officeDocument/2006/relationships/image" Target="media/image123.jpg"/><Relationship Id="rId153" Type="http://schemas.openxmlformats.org/officeDocument/2006/relationships/image" Target="media/image144.jpg"/><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18.jpg"/><Relationship Id="rId10" Type="http://schemas.openxmlformats.org/officeDocument/2006/relationships/image" Target="media/image3.jp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wmf"/><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3.jpg"/><Relationship Id="rId143" Type="http://schemas.openxmlformats.org/officeDocument/2006/relationships/image" Target="media/image134.jpg"/><Relationship Id="rId148" Type="http://schemas.openxmlformats.org/officeDocument/2006/relationships/image" Target="media/image139.jp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9.jpg"/><Relationship Id="rId47" Type="http://schemas.openxmlformats.org/officeDocument/2006/relationships/image" Target="media/image40.jpg"/><Relationship Id="rId68" Type="http://schemas.openxmlformats.org/officeDocument/2006/relationships/image" Target="media/image61.wmf"/><Relationship Id="rId89" Type="http://schemas.openxmlformats.org/officeDocument/2006/relationships/image" Target="media/image82.jpg"/><Relationship Id="rId112" Type="http://schemas.openxmlformats.org/officeDocument/2006/relationships/image" Target="media/image103.jpg"/><Relationship Id="rId133" Type="http://schemas.openxmlformats.org/officeDocument/2006/relationships/image" Target="media/image124.jpg"/><Relationship Id="rId154" Type="http://schemas.openxmlformats.org/officeDocument/2006/relationships/image" Target="media/image145.jpg"/><Relationship Id="rId16" Type="http://schemas.openxmlformats.org/officeDocument/2006/relationships/image" Target="media/image9.jpg"/><Relationship Id="rId37" Type="http://schemas.openxmlformats.org/officeDocument/2006/relationships/image" Target="media/image30.jp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4.jpg"/><Relationship Id="rId144" Type="http://schemas.openxmlformats.org/officeDocument/2006/relationships/image" Target="media/image135.jpg"/><Relationship Id="rId90" Type="http://schemas.openxmlformats.org/officeDocument/2006/relationships/image" Target="media/image83.jpg"/><Relationship Id="rId27" Type="http://schemas.openxmlformats.org/officeDocument/2006/relationships/image" Target="media/image20.jpg"/><Relationship Id="rId48" Type="http://schemas.openxmlformats.org/officeDocument/2006/relationships/image" Target="media/image41.jpg"/><Relationship Id="rId69" Type="http://schemas.openxmlformats.org/officeDocument/2006/relationships/image" Target="media/image62.jpg"/><Relationship Id="rId113" Type="http://schemas.openxmlformats.org/officeDocument/2006/relationships/image" Target="media/image104.jpg"/><Relationship Id="rId134" Type="http://schemas.openxmlformats.org/officeDocument/2006/relationships/image" Target="media/image125.jpg"/><Relationship Id="rId80" Type="http://schemas.openxmlformats.org/officeDocument/2006/relationships/image" Target="media/image73.jpg"/><Relationship Id="rId155" Type="http://schemas.openxmlformats.org/officeDocument/2006/relationships/image" Target="media/image146.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874DD3-2403-48CE-94B8-04D49D2F9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383</Pages>
  <Words>78102</Words>
  <Characters>445188</Characters>
  <Application>Microsoft Office Word</Application>
  <DocSecurity>0</DocSecurity>
  <Lines>3709</Lines>
  <Paragraphs>1044</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522246</CharactersWithSpaces>
  <SharedDoc>false</SharedDoc>
  <HLinks>
    <vt:vector size="12" baseType="variant">
      <vt:variant>
        <vt:i4>524413</vt:i4>
      </vt:variant>
      <vt:variant>
        <vt:i4>216</vt:i4>
      </vt:variant>
      <vt:variant>
        <vt:i4>0</vt:i4>
      </vt:variant>
      <vt:variant>
        <vt:i4>5</vt:i4>
      </vt:variant>
      <vt:variant>
        <vt:lpwstr>https://www.dec.gov.ua/wp-content/uploads/2019/11/akn_osteo.pdf</vt:lpwstr>
      </vt:variant>
      <vt:variant>
        <vt:lpwstr/>
      </vt:variant>
      <vt:variant>
        <vt:i4>6750247</vt:i4>
      </vt:variant>
      <vt:variant>
        <vt:i4>213</vt:i4>
      </vt:variant>
      <vt:variant>
        <vt:i4>0</vt:i4>
      </vt:variant>
      <vt:variant>
        <vt:i4>5</vt:i4>
      </vt:variant>
      <vt:variant>
        <vt:lpwstr>http://www.ukrstat.gov.ua/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Носивец ДС</dc:creator>
  <cp:keywords/>
  <cp:lastModifiedBy>Дмитрий Н</cp:lastModifiedBy>
  <cp:revision>59</cp:revision>
  <cp:lastPrinted>2021-04-21T09:52:00Z</cp:lastPrinted>
  <dcterms:created xsi:type="dcterms:W3CDTF">2021-04-22T05:15:00Z</dcterms:created>
  <dcterms:modified xsi:type="dcterms:W3CDTF">2021-04-25T18:09:00Z</dcterms:modified>
</cp:coreProperties>
</file>